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61AC50" w14:textId="77777777" w:rsidR="00000000" w:rsidRDefault="00000000">
      <w:pPr>
        <w:spacing w:line="560" w:lineRule="exact"/>
        <w:ind w:firstLineChars="200" w:firstLine="856"/>
        <w:rPr>
          <w:rFonts w:eastAsia="方正小标宋简体"/>
          <w:spacing w:val="-6"/>
          <w:sz w:val="44"/>
          <w:szCs w:val="44"/>
        </w:rPr>
      </w:pPr>
    </w:p>
    <w:p w14:paraId="581C5AEB" w14:textId="77777777" w:rsidR="00000000" w:rsidRDefault="00000000">
      <w:pPr>
        <w:spacing w:line="560" w:lineRule="exact"/>
        <w:jc w:val="center"/>
        <w:rPr>
          <w:rFonts w:eastAsia="方正小标宋简体"/>
          <w:sz w:val="44"/>
          <w:szCs w:val="44"/>
        </w:rPr>
      </w:pPr>
      <w:r>
        <w:rPr>
          <w:rFonts w:eastAsia="方正小标宋简体"/>
          <w:sz w:val="44"/>
          <w:szCs w:val="44"/>
        </w:rPr>
        <w:t>金华市数据要素市场化配置改革三年行动方案</w:t>
      </w:r>
    </w:p>
    <w:p w14:paraId="52D8CBC0" w14:textId="77777777" w:rsidR="00000000" w:rsidRDefault="00000000">
      <w:pPr>
        <w:pStyle w:val="2"/>
        <w:spacing w:after="0" w:line="560" w:lineRule="exact"/>
        <w:jc w:val="center"/>
        <w:rPr>
          <w:rFonts w:eastAsia="方正小标宋简体"/>
          <w:sz w:val="44"/>
          <w:szCs w:val="44"/>
        </w:rPr>
      </w:pPr>
      <w:r>
        <w:rPr>
          <w:rFonts w:eastAsia="方正小标宋简体"/>
          <w:sz w:val="44"/>
          <w:szCs w:val="44"/>
        </w:rPr>
        <w:t>（</w:t>
      </w:r>
      <w:r>
        <w:rPr>
          <w:rFonts w:eastAsia="方正小标宋简体"/>
          <w:sz w:val="44"/>
          <w:szCs w:val="44"/>
        </w:rPr>
        <w:t>2024-2026</w:t>
      </w:r>
      <w:r>
        <w:rPr>
          <w:rFonts w:eastAsia="方正小标宋简体"/>
          <w:sz w:val="44"/>
          <w:szCs w:val="44"/>
        </w:rPr>
        <w:t>年）</w:t>
      </w:r>
    </w:p>
    <w:p w14:paraId="620D718B" w14:textId="77777777" w:rsidR="00000000" w:rsidRDefault="00000000">
      <w:pPr>
        <w:pStyle w:val="aa"/>
        <w:spacing w:before="0" w:after="0" w:line="560" w:lineRule="exact"/>
        <w:outlineLvl w:val="9"/>
        <w:rPr>
          <w:rFonts w:ascii="Times New Roman" w:eastAsia="方正小标宋简体" w:hAnsi="Times New Roman"/>
          <w:sz w:val="44"/>
          <w:szCs w:val="44"/>
        </w:rPr>
      </w:pPr>
      <w:r>
        <w:rPr>
          <w:rFonts w:ascii="Times New Roman" w:eastAsia="楷体_GB2312" w:hAnsi="Times New Roman"/>
          <w:sz w:val="32"/>
        </w:rPr>
        <w:t>（</w:t>
      </w:r>
      <w:r>
        <w:rPr>
          <w:rFonts w:ascii="Times New Roman" w:eastAsia="楷体_GB2312" w:hAnsi="Times New Roman" w:hint="eastAsia"/>
          <w:sz w:val="32"/>
        </w:rPr>
        <w:t>公开</w:t>
      </w:r>
      <w:r>
        <w:rPr>
          <w:rFonts w:ascii="Times New Roman" w:eastAsia="楷体_GB2312" w:hAnsi="Times New Roman"/>
          <w:sz w:val="32"/>
        </w:rPr>
        <w:t>征求意见稿）</w:t>
      </w:r>
    </w:p>
    <w:p w14:paraId="38C9D7CF" w14:textId="77777777" w:rsidR="00000000" w:rsidRDefault="00000000">
      <w:pPr>
        <w:spacing w:line="560" w:lineRule="exact"/>
        <w:ind w:firstLineChars="200" w:firstLine="640"/>
        <w:rPr>
          <w:rFonts w:eastAsia="仿宋_GB2312"/>
          <w:sz w:val="32"/>
          <w:szCs w:val="32"/>
        </w:rPr>
      </w:pPr>
    </w:p>
    <w:p w14:paraId="3268F2C5" w14:textId="77777777" w:rsidR="00000000" w:rsidRDefault="00000000">
      <w:pPr>
        <w:spacing w:line="560" w:lineRule="exact"/>
        <w:ind w:firstLineChars="200" w:firstLine="640"/>
        <w:rPr>
          <w:rFonts w:eastAsia="仿宋_GB2312"/>
          <w:sz w:val="32"/>
          <w:szCs w:val="32"/>
        </w:rPr>
      </w:pPr>
      <w:r>
        <w:rPr>
          <w:rFonts w:eastAsia="仿宋_GB2312"/>
          <w:sz w:val="32"/>
          <w:szCs w:val="32"/>
        </w:rPr>
        <w:t>为激活数据要素潜能，更好支撑数字经济创新提质</w:t>
      </w:r>
      <w:r>
        <w:rPr>
          <w:rFonts w:eastAsia="仿宋_GB2312"/>
          <w:sz w:val="32"/>
          <w:szCs w:val="32"/>
        </w:rPr>
        <w:t>“</w:t>
      </w:r>
      <w:r>
        <w:rPr>
          <w:rFonts w:eastAsia="仿宋_GB2312"/>
          <w:sz w:val="32"/>
          <w:szCs w:val="32"/>
        </w:rPr>
        <w:t>一号发展工程</w:t>
      </w:r>
      <w:r>
        <w:rPr>
          <w:rFonts w:eastAsia="仿宋_GB2312"/>
          <w:sz w:val="32"/>
          <w:szCs w:val="32"/>
        </w:rPr>
        <w:t>”</w:t>
      </w:r>
      <w:r>
        <w:rPr>
          <w:rFonts w:eastAsia="仿宋_GB2312"/>
          <w:sz w:val="32"/>
          <w:szCs w:val="32"/>
        </w:rPr>
        <w:t>实施，加快培育新质生产力，根据《中共中央</w:t>
      </w:r>
      <w:r>
        <w:rPr>
          <w:rFonts w:eastAsia="仿宋_GB2312"/>
          <w:sz w:val="32"/>
          <w:szCs w:val="32"/>
        </w:rPr>
        <w:t xml:space="preserve"> </w:t>
      </w:r>
      <w:r>
        <w:rPr>
          <w:rFonts w:eastAsia="仿宋_GB2312"/>
          <w:sz w:val="32"/>
          <w:szCs w:val="32"/>
        </w:rPr>
        <w:t>国务院关于构建数据基础制度更好发挥数据要素作用的意见》（中发〔</w:t>
      </w:r>
      <w:r>
        <w:rPr>
          <w:rFonts w:eastAsia="仿宋_GB2312"/>
          <w:sz w:val="32"/>
          <w:szCs w:val="32"/>
        </w:rPr>
        <w:t>2022</w:t>
      </w:r>
      <w:r>
        <w:rPr>
          <w:rFonts w:eastAsia="仿宋_GB2312"/>
          <w:sz w:val="32"/>
          <w:szCs w:val="32"/>
        </w:rPr>
        <w:t>〕</w:t>
      </w:r>
      <w:r>
        <w:rPr>
          <w:rFonts w:eastAsia="仿宋_GB2312"/>
          <w:sz w:val="32"/>
          <w:szCs w:val="32"/>
        </w:rPr>
        <w:t>32</w:t>
      </w:r>
      <w:r>
        <w:rPr>
          <w:rFonts w:eastAsia="仿宋_GB2312"/>
          <w:sz w:val="32"/>
          <w:szCs w:val="32"/>
        </w:rPr>
        <w:t>号）</w:t>
      </w:r>
      <w:r>
        <w:rPr>
          <w:rFonts w:eastAsia="仿宋_GB2312"/>
          <w:kern w:val="0"/>
          <w:sz w:val="32"/>
          <w:szCs w:val="32"/>
          <w:shd w:val="clear" w:color="auto" w:fill="FFFFFF"/>
        </w:rPr>
        <w:t>《</w:t>
      </w:r>
      <w:r>
        <w:rPr>
          <w:rFonts w:eastAsia="仿宋_GB2312"/>
          <w:kern w:val="0"/>
          <w:sz w:val="32"/>
          <w:szCs w:val="32"/>
          <w:shd w:val="clear" w:color="auto" w:fill="FFFFFF"/>
        </w:rPr>
        <w:t>“</w:t>
      </w:r>
      <w:r>
        <w:rPr>
          <w:rFonts w:eastAsia="仿宋_GB2312"/>
          <w:kern w:val="0"/>
          <w:sz w:val="32"/>
          <w:szCs w:val="32"/>
          <w:shd w:val="clear" w:color="auto" w:fill="FFFFFF"/>
        </w:rPr>
        <w:t>数据要素</w:t>
      </w:r>
      <w:r>
        <w:rPr>
          <w:rFonts w:eastAsia="仿宋_GB2312"/>
          <w:kern w:val="0"/>
          <w:sz w:val="32"/>
          <w:szCs w:val="32"/>
          <w:shd w:val="clear" w:color="auto" w:fill="FFFFFF"/>
        </w:rPr>
        <w:t>×”</w:t>
      </w:r>
      <w:r>
        <w:rPr>
          <w:rFonts w:eastAsia="仿宋_GB2312"/>
          <w:kern w:val="0"/>
          <w:sz w:val="32"/>
          <w:szCs w:val="32"/>
          <w:shd w:val="clear" w:color="auto" w:fill="FFFFFF"/>
        </w:rPr>
        <w:t>三年行动计划（</w:t>
      </w:r>
      <w:r>
        <w:rPr>
          <w:rFonts w:eastAsia="仿宋_GB2312"/>
          <w:kern w:val="0"/>
          <w:sz w:val="32"/>
          <w:szCs w:val="32"/>
          <w:shd w:val="clear" w:color="auto" w:fill="FFFFFF"/>
        </w:rPr>
        <w:t>2024-2026</w:t>
      </w:r>
      <w:r>
        <w:rPr>
          <w:rFonts w:eastAsia="仿宋_GB2312"/>
          <w:kern w:val="0"/>
          <w:sz w:val="32"/>
          <w:szCs w:val="32"/>
          <w:shd w:val="clear" w:color="auto" w:fill="FFFFFF"/>
        </w:rPr>
        <w:t>年）》（国数政策〔</w:t>
      </w:r>
      <w:r>
        <w:rPr>
          <w:rFonts w:eastAsia="仿宋_GB2312"/>
          <w:kern w:val="0"/>
          <w:sz w:val="32"/>
          <w:szCs w:val="32"/>
          <w:shd w:val="clear" w:color="auto" w:fill="FFFFFF"/>
        </w:rPr>
        <w:t>2023</w:t>
      </w:r>
      <w:r>
        <w:rPr>
          <w:rFonts w:eastAsia="仿宋_GB2312"/>
          <w:kern w:val="0"/>
          <w:sz w:val="32"/>
          <w:szCs w:val="32"/>
          <w:shd w:val="clear" w:color="auto" w:fill="FFFFFF"/>
        </w:rPr>
        <w:t>〕</w:t>
      </w:r>
      <w:r>
        <w:rPr>
          <w:rFonts w:eastAsia="仿宋_GB2312"/>
          <w:kern w:val="0"/>
          <w:sz w:val="32"/>
          <w:szCs w:val="32"/>
          <w:shd w:val="clear" w:color="auto" w:fill="FFFFFF"/>
        </w:rPr>
        <w:t>11</w:t>
      </w:r>
      <w:r>
        <w:rPr>
          <w:rFonts w:eastAsia="仿宋_GB2312"/>
          <w:kern w:val="0"/>
          <w:sz w:val="32"/>
          <w:szCs w:val="32"/>
          <w:shd w:val="clear" w:color="auto" w:fill="FFFFFF"/>
        </w:rPr>
        <w:t>号）</w:t>
      </w:r>
      <w:r>
        <w:rPr>
          <w:rFonts w:eastAsia="仿宋_GB2312"/>
          <w:sz w:val="32"/>
          <w:szCs w:val="32"/>
        </w:rPr>
        <w:t>和《浙江省公共数据条例》，结合我市实际，制定本方案。</w:t>
      </w:r>
    </w:p>
    <w:p w14:paraId="7F364FD9" w14:textId="77777777" w:rsidR="00000000" w:rsidRDefault="00000000">
      <w:pPr>
        <w:spacing w:line="560" w:lineRule="exact"/>
        <w:ind w:firstLineChars="200" w:firstLine="640"/>
        <w:outlineLvl w:val="0"/>
        <w:rPr>
          <w:rFonts w:eastAsia="黑体"/>
          <w:sz w:val="32"/>
          <w:szCs w:val="32"/>
        </w:rPr>
      </w:pPr>
      <w:r>
        <w:rPr>
          <w:rFonts w:eastAsia="黑体"/>
          <w:sz w:val="32"/>
          <w:szCs w:val="32"/>
        </w:rPr>
        <w:t>一、指导思想</w:t>
      </w:r>
    </w:p>
    <w:p w14:paraId="61A22154" w14:textId="77777777" w:rsidR="00000000" w:rsidRDefault="00000000">
      <w:pPr>
        <w:spacing w:line="560" w:lineRule="exact"/>
        <w:ind w:firstLineChars="200" w:firstLine="640"/>
        <w:rPr>
          <w:rFonts w:eastAsia="仿宋_GB2312"/>
          <w:sz w:val="32"/>
          <w:szCs w:val="32"/>
        </w:rPr>
      </w:pPr>
      <w:r>
        <w:rPr>
          <w:rFonts w:eastAsia="仿宋_GB2312"/>
          <w:sz w:val="32"/>
          <w:szCs w:val="32"/>
        </w:rPr>
        <w:t>坚持以习近平新时代中国特色社会主义思想为指导，全面贯彻落实党的二十大精神，深入贯彻习近平总书记考察浙江重要讲话精神，充分发挥市场在资源配置中的决定性作用，坚持改革创新、系统谋划，在数据基础设施、数据资源体系、数据流通交易、数据赋能产业发展、数据产业生态等领域开展引领示范，着力破除阻碍数据要素有序流通的体制机制障碍，积极探索数据要素高质量供给、市场化流通、创新化利用新路径，加快构建全市一体化、多层次的数据要素市场体系，充分释放公共数据价值，激发社会数据活力，全力建设数据要素综合试验区、数据要素应用示范区，为高水平打造数字中国浙江样板贡献金华力量。</w:t>
      </w:r>
    </w:p>
    <w:p w14:paraId="23E58A21" w14:textId="77777777" w:rsidR="00000000" w:rsidRDefault="00000000">
      <w:pPr>
        <w:spacing w:line="560" w:lineRule="exact"/>
        <w:ind w:firstLineChars="200" w:firstLine="640"/>
        <w:outlineLvl w:val="0"/>
        <w:rPr>
          <w:rFonts w:eastAsia="黑体"/>
          <w:sz w:val="32"/>
          <w:szCs w:val="32"/>
        </w:rPr>
      </w:pPr>
      <w:r>
        <w:rPr>
          <w:rFonts w:eastAsia="黑体"/>
          <w:sz w:val="32"/>
          <w:szCs w:val="32"/>
        </w:rPr>
        <w:lastRenderedPageBreak/>
        <w:t>二、发展目标</w:t>
      </w:r>
    </w:p>
    <w:p w14:paraId="37F0DC12" w14:textId="77777777" w:rsidR="00000000" w:rsidRDefault="00000000">
      <w:pPr>
        <w:pStyle w:val="a5"/>
        <w:spacing w:after="0" w:line="560" w:lineRule="exact"/>
        <w:ind w:firstLineChars="200" w:firstLine="640"/>
        <w:rPr>
          <w:szCs w:val="32"/>
        </w:rPr>
      </w:pPr>
      <w:r>
        <w:rPr>
          <w:szCs w:val="32"/>
        </w:rPr>
        <w:t>到</w:t>
      </w:r>
      <w:r>
        <w:rPr>
          <w:szCs w:val="32"/>
        </w:rPr>
        <w:t>2024</w:t>
      </w:r>
      <w:r>
        <w:rPr>
          <w:szCs w:val="32"/>
        </w:rPr>
        <w:t>年底，</w:t>
      </w:r>
      <w:r>
        <w:rPr>
          <w:szCs w:val="32"/>
          <w:lang w:bidi="ar"/>
        </w:rPr>
        <w:t>数据要素市场化公共服务机构基本成立，数据基础设施持续完善，</w:t>
      </w:r>
      <w:r>
        <w:rPr>
          <w:szCs w:val="32"/>
        </w:rPr>
        <w:t>数据资源持续丰富，初步构建</w:t>
      </w:r>
      <w:r>
        <w:rPr>
          <w:szCs w:val="32"/>
          <w:lang w:bidi="ar"/>
        </w:rPr>
        <w:t>数据产业生态体系。</w:t>
      </w:r>
      <w:r>
        <w:rPr>
          <w:szCs w:val="32"/>
        </w:rPr>
        <w:t>力争全市智能算力资源突破</w:t>
      </w:r>
      <w:r>
        <w:rPr>
          <w:szCs w:val="32"/>
        </w:rPr>
        <w:t>1000PFlops</w:t>
      </w:r>
      <w:r>
        <w:rPr>
          <w:szCs w:val="32"/>
        </w:rPr>
        <w:t>，</w:t>
      </w:r>
      <w:r>
        <w:rPr>
          <w:szCs w:val="32"/>
          <w:lang w:bidi="ar"/>
        </w:rPr>
        <w:t>归集数据</w:t>
      </w:r>
      <w:r>
        <w:rPr>
          <w:szCs w:val="32"/>
          <w:lang w:bidi="ar"/>
        </w:rPr>
        <w:t>5</w:t>
      </w:r>
      <w:r>
        <w:rPr>
          <w:szCs w:val="32"/>
          <w:lang w:bidi="ar"/>
        </w:rPr>
        <w:t>亿条以上，培育数据服务商</w:t>
      </w:r>
      <w:r>
        <w:rPr>
          <w:szCs w:val="32"/>
          <w:lang w:bidi="ar"/>
        </w:rPr>
        <w:t>20</w:t>
      </w:r>
      <w:r>
        <w:rPr>
          <w:szCs w:val="32"/>
          <w:lang w:bidi="ar"/>
        </w:rPr>
        <w:t>家以上，举办数商沙龙</w:t>
      </w:r>
      <w:r>
        <w:rPr>
          <w:szCs w:val="32"/>
          <w:lang w:bidi="ar"/>
        </w:rPr>
        <w:t>5</w:t>
      </w:r>
      <w:r>
        <w:rPr>
          <w:szCs w:val="32"/>
          <w:lang w:bidi="ar"/>
        </w:rPr>
        <w:t>场以上，上线数据产品</w:t>
      </w:r>
      <w:r>
        <w:rPr>
          <w:szCs w:val="32"/>
          <w:lang w:bidi="ar"/>
        </w:rPr>
        <w:t>50</w:t>
      </w:r>
      <w:r>
        <w:rPr>
          <w:szCs w:val="32"/>
          <w:lang w:bidi="ar"/>
        </w:rPr>
        <w:t>个以上，交易平台交易额达</w:t>
      </w:r>
      <w:r>
        <w:rPr>
          <w:szCs w:val="32"/>
          <w:lang w:bidi="ar"/>
        </w:rPr>
        <w:t>8000</w:t>
      </w:r>
      <w:r>
        <w:rPr>
          <w:szCs w:val="32"/>
          <w:lang w:bidi="ar"/>
        </w:rPr>
        <w:t>万元</w:t>
      </w:r>
      <w:r>
        <w:rPr>
          <w:rFonts w:hint="eastAsia"/>
          <w:szCs w:val="32"/>
          <w:lang w:bidi="ar"/>
        </w:rPr>
        <w:t>以上</w:t>
      </w:r>
      <w:r>
        <w:rPr>
          <w:szCs w:val="32"/>
          <w:lang w:bidi="ar"/>
        </w:rPr>
        <w:t>。</w:t>
      </w:r>
    </w:p>
    <w:p w14:paraId="2E376E57" w14:textId="77777777" w:rsidR="00000000" w:rsidRDefault="00000000">
      <w:pPr>
        <w:spacing w:line="560" w:lineRule="exact"/>
        <w:ind w:firstLineChars="200" w:firstLine="640"/>
        <w:rPr>
          <w:rFonts w:eastAsia="仿宋_GB2312"/>
          <w:sz w:val="32"/>
          <w:szCs w:val="32"/>
        </w:rPr>
      </w:pPr>
      <w:r>
        <w:rPr>
          <w:rFonts w:eastAsia="仿宋_GB2312"/>
          <w:sz w:val="32"/>
          <w:szCs w:val="32"/>
        </w:rPr>
        <w:t>到</w:t>
      </w:r>
      <w:r>
        <w:rPr>
          <w:rFonts w:eastAsia="仿宋_GB2312"/>
          <w:sz w:val="32"/>
          <w:szCs w:val="32"/>
        </w:rPr>
        <w:t>2025</w:t>
      </w:r>
      <w:r>
        <w:rPr>
          <w:rFonts w:eastAsia="仿宋_GB2312"/>
          <w:sz w:val="32"/>
          <w:szCs w:val="32"/>
        </w:rPr>
        <w:t>年底，数据要素市场化配置体制机制基本建立，数据资源汇聚治理模式更加成熟，数据资产登记、评估、入表、流通交易及跨境数据安全保障等体系基本构建，形成</w:t>
      </w:r>
      <w:r>
        <w:rPr>
          <w:rFonts w:eastAsia="仿宋_GB2312"/>
          <w:kern w:val="0"/>
          <w:sz w:val="32"/>
          <w:szCs w:val="32"/>
          <w:shd w:val="clear" w:color="auto" w:fill="FFFFFF"/>
        </w:rPr>
        <w:t>一批具有行业特色的高质量数据集、品牌数据产品及示范性应用场景。</w:t>
      </w:r>
      <w:r>
        <w:rPr>
          <w:rFonts w:eastAsia="仿宋_GB2312"/>
          <w:sz w:val="32"/>
          <w:szCs w:val="32"/>
        </w:rPr>
        <w:t>全市智能算力资源规模突破</w:t>
      </w:r>
      <w:r>
        <w:rPr>
          <w:rFonts w:eastAsia="仿宋_GB2312"/>
          <w:sz w:val="32"/>
          <w:szCs w:val="32"/>
        </w:rPr>
        <w:t>2000PFlops</w:t>
      </w:r>
      <w:r>
        <w:rPr>
          <w:rFonts w:eastAsia="仿宋_GB2312"/>
          <w:sz w:val="32"/>
          <w:szCs w:val="32"/>
        </w:rPr>
        <w:t>，培育</w:t>
      </w:r>
      <w:r>
        <w:rPr>
          <w:rFonts w:eastAsia="仿宋_GB2312"/>
          <w:kern w:val="0"/>
          <w:sz w:val="32"/>
          <w:szCs w:val="32"/>
          <w:shd w:val="clear" w:color="auto" w:fill="FFFFFF"/>
        </w:rPr>
        <w:t>孵化</w:t>
      </w:r>
      <w:r>
        <w:rPr>
          <w:rFonts w:eastAsia="仿宋_GB2312"/>
          <w:kern w:val="0"/>
          <w:sz w:val="32"/>
          <w:szCs w:val="32"/>
          <w:shd w:val="clear" w:color="auto" w:fill="FFFFFF"/>
        </w:rPr>
        <w:t>20</w:t>
      </w:r>
      <w:r>
        <w:rPr>
          <w:rFonts w:eastAsia="仿宋_GB2312"/>
          <w:kern w:val="0"/>
          <w:sz w:val="32"/>
          <w:szCs w:val="32"/>
          <w:shd w:val="clear" w:color="auto" w:fill="FFFFFF"/>
        </w:rPr>
        <w:t>家以上典型数据要素型企业，</w:t>
      </w:r>
      <w:r>
        <w:rPr>
          <w:rFonts w:eastAsia="仿宋_GB2312"/>
          <w:sz w:val="32"/>
          <w:szCs w:val="32"/>
          <w:lang w:bidi="ar"/>
        </w:rPr>
        <w:t>交易平台交易额达</w:t>
      </w:r>
      <w:r>
        <w:rPr>
          <w:rFonts w:eastAsia="仿宋_GB2312"/>
          <w:sz w:val="32"/>
          <w:szCs w:val="32"/>
          <w:lang w:bidi="ar"/>
        </w:rPr>
        <w:t>1.5</w:t>
      </w:r>
      <w:r>
        <w:rPr>
          <w:rFonts w:eastAsia="仿宋_GB2312"/>
          <w:sz w:val="32"/>
          <w:szCs w:val="32"/>
          <w:lang w:bidi="ar"/>
        </w:rPr>
        <w:t>亿元以上，</w:t>
      </w:r>
      <w:r>
        <w:rPr>
          <w:rFonts w:eastAsia="仿宋_GB2312"/>
          <w:kern w:val="0"/>
          <w:sz w:val="32"/>
          <w:szCs w:val="32"/>
          <w:shd w:val="clear" w:color="auto" w:fill="FFFFFF"/>
        </w:rPr>
        <w:t>全市数据要素市场规模达到</w:t>
      </w:r>
      <w:r>
        <w:rPr>
          <w:rFonts w:eastAsia="仿宋_GB2312"/>
          <w:kern w:val="0"/>
          <w:sz w:val="32"/>
          <w:szCs w:val="32"/>
          <w:shd w:val="clear" w:color="auto" w:fill="FFFFFF"/>
        </w:rPr>
        <w:t>200</w:t>
      </w:r>
      <w:r>
        <w:rPr>
          <w:rFonts w:eastAsia="仿宋_GB2312"/>
          <w:kern w:val="0"/>
          <w:sz w:val="32"/>
          <w:szCs w:val="32"/>
          <w:shd w:val="clear" w:color="auto" w:fill="FFFFFF"/>
        </w:rPr>
        <w:t>亿元以上</w:t>
      </w:r>
      <w:r>
        <w:rPr>
          <w:rFonts w:eastAsia="仿宋_GB2312"/>
          <w:sz w:val="32"/>
          <w:szCs w:val="32"/>
        </w:rPr>
        <w:t>。</w:t>
      </w:r>
    </w:p>
    <w:p w14:paraId="1F90C43E" w14:textId="77777777" w:rsidR="00000000" w:rsidRDefault="00000000">
      <w:pPr>
        <w:spacing w:line="560" w:lineRule="exact"/>
        <w:ind w:firstLineChars="200" w:firstLine="640"/>
        <w:rPr>
          <w:rFonts w:eastAsia="仿宋_GB2312"/>
          <w:highlight w:val="yellow"/>
        </w:rPr>
      </w:pPr>
      <w:r>
        <w:rPr>
          <w:rFonts w:eastAsia="仿宋_GB2312"/>
          <w:sz w:val="32"/>
          <w:szCs w:val="32"/>
        </w:rPr>
        <w:t>到</w:t>
      </w:r>
      <w:r>
        <w:rPr>
          <w:rFonts w:eastAsia="仿宋_GB2312"/>
          <w:sz w:val="32"/>
          <w:szCs w:val="32"/>
        </w:rPr>
        <w:t>2026</w:t>
      </w:r>
      <w:r>
        <w:rPr>
          <w:rFonts w:eastAsia="仿宋_GB2312"/>
          <w:sz w:val="32"/>
          <w:szCs w:val="32"/>
        </w:rPr>
        <w:t>年底，构建完备的数据要素市场发展体制机制，数据基础设施更加完善，数据流通市场活跃有序，数据相关产业蓬勃发展，数据要素乘数效应凸显。全市智能算力资源规模突破</w:t>
      </w:r>
      <w:r>
        <w:rPr>
          <w:rFonts w:eastAsia="仿宋_GB2312"/>
          <w:sz w:val="32"/>
          <w:szCs w:val="32"/>
        </w:rPr>
        <w:t>5000PFlops</w:t>
      </w:r>
      <w:r>
        <w:rPr>
          <w:rFonts w:eastAsia="仿宋_GB2312"/>
          <w:sz w:val="32"/>
          <w:szCs w:val="32"/>
        </w:rPr>
        <w:t>，挂牌交易数据产品不少于</w:t>
      </w:r>
      <w:r>
        <w:rPr>
          <w:rFonts w:eastAsia="仿宋_GB2312"/>
          <w:sz w:val="32"/>
          <w:szCs w:val="32"/>
        </w:rPr>
        <w:t>500</w:t>
      </w:r>
      <w:r>
        <w:rPr>
          <w:rFonts w:eastAsia="仿宋_GB2312"/>
          <w:sz w:val="32"/>
          <w:szCs w:val="32"/>
        </w:rPr>
        <w:t>个，交易额突破</w:t>
      </w:r>
      <w:r>
        <w:rPr>
          <w:rFonts w:eastAsia="仿宋_GB2312"/>
          <w:sz w:val="32"/>
          <w:szCs w:val="32"/>
        </w:rPr>
        <w:t>5</w:t>
      </w:r>
      <w:r>
        <w:rPr>
          <w:rFonts w:eastAsia="仿宋_GB2312"/>
          <w:sz w:val="32"/>
          <w:szCs w:val="32"/>
        </w:rPr>
        <w:t>亿元，引进培育数据商和第三方专业服务机构不少于</w:t>
      </w:r>
      <w:r>
        <w:rPr>
          <w:rFonts w:eastAsia="仿宋_GB2312"/>
          <w:sz w:val="32"/>
          <w:szCs w:val="32"/>
        </w:rPr>
        <w:t>100</w:t>
      </w:r>
      <w:r>
        <w:rPr>
          <w:rFonts w:eastAsia="仿宋_GB2312"/>
          <w:sz w:val="32"/>
          <w:szCs w:val="32"/>
        </w:rPr>
        <w:t>家，全市数据要素市场规模达到</w:t>
      </w:r>
      <w:r>
        <w:rPr>
          <w:rFonts w:eastAsia="仿宋_GB2312"/>
          <w:sz w:val="32"/>
          <w:szCs w:val="32"/>
        </w:rPr>
        <w:t>500</w:t>
      </w:r>
      <w:r>
        <w:rPr>
          <w:rFonts w:eastAsia="仿宋_GB2312"/>
          <w:sz w:val="32"/>
          <w:szCs w:val="32"/>
        </w:rPr>
        <w:t>亿元以上。</w:t>
      </w:r>
    </w:p>
    <w:p w14:paraId="0FC540B0" w14:textId="77777777" w:rsidR="00000000" w:rsidRDefault="00000000">
      <w:pPr>
        <w:spacing w:line="560" w:lineRule="exact"/>
        <w:ind w:firstLineChars="200" w:firstLine="640"/>
        <w:outlineLvl w:val="0"/>
        <w:rPr>
          <w:rFonts w:eastAsia="黑体"/>
          <w:sz w:val="32"/>
          <w:szCs w:val="32"/>
        </w:rPr>
      </w:pPr>
      <w:r>
        <w:rPr>
          <w:rFonts w:eastAsia="黑体"/>
          <w:sz w:val="32"/>
          <w:szCs w:val="32"/>
        </w:rPr>
        <w:t>三、主要任务</w:t>
      </w:r>
    </w:p>
    <w:p w14:paraId="1D4F6254" w14:textId="77777777" w:rsidR="00000000" w:rsidRDefault="00000000">
      <w:pPr>
        <w:spacing w:line="560" w:lineRule="exact"/>
        <w:ind w:firstLineChars="200" w:firstLine="640"/>
        <w:outlineLvl w:val="1"/>
        <w:rPr>
          <w:rFonts w:eastAsia="黑体"/>
          <w:sz w:val="32"/>
          <w:szCs w:val="32"/>
        </w:rPr>
      </w:pPr>
      <w:r>
        <w:rPr>
          <w:rFonts w:eastAsia="楷体_GB2312"/>
          <w:sz w:val="32"/>
          <w:szCs w:val="32"/>
        </w:rPr>
        <w:t>（一）实施数据基础设施提级行动</w:t>
      </w:r>
    </w:p>
    <w:p w14:paraId="097BE173" w14:textId="77777777" w:rsidR="00000000" w:rsidRDefault="00000000">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迭代优化通信网络基础设施。加大</w:t>
      </w:r>
      <w:r>
        <w:rPr>
          <w:rFonts w:eastAsia="仿宋_GB2312"/>
          <w:sz w:val="32"/>
          <w:szCs w:val="32"/>
        </w:rPr>
        <w:t>5G</w:t>
      </w:r>
      <w:r>
        <w:rPr>
          <w:rFonts w:eastAsia="仿宋_GB2312"/>
          <w:sz w:val="32"/>
          <w:szCs w:val="32"/>
        </w:rPr>
        <w:t>基站建设力度，持续</w:t>
      </w:r>
      <w:r>
        <w:rPr>
          <w:rFonts w:eastAsia="仿宋_GB2312"/>
          <w:sz w:val="32"/>
          <w:szCs w:val="32"/>
          <w:lang w:bidi="ar"/>
        </w:rPr>
        <w:t>建设</w:t>
      </w:r>
      <w:r>
        <w:rPr>
          <w:rFonts w:eastAsia="仿宋_GB2312"/>
          <w:sz w:val="32"/>
          <w:szCs w:val="32"/>
          <w:lang w:bidi="ar"/>
        </w:rPr>
        <w:t>5G-A</w:t>
      </w:r>
      <w:r>
        <w:rPr>
          <w:rFonts w:eastAsia="仿宋_GB2312"/>
          <w:sz w:val="32"/>
          <w:szCs w:val="32"/>
          <w:lang w:bidi="ar"/>
        </w:rPr>
        <w:t>网络，</w:t>
      </w:r>
      <w:r>
        <w:rPr>
          <w:rFonts w:eastAsia="仿宋_GB2312"/>
          <w:sz w:val="32"/>
          <w:szCs w:val="32"/>
        </w:rPr>
        <w:t>实现全市</w:t>
      </w:r>
      <w:r>
        <w:rPr>
          <w:rFonts w:eastAsia="仿宋_GB2312"/>
          <w:sz w:val="32"/>
          <w:szCs w:val="32"/>
        </w:rPr>
        <w:t>5G</w:t>
      </w:r>
      <w:r>
        <w:rPr>
          <w:rFonts w:eastAsia="仿宋_GB2312"/>
          <w:sz w:val="32"/>
          <w:szCs w:val="32"/>
        </w:rPr>
        <w:t>信号全覆盖。持续扩大千兆光纤网络覆盖范围，推进主城区、重点园区、乡镇及行政村</w:t>
      </w:r>
      <w:r>
        <w:rPr>
          <w:rFonts w:eastAsia="仿宋_GB2312"/>
          <w:sz w:val="32"/>
          <w:szCs w:val="32"/>
        </w:rPr>
        <w:t>“</w:t>
      </w:r>
      <w:r>
        <w:rPr>
          <w:rFonts w:eastAsia="仿宋_GB2312"/>
          <w:sz w:val="32"/>
          <w:szCs w:val="32"/>
        </w:rPr>
        <w:t>万兆入企、千兆到户</w:t>
      </w:r>
      <w:r>
        <w:rPr>
          <w:rFonts w:eastAsia="仿宋_GB2312"/>
          <w:sz w:val="32"/>
          <w:szCs w:val="32"/>
        </w:rPr>
        <w:t>”</w:t>
      </w:r>
      <w:r>
        <w:rPr>
          <w:rFonts w:eastAsia="仿宋_GB2312"/>
          <w:sz w:val="32"/>
          <w:szCs w:val="32"/>
        </w:rPr>
        <w:t>。深入推动</w:t>
      </w:r>
      <w:r>
        <w:rPr>
          <w:rFonts w:eastAsia="仿宋_GB2312"/>
          <w:sz w:val="32"/>
          <w:szCs w:val="32"/>
        </w:rPr>
        <w:t>IPv6</w:t>
      </w:r>
      <w:r>
        <w:rPr>
          <w:rFonts w:eastAsia="仿宋_GB2312"/>
          <w:sz w:val="32"/>
          <w:szCs w:val="32"/>
        </w:rPr>
        <w:t>规模应用，加快基础设施、应用、终端</w:t>
      </w:r>
      <w:r>
        <w:rPr>
          <w:rFonts w:eastAsia="仿宋_GB2312"/>
          <w:sz w:val="32"/>
          <w:szCs w:val="32"/>
        </w:rPr>
        <w:t>IPv6</w:t>
      </w:r>
      <w:r>
        <w:rPr>
          <w:rFonts w:eastAsia="仿宋_GB2312"/>
          <w:sz w:val="32"/>
          <w:szCs w:val="32"/>
        </w:rPr>
        <w:t>升级改造，打造具有全国影响力的</w:t>
      </w:r>
      <w:r>
        <w:rPr>
          <w:rFonts w:eastAsia="仿宋_GB2312"/>
          <w:sz w:val="32"/>
          <w:szCs w:val="32"/>
        </w:rPr>
        <w:t>IPv6</w:t>
      </w:r>
      <w:r>
        <w:rPr>
          <w:rFonts w:eastAsia="仿宋_GB2312"/>
          <w:sz w:val="32"/>
          <w:szCs w:val="32"/>
        </w:rPr>
        <w:t>创新示范基地。深化物联网管理平台建设，通过</w:t>
      </w:r>
      <w:r>
        <w:rPr>
          <w:rFonts w:eastAsia="仿宋_GB2312"/>
          <w:sz w:val="32"/>
          <w:szCs w:val="32"/>
        </w:rPr>
        <w:t>“</w:t>
      </w:r>
      <w:r>
        <w:rPr>
          <w:rFonts w:eastAsia="仿宋_GB2312"/>
          <w:sz w:val="32"/>
          <w:szCs w:val="32"/>
        </w:rPr>
        <w:t>统一设备接入、统一物联标准、统一资源共享</w:t>
      </w:r>
      <w:r>
        <w:rPr>
          <w:rFonts w:eastAsia="仿宋_GB2312"/>
          <w:sz w:val="32"/>
          <w:szCs w:val="32"/>
        </w:rPr>
        <w:t>”</w:t>
      </w:r>
      <w:r>
        <w:rPr>
          <w:rFonts w:eastAsia="仿宋_GB2312"/>
          <w:sz w:val="32"/>
          <w:szCs w:val="32"/>
        </w:rPr>
        <w:t>确保物联数据资源实时汇聚共享，有效支撑行业场景应用。</w:t>
      </w:r>
    </w:p>
    <w:p w14:paraId="70849D57" w14:textId="77777777" w:rsidR="00000000" w:rsidRDefault="00000000">
      <w:pPr>
        <w:widowControl/>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统筹布局新型算力基础设施。加强算力中心统筹，盘活存量算力基础设施，有力提升机房、机柜等资源利用效率，大幅提高存量基础设施项目上架率，构建全市梯次多元算力布局体系，形成绿色低碳、智能高效、集成统一、互联互通、算力规模与数字经济增长相适应的算力网络发展格局。积极争取省级万卡级高算力规模的新型算力中心集群，探索算力应用场景和商业模式。配套</w:t>
      </w:r>
      <w:r>
        <w:rPr>
          <w:rFonts w:eastAsia="仿宋_GB2312"/>
          <w:sz w:val="32"/>
          <w:szCs w:val="32"/>
          <w:lang w:bidi="ar"/>
        </w:rPr>
        <w:t>算力资源利用机制，出台《金华市区算力券推广应用管理办法》，支持算力中介服务机构、科技型中小微企业和创客、科研机构等使用算力资源。</w:t>
      </w:r>
      <w:r>
        <w:rPr>
          <w:rFonts w:eastAsia="仿宋_GB2312"/>
          <w:sz w:val="32"/>
          <w:szCs w:val="32"/>
        </w:rPr>
        <w:t>支持高等院校、企业加强先进计算、算网融合等技术研究，围绕实际应用场景开展通用大模型应用和领域专业大模型开发。</w:t>
      </w:r>
    </w:p>
    <w:p w14:paraId="2A950506" w14:textId="77777777" w:rsidR="00000000" w:rsidRDefault="00000000">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加快推进数据流通基础设施建设。全面迭代升级一体化智能化</w:t>
      </w:r>
      <w:r>
        <w:rPr>
          <w:rFonts w:eastAsia="仿宋_GB2312" w:hint="eastAsia"/>
          <w:sz w:val="32"/>
          <w:szCs w:val="32"/>
        </w:rPr>
        <w:t>公共</w:t>
      </w:r>
      <w:r>
        <w:rPr>
          <w:rFonts w:eastAsia="仿宋_GB2312"/>
          <w:sz w:val="32"/>
          <w:szCs w:val="32"/>
        </w:rPr>
        <w:t>数据平台，探索打造</w:t>
      </w:r>
      <w:r>
        <w:rPr>
          <w:rFonts w:eastAsia="仿宋_GB2312"/>
          <w:sz w:val="32"/>
          <w:szCs w:val="32"/>
        </w:rPr>
        <w:t>“</w:t>
      </w:r>
      <w:r>
        <w:rPr>
          <w:rFonts w:eastAsia="仿宋_GB2312"/>
          <w:sz w:val="32"/>
          <w:szCs w:val="32"/>
        </w:rPr>
        <w:t>原始数据不出域、数据可控可计量、数据可信可追溯</w:t>
      </w:r>
      <w:r>
        <w:rPr>
          <w:rFonts w:eastAsia="仿宋_GB2312"/>
          <w:sz w:val="32"/>
          <w:szCs w:val="32"/>
        </w:rPr>
        <w:t>”</w:t>
      </w:r>
      <w:r>
        <w:rPr>
          <w:rFonts w:eastAsia="仿宋_GB2312"/>
          <w:sz w:val="32"/>
          <w:szCs w:val="32"/>
        </w:rPr>
        <w:t>的流通环境，实现数据资源</w:t>
      </w:r>
      <w:r>
        <w:rPr>
          <w:rFonts w:eastAsia="仿宋_GB2312"/>
          <w:sz w:val="32"/>
          <w:szCs w:val="32"/>
        </w:rPr>
        <w:t>“</w:t>
      </w:r>
      <w:r>
        <w:rPr>
          <w:rFonts w:eastAsia="仿宋_GB2312"/>
          <w:sz w:val="32"/>
          <w:szCs w:val="32"/>
        </w:rPr>
        <w:t>供得出</w:t>
      </w:r>
      <w:r>
        <w:rPr>
          <w:rFonts w:eastAsia="仿宋_GB2312"/>
          <w:sz w:val="32"/>
          <w:szCs w:val="32"/>
        </w:rPr>
        <w:t>”</w:t>
      </w:r>
      <w:r>
        <w:rPr>
          <w:rFonts w:eastAsia="仿宋_GB2312"/>
          <w:sz w:val="32"/>
          <w:szCs w:val="32"/>
        </w:rPr>
        <w:t>。</w:t>
      </w:r>
      <w:r>
        <w:rPr>
          <w:rFonts w:eastAsia="仿宋_GB2312"/>
          <w:sz w:val="32"/>
          <w:szCs w:val="32"/>
          <w:lang w:bidi="ar"/>
        </w:rPr>
        <w:t>高水平一体化打造金华市数据交易</w:t>
      </w:r>
      <w:r>
        <w:rPr>
          <w:rFonts w:eastAsia="仿宋_GB2312" w:hint="eastAsia"/>
          <w:sz w:val="32"/>
          <w:szCs w:val="32"/>
          <w:lang w:bidi="ar"/>
        </w:rPr>
        <w:t>中心</w:t>
      </w:r>
      <w:r>
        <w:rPr>
          <w:rFonts w:eastAsia="仿宋_GB2312"/>
          <w:sz w:val="32"/>
          <w:szCs w:val="32"/>
          <w:lang w:bidi="ar"/>
        </w:rPr>
        <w:t>，</w:t>
      </w:r>
      <w:r>
        <w:rPr>
          <w:rFonts w:eastAsia="仿宋_GB2312"/>
          <w:sz w:val="32"/>
          <w:szCs w:val="32"/>
        </w:rPr>
        <w:t>建设安全、可信的数据流通交易平台。</w:t>
      </w:r>
      <w:r>
        <w:rPr>
          <w:rFonts w:eastAsia="仿宋_GB2312"/>
          <w:sz w:val="32"/>
          <w:szCs w:val="32"/>
          <w:lang w:bidi="ar"/>
        </w:rPr>
        <w:t>支持大型国有企业、电商企业等打造</w:t>
      </w:r>
      <w:r>
        <w:rPr>
          <w:rFonts w:eastAsia="仿宋_GB2312"/>
          <w:sz w:val="32"/>
          <w:szCs w:val="32"/>
          <w:lang w:bidi="ar"/>
        </w:rPr>
        <w:t>“</w:t>
      </w:r>
      <w:r>
        <w:rPr>
          <w:rFonts w:eastAsia="仿宋_GB2312"/>
          <w:sz w:val="32"/>
          <w:szCs w:val="32"/>
          <w:lang w:bidi="ar"/>
        </w:rPr>
        <w:t>小而精</w:t>
      </w:r>
      <w:r>
        <w:rPr>
          <w:rFonts w:eastAsia="仿宋_GB2312"/>
          <w:sz w:val="32"/>
          <w:szCs w:val="32"/>
          <w:lang w:bidi="ar"/>
        </w:rPr>
        <w:t>”</w:t>
      </w:r>
      <w:r>
        <w:rPr>
          <w:rFonts w:eastAsia="仿宋_GB2312"/>
          <w:sz w:val="32"/>
          <w:szCs w:val="32"/>
          <w:lang w:bidi="ar"/>
        </w:rPr>
        <w:t>的行业性数据交易平台，促进数据要素与各行业融合应用。</w:t>
      </w:r>
    </w:p>
    <w:p w14:paraId="31EE78BE" w14:textId="77777777" w:rsidR="00000000" w:rsidRDefault="00000000">
      <w:pPr>
        <w:widowControl/>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着力夯实数据安全基础设施。构建政府、行业协会多方协同参与的数据安全治理模式，强化分行业监管和跨行业协同监管，搭建数据安全监管平台，实现全市数据安全风险情况实时动态在线监管。全面提升运用隐私计算、数据加密、数字身份认证等技术能力，贯穿数据全生命周期流程，探索建设</w:t>
      </w:r>
      <w:r>
        <w:rPr>
          <w:rFonts w:eastAsia="仿宋_GB2312"/>
          <w:sz w:val="32"/>
          <w:szCs w:val="32"/>
        </w:rPr>
        <w:t>“</w:t>
      </w:r>
      <w:r>
        <w:rPr>
          <w:rFonts w:eastAsia="仿宋_GB2312"/>
          <w:sz w:val="32"/>
          <w:szCs w:val="32"/>
        </w:rPr>
        <w:t>平台</w:t>
      </w:r>
      <w:r>
        <w:rPr>
          <w:rFonts w:eastAsia="仿宋_GB2312"/>
          <w:sz w:val="32"/>
          <w:szCs w:val="32"/>
        </w:rPr>
        <w:t>+</w:t>
      </w:r>
      <w:r>
        <w:rPr>
          <w:rFonts w:eastAsia="仿宋_GB2312"/>
          <w:sz w:val="32"/>
          <w:szCs w:val="32"/>
        </w:rPr>
        <w:t>规则</w:t>
      </w:r>
      <w:r>
        <w:rPr>
          <w:rFonts w:eastAsia="仿宋_GB2312"/>
          <w:sz w:val="32"/>
          <w:szCs w:val="32"/>
        </w:rPr>
        <w:t>+</w:t>
      </w:r>
      <w:r>
        <w:rPr>
          <w:rFonts w:eastAsia="仿宋_GB2312"/>
          <w:sz w:val="32"/>
          <w:szCs w:val="32"/>
        </w:rPr>
        <w:t>场景</w:t>
      </w:r>
      <w:r>
        <w:rPr>
          <w:rFonts w:eastAsia="仿宋_GB2312"/>
          <w:sz w:val="32"/>
          <w:szCs w:val="32"/>
        </w:rPr>
        <w:t>+</w:t>
      </w:r>
      <w:r>
        <w:rPr>
          <w:rFonts w:eastAsia="仿宋_GB2312"/>
          <w:sz w:val="32"/>
          <w:szCs w:val="32"/>
        </w:rPr>
        <w:t>监管</w:t>
      </w:r>
      <w:r>
        <w:rPr>
          <w:rFonts w:eastAsia="仿宋_GB2312"/>
          <w:sz w:val="32"/>
          <w:szCs w:val="32"/>
        </w:rPr>
        <w:t>”</w:t>
      </w:r>
      <w:r>
        <w:rPr>
          <w:rFonts w:eastAsia="仿宋_GB2312"/>
          <w:sz w:val="32"/>
          <w:szCs w:val="32"/>
        </w:rPr>
        <w:t>四维一体机制，确保数据的可信性、完整性和安全性。</w:t>
      </w:r>
    </w:p>
    <w:p w14:paraId="249AE864" w14:textId="77777777" w:rsidR="00000000" w:rsidRDefault="00000000">
      <w:pPr>
        <w:spacing w:line="560" w:lineRule="exact"/>
        <w:ind w:firstLineChars="200" w:firstLine="640"/>
        <w:outlineLvl w:val="1"/>
        <w:rPr>
          <w:rFonts w:eastAsia="楷体_GB2312"/>
          <w:sz w:val="32"/>
          <w:szCs w:val="32"/>
        </w:rPr>
      </w:pPr>
      <w:r>
        <w:rPr>
          <w:rFonts w:eastAsia="楷体_GB2312"/>
          <w:sz w:val="32"/>
          <w:szCs w:val="32"/>
        </w:rPr>
        <w:t>（二）构筑坚实数据资源体系</w:t>
      </w:r>
    </w:p>
    <w:p w14:paraId="65D21639" w14:textId="77777777" w:rsidR="00000000" w:rsidRDefault="00000000">
      <w:pPr>
        <w:spacing w:line="560" w:lineRule="exact"/>
        <w:ind w:firstLineChars="200" w:firstLine="640"/>
        <w:rPr>
          <w:rFonts w:eastAsia="仿宋_GB2312"/>
          <w:sz w:val="32"/>
          <w:szCs w:val="32"/>
        </w:rPr>
      </w:pPr>
      <w:r>
        <w:rPr>
          <w:rFonts w:eastAsia="仿宋_GB2312"/>
          <w:sz w:val="32"/>
          <w:szCs w:val="32"/>
        </w:rPr>
        <w:t>5.</w:t>
      </w:r>
      <w:r>
        <w:rPr>
          <w:rFonts w:eastAsia="仿宋_GB2312"/>
          <w:sz w:val="32"/>
          <w:szCs w:val="32"/>
        </w:rPr>
        <w:t>加快数据资源盘点储备。坚持</w:t>
      </w:r>
      <w:r>
        <w:rPr>
          <w:rFonts w:eastAsia="仿宋_GB2312"/>
          <w:sz w:val="32"/>
          <w:szCs w:val="32"/>
        </w:rPr>
        <w:t>“</w:t>
      </w:r>
      <w:r>
        <w:rPr>
          <w:rFonts w:eastAsia="仿宋_GB2312"/>
          <w:sz w:val="32"/>
          <w:szCs w:val="32"/>
        </w:rPr>
        <w:t>业务数据化、数据目录化、目录资源化</w:t>
      </w:r>
      <w:r>
        <w:rPr>
          <w:rFonts w:eastAsia="仿宋_GB2312"/>
          <w:sz w:val="32"/>
          <w:szCs w:val="32"/>
        </w:rPr>
        <w:t>”</w:t>
      </w:r>
      <w:r>
        <w:rPr>
          <w:rFonts w:eastAsia="仿宋_GB2312"/>
          <w:sz w:val="32"/>
          <w:szCs w:val="32"/>
        </w:rPr>
        <w:t>原则，持续开展全市数据资源排查，完善全市统一数据目录体系。依托一体化智能化</w:t>
      </w:r>
      <w:r>
        <w:rPr>
          <w:rFonts w:eastAsia="仿宋_GB2312" w:hint="eastAsia"/>
          <w:sz w:val="32"/>
          <w:szCs w:val="32"/>
        </w:rPr>
        <w:t>公共</w:t>
      </w:r>
      <w:r>
        <w:rPr>
          <w:rFonts w:eastAsia="仿宋_GB2312"/>
          <w:sz w:val="32"/>
          <w:szCs w:val="32"/>
        </w:rPr>
        <w:t>数据平台，拓展数据归集渠道和范围，加强税务、交通、物流、医保、卫健、公安、社保以及水、电、气等公共数据归集。鼓励企事业单位开展本领域数据归集治理，推动科研机构、龙头企业等开展行业共性数据资源库建设，打造高质量人工智能大模型训练数据集。</w:t>
      </w:r>
    </w:p>
    <w:p w14:paraId="47AB7700" w14:textId="77777777" w:rsidR="00000000" w:rsidRDefault="00000000">
      <w:pPr>
        <w:spacing w:line="560" w:lineRule="exact"/>
        <w:ind w:firstLineChars="200" w:firstLine="640"/>
        <w:rPr>
          <w:rFonts w:eastAsia="仿宋_GB2312"/>
          <w:sz w:val="32"/>
          <w:szCs w:val="32"/>
        </w:rPr>
      </w:pPr>
      <w:r>
        <w:rPr>
          <w:rFonts w:eastAsia="仿宋_GB2312"/>
          <w:sz w:val="32"/>
          <w:szCs w:val="32"/>
        </w:rPr>
        <w:t>6.</w:t>
      </w:r>
      <w:r>
        <w:rPr>
          <w:rFonts w:eastAsia="仿宋_GB2312"/>
          <w:sz w:val="32"/>
          <w:szCs w:val="32"/>
        </w:rPr>
        <w:t>强化高质量数据供给。建立安全可控、弹性包容的数据治理体系，制定数据收集、存储、处理、传输、使用等治理全链条的标准规范，持续加强数据分类分级管理。鼓励行业协会等机构按成熟度分步选择典型高频重点领域，依据行业特点制定数据治理细则并分别推动数据应用。鼓励企业积极参与数据基础产品领域国家、行业、团体标准的制修订，引导重点企业开展工业产品主数据等标准化试点示范。建立数据质量评价体系，加强数据评价能力建设和信息化建设，推动数据高质量认证标准化、规范化、便利化。</w:t>
      </w:r>
    </w:p>
    <w:p w14:paraId="1801233A" w14:textId="77777777" w:rsidR="00000000" w:rsidRDefault="00000000">
      <w:pPr>
        <w:spacing w:line="560" w:lineRule="exact"/>
        <w:ind w:firstLineChars="200" w:firstLine="640"/>
        <w:rPr>
          <w:rFonts w:eastAsia="仿宋_GB2312"/>
          <w:sz w:val="32"/>
          <w:szCs w:val="32"/>
        </w:rPr>
      </w:pPr>
      <w:r>
        <w:rPr>
          <w:rFonts w:eastAsia="仿宋_GB2312"/>
          <w:sz w:val="32"/>
          <w:szCs w:val="32"/>
        </w:rPr>
        <w:t>7.</w:t>
      </w:r>
      <w:r>
        <w:rPr>
          <w:rFonts w:eastAsia="仿宋_GB2312"/>
          <w:sz w:val="32"/>
          <w:szCs w:val="32"/>
        </w:rPr>
        <w:t>开展数据资产登记入表。建立数据资产登记平台，研究制定数据资产登记管理细则。率先探索公共数据资产登记路径，研究设计公共数据资产卡片，做到</w:t>
      </w:r>
      <w:r>
        <w:rPr>
          <w:rFonts w:eastAsia="仿宋_GB2312"/>
          <w:sz w:val="32"/>
          <w:szCs w:val="32"/>
        </w:rPr>
        <w:t>“</w:t>
      </w:r>
      <w:r>
        <w:rPr>
          <w:rFonts w:eastAsia="仿宋_GB2312"/>
          <w:sz w:val="32"/>
          <w:szCs w:val="32"/>
        </w:rPr>
        <w:t>一数一源</w:t>
      </w:r>
      <w:r>
        <w:rPr>
          <w:rFonts w:eastAsia="仿宋_GB2312"/>
          <w:sz w:val="32"/>
          <w:szCs w:val="32"/>
        </w:rPr>
        <w:t>”</w:t>
      </w:r>
      <w:r>
        <w:rPr>
          <w:rFonts w:eastAsia="仿宋_GB2312"/>
          <w:sz w:val="32"/>
          <w:szCs w:val="32"/>
        </w:rPr>
        <w:t>、动态更新和上链存证，推动公共数据资产化全流程管理。推动专业评估机构开展数据资产评估服务，建立</w:t>
      </w:r>
      <w:r>
        <w:rPr>
          <w:rFonts w:eastAsia="仿宋_GB2312"/>
          <w:sz w:val="32"/>
          <w:szCs w:val="32"/>
        </w:rPr>
        <w:t>“</w:t>
      </w:r>
      <w:r>
        <w:rPr>
          <w:rFonts w:eastAsia="仿宋_GB2312"/>
          <w:sz w:val="32"/>
          <w:szCs w:val="32"/>
        </w:rPr>
        <w:t>数据评价</w:t>
      </w:r>
      <w:r>
        <w:rPr>
          <w:rFonts w:eastAsia="仿宋_GB2312"/>
          <w:sz w:val="32"/>
          <w:szCs w:val="32"/>
        </w:rPr>
        <w:t>+</w:t>
      </w:r>
      <w:r>
        <w:rPr>
          <w:rFonts w:eastAsia="仿宋_GB2312"/>
          <w:sz w:val="32"/>
          <w:szCs w:val="32"/>
        </w:rPr>
        <w:t>价值评估</w:t>
      </w:r>
      <w:r>
        <w:rPr>
          <w:rFonts w:eastAsia="仿宋_GB2312"/>
          <w:sz w:val="32"/>
          <w:szCs w:val="32"/>
        </w:rPr>
        <w:t>”</w:t>
      </w:r>
      <w:r>
        <w:rPr>
          <w:rFonts w:eastAsia="仿宋_GB2312"/>
          <w:sz w:val="32"/>
          <w:szCs w:val="32"/>
        </w:rPr>
        <w:t>的数据资产评估模式。加快研究细化企业数据资产入表的操作规则和奖励政策，优先在国有企业开展数据资产登记评估工作，选取有条件、有意愿的非国有企业开展数据资产入表试点。</w:t>
      </w:r>
    </w:p>
    <w:p w14:paraId="7EB134F1" w14:textId="77777777" w:rsidR="00000000" w:rsidRDefault="00000000">
      <w:pPr>
        <w:spacing w:line="560" w:lineRule="exact"/>
        <w:ind w:firstLineChars="200" w:firstLine="640"/>
        <w:outlineLvl w:val="1"/>
        <w:rPr>
          <w:rFonts w:eastAsia="楷体_GB2312"/>
          <w:sz w:val="32"/>
          <w:szCs w:val="32"/>
          <w:lang w:bidi="ar"/>
        </w:rPr>
      </w:pPr>
      <w:r>
        <w:rPr>
          <w:rFonts w:eastAsia="楷体_GB2312"/>
          <w:sz w:val="32"/>
          <w:szCs w:val="32"/>
          <w:lang w:bidi="ar"/>
        </w:rPr>
        <w:t>（三）推动数据要素市场化流通交易</w:t>
      </w:r>
    </w:p>
    <w:p w14:paraId="6F490FB0" w14:textId="77777777" w:rsidR="00000000" w:rsidRDefault="00000000">
      <w:pPr>
        <w:spacing w:line="560" w:lineRule="exact"/>
        <w:ind w:firstLineChars="200" w:firstLine="640"/>
        <w:rPr>
          <w:rFonts w:eastAsia="仿宋_GB2312"/>
          <w:sz w:val="32"/>
          <w:szCs w:val="32"/>
          <w:lang w:bidi="ar"/>
        </w:rPr>
      </w:pPr>
      <w:r>
        <w:rPr>
          <w:rFonts w:eastAsia="仿宋_GB2312"/>
          <w:sz w:val="32"/>
          <w:szCs w:val="32"/>
          <w:lang w:bidi="ar"/>
        </w:rPr>
        <w:t>8.</w:t>
      </w:r>
      <w:r>
        <w:rPr>
          <w:rFonts w:eastAsia="仿宋_GB2312"/>
          <w:sz w:val="32"/>
          <w:szCs w:val="32"/>
          <w:lang w:bidi="ar"/>
        </w:rPr>
        <w:t>完善数据要素市场化公共服务机构。做强数据要素运营市场主体，成立数据集团，打造集政府公共数据资源开发运营、数字基础设施建设、数字产业投资等功能于一体的重要平台。深化与上海数据交易所等机构的战略合作，</w:t>
      </w:r>
      <w:r>
        <w:rPr>
          <w:rFonts w:eastAsia="仿宋_GB2312"/>
          <w:kern w:val="0"/>
          <w:sz w:val="32"/>
          <w:szCs w:val="32"/>
          <w:shd w:val="clear" w:color="auto" w:fill="FFFFFF"/>
        </w:rPr>
        <w:t>推动数据基础制度标准共建，实现产品互信互认、生态资源共享、交易服务互通互补。健全金</w:t>
      </w:r>
      <w:r>
        <w:rPr>
          <w:rFonts w:eastAsia="仿宋_GB2312"/>
          <w:sz w:val="32"/>
          <w:szCs w:val="32"/>
          <w:lang w:bidi="ar"/>
        </w:rPr>
        <w:t>华市人工智能专家咨询委员会和专家委员会，为数据要素市场化提供专业力量支撑。</w:t>
      </w:r>
    </w:p>
    <w:p w14:paraId="60EBC2CE" w14:textId="77777777" w:rsidR="00000000" w:rsidRDefault="00000000">
      <w:pPr>
        <w:spacing w:line="560" w:lineRule="exact"/>
        <w:ind w:firstLineChars="200" w:firstLine="640"/>
        <w:rPr>
          <w:rFonts w:eastAsia="仿宋_GB2312"/>
          <w:sz w:val="32"/>
          <w:szCs w:val="32"/>
          <w:lang w:bidi="ar"/>
        </w:rPr>
      </w:pPr>
      <w:r>
        <w:rPr>
          <w:rFonts w:eastAsia="仿宋_GB2312"/>
          <w:sz w:val="32"/>
          <w:szCs w:val="32"/>
          <w:lang w:bidi="ar"/>
        </w:rPr>
        <w:t>9.</w:t>
      </w:r>
      <w:r>
        <w:rPr>
          <w:rFonts w:eastAsia="仿宋_GB2312"/>
          <w:sz w:val="32"/>
          <w:szCs w:val="32"/>
          <w:lang w:bidi="ar"/>
        </w:rPr>
        <w:t>加强公共数据开放利用。完善公共数据常态化供需对接、数据回流机制，持续推动国家数据直达基层，实现数据高质量共享。</w:t>
      </w:r>
      <w:r>
        <w:rPr>
          <w:rFonts w:eastAsia="仿宋_GB2312"/>
          <w:sz w:val="32"/>
          <w:szCs w:val="32"/>
        </w:rPr>
        <w:t>组织制定年度公共数据开放重点清单，优先推进交通运输、卫生健康、企业登记监管、气象等领域数据安全合规有序开放。探索制定公共数据授权运营收益的管理办法</w:t>
      </w:r>
      <w:r>
        <w:rPr>
          <w:rStyle w:val="ad"/>
        </w:rPr>
        <w:t>，</w:t>
      </w:r>
      <w:r>
        <w:rPr>
          <w:rFonts w:eastAsia="仿宋_GB2312"/>
          <w:sz w:val="32"/>
          <w:szCs w:val="32"/>
        </w:rPr>
        <w:t>建立健全公共数据授权运营制度规则，</w:t>
      </w:r>
      <w:r>
        <w:rPr>
          <w:rFonts w:eastAsia="仿宋_GB2312"/>
          <w:sz w:val="32"/>
          <w:szCs w:val="32"/>
          <w:lang w:bidi="ar"/>
        </w:rPr>
        <w:t>聚焦产业发展、城市治理和民生服务等领域开展场景建设，打造一批标志性成果。加强数据知识普及，开展媒体宣传、论坛展会、</w:t>
      </w:r>
      <w:r>
        <w:rPr>
          <w:rFonts w:eastAsia="仿宋_GB2312"/>
          <w:sz w:val="32"/>
          <w:szCs w:val="32"/>
          <w:lang w:bidi="ar"/>
        </w:rPr>
        <w:t>“</w:t>
      </w:r>
      <w:r>
        <w:rPr>
          <w:rFonts w:eastAsia="仿宋_GB2312"/>
          <w:sz w:val="32"/>
          <w:szCs w:val="32"/>
          <w:lang w:bidi="ar"/>
        </w:rPr>
        <w:t>数据要素</w:t>
      </w:r>
      <w:r>
        <w:rPr>
          <w:rFonts w:eastAsia="仿宋_GB2312"/>
          <w:sz w:val="32"/>
          <w:szCs w:val="32"/>
          <w:lang w:bidi="ar"/>
        </w:rPr>
        <w:t>×”</w:t>
      </w:r>
      <w:r>
        <w:rPr>
          <w:rFonts w:eastAsia="仿宋_GB2312"/>
          <w:sz w:val="32"/>
          <w:szCs w:val="32"/>
          <w:lang w:bidi="ar"/>
        </w:rPr>
        <w:t>应用创新大赛等活动，宣传数据创新应用典型成果。</w:t>
      </w:r>
    </w:p>
    <w:p w14:paraId="4F9D3A04" w14:textId="77777777" w:rsidR="00000000" w:rsidRDefault="00000000">
      <w:pPr>
        <w:spacing w:line="560" w:lineRule="exact"/>
        <w:ind w:firstLineChars="200" w:firstLine="640"/>
        <w:rPr>
          <w:rFonts w:eastAsia="仿宋_GB2312"/>
          <w:sz w:val="32"/>
          <w:szCs w:val="32"/>
        </w:rPr>
      </w:pPr>
      <w:r>
        <w:rPr>
          <w:rFonts w:eastAsia="仿宋_GB2312"/>
          <w:sz w:val="32"/>
          <w:szCs w:val="32"/>
          <w:lang w:bidi="ar"/>
        </w:rPr>
        <w:t>10.</w:t>
      </w:r>
      <w:r>
        <w:rPr>
          <w:rFonts w:eastAsia="仿宋_GB2312"/>
          <w:sz w:val="32"/>
          <w:szCs w:val="32"/>
          <w:lang w:bidi="ar"/>
        </w:rPr>
        <w:t>探索数据要素市场发展机制。</w:t>
      </w:r>
      <w:r>
        <w:rPr>
          <w:rFonts w:eastAsia="仿宋_GB2312"/>
          <w:sz w:val="32"/>
          <w:szCs w:val="32"/>
        </w:rPr>
        <w:t>率先在商品贸易、影视文旅等领域制定行业数据确权制度细则。</w:t>
      </w:r>
      <w:r>
        <w:rPr>
          <w:rFonts w:eastAsia="仿宋_GB2312"/>
          <w:sz w:val="32"/>
          <w:szCs w:val="32"/>
          <w:lang w:bidi="ar"/>
        </w:rPr>
        <w:t>出台数据产品交易专项补贴政策，推进数据进场交易</w:t>
      </w:r>
      <w:r>
        <w:rPr>
          <w:rFonts w:eastAsia="仿宋_GB2312"/>
          <w:sz w:val="32"/>
          <w:szCs w:val="32"/>
        </w:rPr>
        <w:t>。探索将国有企业数据资产的开发利用纳入国有资产保值增值激励机制。建立数据资产金融创新引导奖励机制，支持金融机构开展数据资产信贷等创新业务，激发数据市场主体活力。</w:t>
      </w:r>
    </w:p>
    <w:p w14:paraId="5DC79BD8" w14:textId="77777777" w:rsidR="00000000" w:rsidRDefault="00000000">
      <w:pPr>
        <w:spacing w:line="560" w:lineRule="exact"/>
        <w:ind w:firstLineChars="200" w:firstLine="640"/>
        <w:rPr>
          <w:rFonts w:eastAsia="仿宋_GB2312"/>
          <w:sz w:val="32"/>
          <w:szCs w:val="32"/>
        </w:rPr>
      </w:pPr>
      <w:r>
        <w:rPr>
          <w:rFonts w:eastAsia="仿宋_GB2312"/>
          <w:sz w:val="32"/>
          <w:szCs w:val="32"/>
          <w:lang w:bidi="ar"/>
        </w:rPr>
        <w:t>11</w:t>
      </w:r>
      <w:r>
        <w:rPr>
          <w:rFonts w:eastAsia="仿宋_GB2312"/>
          <w:sz w:val="32"/>
          <w:szCs w:val="32"/>
        </w:rPr>
        <w:t>.</w:t>
      </w:r>
      <w:r>
        <w:rPr>
          <w:rFonts w:eastAsia="仿宋_GB2312"/>
          <w:sz w:val="32"/>
          <w:szCs w:val="32"/>
        </w:rPr>
        <w:t>构建公平高效发展环境。加强数据司法保护，界定数据相关合规审查、安全审查、算法审查、侵权认定的实现规则，</w:t>
      </w:r>
      <w:r>
        <w:rPr>
          <w:rFonts w:eastAsia="仿宋_GB2312"/>
          <w:sz w:val="32"/>
          <w:szCs w:val="32"/>
          <w:lang w:bidi="ar"/>
        </w:rPr>
        <w:t>探索建立数据仲裁机制，</w:t>
      </w:r>
      <w:r>
        <w:rPr>
          <w:rFonts w:eastAsia="仿宋_GB2312"/>
          <w:sz w:val="32"/>
          <w:szCs w:val="32"/>
        </w:rPr>
        <w:t>强化对数据要素合规流动的保障。建立健全数据交易监管机制，对数据认证、交易、备份、追溯、跨境流动等环节进行监督，推动建设规范的数据交易市场。加强数据知识产权保护，建立数据知识产权存证公证、登记服务、交易使用等全过程上链固证的数据知识产权保护机制，推进数据知识产权登记证书在数据权益行政执法、司法审判中的应用。鼓励数商企业有序开展创新试点，创造</w:t>
      </w:r>
      <w:r>
        <w:rPr>
          <w:rFonts w:eastAsia="仿宋_GB2312"/>
          <w:sz w:val="32"/>
          <w:szCs w:val="32"/>
        </w:rPr>
        <w:t>“</w:t>
      </w:r>
      <w:r>
        <w:rPr>
          <w:rFonts w:eastAsia="仿宋_GB2312"/>
          <w:sz w:val="32"/>
          <w:szCs w:val="32"/>
        </w:rPr>
        <w:t>合规不起诉</w:t>
      </w:r>
      <w:r>
        <w:rPr>
          <w:rFonts w:eastAsia="仿宋_GB2312"/>
          <w:sz w:val="32"/>
          <w:szCs w:val="32"/>
        </w:rPr>
        <w:t>”“</w:t>
      </w:r>
      <w:r>
        <w:rPr>
          <w:rFonts w:eastAsia="仿宋_GB2312"/>
          <w:sz w:val="32"/>
          <w:szCs w:val="32"/>
        </w:rPr>
        <w:t>首违不罚或轻罚</w:t>
      </w:r>
      <w:r>
        <w:rPr>
          <w:rFonts w:eastAsia="仿宋_GB2312"/>
          <w:sz w:val="32"/>
          <w:szCs w:val="32"/>
        </w:rPr>
        <w:t>”</w:t>
      </w:r>
      <w:r>
        <w:rPr>
          <w:rFonts w:eastAsia="仿宋_GB2312"/>
          <w:sz w:val="32"/>
          <w:szCs w:val="32"/>
        </w:rPr>
        <w:t>的发展环境。</w:t>
      </w:r>
    </w:p>
    <w:p w14:paraId="4DB298FE" w14:textId="77777777" w:rsidR="00000000" w:rsidRDefault="00000000">
      <w:pPr>
        <w:spacing w:line="560" w:lineRule="exact"/>
        <w:ind w:firstLineChars="200" w:firstLine="640"/>
        <w:outlineLvl w:val="1"/>
        <w:rPr>
          <w:rFonts w:eastAsia="楷体_GB2312"/>
          <w:sz w:val="32"/>
          <w:szCs w:val="32"/>
          <w:lang w:bidi="ar"/>
        </w:rPr>
      </w:pPr>
      <w:r>
        <w:rPr>
          <w:rFonts w:eastAsia="楷体_GB2312"/>
          <w:sz w:val="32"/>
          <w:szCs w:val="32"/>
          <w:lang w:bidi="ar"/>
        </w:rPr>
        <w:t>（四）深入推进数据赋能产业发展</w:t>
      </w:r>
    </w:p>
    <w:p w14:paraId="57A414D9" w14:textId="77777777" w:rsidR="00000000" w:rsidRDefault="00000000">
      <w:pPr>
        <w:spacing w:line="560" w:lineRule="exact"/>
        <w:ind w:firstLineChars="200" w:firstLine="640"/>
        <w:rPr>
          <w:rFonts w:eastAsia="仿宋_GB2312"/>
          <w:sz w:val="32"/>
          <w:szCs w:val="32"/>
        </w:rPr>
      </w:pPr>
      <w:r>
        <w:rPr>
          <w:rFonts w:eastAsia="仿宋_GB2312"/>
          <w:sz w:val="32"/>
          <w:szCs w:val="32"/>
          <w:lang w:bidi="ar"/>
        </w:rPr>
        <w:t>12.</w:t>
      </w:r>
      <w:r>
        <w:rPr>
          <w:rFonts w:eastAsia="仿宋_GB2312"/>
          <w:sz w:val="32"/>
          <w:szCs w:val="32"/>
          <w:lang w:bidi="ar"/>
        </w:rPr>
        <w:t>数据要素</w:t>
      </w:r>
      <w:r>
        <w:rPr>
          <w:rFonts w:eastAsia="仿宋_GB2312"/>
          <w:sz w:val="32"/>
          <w:szCs w:val="32"/>
          <w:lang w:bidi="ar"/>
        </w:rPr>
        <w:t>×</w:t>
      </w:r>
      <w:r>
        <w:rPr>
          <w:rFonts w:eastAsia="仿宋_GB2312"/>
          <w:sz w:val="32"/>
          <w:szCs w:val="32"/>
          <w:lang w:bidi="ar"/>
        </w:rPr>
        <w:t>工业制造。围绕</w:t>
      </w:r>
      <w:r>
        <w:rPr>
          <w:rFonts w:eastAsia="仿宋_GB2312"/>
          <w:sz w:val="32"/>
          <w:szCs w:val="32"/>
          <w:lang w:bidi="ar"/>
        </w:rPr>
        <w:t>“2+4+X”</w:t>
      </w:r>
      <w:r>
        <w:rPr>
          <w:rFonts w:eastAsia="仿宋_GB2312"/>
          <w:sz w:val="32"/>
          <w:szCs w:val="32"/>
          <w:lang w:bidi="ar"/>
        </w:rPr>
        <w:t>产业体系和</w:t>
      </w:r>
      <w:r>
        <w:rPr>
          <w:rFonts w:eastAsia="仿宋_GB2312"/>
          <w:sz w:val="32"/>
          <w:szCs w:val="32"/>
          <w:lang w:bidi="ar"/>
        </w:rPr>
        <w:t>10</w:t>
      </w:r>
      <w:r>
        <w:rPr>
          <w:rFonts w:eastAsia="仿宋_GB2312"/>
          <w:sz w:val="32"/>
          <w:szCs w:val="32"/>
          <w:lang w:bidi="ar"/>
        </w:rPr>
        <w:t>条重点产业链，推进</w:t>
      </w:r>
      <w:r>
        <w:rPr>
          <w:rFonts w:eastAsia="仿宋_GB2312"/>
          <w:sz w:val="32"/>
          <w:szCs w:val="32"/>
          <w:lang w:bidi="ar"/>
        </w:rPr>
        <w:t>“</w:t>
      </w:r>
      <w:r>
        <w:rPr>
          <w:rFonts w:eastAsia="仿宋_GB2312"/>
          <w:sz w:val="32"/>
          <w:szCs w:val="32"/>
          <w:lang w:bidi="ar"/>
        </w:rPr>
        <w:t>十链万企</w:t>
      </w:r>
      <w:r>
        <w:rPr>
          <w:rFonts w:eastAsia="仿宋_GB2312"/>
          <w:sz w:val="32"/>
          <w:szCs w:val="32"/>
          <w:lang w:bidi="ar"/>
        </w:rPr>
        <w:t>”</w:t>
      </w:r>
      <w:r>
        <w:rPr>
          <w:rFonts w:eastAsia="仿宋_GB2312"/>
          <w:sz w:val="32"/>
          <w:szCs w:val="32"/>
          <w:lang w:bidi="ar"/>
        </w:rPr>
        <w:t>数字化改造，聚焦智能光伏、磁性材料、新能源汽车等重点行业培育</w:t>
      </w:r>
      <w:r>
        <w:rPr>
          <w:rFonts w:eastAsia="仿宋_GB2312"/>
          <w:sz w:val="32"/>
          <w:szCs w:val="32"/>
          <w:lang w:bidi="ar"/>
        </w:rPr>
        <w:t>“</w:t>
      </w:r>
      <w:r>
        <w:rPr>
          <w:rFonts w:eastAsia="仿宋_GB2312"/>
          <w:sz w:val="32"/>
          <w:szCs w:val="32"/>
          <w:lang w:bidi="ar"/>
        </w:rPr>
        <w:t>数字化车间</w:t>
      </w:r>
      <w:r>
        <w:rPr>
          <w:rFonts w:eastAsia="仿宋_GB2312"/>
          <w:sz w:val="32"/>
          <w:szCs w:val="32"/>
          <w:lang w:bidi="ar"/>
        </w:rPr>
        <w:t>”“</w:t>
      </w:r>
      <w:r>
        <w:rPr>
          <w:rFonts w:eastAsia="仿宋_GB2312"/>
          <w:sz w:val="32"/>
          <w:szCs w:val="32"/>
          <w:lang w:bidi="ar"/>
        </w:rPr>
        <w:t>未来工厂</w:t>
      </w:r>
      <w:r>
        <w:rPr>
          <w:rFonts w:eastAsia="仿宋_GB2312"/>
          <w:sz w:val="32"/>
          <w:szCs w:val="32"/>
          <w:lang w:bidi="ar"/>
        </w:rPr>
        <w:t>”</w:t>
      </w:r>
      <w:r>
        <w:rPr>
          <w:rFonts w:eastAsia="仿宋_GB2312"/>
          <w:sz w:val="32"/>
          <w:szCs w:val="32"/>
          <w:lang w:bidi="ar"/>
        </w:rPr>
        <w:t>省级试点企业。支持企业打通供应链上下游质量、库存、物流等数据，提升协同制造能力。支持企业整合设计、生产、运行等数据，提升预测性维护和增值服务等能力。</w:t>
      </w:r>
      <w:r>
        <w:rPr>
          <w:rFonts w:eastAsia="仿宋_GB2312"/>
          <w:sz w:val="32"/>
          <w:szCs w:val="32"/>
        </w:rPr>
        <w:t>创新研发模式，支持生物医药、新材料等领域企业汇聚融合科学文献、专利、实验室等数据，提高企业创新能力。</w:t>
      </w:r>
    </w:p>
    <w:p w14:paraId="4CC0BB19" w14:textId="77777777" w:rsidR="00000000" w:rsidRDefault="00000000">
      <w:pPr>
        <w:spacing w:line="560" w:lineRule="exact"/>
        <w:ind w:firstLineChars="200" w:firstLine="640"/>
        <w:rPr>
          <w:rFonts w:eastAsia="仿宋_GB2312"/>
          <w:sz w:val="32"/>
          <w:szCs w:val="32"/>
        </w:rPr>
      </w:pPr>
      <w:r>
        <w:rPr>
          <w:rFonts w:eastAsia="仿宋_GB2312"/>
          <w:sz w:val="32"/>
          <w:szCs w:val="32"/>
          <w:lang w:bidi="ar"/>
        </w:rPr>
        <w:t>13.</w:t>
      </w:r>
      <w:r>
        <w:rPr>
          <w:rFonts w:eastAsia="仿宋_GB2312"/>
          <w:sz w:val="32"/>
          <w:szCs w:val="32"/>
          <w:lang w:bidi="ar"/>
        </w:rPr>
        <w:t>数据要素</w:t>
      </w:r>
      <w:r>
        <w:rPr>
          <w:rFonts w:eastAsia="仿宋_GB2312"/>
          <w:sz w:val="32"/>
          <w:szCs w:val="32"/>
          <w:lang w:bidi="ar"/>
        </w:rPr>
        <w:t>×</w:t>
      </w:r>
      <w:r>
        <w:rPr>
          <w:rFonts w:eastAsia="仿宋_GB2312"/>
          <w:sz w:val="32"/>
          <w:szCs w:val="32"/>
          <w:lang w:bidi="ar"/>
        </w:rPr>
        <w:t>商贸流通。发挥东阳市、义乌市首批浙江省数字贸易示范区引领作用，加快数字技术与电商贸易深度融合。支持我市商贸企业整合消费行为、交通状况、人口特征等数据，推动直播电商、即时零售发展，打造数字生活消费新场景。</w:t>
      </w:r>
      <w:r>
        <w:rPr>
          <w:rFonts w:eastAsia="仿宋_GB2312"/>
          <w:sz w:val="32"/>
          <w:szCs w:val="32"/>
        </w:rPr>
        <w:t>鼓励电子商务企业、现代流通企业、数字贸易龙头企业融合交易、物流、支付数据，支撑提升供应链综合服务、跨境身份认证、全球供应链融资等能力。</w:t>
      </w:r>
    </w:p>
    <w:p w14:paraId="18D68800" w14:textId="77777777" w:rsidR="00000000" w:rsidRDefault="00000000">
      <w:pPr>
        <w:pStyle w:val="a5"/>
        <w:spacing w:after="0" w:line="560" w:lineRule="exact"/>
        <w:ind w:firstLineChars="200" w:firstLine="640"/>
        <w:rPr>
          <w:szCs w:val="32"/>
        </w:rPr>
      </w:pPr>
      <w:r>
        <w:rPr>
          <w:szCs w:val="32"/>
        </w:rPr>
        <w:t>14.</w:t>
      </w:r>
      <w:r>
        <w:rPr>
          <w:szCs w:val="32"/>
        </w:rPr>
        <w:t>数据要素</w:t>
      </w:r>
      <w:r>
        <w:rPr>
          <w:szCs w:val="32"/>
        </w:rPr>
        <w:t>×</w:t>
      </w:r>
      <w:r>
        <w:rPr>
          <w:szCs w:val="32"/>
        </w:rPr>
        <w:t>文化旅游。支持我市旅游经营主体共享气象、交通等数据，在合法合规前提下构建客群画像、城市画像等，通过迭代升级</w:t>
      </w:r>
      <w:r>
        <w:rPr>
          <w:szCs w:val="32"/>
        </w:rPr>
        <w:t>“</w:t>
      </w:r>
      <w:r>
        <w:rPr>
          <w:szCs w:val="32"/>
        </w:rPr>
        <w:t>金华市智慧文旅（广电）大脑</w:t>
      </w:r>
      <w:r>
        <w:rPr>
          <w:szCs w:val="32"/>
        </w:rPr>
        <w:t>”“e</w:t>
      </w:r>
      <w:r>
        <w:rPr>
          <w:szCs w:val="32"/>
        </w:rPr>
        <w:t>家书房</w:t>
      </w:r>
      <w:r>
        <w:rPr>
          <w:szCs w:val="32"/>
        </w:rPr>
        <w:t>”</w:t>
      </w:r>
      <w:r>
        <w:rPr>
          <w:szCs w:val="32"/>
        </w:rPr>
        <w:t>等为游客提供更加精准的个性化推荐和定制化服务。支持我市文化创意、展览等领域经营主体加强数据开发利用，协同推进武义县共富百花云、东阳市古建筑营造技艺在线等试点应用建设，培育具有金华特色的文化产品和品牌。依托横店影视文化产业大脑升级打造全域影视资源</w:t>
      </w:r>
      <w:r>
        <w:rPr>
          <w:szCs w:val="32"/>
        </w:rPr>
        <w:t>VR</w:t>
      </w:r>
      <w:r>
        <w:rPr>
          <w:szCs w:val="32"/>
        </w:rPr>
        <w:t>摄录库、横店剧本库、影视作品数据库等，提升文化数据资源汇聚和开发利用能力。</w:t>
      </w:r>
    </w:p>
    <w:p w14:paraId="792C1A46" w14:textId="77777777" w:rsidR="00000000" w:rsidRDefault="00000000">
      <w:pPr>
        <w:pStyle w:val="a5"/>
        <w:spacing w:after="0" w:line="560" w:lineRule="exact"/>
        <w:ind w:firstLineChars="200" w:firstLine="640"/>
        <w:rPr>
          <w:szCs w:val="32"/>
        </w:rPr>
      </w:pPr>
      <w:r>
        <w:rPr>
          <w:szCs w:val="32"/>
        </w:rPr>
        <w:t>15.</w:t>
      </w:r>
      <w:r>
        <w:rPr>
          <w:szCs w:val="32"/>
        </w:rPr>
        <w:t>数据要素</w:t>
      </w:r>
      <w:r>
        <w:rPr>
          <w:szCs w:val="32"/>
        </w:rPr>
        <w:t>×</w:t>
      </w:r>
      <w:r>
        <w:rPr>
          <w:szCs w:val="32"/>
        </w:rPr>
        <w:t>交通运输。加强对交通路况、交通事件、道路安全、车流及人流迁徙、外部环境等数据的采集和分析，加快智慧高速、智慧交管、智慧停车、自动驾驶等城市场景的落地。支持企业通过共享互认不同运输方式的数据，畅通公铁联运、海铁联运、公水联运等衔接，实现货运</w:t>
      </w:r>
      <w:r>
        <w:rPr>
          <w:szCs w:val="32"/>
        </w:rPr>
        <w:t>“</w:t>
      </w:r>
      <w:r>
        <w:rPr>
          <w:szCs w:val="32"/>
        </w:rPr>
        <w:t>一次委托</w:t>
      </w:r>
      <w:r>
        <w:rPr>
          <w:szCs w:val="32"/>
        </w:rPr>
        <w:t>”</w:t>
      </w:r>
      <w:r>
        <w:rPr>
          <w:szCs w:val="32"/>
        </w:rPr>
        <w:t>、运单</w:t>
      </w:r>
      <w:r>
        <w:rPr>
          <w:szCs w:val="32"/>
        </w:rPr>
        <w:t>“</w:t>
      </w:r>
      <w:r>
        <w:rPr>
          <w:szCs w:val="32"/>
        </w:rPr>
        <w:t>一单到底</w:t>
      </w:r>
      <w:r>
        <w:rPr>
          <w:szCs w:val="32"/>
        </w:rPr>
        <w:t>”</w:t>
      </w:r>
      <w:r>
        <w:rPr>
          <w:szCs w:val="32"/>
        </w:rPr>
        <w:t>、结算</w:t>
      </w:r>
      <w:r>
        <w:rPr>
          <w:szCs w:val="32"/>
        </w:rPr>
        <w:t>“</w:t>
      </w:r>
      <w:r>
        <w:rPr>
          <w:szCs w:val="32"/>
        </w:rPr>
        <w:t>一次收取</w:t>
      </w:r>
      <w:r>
        <w:rPr>
          <w:szCs w:val="32"/>
        </w:rPr>
        <w:t>”</w:t>
      </w:r>
      <w:r>
        <w:rPr>
          <w:szCs w:val="32"/>
        </w:rPr>
        <w:t>、保险</w:t>
      </w:r>
      <w:r>
        <w:rPr>
          <w:szCs w:val="32"/>
        </w:rPr>
        <w:t>“</w:t>
      </w:r>
      <w:r>
        <w:rPr>
          <w:szCs w:val="32"/>
        </w:rPr>
        <w:t>统一理赔</w:t>
      </w:r>
      <w:r>
        <w:rPr>
          <w:szCs w:val="32"/>
        </w:rPr>
        <w:t>”</w:t>
      </w:r>
      <w:r>
        <w:rPr>
          <w:szCs w:val="32"/>
        </w:rPr>
        <w:t>、货物</w:t>
      </w:r>
      <w:r>
        <w:rPr>
          <w:szCs w:val="32"/>
        </w:rPr>
        <w:t>“</w:t>
      </w:r>
      <w:r>
        <w:rPr>
          <w:szCs w:val="32"/>
        </w:rPr>
        <w:t>全程跟踪</w:t>
      </w:r>
      <w:r>
        <w:rPr>
          <w:szCs w:val="32"/>
        </w:rPr>
        <w:t>”</w:t>
      </w:r>
      <w:r>
        <w:rPr>
          <w:szCs w:val="32"/>
        </w:rPr>
        <w:t>等服务。发挥华东国际联运港、义乌港作用，支持金华龙头企业推进运输高质量数据集建设和复用，培育行业人工智能平台和人工智能工具，提升运输效率和服务质量。</w:t>
      </w:r>
    </w:p>
    <w:p w14:paraId="2BF8EB10" w14:textId="77777777" w:rsidR="00000000" w:rsidRDefault="00000000">
      <w:pPr>
        <w:pStyle w:val="a5"/>
        <w:spacing w:after="0" w:line="560" w:lineRule="exact"/>
        <w:ind w:firstLineChars="200" w:firstLine="640"/>
        <w:rPr>
          <w:szCs w:val="32"/>
        </w:rPr>
      </w:pPr>
      <w:r>
        <w:rPr>
          <w:szCs w:val="32"/>
        </w:rPr>
        <w:t>16.</w:t>
      </w:r>
      <w:r>
        <w:rPr>
          <w:szCs w:val="32"/>
        </w:rPr>
        <w:t>数据要素</w:t>
      </w:r>
      <w:r>
        <w:rPr>
          <w:szCs w:val="32"/>
        </w:rPr>
        <w:t>×</w:t>
      </w:r>
      <w:r>
        <w:rPr>
          <w:szCs w:val="32"/>
        </w:rPr>
        <w:t>医疗健康。推进电子病历数据共享，在医疗机构间推广检查检验结果数据标准统一和共享互认。建立完善全市居民电子健康档案，融合体检、就诊、疾控等数据，有效监测疾病分布、流行趋势等。支持医疗机构基于信用数据开展先诊疗后付费就医。支持公立医疗机构在合法合规前提下向金融、养老等经营主体共享数据，支撑商业保险产品、疗养休养等服务产品精准设计，拓展智慧医疗、智慧养老、智能健康管理等数据应用新模式新业态。</w:t>
      </w:r>
    </w:p>
    <w:p w14:paraId="075E9391" w14:textId="77777777" w:rsidR="00000000" w:rsidRDefault="00000000">
      <w:pPr>
        <w:pStyle w:val="a5"/>
        <w:spacing w:after="0" w:line="560" w:lineRule="exact"/>
        <w:ind w:firstLineChars="200" w:firstLine="640"/>
        <w:rPr>
          <w:szCs w:val="32"/>
        </w:rPr>
      </w:pPr>
      <w:r>
        <w:rPr>
          <w:szCs w:val="32"/>
        </w:rPr>
        <w:t>17.</w:t>
      </w:r>
      <w:r>
        <w:rPr>
          <w:szCs w:val="32"/>
        </w:rPr>
        <w:t>数据要素</w:t>
      </w:r>
      <w:r>
        <w:rPr>
          <w:szCs w:val="32"/>
        </w:rPr>
        <w:t>×</w:t>
      </w:r>
      <w:r>
        <w:rPr>
          <w:szCs w:val="32"/>
        </w:rPr>
        <w:t>金融服务。支持金融机构融合利用环保、工商、税务、医疗、社保等数据加强主体识别，围绕智慧监管、信用信息、普惠金融、绿色金融等领域探索开发金融产品和服务。支持人行金华市分行等依托跨境金融服务平台，基于外贸企业物流、信息流、资金流等数据，持续打造</w:t>
      </w:r>
      <w:r>
        <w:rPr>
          <w:szCs w:val="32"/>
        </w:rPr>
        <w:t>“</w:t>
      </w:r>
      <w:r>
        <w:rPr>
          <w:szCs w:val="32"/>
        </w:rPr>
        <w:t>中欧班列运费贷</w:t>
      </w:r>
      <w:r>
        <w:rPr>
          <w:szCs w:val="32"/>
        </w:rPr>
        <w:t>”</w:t>
      </w:r>
      <w:r>
        <w:rPr>
          <w:szCs w:val="32"/>
        </w:rPr>
        <w:t>等系列跨境金融应用场景，提升跨境金融服务水平。联合辖内商业保险公司探索打造保险数据人工智能中心，优化保险产品设计。</w:t>
      </w:r>
    </w:p>
    <w:p w14:paraId="524FD17B" w14:textId="77777777" w:rsidR="00000000" w:rsidRDefault="00000000">
      <w:pPr>
        <w:spacing w:line="560" w:lineRule="exact"/>
        <w:ind w:firstLineChars="200" w:firstLine="640"/>
        <w:rPr>
          <w:rFonts w:eastAsia="仿宋_GB2312"/>
          <w:sz w:val="32"/>
          <w:szCs w:val="32"/>
          <w:lang w:bidi="ar"/>
        </w:rPr>
      </w:pPr>
      <w:r>
        <w:rPr>
          <w:rFonts w:eastAsia="仿宋_GB2312"/>
          <w:sz w:val="32"/>
          <w:szCs w:val="32"/>
          <w:lang w:bidi="ar"/>
        </w:rPr>
        <w:t>18.</w:t>
      </w:r>
      <w:r>
        <w:rPr>
          <w:rFonts w:eastAsia="仿宋_GB2312"/>
          <w:sz w:val="32"/>
          <w:szCs w:val="32"/>
          <w:lang w:bidi="ar"/>
        </w:rPr>
        <w:t>数据要素</w:t>
      </w:r>
      <w:r>
        <w:rPr>
          <w:rFonts w:eastAsia="仿宋_GB2312"/>
          <w:sz w:val="32"/>
          <w:szCs w:val="32"/>
          <w:lang w:bidi="ar"/>
        </w:rPr>
        <w:t>×</w:t>
      </w:r>
      <w:r>
        <w:rPr>
          <w:rFonts w:eastAsia="仿宋_GB2312"/>
          <w:sz w:val="32"/>
          <w:szCs w:val="32"/>
          <w:lang w:bidi="ar"/>
        </w:rPr>
        <w:t>现代农业。支持我市农业生产经营主体和相关服务企业融合利用遥感、土壤、农事作业、病虫害、市场等数据，加快形成智慧种养、溯源管理、监测预警、精准营销的农业数智化生产销售模式。围绕金华两头乌、有机茶、兰溪杨梅、浦江葡萄等打造一批具有金华特色的未来农场和农业产业大脑应用场景。</w:t>
      </w:r>
    </w:p>
    <w:p w14:paraId="5B24312D" w14:textId="77777777" w:rsidR="00000000" w:rsidRDefault="00000000">
      <w:pPr>
        <w:pStyle w:val="a5"/>
        <w:spacing w:after="0" w:line="560" w:lineRule="exact"/>
        <w:ind w:firstLineChars="200" w:firstLine="640"/>
        <w:rPr>
          <w:szCs w:val="32"/>
        </w:rPr>
      </w:pPr>
      <w:r>
        <w:rPr>
          <w:szCs w:val="32"/>
        </w:rPr>
        <w:t>19.</w:t>
      </w:r>
      <w:r>
        <w:rPr>
          <w:szCs w:val="32"/>
        </w:rPr>
        <w:t>数据要素</w:t>
      </w:r>
      <w:r>
        <w:rPr>
          <w:szCs w:val="32"/>
        </w:rPr>
        <w:t>×</w:t>
      </w:r>
      <w:r>
        <w:rPr>
          <w:szCs w:val="32"/>
        </w:rPr>
        <w:t>应急管理。打造金华市高危产业监管平台，探索利用电力、通信、遥感等数据，实现对高危行业企业违规生产、私挖盗采、明停暗开行为的精准监管。打造</w:t>
      </w:r>
      <w:r>
        <w:rPr>
          <w:szCs w:val="32"/>
        </w:rPr>
        <w:t>“</w:t>
      </w:r>
      <w:r>
        <w:rPr>
          <w:szCs w:val="32"/>
        </w:rPr>
        <w:t>金华基层消防大管家</w:t>
      </w:r>
      <w:r>
        <w:rPr>
          <w:szCs w:val="32"/>
        </w:rPr>
        <w:t>”</w:t>
      </w:r>
      <w:r>
        <w:rPr>
          <w:szCs w:val="32"/>
        </w:rPr>
        <w:t>平台，利用消防隐患排查、消防警情、消防设施等数据，实现对各区域、重点企业单位的精准消防管控。鼓励商业保险公司围绕工矿、危险化学品、建筑等高危行业，加强安全生产责任保险的风险评估，提高风险评估的精准性和科学性。迭代升级智能化风险监测平台，利用铁塔、电力、气象等公共数据，研发火灾、台风、洪涝、冰冻雨雪等自然灾害灾情监测评估模型，强化灾害风险精准预警研判能力。</w:t>
      </w:r>
    </w:p>
    <w:p w14:paraId="167F6EDB" w14:textId="77777777" w:rsidR="00000000" w:rsidRDefault="00000000">
      <w:pPr>
        <w:spacing w:line="560" w:lineRule="exact"/>
        <w:ind w:firstLineChars="200" w:firstLine="640"/>
        <w:outlineLvl w:val="1"/>
        <w:rPr>
          <w:rFonts w:eastAsia="楷体_GB2312"/>
          <w:sz w:val="32"/>
          <w:szCs w:val="32"/>
        </w:rPr>
      </w:pPr>
      <w:r>
        <w:rPr>
          <w:rFonts w:eastAsia="楷体_GB2312"/>
          <w:sz w:val="32"/>
          <w:szCs w:val="32"/>
        </w:rPr>
        <w:t>（五）培育数据要素产业生态</w:t>
      </w:r>
    </w:p>
    <w:p w14:paraId="31CC836D" w14:textId="77777777" w:rsidR="00000000" w:rsidRDefault="00000000">
      <w:pPr>
        <w:spacing w:line="560" w:lineRule="exact"/>
        <w:ind w:firstLineChars="200" w:firstLine="640"/>
        <w:rPr>
          <w:rFonts w:eastAsia="仿宋_GB2312"/>
          <w:sz w:val="32"/>
          <w:szCs w:val="32"/>
          <w:lang w:bidi="ar"/>
        </w:rPr>
      </w:pPr>
      <w:r>
        <w:rPr>
          <w:rFonts w:eastAsia="仿宋_GB2312"/>
          <w:sz w:val="32"/>
          <w:szCs w:val="32"/>
          <w:lang w:bidi="ar"/>
        </w:rPr>
        <w:t>20.</w:t>
      </w:r>
      <w:r>
        <w:rPr>
          <w:rFonts w:eastAsia="仿宋_GB2312"/>
          <w:sz w:val="32"/>
          <w:szCs w:val="32"/>
          <w:lang w:bidi="ar"/>
        </w:rPr>
        <w:t>构建</w:t>
      </w:r>
      <w:r>
        <w:rPr>
          <w:rFonts w:eastAsia="仿宋_GB2312"/>
          <w:sz w:val="32"/>
          <w:szCs w:val="32"/>
          <w:lang w:bidi="ar"/>
        </w:rPr>
        <w:t>“1+N”</w:t>
      </w:r>
      <w:r>
        <w:rPr>
          <w:rFonts w:eastAsia="仿宋_GB2312"/>
          <w:sz w:val="32"/>
          <w:szCs w:val="32"/>
          <w:lang w:bidi="ar"/>
        </w:rPr>
        <w:t>数据产业空间布局。</w:t>
      </w:r>
      <w:r>
        <w:rPr>
          <w:rFonts w:eastAsia="仿宋_GB2312"/>
          <w:sz w:val="32"/>
          <w:szCs w:val="32"/>
        </w:rPr>
        <w:t>建设以金义主轴为核心引领，义乌商贸服务业集聚区、横店影视文化产业集聚区、金兰永武产业带等各区域联动的数据产业发展格局。支持</w:t>
      </w:r>
      <w:r>
        <w:rPr>
          <w:rFonts w:eastAsia="仿宋_GB2312"/>
          <w:sz w:val="32"/>
          <w:szCs w:val="32"/>
          <w:lang w:bidi="ar"/>
        </w:rPr>
        <w:t>金华开发区</w:t>
      </w:r>
      <w:r>
        <w:rPr>
          <w:rFonts w:eastAsia="仿宋_GB2312"/>
          <w:sz w:val="32"/>
          <w:szCs w:val="32"/>
        </w:rPr>
        <w:t>建设浙中人工智能产业园，探索建设国家级数据标注基地，推动智能制造、智能网联汽车等垂直行业</w:t>
      </w:r>
      <w:r>
        <w:rPr>
          <w:rFonts w:eastAsia="仿宋_GB2312"/>
          <w:sz w:val="32"/>
          <w:szCs w:val="32"/>
        </w:rPr>
        <w:t>AI</w:t>
      </w:r>
      <w:r>
        <w:rPr>
          <w:rFonts w:eastAsia="仿宋_GB2312"/>
          <w:sz w:val="32"/>
          <w:szCs w:val="32"/>
        </w:rPr>
        <w:t>模型应用，创建人工智能创新应用先导区。支持义乌建设全球数字贸易中心，打造新型国际互联网数据专用通道，布局数字供应链、数字人直播等前沿领域，探索未来数字商品市场新模式。支持横店打造具有国际影响力的数字文化产业集群，争取设立国家文化大数据影视分中心，加快数字内容产业链破圈，全方位推动数字文旅产品和服务创新。支持金义新区（金东区）、兰溪市、永康市、浦江县、磐安县等地因地制宜打造一批数据要素</w:t>
      </w:r>
      <w:r>
        <w:rPr>
          <w:rFonts w:eastAsia="仿宋_GB2312"/>
          <w:sz w:val="32"/>
          <w:szCs w:val="32"/>
        </w:rPr>
        <w:t>“</w:t>
      </w:r>
      <w:r>
        <w:rPr>
          <w:rFonts w:eastAsia="仿宋_GB2312"/>
          <w:sz w:val="32"/>
          <w:szCs w:val="32"/>
        </w:rPr>
        <w:t>园中园</w:t>
      </w:r>
      <w:r>
        <w:rPr>
          <w:rFonts w:eastAsia="仿宋_GB2312"/>
          <w:sz w:val="32"/>
          <w:szCs w:val="32"/>
        </w:rPr>
        <w:t>”</w:t>
      </w:r>
      <w:r>
        <w:rPr>
          <w:rFonts w:eastAsia="仿宋_GB2312"/>
          <w:sz w:val="32"/>
          <w:szCs w:val="32"/>
        </w:rPr>
        <w:t>和产业基地。</w:t>
      </w:r>
    </w:p>
    <w:p w14:paraId="0DDACB76" w14:textId="77777777" w:rsidR="00000000" w:rsidRDefault="00000000">
      <w:pPr>
        <w:spacing w:line="560" w:lineRule="exact"/>
        <w:ind w:firstLineChars="200" w:firstLine="640"/>
        <w:rPr>
          <w:rFonts w:eastAsia="仿宋_GB2312"/>
          <w:sz w:val="32"/>
          <w:szCs w:val="32"/>
          <w:lang w:bidi="ar"/>
        </w:rPr>
      </w:pPr>
      <w:r>
        <w:rPr>
          <w:rFonts w:eastAsia="仿宋_GB2312"/>
          <w:sz w:val="32"/>
          <w:szCs w:val="32"/>
          <w:lang w:bidi="ar"/>
        </w:rPr>
        <w:t>21.</w:t>
      </w:r>
      <w:r>
        <w:rPr>
          <w:rFonts w:eastAsia="仿宋_GB2312"/>
          <w:sz w:val="32"/>
          <w:szCs w:val="32"/>
          <w:lang w:bidi="ar"/>
        </w:rPr>
        <w:t>推进数商高质量发展。壮大金华市数据资源协会，</w:t>
      </w:r>
      <w:r>
        <w:rPr>
          <w:rFonts w:eastAsia="仿宋_GB2312"/>
          <w:sz w:val="32"/>
          <w:szCs w:val="32"/>
        </w:rPr>
        <w:t>建立数商评定体系，制定数商招引培育工作计划，分类制定奖励扶持政策，</w:t>
      </w:r>
      <w:r>
        <w:rPr>
          <w:rFonts w:eastAsia="仿宋_GB2312"/>
          <w:sz w:val="32"/>
          <w:szCs w:val="32"/>
          <w:lang w:bidi="ar"/>
        </w:rPr>
        <w:t>培育一批服务型、应用型、技术型数据要素型企业</w:t>
      </w:r>
      <w:r>
        <w:rPr>
          <w:rFonts w:eastAsia="仿宋_GB2312"/>
          <w:sz w:val="32"/>
          <w:szCs w:val="32"/>
        </w:rPr>
        <w:t>。</w:t>
      </w:r>
      <w:r>
        <w:rPr>
          <w:rFonts w:eastAsia="仿宋_GB2312"/>
          <w:sz w:val="32"/>
          <w:szCs w:val="32"/>
          <w:lang w:bidi="ar"/>
        </w:rPr>
        <w:t>推动有条件的国有企业、互联网平台企业等将数据业务剥离，重组成立数商企业。大力发展数据集成、数据经纪、合规认证、安全审计、数据公证、数据保险、数据托管、资产评估、争议仲裁、风险评估、人才培训等第三方专业服务机构。遴选和宣传推广一批优秀数据要素型示范企业和创新案例，</w:t>
      </w:r>
      <w:r>
        <w:rPr>
          <w:rFonts w:eastAsia="仿宋_GB2312"/>
          <w:sz w:val="32"/>
          <w:szCs w:val="32"/>
        </w:rPr>
        <w:t>每年定期发布金华数商名录并给予荣誉认定</w:t>
      </w:r>
      <w:r>
        <w:rPr>
          <w:rFonts w:eastAsia="仿宋_GB2312"/>
          <w:sz w:val="32"/>
          <w:szCs w:val="32"/>
          <w:lang w:bidi="ar"/>
        </w:rPr>
        <w:t>。</w:t>
      </w:r>
    </w:p>
    <w:p w14:paraId="1DBC1FB2" w14:textId="77777777" w:rsidR="00000000" w:rsidRDefault="00000000">
      <w:pPr>
        <w:pStyle w:val="a5"/>
        <w:spacing w:after="0" w:line="560" w:lineRule="exact"/>
        <w:ind w:firstLineChars="200" w:firstLine="640"/>
        <w:rPr>
          <w:szCs w:val="32"/>
        </w:rPr>
      </w:pPr>
      <w:r>
        <w:rPr>
          <w:szCs w:val="32"/>
        </w:rPr>
        <w:t>22.</w:t>
      </w:r>
      <w:r>
        <w:rPr>
          <w:szCs w:val="32"/>
        </w:rPr>
        <w:t>加快培育数据要素人才队伍。实施数据要素素养提升行动，打造数据领域</w:t>
      </w:r>
      <w:r>
        <w:rPr>
          <w:szCs w:val="32"/>
        </w:rPr>
        <w:t>“</w:t>
      </w:r>
      <w:r>
        <w:rPr>
          <w:szCs w:val="32"/>
        </w:rPr>
        <w:t>三支队伍</w:t>
      </w:r>
      <w:r>
        <w:rPr>
          <w:szCs w:val="32"/>
        </w:rPr>
        <w:t>”</w:t>
      </w:r>
      <w:r>
        <w:rPr>
          <w:szCs w:val="32"/>
        </w:rPr>
        <w:t>。鼓励浙江师范大学等高等院校与龙头企业以数据产业需求为导向建立联合培养机制，</w:t>
      </w:r>
      <w:r>
        <w:rPr>
          <w:szCs w:val="32"/>
        </w:rPr>
        <w:t>“</w:t>
      </w:r>
      <w:r>
        <w:rPr>
          <w:szCs w:val="32"/>
        </w:rPr>
        <w:t>订单式</w:t>
      </w:r>
      <w:r>
        <w:rPr>
          <w:szCs w:val="32"/>
        </w:rPr>
        <w:t>”</w:t>
      </w:r>
      <w:r>
        <w:rPr>
          <w:szCs w:val="32"/>
        </w:rPr>
        <w:t>培养一批留得住、用得上的应用型产业领军人才。依托在金高校和科研院所，设立一批实践教学基地，联合中国电子技术标准化研究院等打造数据要素人才培训和集聚高地。鼓励支持企业设立首席数据官。联合行业组织、企业和高校院所等单位在金高校举办数据开发利用训练营，分层次、分类别开展培训，打造专业人才队伍。</w:t>
      </w:r>
    </w:p>
    <w:p w14:paraId="5518C17C" w14:textId="77777777" w:rsidR="00000000" w:rsidRDefault="00000000">
      <w:pPr>
        <w:spacing w:line="560" w:lineRule="exact"/>
        <w:ind w:firstLineChars="200" w:firstLine="640"/>
        <w:outlineLvl w:val="0"/>
        <w:rPr>
          <w:rFonts w:eastAsia="黑体"/>
          <w:sz w:val="32"/>
          <w:szCs w:val="32"/>
          <w:lang w:bidi="ar"/>
        </w:rPr>
      </w:pPr>
      <w:r>
        <w:rPr>
          <w:rFonts w:eastAsia="黑体"/>
          <w:sz w:val="32"/>
          <w:szCs w:val="32"/>
          <w:lang w:bidi="ar"/>
        </w:rPr>
        <w:t>四、保障措施</w:t>
      </w:r>
    </w:p>
    <w:p w14:paraId="31C39960" w14:textId="77777777" w:rsidR="00000000" w:rsidRDefault="00000000">
      <w:pPr>
        <w:spacing w:line="560" w:lineRule="exact"/>
        <w:ind w:firstLineChars="200" w:firstLine="640"/>
        <w:rPr>
          <w:rFonts w:eastAsia="仿宋_GB2312"/>
          <w:sz w:val="32"/>
          <w:szCs w:val="32"/>
          <w:lang w:bidi="ar"/>
        </w:rPr>
      </w:pPr>
      <w:r>
        <w:rPr>
          <w:rFonts w:eastAsia="楷体_GB2312" w:hint="eastAsia"/>
          <w:sz w:val="32"/>
          <w:szCs w:val="32"/>
        </w:rPr>
        <w:t>（一）</w:t>
      </w:r>
      <w:r>
        <w:rPr>
          <w:rFonts w:eastAsia="楷体_GB2312"/>
          <w:sz w:val="32"/>
          <w:szCs w:val="32"/>
        </w:rPr>
        <w:t>加强组织领导。</w:t>
      </w:r>
      <w:r>
        <w:rPr>
          <w:rFonts w:eastAsia="仿宋_GB2312"/>
          <w:sz w:val="32"/>
          <w:szCs w:val="32"/>
          <w:lang w:bidi="ar"/>
        </w:rPr>
        <w:t>充分发挥市城市大脑与数据要素工作领导小组统筹协调职能，优化完善工作机制，成立工作专班。按季度召开工作例会，综合研究重大问题、重大政策，协调推进重大项目、重要事项。由市级牵头部门分别制定攻坚任务细化方案，明确目标、任务和举措，实施挂图作战、建立健全常态化推进机制，推动任务落地落细。</w:t>
      </w:r>
    </w:p>
    <w:p w14:paraId="37DFBDDC" w14:textId="77777777" w:rsidR="00000000" w:rsidRDefault="00000000">
      <w:pPr>
        <w:spacing w:line="560" w:lineRule="exact"/>
        <w:ind w:firstLineChars="200" w:firstLine="640"/>
        <w:rPr>
          <w:rFonts w:eastAsia="仿宋_GB2312"/>
          <w:sz w:val="32"/>
          <w:szCs w:val="32"/>
          <w:lang w:bidi="ar"/>
        </w:rPr>
      </w:pPr>
      <w:r>
        <w:rPr>
          <w:rFonts w:eastAsia="楷体_GB2312" w:hint="eastAsia"/>
          <w:sz w:val="32"/>
          <w:szCs w:val="32"/>
        </w:rPr>
        <w:t>（二）</w:t>
      </w:r>
      <w:r>
        <w:rPr>
          <w:rFonts w:eastAsia="楷体_GB2312"/>
          <w:sz w:val="32"/>
          <w:szCs w:val="32"/>
        </w:rPr>
        <w:t>完善政策体系。</w:t>
      </w:r>
      <w:r>
        <w:rPr>
          <w:rFonts w:eastAsia="仿宋_GB2312"/>
          <w:sz w:val="32"/>
          <w:szCs w:val="32"/>
          <w:lang w:bidi="ar"/>
        </w:rPr>
        <w:t>加强新政策及时研判分析，根据数据要素发展实际，扩大政策覆盖范围，优化调整重点支持领域和方向，落实国家、省数据要素市场化各项政策，全面保障数据要素市场化改革。建立健全容错免责机制，鼓励各部门和县（市、区）勇于创新、敢闯敢试，推动数据要素市场化改革走深走实。</w:t>
      </w:r>
    </w:p>
    <w:p w14:paraId="1D836D6D" w14:textId="77777777" w:rsidR="00000000" w:rsidRDefault="00000000">
      <w:pPr>
        <w:spacing w:line="560" w:lineRule="exact"/>
        <w:ind w:firstLineChars="200" w:firstLine="640"/>
        <w:rPr>
          <w:rFonts w:eastAsia="仿宋_GB2312"/>
          <w:sz w:val="32"/>
          <w:szCs w:val="32"/>
          <w:lang w:bidi="ar"/>
        </w:rPr>
      </w:pPr>
      <w:r>
        <w:rPr>
          <w:rFonts w:eastAsia="楷体_GB2312" w:hint="eastAsia"/>
          <w:sz w:val="32"/>
          <w:szCs w:val="32"/>
        </w:rPr>
        <w:t>（三）</w:t>
      </w:r>
      <w:r>
        <w:rPr>
          <w:rFonts w:eastAsia="楷体_GB2312"/>
          <w:sz w:val="32"/>
          <w:szCs w:val="32"/>
        </w:rPr>
        <w:t>健全考核体系。</w:t>
      </w:r>
      <w:r>
        <w:rPr>
          <w:rFonts w:eastAsia="仿宋_GB2312"/>
          <w:sz w:val="32"/>
          <w:szCs w:val="32"/>
          <w:lang w:bidi="ar"/>
        </w:rPr>
        <w:t>研究制定分级分类考核指标体系，将数据要素市场化改革情况纳入政府目标责任制考核和对县（市、区）党政主要领导目标责任制考核。适时开展考核晾晒和全市数据要素市场化改革专项督查，压实各部门和县（市、区）责任。组织开展推进数据要素市场化改革工作先进集体和个人的表彰，充分调动各地发展数据要素的主动性、创造性。</w:t>
      </w:r>
    </w:p>
    <w:p w14:paraId="5609B388" w14:textId="77777777" w:rsidR="00DA6076" w:rsidRDefault="00000000">
      <w:pPr>
        <w:spacing w:line="560" w:lineRule="exact"/>
        <w:ind w:firstLineChars="200" w:firstLine="640"/>
        <w:rPr>
          <w:sz w:val="32"/>
          <w:szCs w:val="32"/>
        </w:rPr>
      </w:pPr>
      <w:r>
        <w:rPr>
          <w:rFonts w:eastAsia="楷体_GB2312" w:hint="eastAsia"/>
          <w:sz w:val="32"/>
          <w:szCs w:val="32"/>
        </w:rPr>
        <w:t>（四）</w:t>
      </w:r>
      <w:r>
        <w:rPr>
          <w:rFonts w:eastAsia="楷体_GB2312"/>
          <w:sz w:val="32"/>
          <w:szCs w:val="32"/>
        </w:rPr>
        <w:t>加强资金支持。</w:t>
      </w:r>
      <w:r>
        <w:rPr>
          <w:rFonts w:eastAsia="仿宋_GB2312"/>
          <w:sz w:val="32"/>
          <w:szCs w:val="32"/>
          <w:lang w:bidi="ar"/>
        </w:rPr>
        <w:t>支持利用政府专项债、政策性贷款、政府补贴等方式推进数据要素市场化配置改革工作，加大在数据治理、平台建设、场景创新、安全保护等方面的财政资金支持力度。探索推动运营服务模式创新，发起设立数据产业基金，积极拓宽社会资金、产业基金等融资渠道，促进数据要素市场发展壮大</w:t>
      </w:r>
      <w:r>
        <w:rPr>
          <w:rFonts w:eastAsia="仿宋_GB2312" w:hint="eastAsia"/>
          <w:sz w:val="32"/>
          <w:szCs w:val="32"/>
          <w:lang w:bidi="ar"/>
        </w:rPr>
        <w:t>。</w:t>
      </w:r>
    </w:p>
    <w:sectPr w:rsidR="00DA6076">
      <w:headerReference w:type="default" r:id="rId6"/>
      <w:footerReference w:type="default" r:id="rId7"/>
      <w:pgSz w:w="11906" w:h="16838"/>
      <w:pgMar w:top="2098" w:right="1474" w:bottom="1984" w:left="1587"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F799E" w14:textId="77777777" w:rsidR="00DA6076" w:rsidRDefault="00DA6076">
      <w:r>
        <w:separator/>
      </w:r>
    </w:p>
  </w:endnote>
  <w:endnote w:type="continuationSeparator" w:id="0">
    <w:p w14:paraId="5F662D66" w14:textId="77777777" w:rsidR="00DA6076" w:rsidRDefault="00DA6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0DCED" w14:textId="20FB143B" w:rsidR="00000000" w:rsidRDefault="001540C1">
    <w:pPr>
      <w:pStyle w:val="a8"/>
    </w:pPr>
    <w:r>
      <w:rPr>
        <w:noProof/>
      </w:rPr>
      <mc:AlternateContent>
        <mc:Choice Requires="wps">
          <w:drawing>
            <wp:anchor distT="0" distB="0" distL="114300" distR="114300" simplePos="0" relativeHeight="251657728" behindDoc="0" locked="0" layoutInCell="1" allowOverlap="1" wp14:anchorId="2B51AADD" wp14:editId="492B6629">
              <wp:simplePos x="0" y="0"/>
              <wp:positionH relativeFrom="margin">
                <wp:align>center</wp:align>
              </wp:positionH>
              <wp:positionV relativeFrom="paragraph">
                <wp:posOffset>0</wp:posOffset>
              </wp:positionV>
              <wp:extent cx="89535" cy="204470"/>
              <wp:effectExtent l="0" t="0" r="0" b="0"/>
              <wp:wrapNone/>
              <wp:docPr id="781999185"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2044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714B63A" w14:textId="77777777" w:rsidR="00000000" w:rsidRDefault="00000000">
                          <w:pPr>
                            <w:pStyle w:val="a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B51AADD" id="_x0000_t202" coordsize="21600,21600" o:spt="202" path="m,l,21600r21600,l21600,xe">
              <v:stroke joinstyle="miter"/>
              <v:path gradientshapeok="t" o:connecttype="rect"/>
            </v:shapetype>
            <v:shape id="文本框 1" o:spid="_x0000_s1026" type="#_x0000_t202" style="position:absolute;margin-left:0;margin-top:0;width:7.05pt;height:16.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" filled="f" stroked="f" strokeweight="1.25pt">
              <v:textbox style="mso-fit-shape-to-text:t" inset="0,0,0,0">
                <w:txbxContent>
                  <w:p w14:paraId="7714B63A" w14:textId="77777777" w:rsidR="00000000" w:rsidRDefault="00000000">
                    <w:pPr>
                      <w:pStyle w:val="a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95C936" w14:textId="77777777" w:rsidR="00DA6076" w:rsidRDefault="00DA6076">
      <w:r>
        <w:separator/>
      </w:r>
    </w:p>
  </w:footnote>
  <w:footnote w:type="continuationSeparator" w:id="0">
    <w:p w14:paraId="3D7975E8" w14:textId="77777777" w:rsidR="00DA6076" w:rsidRDefault="00DA60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B708A" w14:textId="77777777" w:rsidR="00000000" w:rsidRDefault="00000000">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VerticalSpacing w:val="158"/>
  <w:noPunctuationKerning/>
  <w:characterSpacingControl w:val="compressPunctuation"/>
  <w:savePreviewPicture/>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AwYTU4ZjBjOTY4YTI4ZjhjNGQ4MjA2ZWVlMzY0OTkifQ=="/>
    <w:docVar w:name="KSO_WPS_MARK_KEY" w:val="ae12d0d4-083a-43c1-ba83-baba796bbf11"/>
  </w:docVars>
  <w:rsids>
    <w:rsidRoot w:val="00172A27"/>
    <w:rsid w:val="0002599E"/>
    <w:rsid w:val="00030240"/>
    <w:rsid w:val="000350E3"/>
    <w:rsid w:val="000433A2"/>
    <w:rsid w:val="00044429"/>
    <w:rsid w:val="00055021"/>
    <w:rsid w:val="00066F39"/>
    <w:rsid w:val="000902E9"/>
    <w:rsid w:val="000B429F"/>
    <w:rsid w:val="000C64AF"/>
    <w:rsid w:val="001148CB"/>
    <w:rsid w:val="00125081"/>
    <w:rsid w:val="0013629F"/>
    <w:rsid w:val="001540C1"/>
    <w:rsid w:val="00172A27"/>
    <w:rsid w:val="001857CB"/>
    <w:rsid w:val="001878E3"/>
    <w:rsid w:val="00196875"/>
    <w:rsid w:val="001A0EB5"/>
    <w:rsid w:val="001A68EB"/>
    <w:rsid w:val="001C2FF2"/>
    <w:rsid w:val="001F20F4"/>
    <w:rsid w:val="002052DB"/>
    <w:rsid w:val="002058EC"/>
    <w:rsid w:val="0020664F"/>
    <w:rsid w:val="00210FCF"/>
    <w:rsid w:val="002309A1"/>
    <w:rsid w:val="00245422"/>
    <w:rsid w:val="00256AB6"/>
    <w:rsid w:val="00266F49"/>
    <w:rsid w:val="002C2031"/>
    <w:rsid w:val="002C70D2"/>
    <w:rsid w:val="002D0CA8"/>
    <w:rsid w:val="002E0EED"/>
    <w:rsid w:val="0031311C"/>
    <w:rsid w:val="003149DA"/>
    <w:rsid w:val="00333C14"/>
    <w:rsid w:val="00336809"/>
    <w:rsid w:val="0036447D"/>
    <w:rsid w:val="0038181A"/>
    <w:rsid w:val="00382DEE"/>
    <w:rsid w:val="00385DFD"/>
    <w:rsid w:val="003B7734"/>
    <w:rsid w:val="003C011F"/>
    <w:rsid w:val="003C27B1"/>
    <w:rsid w:val="003C5293"/>
    <w:rsid w:val="003E7680"/>
    <w:rsid w:val="00427250"/>
    <w:rsid w:val="00462F78"/>
    <w:rsid w:val="00471529"/>
    <w:rsid w:val="00472327"/>
    <w:rsid w:val="00475C69"/>
    <w:rsid w:val="00496F0F"/>
    <w:rsid w:val="004A475B"/>
    <w:rsid w:val="004B3F53"/>
    <w:rsid w:val="004B4CBC"/>
    <w:rsid w:val="004B5485"/>
    <w:rsid w:val="004D0C7E"/>
    <w:rsid w:val="004E287D"/>
    <w:rsid w:val="005028F1"/>
    <w:rsid w:val="0052153A"/>
    <w:rsid w:val="0053197B"/>
    <w:rsid w:val="00532A6C"/>
    <w:rsid w:val="00533F49"/>
    <w:rsid w:val="00540319"/>
    <w:rsid w:val="0054724D"/>
    <w:rsid w:val="00550217"/>
    <w:rsid w:val="00553BF6"/>
    <w:rsid w:val="00566724"/>
    <w:rsid w:val="00570D15"/>
    <w:rsid w:val="0057722A"/>
    <w:rsid w:val="00577DD6"/>
    <w:rsid w:val="00594503"/>
    <w:rsid w:val="005A12CC"/>
    <w:rsid w:val="005B6D1C"/>
    <w:rsid w:val="005E28FE"/>
    <w:rsid w:val="005F0DC9"/>
    <w:rsid w:val="0064089A"/>
    <w:rsid w:val="00661B42"/>
    <w:rsid w:val="00672A91"/>
    <w:rsid w:val="00683A6B"/>
    <w:rsid w:val="00685ECE"/>
    <w:rsid w:val="00697718"/>
    <w:rsid w:val="006C2653"/>
    <w:rsid w:val="006F3769"/>
    <w:rsid w:val="00711A12"/>
    <w:rsid w:val="00714B80"/>
    <w:rsid w:val="007331F0"/>
    <w:rsid w:val="007349E2"/>
    <w:rsid w:val="0073500B"/>
    <w:rsid w:val="007710A5"/>
    <w:rsid w:val="007912F9"/>
    <w:rsid w:val="0079349D"/>
    <w:rsid w:val="007A6513"/>
    <w:rsid w:val="007A6F9B"/>
    <w:rsid w:val="007B3E46"/>
    <w:rsid w:val="007B4B9D"/>
    <w:rsid w:val="007C31BE"/>
    <w:rsid w:val="00800961"/>
    <w:rsid w:val="00811B19"/>
    <w:rsid w:val="008348A9"/>
    <w:rsid w:val="00837B32"/>
    <w:rsid w:val="0085092D"/>
    <w:rsid w:val="008755F6"/>
    <w:rsid w:val="00892E8D"/>
    <w:rsid w:val="00896496"/>
    <w:rsid w:val="008A682A"/>
    <w:rsid w:val="008C7C41"/>
    <w:rsid w:val="008D3458"/>
    <w:rsid w:val="008F60DB"/>
    <w:rsid w:val="00917488"/>
    <w:rsid w:val="00936CA9"/>
    <w:rsid w:val="00965B7E"/>
    <w:rsid w:val="00984F7E"/>
    <w:rsid w:val="009D268B"/>
    <w:rsid w:val="009E6D21"/>
    <w:rsid w:val="00A30ADF"/>
    <w:rsid w:val="00A31D46"/>
    <w:rsid w:val="00A5686D"/>
    <w:rsid w:val="00A818D7"/>
    <w:rsid w:val="00AD7B1F"/>
    <w:rsid w:val="00B035AF"/>
    <w:rsid w:val="00B078F8"/>
    <w:rsid w:val="00B249B6"/>
    <w:rsid w:val="00B43AD7"/>
    <w:rsid w:val="00B4782D"/>
    <w:rsid w:val="00B520A6"/>
    <w:rsid w:val="00B90204"/>
    <w:rsid w:val="00BD0EBE"/>
    <w:rsid w:val="00BD2843"/>
    <w:rsid w:val="00BE63F4"/>
    <w:rsid w:val="00BF0AB2"/>
    <w:rsid w:val="00BF63AD"/>
    <w:rsid w:val="00C03426"/>
    <w:rsid w:val="00C14443"/>
    <w:rsid w:val="00C16850"/>
    <w:rsid w:val="00C43169"/>
    <w:rsid w:val="00C43EA4"/>
    <w:rsid w:val="00C839D9"/>
    <w:rsid w:val="00C93A5F"/>
    <w:rsid w:val="00CA3515"/>
    <w:rsid w:val="00CB4E1D"/>
    <w:rsid w:val="00CB6DBF"/>
    <w:rsid w:val="00CE4EAD"/>
    <w:rsid w:val="00D17F4D"/>
    <w:rsid w:val="00D427A1"/>
    <w:rsid w:val="00D84ABC"/>
    <w:rsid w:val="00D85E04"/>
    <w:rsid w:val="00D91170"/>
    <w:rsid w:val="00DA6076"/>
    <w:rsid w:val="00DB2162"/>
    <w:rsid w:val="00DC73FE"/>
    <w:rsid w:val="00DE21E1"/>
    <w:rsid w:val="00DF48C3"/>
    <w:rsid w:val="00E319F9"/>
    <w:rsid w:val="00E51EC8"/>
    <w:rsid w:val="00E67435"/>
    <w:rsid w:val="00E824D4"/>
    <w:rsid w:val="00E863DD"/>
    <w:rsid w:val="00E93087"/>
    <w:rsid w:val="00EA24E4"/>
    <w:rsid w:val="00EF4881"/>
    <w:rsid w:val="00EF7BF9"/>
    <w:rsid w:val="00F04534"/>
    <w:rsid w:val="00F13993"/>
    <w:rsid w:val="00F46D15"/>
    <w:rsid w:val="00F57015"/>
    <w:rsid w:val="00F57CE3"/>
    <w:rsid w:val="00F7538A"/>
    <w:rsid w:val="00F835E8"/>
    <w:rsid w:val="00FB30A6"/>
    <w:rsid w:val="00FB56F4"/>
    <w:rsid w:val="00FC5C8C"/>
    <w:rsid w:val="00FC7ACA"/>
    <w:rsid w:val="00FD07E4"/>
    <w:rsid w:val="00FE3AC0"/>
    <w:rsid w:val="00FF68CC"/>
    <w:rsid w:val="01153324"/>
    <w:rsid w:val="018A1C98"/>
    <w:rsid w:val="018A7679"/>
    <w:rsid w:val="01B14C06"/>
    <w:rsid w:val="01B20F8F"/>
    <w:rsid w:val="01CD2CEB"/>
    <w:rsid w:val="021E590D"/>
    <w:rsid w:val="02293D5B"/>
    <w:rsid w:val="02907ECF"/>
    <w:rsid w:val="035B12CD"/>
    <w:rsid w:val="035E700F"/>
    <w:rsid w:val="03D00CAF"/>
    <w:rsid w:val="03E00A8F"/>
    <w:rsid w:val="04102749"/>
    <w:rsid w:val="04623CB5"/>
    <w:rsid w:val="047563BF"/>
    <w:rsid w:val="054115C5"/>
    <w:rsid w:val="056F1060"/>
    <w:rsid w:val="05736FBE"/>
    <w:rsid w:val="05967E5B"/>
    <w:rsid w:val="05CF3229"/>
    <w:rsid w:val="05CF47C6"/>
    <w:rsid w:val="05FF2513"/>
    <w:rsid w:val="06127C3D"/>
    <w:rsid w:val="061816F7"/>
    <w:rsid w:val="061B1939"/>
    <w:rsid w:val="06B6198D"/>
    <w:rsid w:val="06D82131"/>
    <w:rsid w:val="06F21F49"/>
    <w:rsid w:val="07585B24"/>
    <w:rsid w:val="076B5857"/>
    <w:rsid w:val="07857CEB"/>
    <w:rsid w:val="07D47BD7"/>
    <w:rsid w:val="07E76EF1"/>
    <w:rsid w:val="08832493"/>
    <w:rsid w:val="08A32F26"/>
    <w:rsid w:val="091552A3"/>
    <w:rsid w:val="09947AA2"/>
    <w:rsid w:val="09C0619E"/>
    <w:rsid w:val="09FB7DFE"/>
    <w:rsid w:val="0A183EF3"/>
    <w:rsid w:val="0A740EC6"/>
    <w:rsid w:val="0A9231B5"/>
    <w:rsid w:val="0ADF0A36"/>
    <w:rsid w:val="0AFF1615"/>
    <w:rsid w:val="0B1B004E"/>
    <w:rsid w:val="0BAB1E8A"/>
    <w:rsid w:val="0BF056CB"/>
    <w:rsid w:val="0C50326D"/>
    <w:rsid w:val="0D654235"/>
    <w:rsid w:val="0E5E4367"/>
    <w:rsid w:val="0E986DE4"/>
    <w:rsid w:val="0ECB733C"/>
    <w:rsid w:val="0F165B9F"/>
    <w:rsid w:val="0F2C6214"/>
    <w:rsid w:val="0F2D65F2"/>
    <w:rsid w:val="0F87169C"/>
    <w:rsid w:val="0F9B0CA3"/>
    <w:rsid w:val="0FC90780"/>
    <w:rsid w:val="0FF97D52"/>
    <w:rsid w:val="10001431"/>
    <w:rsid w:val="10030D22"/>
    <w:rsid w:val="102F7D69"/>
    <w:rsid w:val="11515ABE"/>
    <w:rsid w:val="11603F53"/>
    <w:rsid w:val="12022CFE"/>
    <w:rsid w:val="12104465"/>
    <w:rsid w:val="12110B1B"/>
    <w:rsid w:val="124F590C"/>
    <w:rsid w:val="12744D58"/>
    <w:rsid w:val="129E2F84"/>
    <w:rsid w:val="12EA54DC"/>
    <w:rsid w:val="12F40DF6"/>
    <w:rsid w:val="130044B1"/>
    <w:rsid w:val="1333651B"/>
    <w:rsid w:val="13490E62"/>
    <w:rsid w:val="13781A27"/>
    <w:rsid w:val="13910349"/>
    <w:rsid w:val="13F23689"/>
    <w:rsid w:val="14081D96"/>
    <w:rsid w:val="14116341"/>
    <w:rsid w:val="14423DE3"/>
    <w:rsid w:val="144F5803"/>
    <w:rsid w:val="14655D0B"/>
    <w:rsid w:val="14C56EC2"/>
    <w:rsid w:val="154716B1"/>
    <w:rsid w:val="15924739"/>
    <w:rsid w:val="15EE7D7F"/>
    <w:rsid w:val="16676847"/>
    <w:rsid w:val="16B84834"/>
    <w:rsid w:val="16F2389F"/>
    <w:rsid w:val="16FB09AC"/>
    <w:rsid w:val="17263548"/>
    <w:rsid w:val="17481711"/>
    <w:rsid w:val="1772678E"/>
    <w:rsid w:val="177E5132"/>
    <w:rsid w:val="179B17F6"/>
    <w:rsid w:val="17D5621E"/>
    <w:rsid w:val="1839691D"/>
    <w:rsid w:val="186407CC"/>
    <w:rsid w:val="187D188E"/>
    <w:rsid w:val="195202FD"/>
    <w:rsid w:val="19AC41D9"/>
    <w:rsid w:val="19D92AF4"/>
    <w:rsid w:val="19EC6CCB"/>
    <w:rsid w:val="19F043BF"/>
    <w:rsid w:val="1A79381B"/>
    <w:rsid w:val="1A7F5449"/>
    <w:rsid w:val="1AE63F50"/>
    <w:rsid w:val="1BB22770"/>
    <w:rsid w:val="1BD63639"/>
    <w:rsid w:val="1BFB6C00"/>
    <w:rsid w:val="1C16455A"/>
    <w:rsid w:val="1CA35446"/>
    <w:rsid w:val="1CB03FE0"/>
    <w:rsid w:val="1CC161ED"/>
    <w:rsid w:val="1CF33ECD"/>
    <w:rsid w:val="1D004EA3"/>
    <w:rsid w:val="1D4B4F3A"/>
    <w:rsid w:val="1DE620B4"/>
    <w:rsid w:val="1E0F2F88"/>
    <w:rsid w:val="1E114F52"/>
    <w:rsid w:val="1E28404A"/>
    <w:rsid w:val="1ED24781"/>
    <w:rsid w:val="1EFF9DC9"/>
    <w:rsid w:val="1F5350F7"/>
    <w:rsid w:val="1F8FAE0E"/>
    <w:rsid w:val="1F9F112A"/>
    <w:rsid w:val="1FB822EE"/>
    <w:rsid w:val="1FC87427"/>
    <w:rsid w:val="1FD4276C"/>
    <w:rsid w:val="1FF3FF93"/>
    <w:rsid w:val="1FF77588"/>
    <w:rsid w:val="201A20A6"/>
    <w:rsid w:val="202A22FB"/>
    <w:rsid w:val="207D067D"/>
    <w:rsid w:val="20B9542D"/>
    <w:rsid w:val="20F6042F"/>
    <w:rsid w:val="211D0ED7"/>
    <w:rsid w:val="21224D81"/>
    <w:rsid w:val="21584C46"/>
    <w:rsid w:val="22576CAC"/>
    <w:rsid w:val="2271785C"/>
    <w:rsid w:val="228D7637"/>
    <w:rsid w:val="229D17C8"/>
    <w:rsid w:val="22A5210D"/>
    <w:rsid w:val="22A85BB1"/>
    <w:rsid w:val="22B54431"/>
    <w:rsid w:val="22C01C5A"/>
    <w:rsid w:val="22DA487F"/>
    <w:rsid w:val="22E47975"/>
    <w:rsid w:val="22E72C0C"/>
    <w:rsid w:val="23184F83"/>
    <w:rsid w:val="233F1C1A"/>
    <w:rsid w:val="242022A8"/>
    <w:rsid w:val="24482D50"/>
    <w:rsid w:val="246D169B"/>
    <w:rsid w:val="24CF521F"/>
    <w:rsid w:val="254E2EE2"/>
    <w:rsid w:val="25AB2A5B"/>
    <w:rsid w:val="26040EF9"/>
    <w:rsid w:val="26793695"/>
    <w:rsid w:val="2702290F"/>
    <w:rsid w:val="27082C6B"/>
    <w:rsid w:val="27294E82"/>
    <w:rsid w:val="272E532D"/>
    <w:rsid w:val="275E288B"/>
    <w:rsid w:val="277D35CD"/>
    <w:rsid w:val="2841322C"/>
    <w:rsid w:val="28600C53"/>
    <w:rsid w:val="287720BF"/>
    <w:rsid w:val="28814A83"/>
    <w:rsid w:val="28C66939"/>
    <w:rsid w:val="28F96D0F"/>
    <w:rsid w:val="291B0A33"/>
    <w:rsid w:val="29291F8F"/>
    <w:rsid w:val="296879F1"/>
    <w:rsid w:val="29A273A6"/>
    <w:rsid w:val="29F64FFC"/>
    <w:rsid w:val="29FD7A55"/>
    <w:rsid w:val="2A0D6521"/>
    <w:rsid w:val="2A5D507B"/>
    <w:rsid w:val="2A7E7743"/>
    <w:rsid w:val="2A9E57EF"/>
    <w:rsid w:val="2AD01CF1"/>
    <w:rsid w:val="2B3C2EE3"/>
    <w:rsid w:val="2B51698E"/>
    <w:rsid w:val="2B68600A"/>
    <w:rsid w:val="2B6F150A"/>
    <w:rsid w:val="2B934CA4"/>
    <w:rsid w:val="2B960845"/>
    <w:rsid w:val="2C8254A7"/>
    <w:rsid w:val="2C861A60"/>
    <w:rsid w:val="2C957FFA"/>
    <w:rsid w:val="2D0637F0"/>
    <w:rsid w:val="2D144117"/>
    <w:rsid w:val="2D360531"/>
    <w:rsid w:val="2D793BAF"/>
    <w:rsid w:val="2D796670"/>
    <w:rsid w:val="2DBA4B72"/>
    <w:rsid w:val="2E183A97"/>
    <w:rsid w:val="2E271C28"/>
    <w:rsid w:val="2E2E3CA3"/>
    <w:rsid w:val="2E312239"/>
    <w:rsid w:val="2E3B6542"/>
    <w:rsid w:val="2E6B5FB9"/>
    <w:rsid w:val="2EC639EA"/>
    <w:rsid w:val="2EF835C5"/>
    <w:rsid w:val="2F2919D0"/>
    <w:rsid w:val="2F8530AA"/>
    <w:rsid w:val="2FAC6889"/>
    <w:rsid w:val="2FAF45CB"/>
    <w:rsid w:val="2FCB0C6D"/>
    <w:rsid w:val="2FEFEBD5"/>
    <w:rsid w:val="2FFEC101"/>
    <w:rsid w:val="30011CB8"/>
    <w:rsid w:val="302A3C52"/>
    <w:rsid w:val="303803AA"/>
    <w:rsid w:val="30745BF5"/>
    <w:rsid w:val="308C7777"/>
    <w:rsid w:val="30903E92"/>
    <w:rsid w:val="30915A7F"/>
    <w:rsid w:val="30DC0939"/>
    <w:rsid w:val="31DC082E"/>
    <w:rsid w:val="31EA3699"/>
    <w:rsid w:val="31F91B2E"/>
    <w:rsid w:val="3203475A"/>
    <w:rsid w:val="320F4EAD"/>
    <w:rsid w:val="324C1B48"/>
    <w:rsid w:val="3287538B"/>
    <w:rsid w:val="3293788C"/>
    <w:rsid w:val="32F11F39"/>
    <w:rsid w:val="33791178"/>
    <w:rsid w:val="337E428C"/>
    <w:rsid w:val="33BF0361"/>
    <w:rsid w:val="33F151B2"/>
    <w:rsid w:val="345360FF"/>
    <w:rsid w:val="34607C42"/>
    <w:rsid w:val="34B541DD"/>
    <w:rsid w:val="355C7D01"/>
    <w:rsid w:val="356B2D42"/>
    <w:rsid w:val="35A665E3"/>
    <w:rsid w:val="35E00B28"/>
    <w:rsid w:val="365D74C8"/>
    <w:rsid w:val="36845202"/>
    <w:rsid w:val="368F61AB"/>
    <w:rsid w:val="36A94F03"/>
    <w:rsid w:val="36BFBD0F"/>
    <w:rsid w:val="36EA3CA5"/>
    <w:rsid w:val="36F31428"/>
    <w:rsid w:val="37355F7A"/>
    <w:rsid w:val="373F7FE3"/>
    <w:rsid w:val="37CE1367"/>
    <w:rsid w:val="38CD2B86"/>
    <w:rsid w:val="38DF758F"/>
    <w:rsid w:val="393022D9"/>
    <w:rsid w:val="399D7242"/>
    <w:rsid w:val="39B50A30"/>
    <w:rsid w:val="3A6C5593"/>
    <w:rsid w:val="3A8A3C6B"/>
    <w:rsid w:val="3AA64A0C"/>
    <w:rsid w:val="3ABE5B49"/>
    <w:rsid w:val="3AF0143F"/>
    <w:rsid w:val="3B131EB2"/>
    <w:rsid w:val="3B1407A7"/>
    <w:rsid w:val="3B2F4EAC"/>
    <w:rsid w:val="3B7266C3"/>
    <w:rsid w:val="3B8B78F2"/>
    <w:rsid w:val="3BAB3E99"/>
    <w:rsid w:val="3BB03926"/>
    <w:rsid w:val="3BB54D17"/>
    <w:rsid w:val="3BD10EFB"/>
    <w:rsid w:val="3BD5511E"/>
    <w:rsid w:val="3BE78743"/>
    <w:rsid w:val="3BF07AFD"/>
    <w:rsid w:val="3CCD42E3"/>
    <w:rsid w:val="3CEC29FB"/>
    <w:rsid w:val="3D597924"/>
    <w:rsid w:val="3D827DBA"/>
    <w:rsid w:val="3DD54D90"/>
    <w:rsid w:val="3DE9BB3F"/>
    <w:rsid w:val="3DF503A3"/>
    <w:rsid w:val="3E1A52D5"/>
    <w:rsid w:val="3E491747"/>
    <w:rsid w:val="3E516731"/>
    <w:rsid w:val="3E6671C1"/>
    <w:rsid w:val="3E6D3687"/>
    <w:rsid w:val="3EBDA46A"/>
    <w:rsid w:val="3EE53B65"/>
    <w:rsid w:val="3EF95ADB"/>
    <w:rsid w:val="3F055FB6"/>
    <w:rsid w:val="3F4C72A7"/>
    <w:rsid w:val="3F760C61"/>
    <w:rsid w:val="3F9ADC02"/>
    <w:rsid w:val="3FDE6E89"/>
    <w:rsid w:val="40012116"/>
    <w:rsid w:val="400E79A6"/>
    <w:rsid w:val="40161AFD"/>
    <w:rsid w:val="406E0720"/>
    <w:rsid w:val="40F83E05"/>
    <w:rsid w:val="424C27F7"/>
    <w:rsid w:val="4251636A"/>
    <w:rsid w:val="426258BF"/>
    <w:rsid w:val="42947C67"/>
    <w:rsid w:val="42F17CEB"/>
    <w:rsid w:val="42FB3175"/>
    <w:rsid w:val="43081BD1"/>
    <w:rsid w:val="43086074"/>
    <w:rsid w:val="433841C2"/>
    <w:rsid w:val="43A51B15"/>
    <w:rsid w:val="43CA4702"/>
    <w:rsid w:val="440A7BCA"/>
    <w:rsid w:val="4427252A"/>
    <w:rsid w:val="4473751E"/>
    <w:rsid w:val="4475773A"/>
    <w:rsid w:val="44BE2E8F"/>
    <w:rsid w:val="44F144B9"/>
    <w:rsid w:val="44FD4CD5"/>
    <w:rsid w:val="451C0B52"/>
    <w:rsid w:val="45264590"/>
    <w:rsid w:val="452B429C"/>
    <w:rsid w:val="455147FE"/>
    <w:rsid w:val="455A06DD"/>
    <w:rsid w:val="45725A27"/>
    <w:rsid w:val="45906D8A"/>
    <w:rsid w:val="45D57CAC"/>
    <w:rsid w:val="460E1AB7"/>
    <w:rsid w:val="460F3276"/>
    <w:rsid w:val="46CD62E3"/>
    <w:rsid w:val="46F811B5"/>
    <w:rsid w:val="4700526F"/>
    <w:rsid w:val="472E3BD0"/>
    <w:rsid w:val="477932D0"/>
    <w:rsid w:val="48033A46"/>
    <w:rsid w:val="480D4462"/>
    <w:rsid w:val="482C010F"/>
    <w:rsid w:val="48586A23"/>
    <w:rsid w:val="488937B4"/>
    <w:rsid w:val="48D141CD"/>
    <w:rsid w:val="48F21359"/>
    <w:rsid w:val="49781484"/>
    <w:rsid w:val="49804BB7"/>
    <w:rsid w:val="49BAD117"/>
    <w:rsid w:val="49FD0F8E"/>
    <w:rsid w:val="4A0D3F70"/>
    <w:rsid w:val="4A4F0767"/>
    <w:rsid w:val="4AEC002A"/>
    <w:rsid w:val="4AF54D75"/>
    <w:rsid w:val="4AF64A04"/>
    <w:rsid w:val="4B035355"/>
    <w:rsid w:val="4B0F639F"/>
    <w:rsid w:val="4B614574"/>
    <w:rsid w:val="4B7A2929"/>
    <w:rsid w:val="4B7B2845"/>
    <w:rsid w:val="4B817C8A"/>
    <w:rsid w:val="4BA33F87"/>
    <w:rsid w:val="4C223151"/>
    <w:rsid w:val="4C2630C7"/>
    <w:rsid w:val="4C2978D1"/>
    <w:rsid w:val="4C7A3619"/>
    <w:rsid w:val="4C9646F1"/>
    <w:rsid w:val="4CA96F91"/>
    <w:rsid w:val="4CDE39A2"/>
    <w:rsid w:val="4D590653"/>
    <w:rsid w:val="4D610E96"/>
    <w:rsid w:val="4DE66FB2"/>
    <w:rsid w:val="4DEB45C9"/>
    <w:rsid w:val="4E0F1AB4"/>
    <w:rsid w:val="4E4138BA"/>
    <w:rsid w:val="4E802F63"/>
    <w:rsid w:val="4E974ADF"/>
    <w:rsid w:val="4EB15812"/>
    <w:rsid w:val="4ECE0172"/>
    <w:rsid w:val="4ED11A10"/>
    <w:rsid w:val="4EEA0D24"/>
    <w:rsid w:val="4F310E0F"/>
    <w:rsid w:val="50243DC2"/>
    <w:rsid w:val="502D7AE0"/>
    <w:rsid w:val="508872D6"/>
    <w:rsid w:val="50B52C6C"/>
    <w:rsid w:val="50B74C36"/>
    <w:rsid w:val="50CA4969"/>
    <w:rsid w:val="50F84415"/>
    <w:rsid w:val="51553D7F"/>
    <w:rsid w:val="51EB4B97"/>
    <w:rsid w:val="52393851"/>
    <w:rsid w:val="524B21DC"/>
    <w:rsid w:val="5261337A"/>
    <w:rsid w:val="528F7C18"/>
    <w:rsid w:val="529C5288"/>
    <w:rsid w:val="52C91A04"/>
    <w:rsid w:val="52D675F5"/>
    <w:rsid w:val="533F00C1"/>
    <w:rsid w:val="53604E2D"/>
    <w:rsid w:val="53EB0C0C"/>
    <w:rsid w:val="53FB117C"/>
    <w:rsid w:val="541B5453"/>
    <w:rsid w:val="541F4FCC"/>
    <w:rsid w:val="54660E6B"/>
    <w:rsid w:val="54A83A5E"/>
    <w:rsid w:val="551E5284"/>
    <w:rsid w:val="55633CB2"/>
    <w:rsid w:val="557601A3"/>
    <w:rsid w:val="558A75B7"/>
    <w:rsid w:val="55B73025"/>
    <w:rsid w:val="55C956C4"/>
    <w:rsid w:val="561A1EEF"/>
    <w:rsid w:val="56332FB1"/>
    <w:rsid w:val="5647080A"/>
    <w:rsid w:val="56955A19"/>
    <w:rsid w:val="56AC17A4"/>
    <w:rsid w:val="56DE2292"/>
    <w:rsid w:val="57174680"/>
    <w:rsid w:val="57961A49"/>
    <w:rsid w:val="579A06B7"/>
    <w:rsid w:val="57B92631"/>
    <w:rsid w:val="57C74812"/>
    <w:rsid w:val="57D96B2C"/>
    <w:rsid w:val="57E50164"/>
    <w:rsid w:val="58533496"/>
    <w:rsid w:val="588900DA"/>
    <w:rsid w:val="58A9755A"/>
    <w:rsid w:val="58C05A9A"/>
    <w:rsid w:val="58DD04FA"/>
    <w:rsid w:val="591B0458"/>
    <w:rsid w:val="59345076"/>
    <w:rsid w:val="593757BC"/>
    <w:rsid w:val="597A6F03"/>
    <w:rsid w:val="59E98697"/>
    <w:rsid w:val="5A004F6F"/>
    <w:rsid w:val="5A0D533B"/>
    <w:rsid w:val="5A187B08"/>
    <w:rsid w:val="5A3906F8"/>
    <w:rsid w:val="5A3D6253"/>
    <w:rsid w:val="5A5170CF"/>
    <w:rsid w:val="5A56726E"/>
    <w:rsid w:val="5A9702DD"/>
    <w:rsid w:val="5AA47FD9"/>
    <w:rsid w:val="5AC8016B"/>
    <w:rsid w:val="5AF04B18"/>
    <w:rsid w:val="5B2C7AF5"/>
    <w:rsid w:val="5B7C65E8"/>
    <w:rsid w:val="5BAA7871"/>
    <w:rsid w:val="5BBA50DF"/>
    <w:rsid w:val="5BF154A0"/>
    <w:rsid w:val="5CAA0CCB"/>
    <w:rsid w:val="5D1F27C7"/>
    <w:rsid w:val="5D335644"/>
    <w:rsid w:val="5D6121B1"/>
    <w:rsid w:val="5D6677C8"/>
    <w:rsid w:val="5DAF4431"/>
    <w:rsid w:val="5E4428C3"/>
    <w:rsid w:val="5E5D0BCB"/>
    <w:rsid w:val="5E6D3A13"/>
    <w:rsid w:val="5E716381"/>
    <w:rsid w:val="5E7E327F"/>
    <w:rsid w:val="5EEB267A"/>
    <w:rsid w:val="5F011BBE"/>
    <w:rsid w:val="5F2045FF"/>
    <w:rsid w:val="5F4979F7"/>
    <w:rsid w:val="5F99A72F"/>
    <w:rsid w:val="5FC039A2"/>
    <w:rsid w:val="5FFB0196"/>
    <w:rsid w:val="5FFDC711"/>
    <w:rsid w:val="5FFEFFF0"/>
    <w:rsid w:val="60161979"/>
    <w:rsid w:val="601D2D07"/>
    <w:rsid w:val="60484828"/>
    <w:rsid w:val="6062071A"/>
    <w:rsid w:val="60791F08"/>
    <w:rsid w:val="60BE791B"/>
    <w:rsid w:val="61BA4586"/>
    <w:rsid w:val="61D83E1C"/>
    <w:rsid w:val="61F7603A"/>
    <w:rsid w:val="61FC06FB"/>
    <w:rsid w:val="62501B8B"/>
    <w:rsid w:val="62922E0D"/>
    <w:rsid w:val="62B47227"/>
    <w:rsid w:val="62E06559"/>
    <w:rsid w:val="62FF66F4"/>
    <w:rsid w:val="631D4DCC"/>
    <w:rsid w:val="633839B4"/>
    <w:rsid w:val="63440E16"/>
    <w:rsid w:val="63E47698"/>
    <w:rsid w:val="64362A83"/>
    <w:rsid w:val="64AA4AE5"/>
    <w:rsid w:val="64AA6E77"/>
    <w:rsid w:val="64C7532D"/>
    <w:rsid w:val="64CE6480"/>
    <w:rsid w:val="656B62C3"/>
    <w:rsid w:val="65844AC6"/>
    <w:rsid w:val="65FF2BD8"/>
    <w:rsid w:val="662E4221"/>
    <w:rsid w:val="669B2BD8"/>
    <w:rsid w:val="66E14363"/>
    <w:rsid w:val="66E2573B"/>
    <w:rsid w:val="66FF76DC"/>
    <w:rsid w:val="673B1CC5"/>
    <w:rsid w:val="677C53DA"/>
    <w:rsid w:val="67DF6AF4"/>
    <w:rsid w:val="67EC7ADF"/>
    <w:rsid w:val="67EF68BC"/>
    <w:rsid w:val="67F71168"/>
    <w:rsid w:val="6898328D"/>
    <w:rsid w:val="68D429FD"/>
    <w:rsid w:val="68D90D5E"/>
    <w:rsid w:val="68DC3034"/>
    <w:rsid w:val="68E36491"/>
    <w:rsid w:val="69390486"/>
    <w:rsid w:val="693B1D48"/>
    <w:rsid w:val="69407A67"/>
    <w:rsid w:val="69450271"/>
    <w:rsid w:val="696F1F2A"/>
    <w:rsid w:val="69A51678"/>
    <w:rsid w:val="69CD5A64"/>
    <w:rsid w:val="69E46644"/>
    <w:rsid w:val="69E95A08"/>
    <w:rsid w:val="69F85C4B"/>
    <w:rsid w:val="6A1133BF"/>
    <w:rsid w:val="6A121024"/>
    <w:rsid w:val="6A135E2D"/>
    <w:rsid w:val="6A1B5094"/>
    <w:rsid w:val="6A41244E"/>
    <w:rsid w:val="6A503019"/>
    <w:rsid w:val="6A927B76"/>
    <w:rsid w:val="6ABE25B0"/>
    <w:rsid w:val="6AD62F8C"/>
    <w:rsid w:val="6AEC767F"/>
    <w:rsid w:val="6B454EC0"/>
    <w:rsid w:val="6C164633"/>
    <w:rsid w:val="6C1F71D5"/>
    <w:rsid w:val="6C7041BF"/>
    <w:rsid w:val="6CEA21C3"/>
    <w:rsid w:val="6CFCAB2E"/>
    <w:rsid w:val="6D354485"/>
    <w:rsid w:val="6D8C327A"/>
    <w:rsid w:val="6DD95D94"/>
    <w:rsid w:val="6DE07BC0"/>
    <w:rsid w:val="6E0F1383"/>
    <w:rsid w:val="6E1B45FE"/>
    <w:rsid w:val="6E4C36F1"/>
    <w:rsid w:val="6E5042A8"/>
    <w:rsid w:val="6E617526"/>
    <w:rsid w:val="6E63007F"/>
    <w:rsid w:val="6E7E5918"/>
    <w:rsid w:val="6E8234E0"/>
    <w:rsid w:val="6EAD3AF5"/>
    <w:rsid w:val="6F251C70"/>
    <w:rsid w:val="6FDD7ECE"/>
    <w:rsid w:val="6FDF0C99"/>
    <w:rsid w:val="6FF36488"/>
    <w:rsid w:val="70310109"/>
    <w:rsid w:val="705A17F8"/>
    <w:rsid w:val="70A1528F"/>
    <w:rsid w:val="711A6DEF"/>
    <w:rsid w:val="715E6CDC"/>
    <w:rsid w:val="719F49E4"/>
    <w:rsid w:val="71D62D16"/>
    <w:rsid w:val="71DB1320"/>
    <w:rsid w:val="72206134"/>
    <w:rsid w:val="72325ACB"/>
    <w:rsid w:val="725A2683"/>
    <w:rsid w:val="726915C0"/>
    <w:rsid w:val="72A9042B"/>
    <w:rsid w:val="72F76510"/>
    <w:rsid w:val="7346211D"/>
    <w:rsid w:val="734E655B"/>
    <w:rsid w:val="73556C55"/>
    <w:rsid w:val="73A312AE"/>
    <w:rsid w:val="73AC690C"/>
    <w:rsid w:val="73BBC613"/>
    <w:rsid w:val="73F43A3E"/>
    <w:rsid w:val="74081181"/>
    <w:rsid w:val="7476433D"/>
    <w:rsid w:val="74CC6C33"/>
    <w:rsid w:val="7500313C"/>
    <w:rsid w:val="75324707"/>
    <w:rsid w:val="754601B3"/>
    <w:rsid w:val="75C81F4C"/>
    <w:rsid w:val="760065B4"/>
    <w:rsid w:val="76077CED"/>
    <w:rsid w:val="76397D18"/>
    <w:rsid w:val="764364A0"/>
    <w:rsid w:val="76525BE7"/>
    <w:rsid w:val="76685018"/>
    <w:rsid w:val="76A06461"/>
    <w:rsid w:val="76B3BAA8"/>
    <w:rsid w:val="7717028B"/>
    <w:rsid w:val="773F3EF6"/>
    <w:rsid w:val="775B4478"/>
    <w:rsid w:val="775F062D"/>
    <w:rsid w:val="77B86F8C"/>
    <w:rsid w:val="77BC650A"/>
    <w:rsid w:val="77BD648B"/>
    <w:rsid w:val="77BFC146"/>
    <w:rsid w:val="77EFD436"/>
    <w:rsid w:val="783F0EE9"/>
    <w:rsid w:val="78866B18"/>
    <w:rsid w:val="79041559"/>
    <w:rsid w:val="79305A30"/>
    <w:rsid w:val="798A2FA4"/>
    <w:rsid w:val="79A13C0A"/>
    <w:rsid w:val="79CA0341"/>
    <w:rsid w:val="79DF2E25"/>
    <w:rsid w:val="79F851D5"/>
    <w:rsid w:val="79FA674E"/>
    <w:rsid w:val="7A6C06BC"/>
    <w:rsid w:val="7A6F65DF"/>
    <w:rsid w:val="7AD92818"/>
    <w:rsid w:val="7AF389D2"/>
    <w:rsid w:val="7AFFDC74"/>
    <w:rsid w:val="7B3FEA1A"/>
    <w:rsid w:val="7B7D4202"/>
    <w:rsid w:val="7BA05408"/>
    <w:rsid w:val="7BF09010"/>
    <w:rsid w:val="7C005A73"/>
    <w:rsid w:val="7C050E74"/>
    <w:rsid w:val="7C4B4301"/>
    <w:rsid w:val="7C8345F1"/>
    <w:rsid w:val="7C983AE0"/>
    <w:rsid w:val="7CA26617"/>
    <w:rsid w:val="7CBD6633"/>
    <w:rsid w:val="7CE74D6F"/>
    <w:rsid w:val="7CF42B29"/>
    <w:rsid w:val="7D5F785F"/>
    <w:rsid w:val="7DB6FE02"/>
    <w:rsid w:val="7DF804B8"/>
    <w:rsid w:val="7DFB3D6C"/>
    <w:rsid w:val="7E7C85D5"/>
    <w:rsid w:val="7E83263E"/>
    <w:rsid w:val="7EEEC020"/>
    <w:rsid w:val="7F3FFEFA"/>
    <w:rsid w:val="7F5A70E9"/>
    <w:rsid w:val="7F742E12"/>
    <w:rsid w:val="7F923FF5"/>
    <w:rsid w:val="7F9F508F"/>
    <w:rsid w:val="7FAE7001"/>
    <w:rsid w:val="7FBDFCCE"/>
    <w:rsid w:val="7FEB7333"/>
    <w:rsid w:val="7FEF06AD"/>
    <w:rsid w:val="7FF45D67"/>
    <w:rsid w:val="7FFE5A2D"/>
    <w:rsid w:val="7FFF9ACE"/>
    <w:rsid w:val="8DDFEF12"/>
    <w:rsid w:val="93D77F87"/>
    <w:rsid w:val="97D6F7E0"/>
    <w:rsid w:val="9F999C2E"/>
    <w:rsid w:val="A9B9772B"/>
    <w:rsid w:val="AAFA0436"/>
    <w:rsid w:val="ABEEAB27"/>
    <w:rsid w:val="AD7B4D5B"/>
    <w:rsid w:val="B5F5190D"/>
    <w:rsid w:val="B7AB1BA0"/>
    <w:rsid w:val="BAADA584"/>
    <w:rsid w:val="BB371590"/>
    <w:rsid w:val="BBFF043A"/>
    <w:rsid w:val="BBFF4462"/>
    <w:rsid w:val="BCFB383B"/>
    <w:rsid w:val="BD67BF88"/>
    <w:rsid w:val="BE7D0D33"/>
    <w:rsid w:val="BF58D4D0"/>
    <w:rsid w:val="CADC01B0"/>
    <w:rsid w:val="CD659A05"/>
    <w:rsid w:val="CFDF9350"/>
    <w:rsid w:val="D17BD022"/>
    <w:rsid w:val="D5FA2923"/>
    <w:rsid w:val="D7FF6D7B"/>
    <w:rsid w:val="DBF376AD"/>
    <w:rsid w:val="DDDB07C2"/>
    <w:rsid w:val="DF71D6FD"/>
    <w:rsid w:val="DFDE26B2"/>
    <w:rsid w:val="E3FF868C"/>
    <w:rsid w:val="E9B56BDC"/>
    <w:rsid w:val="EA7EBED0"/>
    <w:rsid w:val="EEFDB544"/>
    <w:rsid w:val="F1FD7DAD"/>
    <w:rsid w:val="F50FA98F"/>
    <w:rsid w:val="F73F6037"/>
    <w:rsid w:val="F76F5CC2"/>
    <w:rsid w:val="F77D20C1"/>
    <w:rsid w:val="F9955AEE"/>
    <w:rsid w:val="FBF9B572"/>
    <w:rsid w:val="FBFFC7C3"/>
    <w:rsid w:val="FDAB1E51"/>
    <w:rsid w:val="FE5FB883"/>
    <w:rsid w:val="FEBE4B5D"/>
    <w:rsid w:val="FFEEAB1D"/>
    <w:rsid w:val="FFF68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0707174A"/>
  <w15:chartTrackingRefBased/>
  <w15:docId w15:val="{5447691C-656F-4E92-9631-D822E299C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Body Text" w:qFormat="1"/>
    <w:lsdException w:name="Subtitle" w:qFormat="1"/>
    <w:lsdException w:name="Body Text First Indent" w:uiPriority="99" w:unhideWhenUsed="1" w:qFormat="1"/>
    <w:lsdException w:name="Body Tex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rPr>
  </w:style>
  <w:style w:type="character" w:default="1" w:styleId="a1">
    <w:name w:val="Default Paragraph Font"/>
    <w:uiPriority w:val="1"/>
    <w:unhideWhenUsed/>
  </w:style>
  <w:style w:type="table" w:default="1" w:styleId="a2">
    <w:name w:val="Normal Table"/>
    <w:uiPriority w:val="99"/>
    <w:unhideWhenUsed/>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style>
  <w:style w:type="paragraph" w:styleId="a4">
    <w:name w:val="Body Text"/>
    <w:basedOn w:val="a"/>
    <w:next w:val="a5"/>
    <w:qFormat/>
    <w:pPr>
      <w:spacing w:after="120"/>
    </w:pPr>
    <w:rPr>
      <w:rFonts w:eastAsia="仿宋_GB2312"/>
      <w:sz w:val="32"/>
      <w:szCs w:val="24"/>
    </w:rPr>
  </w:style>
  <w:style w:type="paragraph" w:styleId="a5">
    <w:name w:val="Body Text First Indent"/>
    <w:basedOn w:val="a4"/>
    <w:next w:val="a"/>
    <w:uiPriority w:val="99"/>
    <w:unhideWhenUsed/>
    <w:qFormat/>
    <w:pPr>
      <w:ind w:firstLineChars="100" w:firstLine="420"/>
    </w:pPr>
  </w:style>
  <w:style w:type="paragraph" w:styleId="a6">
    <w:name w:val="Balloon Text"/>
    <w:basedOn w:val="a"/>
    <w:link w:val="a7"/>
    <w:rPr>
      <w:sz w:val="18"/>
      <w:szCs w:val="18"/>
    </w:rPr>
  </w:style>
  <w:style w:type="character" w:customStyle="1" w:styleId="a7">
    <w:name w:val="批注框文本 字符"/>
    <w:link w:val="a6"/>
    <w:rPr>
      <w:kern w:val="2"/>
      <w:sz w:val="18"/>
      <w:szCs w:val="18"/>
    </w:rPr>
  </w:style>
  <w:style w:type="paragraph" w:styleId="a8">
    <w:name w:val="footer"/>
    <w:basedOn w:val="a"/>
    <w:pPr>
      <w:tabs>
        <w:tab w:val="center" w:pos="4153"/>
        <w:tab w:val="right" w:pos="8306"/>
      </w:tabs>
      <w:snapToGrid w:val="0"/>
      <w:jc w:val="left"/>
    </w:pPr>
    <w:rPr>
      <w:sz w:val="18"/>
    </w:rPr>
  </w:style>
  <w:style w:type="paragraph" w:styleId="a9">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Subtitle"/>
    <w:basedOn w:val="a"/>
    <w:next w:val="a"/>
    <w:qFormat/>
    <w:pPr>
      <w:spacing w:before="240" w:after="60" w:line="312" w:lineRule="auto"/>
      <w:jc w:val="center"/>
      <w:outlineLvl w:val="1"/>
    </w:pPr>
    <w:rPr>
      <w:rFonts w:ascii="Calibri" w:eastAsia="黑体" w:hAnsi="Calibri"/>
      <w:bCs/>
      <w:kern w:val="28"/>
      <w:sz w:val="36"/>
      <w:szCs w:val="32"/>
    </w:rPr>
  </w:style>
  <w:style w:type="paragraph" w:styleId="2">
    <w:name w:val="Body Text 2"/>
    <w:basedOn w:val="a"/>
    <w:uiPriority w:val="99"/>
    <w:unhideWhenUsed/>
    <w:qFormat/>
    <w:pPr>
      <w:spacing w:after="120" w:line="480" w:lineRule="auto"/>
    </w:pPr>
  </w:style>
  <w:style w:type="table" w:styleId="ab">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mphasis"/>
    <w:basedOn w:val="a1"/>
    <w:qFormat/>
    <w:rPr>
      <w:i/>
    </w:rPr>
  </w:style>
  <w:style w:type="character" w:styleId="ad">
    <w:name w:val="annotation reference"/>
    <w:rPr>
      <w:sz w:val="21"/>
      <w:szCs w:val="21"/>
    </w:rPr>
  </w:style>
  <w:style w:type="character" w:customStyle="1" w:styleId="font41">
    <w:name w:val="font41"/>
    <w:basedOn w:val="a1"/>
    <w:rPr>
      <w:rFonts w:ascii="仿宋_GB2312" w:eastAsia="仿宋_GB2312" w:cs="仿宋_GB2312" w:hint="default"/>
      <w:color w:val="000000"/>
      <w:sz w:val="24"/>
      <w:szCs w:val="24"/>
      <w:u w:val="none"/>
    </w:rPr>
  </w:style>
  <w:style w:type="character" w:customStyle="1" w:styleId="font01">
    <w:name w:val="font01"/>
    <w:basedOn w:val="a1"/>
    <w:rPr>
      <w:rFonts w:ascii="Times New Roman" w:hAnsi="Times New Roman" w:cs="Times New Roman" w:hint="default"/>
      <w:color w:val="000000"/>
      <w:sz w:val="24"/>
      <w:szCs w:val="24"/>
      <w:u w:val="none"/>
    </w:rPr>
  </w:style>
  <w:style w:type="paragraph" w:styleId="ae">
    <w:name w:val="Revision"/>
    <w:uiPriority w:val="99"/>
    <w:unhideWhenUsed/>
    <w:rPr>
      <w:kern w:val="2"/>
      <w:sz w:val="21"/>
    </w:rPr>
  </w:style>
  <w:style w:type="table" w:customStyle="1" w:styleId="82">
    <w:name w:val="网格型8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962</Words>
  <Characters>5485</Characters>
  <Application>Microsoft Office Word</Application>
  <DocSecurity>0</DocSecurity>
  <PresentationFormat/>
  <Lines>45</Lines>
  <Paragraphs>12</Paragraphs>
  <Slides>0</Slides>
  <Notes>0</Notes>
  <HiddenSlides>0</HiddenSlides>
  <MMClips>0</MMClips>
  <ScaleCrop>false</ScaleCrop>
  <Company>Sky123.Org</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金华市政务公开领导小组办公室</dc:title>
  <dc:subject/>
  <dc:creator>徐挺</dc:creator>
  <cp:keywords/>
  <cp:lastModifiedBy>DigitalElite.CN;GovCDO;DTGOV;数字菁英网;首席数据官网;数字理政;智绘九州</cp:lastModifiedBy>
  <cp:revision>2</cp:revision>
  <cp:lastPrinted>2024-04-23T07:25:00Z</cp:lastPrinted>
  <dcterms:created xsi:type="dcterms:W3CDTF">2024-06-04T01:58:00Z</dcterms:created>
  <dcterms:modified xsi:type="dcterms:W3CDTF">2024-06-04T01:58:00Z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8805D31B02AF40B5A6244D6E4DE1760D_13</vt:lpwstr>
  </property>
</Properties>
</file>