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2B9E6" w14:textId="77777777" w:rsidR="00C611D5" w:rsidRDefault="00000000">
      <w:pPr>
        <w:spacing w:line="560" w:lineRule="exact"/>
        <w:outlineLvl w:val="1"/>
        <w:rPr>
          <w:rFonts w:ascii="仿宋_GB2312" w:eastAsia="仿宋_GB2312" w:hAnsi="仿宋_GB2312" w:cs="仿宋_GB2312"/>
          <w:color w:val="000000"/>
          <w:sz w:val="32"/>
          <w:szCs w:val="32"/>
        </w:rPr>
      </w:pPr>
      <w:r>
        <w:rPr>
          <w:rFonts w:ascii="黑体" w:eastAsia="黑体" w:hAnsi="黑体" w:cs="黑体" w:hint="eastAsia"/>
          <w:color w:val="000000"/>
          <w:sz w:val="32"/>
          <w:szCs w:val="32"/>
        </w:rPr>
        <w:t>附件1</w:t>
      </w:r>
    </w:p>
    <w:p w14:paraId="0F72A6EA" w14:textId="77777777" w:rsidR="00C611D5" w:rsidRDefault="00000000">
      <w:pPr>
        <w:spacing w:line="560" w:lineRule="exact"/>
        <w:ind w:firstLineChars="200" w:firstLine="880"/>
        <w:jc w:val="center"/>
        <w:outlineLvl w:val="1"/>
        <w:rPr>
          <w:rFonts w:ascii="方正小标宋简体" w:eastAsia="方正小标宋简体" w:hAnsi="方正小标宋简体" w:cs="方正小标宋简体"/>
          <w:color w:val="000000"/>
          <w:sz w:val="44"/>
          <w:szCs w:val="44"/>
        </w:rPr>
      </w:pPr>
      <w:r>
        <w:rPr>
          <w:rFonts w:ascii="方正小标宋简体" w:eastAsia="方正小标宋简体" w:hAnsi="方正小标宋简体" w:cs="方正小标宋简体" w:hint="eastAsia"/>
          <w:color w:val="000000"/>
          <w:sz w:val="44"/>
          <w:szCs w:val="44"/>
        </w:rPr>
        <w:t>智慧城市场景创新需求清单及联系方式</w:t>
      </w:r>
    </w:p>
    <w:p w14:paraId="3C7A2A3D" w14:textId="77777777" w:rsidR="00C611D5" w:rsidRDefault="00C611D5">
      <w:pPr>
        <w:pStyle w:val="9"/>
        <w:ind w:left="336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0"/>
        <w:gridCol w:w="1342"/>
        <w:gridCol w:w="5931"/>
        <w:gridCol w:w="1296"/>
        <w:gridCol w:w="1171"/>
        <w:gridCol w:w="1265"/>
        <w:gridCol w:w="2123"/>
      </w:tblGrid>
      <w:tr w:rsidR="00C611D5" w14:paraId="1498BAC9" w14:textId="77777777">
        <w:trPr>
          <w:trHeight w:val="300"/>
        </w:trPr>
        <w:tc>
          <w:tcPr>
            <w:tcW w:w="780" w:type="dxa"/>
            <w:vAlign w:val="center"/>
          </w:tcPr>
          <w:p w14:paraId="35B327B9" w14:textId="77777777" w:rsidR="00C611D5" w:rsidRDefault="00000000">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序号</w:t>
            </w:r>
          </w:p>
        </w:tc>
        <w:tc>
          <w:tcPr>
            <w:tcW w:w="1342" w:type="dxa"/>
            <w:vAlign w:val="center"/>
          </w:tcPr>
          <w:p w14:paraId="3507BB93" w14:textId="77777777" w:rsidR="00C611D5" w:rsidRDefault="00000000">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场景攻关方向</w:t>
            </w:r>
          </w:p>
        </w:tc>
        <w:tc>
          <w:tcPr>
            <w:tcW w:w="5931" w:type="dxa"/>
            <w:vAlign w:val="center"/>
          </w:tcPr>
          <w:p w14:paraId="04B3C84E" w14:textId="77777777" w:rsidR="00C611D5" w:rsidRDefault="00000000">
            <w:pPr>
              <w:widowControl/>
              <w:jc w:val="center"/>
              <w:textAlignment w:val="center"/>
              <w:rPr>
                <w:rFonts w:ascii="仿宋_GB2312" w:eastAsia="仿宋_GB2312" w:hAnsi="仿宋_GB2312" w:cs="仿宋_GB2312"/>
                <w:b/>
                <w:bCs/>
                <w:color w:val="000000"/>
                <w:kern w:val="0"/>
                <w:sz w:val="24"/>
                <w:szCs w:val="24"/>
                <w:lang w:bidi="ar"/>
              </w:rPr>
            </w:pPr>
            <w:r>
              <w:rPr>
                <w:rFonts w:ascii="仿宋_GB2312" w:eastAsia="仿宋_GB2312" w:hAnsi="仿宋_GB2312" w:cs="仿宋_GB2312" w:hint="eastAsia"/>
                <w:b/>
                <w:bCs/>
                <w:color w:val="000000"/>
                <w:kern w:val="0"/>
                <w:sz w:val="24"/>
                <w:szCs w:val="24"/>
                <w:lang w:bidi="ar"/>
              </w:rPr>
              <w:t>场景描述</w:t>
            </w:r>
          </w:p>
        </w:tc>
        <w:tc>
          <w:tcPr>
            <w:tcW w:w="1296" w:type="dxa"/>
            <w:vAlign w:val="center"/>
          </w:tcPr>
          <w:p w14:paraId="0017F9E8" w14:textId="77777777" w:rsidR="00C611D5" w:rsidRDefault="00000000">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场景业主单位</w:t>
            </w:r>
          </w:p>
        </w:tc>
        <w:tc>
          <w:tcPr>
            <w:tcW w:w="1171" w:type="dxa"/>
            <w:vAlign w:val="center"/>
          </w:tcPr>
          <w:p w14:paraId="32DAFB25" w14:textId="77777777" w:rsidR="00C611D5" w:rsidRDefault="00000000">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联系人姓名</w:t>
            </w:r>
          </w:p>
        </w:tc>
        <w:tc>
          <w:tcPr>
            <w:tcW w:w="1265" w:type="dxa"/>
            <w:vAlign w:val="center"/>
          </w:tcPr>
          <w:p w14:paraId="15E18752" w14:textId="77777777" w:rsidR="00C611D5" w:rsidRDefault="00000000">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联系电话</w:t>
            </w:r>
          </w:p>
        </w:tc>
        <w:tc>
          <w:tcPr>
            <w:tcW w:w="2123" w:type="dxa"/>
            <w:vAlign w:val="center"/>
          </w:tcPr>
          <w:p w14:paraId="081123D8" w14:textId="77777777" w:rsidR="00C611D5" w:rsidRDefault="00000000">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电子邮箱</w:t>
            </w:r>
          </w:p>
        </w:tc>
      </w:tr>
      <w:tr w:rsidR="00C611D5" w14:paraId="7939ACD4" w14:textId="77777777">
        <w:trPr>
          <w:trHeight w:val="600"/>
        </w:trPr>
        <w:tc>
          <w:tcPr>
            <w:tcW w:w="780" w:type="dxa"/>
            <w:vAlign w:val="center"/>
          </w:tcPr>
          <w:p w14:paraId="42427607"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1</w:t>
            </w:r>
          </w:p>
        </w:tc>
        <w:tc>
          <w:tcPr>
            <w:tcW w:w="1342" w:type="dxa"/>
            <w:vAlign w:val="center"/>
          </w:tcPr>
          <w:p w14:paraId="0AB6CF8D"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大模型+“京办”政务办公智能化场景</w:t>
            </w:r>
          </w:p>
        </w:tc>
        <w:tc>
          <w:tcPr>
            <w:tcW w:w="5931" w:type="dxa"/>
            <w:vAlign w:val="center"/>
          </w:tcPr>
          <w:p w14:paraId="22450202" w14:textId="77777777" w:rsidR="00C611D5" w:rsidRDefault="00000000">
            <w:pPr>
              <w:widowControl/>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应用大模型技术建立“智慧办公助手”，以“京办”为服务入口，基于指令识别+指令编排，为“京办”平台提供先进的AI技术支持，提供政务办公场景所需的辅助决策、智能问答、消息摘要、知识推荐和检索、文件辅助处理等知识辅助特色服务，提升办公人员知识获取效率，实现主动获取+智能推荐一体，满足全知、全能、全面的政务办公知识需求。</w:t>
            </w:r>
          </w:p>
        </w:tc>
        <w:tc>
          <w:tcPr>
            <w:tcW w:w="1296" w:type="dxa"/>
            <w:vAlign w:val="center"/>
          </w:tcPr>
          <w:p w14:paraId="4C6AB987"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北京市经济和信息化局</w:t>
            </w:r>
          </w:p>
        </w:tc>
        <w:tc>
          <w:tcPr>
            <w:tcW w:w="1171" w:type="dxa"/>
            <w:vAlign w:val="center"/>
          </w:tcPr>
          <w:p w14:paraId="355C4FBA"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赵婉</w:t>
            </w:r>
          </w:p>
        </w:tc>
        <w:tc>
          <w:tcPr>
            <w:tcW w:w="1265" w:type="dxa"/>
            <w:vAlign w:val="center"/>
          </w:tcPr>
          <w:p w14:paraId="316B6AB0" w14:textId="77777777" w:rsidR="00C611D5" w:rsidRDefault="00000000">
            <w:pPr>
              <w:widowControl/>
              <w:jc w:val="center"/>
              <w:textAlignment w:val="center"/>
              <w:rPr>
                <w:rFonts w:ascii="仿宋_GB2312" w:eastAsia="仿宋_GB2312" w:hAnsi="仿宋_GB2312" w:cs="仿宋_GB2312"/>
                <w:color w:val="000000"/>
                <w:sz w:val="24"/>
                <w:szCs w:val="24"/>
                <w:u w:val="single"/>
              </w:rPr>
            </w:pPr>
            <w:r>
              <w:rPr>
                <w:rFonts w:ascii="仿宋_GB2312" w:eastAsia="仿宋_GB2312" w:hAnsi="仿宋_GB2312" w:cs="仿宋_GB2312" w:hint="eastAsia"/>
                <w:color w:val="000000"/>
                <w:kern w:val="0"/>
                <w:sz w:val="24"/>
                <w:szCs w:val="24"/>
                <w:lang w:bidi="ar"/>
              </w:rPr>
              <w:t>13671158610</w:t>
            </w:r>
          </w:p>
        </w:tc>
        <w:tc>
          <w:tcPr>
            <w:tcW w:w="2123" w:type="dxa"/>
            <w:vAlign w:val="center"/>
          </w:tcPr>
          <w:p w14:paraId="00E8ACCC"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zhaowan@jxj.beijing.gov.cn</w:t>
            </w:r>
          </w:p>
        </w:tc>
      </w:tr>
      <w:tr w:rsidR="00C611D5" w14:paraId="06E5C5B5" w14:textId="77777777">
        <w:trPr>
          <w:trHeight w:val="600"/>
        </w:trPr>
        <w:tc>
          <w:tcPr>
            <w:tcW w:w="780" w:type="dxa"/>
            <w:vAlign w:val="center"/>
          </w:tcPr>
          <w:p w14:paraId="34A82CFD"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2</w:t>
            </w:r>
          </w:p>
        </w:tc>
        <w:tc>
          <w:tcPr>
            <w:tcW w:w="1342" w:type="dxa"/>
            <w:vAlign w:val="center"/>
          </w:tcPr>
          <w:p w14:paraId="32D2C18C"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大模型+产业知识图谱构建及智能化分析场景</w:t>
            </w:r>
          </w:p>
        </w:tc>
        <w:tc>
          <w:tcPr>
            <w:tcW w:w="5931" w:type="dxa"/>
            <w:vAlign w:val="center"/>
          </w:tcPr>
          <w:p w14:paraId="5A57F751" w14:textId="77777777" w:rsidR="00C611D5" w:rsidRDefault="00000000">
            <w:pPr>
              <w:widowControl/>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依托大模型知识管理能力，整合多源数据，实现智能分析、分类、匹配、检索，简化知识提炼流程，降低人工进行知识加工的成本，并以最适合有效的方式存储知识，包括但不限于关系型数据库（二维表知识）、图数据库（知识图谱）、向量数据库（非结构化文档或问答库）等多种形式；跟踪国内外产业经济发展动态，聚焦热点问题，形成连续、多维度、可自洽的研究资源池，支持利用多</w:t>
            </w:r>
            <w:proofErr w:type="gramStart"/>
            <w:r>
              <w:rPr>
                <w:rFonts w:ascii="仿宋_GB2312" w:eastAsia="仿宋_GB2312" w:hAnsi="仿宋_GB2312" w:cs="仿宋_GB2312" w:hint="eastAsia"/>
                <w:color w:val="000000"/>
                <w:kern w:val="0"/>
                <w:sz w:val="24"/>
                <w:szCs w:val="24"/>
              </w:rPr>
              <w:t>源数据</w:t>
            </w:r>
            <w:proofErr w:type="gramEnd"/>
            <w:r>
              <w:rPr>
                <w:rFonts w:ascii="仿宋_GB2312" w:eastAsia="仿宋_GB2312" w:hAnsi="仿宋_GB2312" w:cs="仿宋_GB2312" w:hint="eastAsia"/>
                <w:color w:val="000000"/>
                <w:kern w:val="0"/>
                <w:sz w:val="24"/>
                <w:szCs w:val="24"/>
              </w:rPr>
              <w:t>对大模型进行微调训练，得到效果更优的产业知识相关领域大模型；利用大模型结合多种类型知识库进行知识问答和</w:t>
            </w:r>
            <w:proofErr w:type="gramStart"/>
            <w:r>
              <w:rPr>
                <w:rFonts w:ascii="仿宋_GB2312" w:eastAsia="仿宋_GB2312" w:hAnsi="仿宋_GB2312" w:cs="仿宋_GB2312" w:hint="eastAsia"/>
                <w:color w:val="000000"/>
                <w:kern w:val="0"/>
                <w:sz w:val="24"/>
                <w:szCs w:val="24"/>
              </w:rPr>
              <w:t>研报</w:t>
            </w:r>
            <w:proofErr w:type="gramEnd"/>
            <w:r>
              <w:rPr>
                <w:rFonts w:ascii="仿宋_GB2312" w:eastAsia="仿宋_GB2312" w:hAnsi="仿宋_GB2312" w:cs="仿宋_GB2312" w:hint="eastAsia"/>
                <w:color w:val="000000"/>
                <w:kern w:val="0"/>
                <w:sz w:val="24"/>
                <w:szCs w:val="24"/>
              </w:rPr>
              <w:t>生成，提升效率；</w:t>
            </w:r>
            <w:proofErr w:type="gramStart"/>
            <w:r>
              <w:rPr>
                <w:rFonts w:ascii="仿宋_GB2312" w:eastAsia="仿宋_GB2312" w:hAnsi="仿宋_GB2312" w:cs="仿宋_GB2312" w:hint="eastAsia"/>
                <w:color w:val="000000"/>
                <w:kern w:val="0"/>
                <w:sz w:val="24"/>
                <w:szCs w:val="24"/>
              </w:rPr>
              <w:t>支持信</w:t>
            </w:r>
            <w:r>
              <w:rPr>
                <w:rFonts w:ascii="仿宋_GB2312" w:eastAsia="仿宋_GB2312" w:hAnsi="仿宋_GB2312" w:cs="仿宋_GB2312" w:hint="eastAsia"/>
                <w:color w:val="000000"/>
                <w:kern w:val="0"/>
                <w:sz w:val="24"/>
                <w:szCs w:val="24"/>
              </w:rPr>
              <w:lastRenderedPageBreak/>
              <w:t>创</w:t>
            </w:r>
            <w:proofErr w:type="gramEnd"/>
            <w:r>
              <w:rPr>
                <w:rFonts w:ascii="仿宋_GB2312" w:eastAsia="仿宋_GB2312" w:hAnsi="仿宋_GB2312" w:cs="仿宋_GB2312" w:hint="eastAsia"/>
                <w:color w:val="000000"/>
                <w:kern w:val="0"/>
                <w:sz w:val="24"/>
                <w:szCs w:val="24"/>
              </w:rPr>
              <w:t>环境、国产化数据库，可使用国产化GPU进行大模型推理。</w:t>
            </w:r>
          </w:p>
        </w:tc>
        <w:tc>
          <w:tcPr>
            <w:tcW w:w="1296" w:type="dxa"/>
            <w:vAlign w:val="center"/>
          </w:tcPr>
          <w:p w14:paraId="7BB7C7FF"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lastRenderedPageBreak/>
              <w:t>北京市产业经济研究中心</w:t>
            </w:r>
          </w:p>
        </w:tc>
        <w:tc>
          <w:tcPr>
            <w:tcW w:w="1171" w:type="dxa"/>
            <w:vAlign w:val="center"/>
          </w:tcPr>
          <w:p w14:paraId="54807F37" w14:textId="77777777" w:rsidR="00C611D5" w:rsidRDefault="00000000">
            <w:pPr>
              <w:widowControl/>
              <w:spacing w:line="400" w:lineRule="exact"/>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rPr>
              <w:t>薛健</w:t>
            </w:r>
          </w:p>
        </w:tc>
        <w:tc>
          <w:tcPr>
            <w:tcW w:w="1265" w:type="dxa"/>
            <w:vAlign w:val="center"/>
          </w:tcPr>
          <w:p w14:paraId="609D4B4D" w14:textId="77777777" w:rsidR="00C611D5" w:rsidRDefault="00000000">
            <w:pPr>
              <w:widowControl/>
              <w:spacing w:line="400" w:lineRule="exact"/>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rPr>
              <w:t>64028913</w:t>
            </w:r>
          </w:p>
        </w:tc>
        <w:tc>
          <w:tcPr>
            <w:tcW w:w="2123" w:type="dxa"/>
            <w:vAlign w:val="center"/>
          </w:tcPr>
          <w:p w14:paraId="0D5EBF83"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rPr>
              <w:t>xuejian@jxj.beijing.gov.cn</w:t>
            </w:r>
          </w:p>
        </w:tc>
      </w:tr>
      <w:tr w:rsidR="00C611D5" w14:paraId="76C63E51" w14:textId="77777777">
        <w:trPr>
          <w:trHeight w:val="900"/>
        </w:trPr>
        <w:tc>
          <w:tcPr>
            <w:tcW w:w="780" w:type="dxa"/>
            <w:vAlign w:val="center"/>
          </w:tcPr>
          <w:p w14:paraId="37DE5E50"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3</w:t>
            </w:r>
          </w:p>
        </w:tc>
        <w:tc>
          <w:tcPr>
            <w:tcW w:w="1342" w:type="dxa"/>
            <w:vAlign w:val="center"/>
          </w:tcPr>
          <w:p w14:paraId="68D4E752"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工业经济运行态势感知与智能预测场景</w:t>
            </w:r>
          </w:p>
        </w:tc>
        <w:tc>
          <w:tcPr>
            <w:tcW w:w="5931" w:type="dxa"/>
            <w:vAlign w:val="center"/>
          </w:tcPr>
          <w:p w14:paraId="4ABB20D6" w14:textId="77777777" w:rsidR="00C611D5" w:rsidRDefault="00000000">
            <w:pPr>
              <w:widowControl/>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建设基于大模型技术的工业和信息软件业经济运行态势感知与智能预测分析场景，围绕经济运行态势</w:t>
            </w:r>
            <w:proofErr w:type="gramStart"/>
            <w:r>
              <w:rPr>
                <w:rFonts w:ascii="仿宋_GB2312" w:eastAsia="仿宋_GB2312" w:hAnsi="仿宋_GB2312" w:cs="仿宋_GB2312" w:hint="eastAsia"/>
                <w:kern w:val="0"/>
                <w:sz w:val="24"/>
                <w:szCs w:val="24"/>
              </w:rPr>
              <w:t>研</w:t>
            </w:r>
            <w:proofErr w:type="gramEnd"/>
            <w:r>
              <w:rPr>
                <w:rFonts w:ascii="仿宋_GB2312" w:eastAsia="仿宋_GB2312" w:hAnsi="仿宋_GB2312" w:cs="仿宋_GB2312" w:hint="eastAsia"/>
                <w:kern w:val="0"/>
                <w:sz w:val="24"/>
                <w:szCs w:val="24"/>
              </w:rPr>
              <w:t>判准确性低，对调度决策支撑度低、个性化分析能力支撑不足等问题，融合应用大数据、大模型等相关技术，面向经济运行感知、实时预测及风险预警场景，研发形成符合工业和信息软件业经济运行预测场景需要的多源异构混频大数据预测预警模型集，落地一套通用的工业和信息软件业经济运行预测场景解决方案。</w:t>
            </w:r>
          </w:p>
        </w:tc>
        <w:tc>
          <w:tcPr>
            <w:tcW w:w="1296" w:type="dxa"/>
            <w:vAlign w:val="center"/>
          </w:tcPr>
          <w:p w14:paraId="07E788BD"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北京市经济和信息化局</w:t>
            </w:r>
          </w:p>
        </w:tc>
        <w:tc>
          <w:tcPr>
            <w:tcW w:w="1171" w:type="dxa"/>
            <w:vAlign w:val="center"/>
          </w:tcPr>
          <w:p w14:paraId="587569B7"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伊</w:t>
            </w:r>
            <w:proofErr w:type="gramStart"/>
            <w:r>
              <w:rPr>
                <w:rFonts w:ascii="仿宋_GB2312" w:eastAsia="仿宋_GB2312" w:hAnsi="仿宋_GB2312" w:cs="仿宋_GB2312" w:hint="eastAsia"/>
                <w:color w:val="000000"/>
                <w:kern w:val="0"/>
                <w:sz w:val="24"/>
                <w:szCs w:val="24"/>
                <w:lang w:bidi="ar"/>
              </w:rPr>
              <w:t>喆</w:t>
            </w:r>
            <w:proofErr w:type="gramEnd"/>
          </w:p>
        </w:tc>
        <w:tc>
          <w:tcPr>
            <w:tcW w:w="1265" w:type="dxa"/>
            <w:vAlign w:val="center"/>
          </w:tcPr>
          <w:p w14:paraId="2B656E05"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rPr>
              <w:t>55578158</w:t>
            </w:r>
          </w:p>
        </w:tc>
        <w:tc>
          <w:tcPr>
            <w:tcW w:w="2123" w:type="dxa"/>
            <w:vAlign w:val="center"/>
          </w:tcPr>
          <w:p w14:paraId="6D3A75CE"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yizhe@jxj.beijing.gov.cn</w:t>
            </w:r>
          </w:p>
        </w:tc>
      </w:tr>
      <w:tr w:rsidR="00C611D5" w14:paraId="0E2816C5" w14:textId="77777777">
        <w:trPr>
          <w:trHeight w:val="900"/>
        </w:trPr>
        <w:tc>
          <w:tcPr>
            <w:tcW w:w="780" w:type="dxa"/>
            <w:vAlign w:val="center"/>
          </w:tcPr>
          <w:p w14:paraId="2E51AB94"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4</w:t>
            </w:r>
          </w:p>
        </w:tc>
        <w:tc>
          <w:tcPr>
            <w:tcW w:w="1342" w:type="dxa"/>
            <w:vAlign w:val="center"/>
          </w:tcPr>
          <w:p w14:paraId="0E3013E0"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基于国产</w:t>
            </w:r>
            <w:proofErr w:type="gramStart"/>
            <w:r>
              <w:rPr>
                <w:rFonts w:ascii="仿宋_GB2312" w:eastAsia="仿宋_GB2312" w:hAnsi="仿宋_GB2312" w:cs="仿宋_GB2312" w:hint="eastAsia"/>
                <w:color w:val="000000"/>
                <w:kern w:val="0"/>
                <w:sz w:val="24"/>
                <w:szCs w:val="24"/>
                <w:lang w:bidi="ar"/>
              </w:rPr>
              <w:t>可信算力的</w:t>
            </w:r>
            <w:proofErr w:type="gramEnd"/>
            <w:r>
              <w:rPr>
                <w:rFonts w:ascii="仿宋_GB2312" w:eastAsia="仿宋_GB2312" w:hAnsi="仿宋_GB2312" w:cs="仿宋_GB2312" w:hint="eastAsia"/>
                <w:color w:val="000000"/>
                <w:kern w:val="0"/>
                <w:sz w:val="24"/>
                <w:szCs w:val="24"/>
                <w:lang w:bidi="ar"/>
              </w:rPr>
              <w:t>城市治理视频大模型全域智能训练场景</w:t>
            </w:r>
          </w:p>
        </w:tc>
        <w:tc>
          <w:tcPr>
            <w:tcW w:w="5931" w:type="dxa"/>
            <w:vAlign w:val="center"/>
          </w:tcPr>
          <w:p w14:paraId="65773A4F" w14:textId="77777777" w:rsidR="00C611D5" w:rsidRDefault="00000000">
            <w:pPr>
              <w:widowControl/>
              <w:jc w:val="left"/>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围绕视频分析高度依赖人工鉴别、算法开发成本高、效率低、场景单一、视频资源利用水平</w:t>
            </w:r>
            <w:proofErr w:type="gramStart"/>
            <w:r>
              <w:rPr>
                <w:rFonts w:ascii="仿宋_GB2312" w:eastAsia="仿宋_GB2312" w:hAnsi="仿宋_GB2312" w:cs="仿宋_GB2312" w:hint="eastAsia"/>
                <w:kern w:val="0"/>
                <w:sz w:val="24"/>
                <w:szCs w:val="24"/>
              </w:rPr>
              <w:t>不</w:t>
            </w:r>
            <w:proofErr w:type="gramEnd"/>
            <w:r>
              <w:rPr>
                <w:rFonts w:ascii="仿宋_GB2312" w:eastAsia="仿宋_GB2312" w:hAnsi="仿宋_GB2312" w:cs="仿宋_GB2312" w:hint="eastAsia"/>
                <w:kern w:val="0"/>
                <w:sz w:val="24"/>
                <w:szCs w:val="24"/>
              </w:rPr>
              <w:t>高等问题，建设基于大模型技术的城市影像视频智能分析场景，重点攻关大体量视频综合分析技术突破及工程化应用，探索融合国产</w:t>
            </w:r>
            <w:proofErr w:type="gramStart"/>
            <w:r>
              <w:rPr>
                <w:rFonts w:ascii="仿宋_GB2312" w:eastAsia="仿宋_GB2312" w:hAnsi="仿宋_GB2312" w:cs="仿宋_GB2312" w:hint="eastAsia"/>
                <w:kern w:val="0"/>
                <w:sz w:val="24"/>
                <w:szCs w:val="24"/>
              </w:rPr>
              <w:t>可信算力</w:t>
            </w:r>
            <w:proofErr w:type="gramEnd"/>
            <w:r>
              <w:rPr>
                <w:rFonts w:ascii="仿宋_GB2312" w:eastAsia="仿宋_GB2312" w:hAnsi="仿宋_GB2312" w:cs="仿宋_GB2312" w:hint="eastAsia"/>
                <w:kern w:val="0"/>
                <w:sz w:val="24"/>
                <w:szCs w:val="24"/>
              </w:rPr>
              <w:t>+自主大模型+高质政务数据的</w:t>
            </w:r>
            <w:proofErr w:type="gramStart"/>
            <w:r>
              <w:rPr>
                <w:rFonts w:ascii="仿宋_GB2312" w:eastAsia="仿宋_GB2312" w:hAnsi="仿宋_GB2312" w:cs="仿宋_GB2312" w:hint="eastAsia"/>
                <w:kern w:val="0"/>
                <w:sz w:val="24"/>
                <w:szCs w:val="24"/>
              </w:rPr>
              <w:t>首都超</w:t>
            </w:r>
            <w:proofErr w:type="gramEnd"/>
            <w:r>
              <w:rPr>
                <w:rFonts w:ascii="仿宋_GB2312" w:eastAsia="仿宋_GB2312" w:hAnsi="仿宋_GB2312" w:cs="仿宋_GB2312" w:hint="eastAsia"/>
                <w:kern w:val="0"/>
                <w:sz w:val="24"/>
                <w:szCs w:val="24"/>
              </w:rPr>
              <w:t>大城市治理视频大模型组件，实现基于视频流的审批、监管等跨部门协同联动，率先在城市治理事件领域，开展技术应用试点验证，实现对全域接入摄像头的全场景算法分析，突破一头多用，基于场景落地形成一套国产化视频大模型城市治理事件综合自动巡检产品。</w:t>
            </w:r>
          </w:p>
        </w:tc>
        <w:tc>
          <w:tcPr>
            <w:tcW w:w="1296" w:type="dxa"/>
            <w:vAlign w:val="center"/>
          </w:tcPr>
          <w:p w14:paraId="2A04E2E9"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北京经济技术开发区、北京市城市管理委员会</w:t>
            </w:r>
          </w:p>
        </w:tc>
        <w:tc>
          <w:tcPr>
            <w:tcW w:w="1171" w:type="dxa"/>
            <w:vAlign w:val="center"/>
          </w:tcPr>
          <w:p w14:paraId="1881C1F0"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kern w:val="0"/>
                <w:sz w:val="24"/>
                <w:szCs w:val="24"/>
              </w:rPr>
              <w:t>罗珺</w:t>
            </w:r>
          </w:p>
        </w:tc>
        <w:tc>
          <w:tcPr>
            <w:tcW w:w="1265" w:type="dxa"/>
            <w:vAlign w:val="center"/>
          </w:tcPr>
          <w:p w14:paraId="44F9DDFE"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kern w:val="0"/>
                <w:sz w:val="24"/>
                <w:szCs w:val="24"/>
              </w:rPr>
              <w:t>67880397</w:t>
            </w:r>
          </w:p>
        </w:tc>
        <w:tc>
          <w:tcPr>
            <w:tcW w:w="2123" w:type="dxa"/>
            <w:vAlign w:val="center"/>
          </w:tcPr>
          <w:p w14:paraId="40C62FE4"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kern w:val="0"/>
                <w:sz w:val="24"/>
                <w:szCs w:val="24"/>
              </w:rPr>
              <w:t>luojun@bda.gov.cn</w:t>
            </w:r>
          </w:p>
        </w:tc>
      </w:tr>
      <w:tr w:rsidR="00C611D5" w14:paraId="74522964" w14:textId="77777777">
        <w:trPr>
          <w:trHeight w:val="900"/>
        </w:trPr>
        <w:tc>
          <w:tcPr>
            <w:tcW w:w="780" w:type="dxa"/>
            <w:vAlign w:val="center"/>
          </w:tcPr>
          <w:p w14:paraId="32FE4E59"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5</w:t>
            </w:r>
          </w:p>
        </w:tc>
        <w:tc>
          <w:tcPr>
            <w:tcW w:w="1342" w:type="dxa"/>
            <w:vAlign w:val="center"/>
          </w:tcPr>
          <w:p w14:paraId="61106A72" w14:textId="77777777" w:rsidR="00C611D5" w:rsidRDefault="00000000">
            <w:pPr>
              <w:widowControl/>
              <w:jc w:val="center"/>
              <w:textAlignment w:val="center"/>
              <w:rPr>
                <w:rFonts w:ascii="仿宋_GB2312" w:eastAsia="仿宋_GB2312" w:hAnsi="仿宋_GB2312" w:cs="仿宋_GB2312"/>
                <w:color w:val="000000"/>
                <w:sz w:val="24"/>
                <w:szCs w:val="24"/>
              </w:rPr>
            </w:pPr>
            <w:proofErr w:type="gramStart"/>
            <w:r>
              <w:rPr>
                <w:rFonts w:ascii="仿宋_GB2312" w:eastAsia="仿宋_GB2312" w:hAnsi="仿宋_GB2312" w:cs="仿宋_GB2312" w:hint="eastAsia"/>
                <w:color w:val="000000"/>
                <w:kern w:val="0"/>
                <w:sz w:val="24"/>
                <w:szCs w:val="24"/>
                <w:lang w:bidi="ar"/>
              </w:rPr>
              <w:t>渣土车跨区域</w:t>
            </w:r>
            <w:proofErr w:type="gramEnd"/>
            <w:r>
              <w:rPr>
                <w:rFonts w:ascii="仿宋_GB2312" w:eastAsia="仿宋_GB2312" w:hAnsi="仿宋_GB2312" w:cs="仿宋_GB2312" w:hint="eastAsia"/>
                <w:color w:val="000000"/>
                <w:kern w:val="0"/>
                <w:sz w:val="24"/>
                <w:szCs w:val="24"/>
                <w:lang w:bidi="ar"/>
              </w:rPr>
              <w:t>协同治理场景</w:t>
            </w:r>
          </w:p>
        </w:tc>
        <w:tc>
          <w:tcPr>
            <w:tcW w:w="5931" w:type="dxa"/>
            <w:vAlign w:val="center"/>
          </w:tcPr>
          <w:p w14:paraId="4DD08782" w14:textId="77777777" w:rsidR="00C611D5" w:rsidRDefault="00000000">
            <w:pPr>
              <w:widowControl/>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建设基于智慧城市视频感知体系的</w:t>
            </w:r>
            <w:proofErr w:type="gramStart"/>
            <w:r>
              <w:rPr>
                <w:rFonts w:ascii="仿宋_GB2312" w:eastAsia="仿宋_GB2312" w:hAnsi="仿宋_GB2312" w:cs="仿宋_GB2312" w:hint="eastAsia"/>
                <w:kern w:val="0"/>
                <w:sz w:val="24"/>
                <w:szCs w:val="24"/>
              </w:rPr>
              <w:t>渣土车跨区域</w:t>
            </w:r>
            <w:proofErr w:type="gramEnd"/>
            <w:r>
              <w:rPr>
                <w:rFonts w:ascii="仿宋_GB2312" w:eastAsia="仿宋_GB2312" w:hAnsi="仿宋_GB2312" w:cs="仿宋_GB2312" w:hint="eastAsia"/>
                <w:kern w:val="0"/>
                <w:sz w:val="24"/>
                <w:szCs w:val="24"/>
              </w:rPr>
              <w:t>协同治理场景，围绕当前</w:t>
            </w:r>
            <w:proofErr w:type="gramStart"/>
            <w:r>
              <w:rPr>
                <w:rFonts w:ascii="仿宋_GB2312" w:eastAsia="仿宋_GB2312" w:hAnsi="仿宋_GB2312" w:cs="仿宋_GB2312" w:hint="eastAsia"/>
                <w:kern w:val="0"/>
                <w:sz w:val="24"/>
                <w:szCs w:val="24"/>
              </w:rPr>
              <w:t>渣土车跨区域</w:t>
            </w:r>
            <w:proofErr w:type="gramEnd"/>
            <w:r>
              <w:rPr>
                <w:rFonts w:ascii="仿宋_GB2312" w:eastAsia="仿宋_GB2312" w:hAnsi="仿宋_GB2312" w:cs="仿宋_GB2312" w:hint="eastAsia"/>
                <w:kern w:val="0"/>
                <w:sz w:val="24"/>
                <w:szCs w:val="24"/>
              </w:rPr>
              <w:t>、跨部门联动治理中面临的“黑车”、遗撒、虚假运单、非法倾倒等问题，开展渣土</w:t>
            </w:r>
            <w:proofErr w:type="gramStart"/>
            <w:r>
              <w:rPr>
                <w:rFonts w:ascii="仿宋_GB2312" w:eastAsia="仿宋_GB2312" w:hAnsi="仿宋_GB2312" w:cs="仿宋_GB2312" w:hint="eastAsia"/>
                <w:kern w:val="0"/>
                <w:sz w:val="24"/>
                <w:szCs w:val="24"/>
              </w:rPr>
              <w:t>车相关</w:t>
            </w:r>
            <w:proofErr w:type="gramEnd"/>
            <w:r>
              <w:rPr>
                <w:rFonts w:ascii="仿宋_GB2312" w:eastAsia="仿宋_GB2312" w:hAnsi="仿宋_GB2312" w:cs="仿宋_GB2312" w:hint="eastAsia"/>
                <w:kern w:val="0"/>
                <w:sz w:val="24"/>
                <w:szCs w:val="24"/>
              </w:rPr>
              <w:t>视频感知算法标准化适配、</w:t>
            </w:r>
            <w:proofErr w:type="gramStart"/>
            <w:r>
              <w:rPr>
                <w:rFonts w:ascii="仿宋_GB2312" w:eastAsia="仿宋_GB2312" w:hAnsi="仿宋_GB2312" w:cs="仿宋_GB2312" w:hint="eastAsia"/>
                <w:kern w:val="0"/>
                <w:sz w:val="24"/>
                <w:szCs w:val="24"/>
              </w:rPr>
              <w:t>算力统筹</w:t>
            </w:r>
            <w:proofErr w:type="gramEnd"/>
            <w:r>
              <w:rPr>
                <w:rFonts w:ascii="仿宋_GB2312" w:eastAsia="仿宋_GB2312" w:hAnsi="仿宋_GB2312" w:cs="仿宋_GB2312" w:hint="eastAsia"/>
                <w:kern w:val="0"/>
                <w:sz w:val="24"/>
                <w:szCs w:val="24"/>
              </w:rPr>
              <w:t>，实现市、区视觉感知算法和数据联动；建设全市级别的渣土</w:t>
            </w:r>
            <w:proofErr w:type="gramStart"/>
            <w:r>
              <w:rPr>
                <w:rFonts w:ascii="仿宋_GB2312" w:eastAsia="仿宋_GB2312" w:hAnsi="仿宋_GB2312" w:cs="仿宋_GB2312" w:hint="eastAsia"/>
                <w:kern w:val="0"/>
                <w:sz w:val="24"/>
                <w:szCs w:val="24"/>
              </w:rPr>
              <w:t>车治理</w:t>
            </w:r>
            <w:proofErr w:type="gramEnd"/>
            <w:r>
              <w:rPr>
                <w:rFonts w:ascii="仿宋_GB2312" w:eastAsia="仿宋_GB2312" w:hAnsi="仿宋_GB2312" w:cs="仿宋_GB2312" w:hint="eastAsia"/>
                <w:kern w:val="0"/>
                <w:sz w:val="24"/>
                <w:szCs w:val="24"/>
              </w:rPr>
              <w:t>感知专题库，实现市区数据共享，并率先在2个区开展跨区域协同治理试点，实现全市域级别的渣土车违法、违规行为智能识别、综合</w:t>
            </w:r>
            <w:proofErr w:type="gramStart"/>
            <w:r>
              <w:rPr>
                <w:rFonts w:ascii="仿宋_GB2312" w:eastAsia="仿宋_GB2312" w:hAnsi="仿宋_GB2312" w:cs="仿宋_GB2312" w:hint="eastAsia"/>
                <w:kern w:val="0"/>
                <w:sz w:val="24"/>
                <w:szCs w:val="24"/>
              </w:rPr>
              <w:t>研</w:t>
            </w:r>
            <w:proofErr w:type="gramEnd"/>
            <w:r>
              <w:rPr>
                <w:rFonts w:ascii="仿宋_GB2312" w:eastAsia="仿宋_GB2312" w:hAnsi="仿宋_GB2312" w:cs="仿宋_GB2312" w:hint="eastAsia"/>
                <w:kern w:val="0"/>
                <w:sz w:val="24"/>
                <w:szCs w:val="24"/>
              </w:rPr>
              <w:t>判。</w:t>
            </w:r>
          </w:p>
        </w:tc>
        <w:tc>
          <w:tcPr>
            <w:tcW w:w="1296" w:type="dxa"/>
            <w:vAlign w:val="center"/>
          </w:tcPr>
          <w:p w14:paraId="53EB55E0"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北京市经济和信息化局、北京市城市管理委员会</w:t>
            </w:r>
          </w:p>
        </w:tc>
        <w:tc>
          <w:tcPr>
            <w:tcW w:w="1171" w:type="dxa"/>
            <w:vAlign w:val="center"/>
          </w:tcPr>
          <w:p w14:paraId="064A4F71"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rPr>
              <w:t>梁玉晨</w:t>
            </w:r>
          </w:p>
        </w:tc>
        <w:tc>
          <w:tcPr>
            <w:tcW w:w="1265" w:type="dxa"/>
            <w:vAlign w:val="center"/>
          </w:tcPr>
          <w:p w14:paraId="6BD64617" w14:textId="77777777" w:rsidR="00C611D5" w:rsidRDefault="00000000">
            <w:pPr>
              <w:widowControl/>
              <w:spacing w:line="400" w:lineRule="exact"/>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rPr>
              <w:t>13146052522</w:t>
            </w:r>
          </w:p>
        </w:tc>
        <w:tc>
          <w:tcPr>
            <w:tcW w:w="2123" w:type="dxa"/>
            <w:vAlign w:val="center"/>
          </w:tcPr>
          <w:p w14:paraId="164BC85C"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rPr>
              <w:t>liangyuchen@jxj.beijing.gov.cn</w:t>
            </w:r>
          </w:p>
        </w:tc>
      </w:tr>
      <w:tr w:rsidR="00C611D5" w14:paraId="3EBB6540" w14:textId="77777777">
        <w:trPr>
          <w:trHeight w:val="840"/>
        </w:trPr>
        <w:tc>
          <w:tcPr>
            <w:tcW w:w="780" w:type="dxa"/>
            <w:vAlign w:val="center"/>
          </w:tcPr>
          <w:p w14:paraId="0F0AD578"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6</w:t>
            </w:r>
          </w:p>
        </w:tc>
        <w:tc>
          <w:tcPr>
            <w:tcW w:w="1342" w:type="dxa"/>
            <w:vAlign w:val="center"/>
          </w:tcPr>
          <w:p w14:paraId="2DAC250D"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大流量客流智能监测场景</w:t>
            </w:r>
          </w:p>
        </w:tc>
        <w:tc>
          <w:tcPr>
            <w:tcW w:w="5931" w:type="dxa"/>
            <w:vAlign w:val="center"/>
          </w:tcPr>
          <w:p w14:paraId="40163000" w14:textId="77777777" w:rsidR="00C611D5" w:rsidRDefault="00000000">
            <w:pPr>
              <w:widowControl/>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建设基于视频图像分析的重点站区大流量客流智能监测场景，围绕北京重点站区、轨道交通等重点场站客流监测视频数据人工查阅难度大、智能分析处理能力不足、重点人群和事件自动预警能力不足等问题，应用机器视觉、智能分析、检索对比等技术建立重点站区客流智能监测解决方案，形成多维度融合的大流量客流监测分析模型。实现重点站区大客流精准预警、快速响应、高效调度，提升客流疏导反应速度和处置效率。</w:t>
            </w:r>
          </w:p>
        </w:tc>
        <w:tc>
          <w:tcPr>
            <w:tcW w:w="1296" w:type="dxa"/>
            <w:vAlign w:val="center"/>
          </w:tcPr>
          <w:p w14:paraId="2E3C4665"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北京市重点站区管理委员会</w:t>
            </w:r>
          </w:p>
        </w:tc>
        <w:tc>
          <w:tcPr>
            <w:tcW w:w="1171" w:type="dxa"/>
            <w:vAlign w:val="center"/>
          </w:tcPr>
          <w:p w14:paraId="596554BA"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刘香萍</w:t>
            </w:r>
          </w:p>
        </w:tc>
        <w:tc>
          <w:tcPr>
            <w:tcW w:w="1265" w:type="dxa"/>
            <w:vAlign w:val="center"/>
          </w:tcPr>
          <w:p w14:paraId="1F703AB7"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63457292</w:t>
            </w:r>
          </w:p>
        </w:tc>
        <w:tc>
          <w:tcPr>
            <w:tcW w:w="2123" w:type="dxa"/>
            <w:vAlign w:val="center"/>
          </w:tcPr>
          <w:p w14:paraId="2F893B79"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liuxiangping@zdzqgw.beijing.gov.cn</w:t>
            </w:r>
          </w:p>
        </w:tc>
      </w:tr>
      <w:tr w:rsidR="00C611D5" w14:paraId="4E16A1AE" w14:textId="77777777">
        <w:trPr>
          <w:trHeight w:val="900"/>
        </w:trPr>
        <w:tc>
          <w:tcPr>
            <w:tcW w:w="780" w:type="dxa"/>
            <w:vAlign w:val="center"/>
          </w:tcPr>
          <w:p w14:paraId="36282F5A"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7</w:t>
            </w:r>
          </w:p>
        </w:tc>
        <w:tc>
          <w:tcPr>
            <w:tcW w:w="1342" w:type="dxa"/>
            <w:vAlign w:val="center"/>
          </w:tcPr>
          <w:p w14:paraId="3EAD6723"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天空地一体化动植物栖息地智慧保护应用场景</w:t>
            </w:r>
          </w:p>
        </w:tc>
        <w:tc>
          <w:tcPr>
            <w:tcW w:w="5931" w:type="dxa"/>
            <w:vAlign w:val="center"/>
          </w:tcPr>
          <w:p w14:paraId="1D5A8295" w14:textId="77777777" w:rsidR="00C611D5" w:rsidRDefault="00000000">
            <w:pPr>
              <w:widowControl/>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建设天空地一体化动植物栖息地智慧保护场景，围绕湿地公园、园林生态体系动植物监测中动植物巡护救助不及时、栖息地生态状况分析缺失等问题，以北京市翠湖国家湿地公园为试点，应用卫星遥感、物联网、人工智能、大模型等技术，搭建野生动植物及栖息地立体监测与智能分析平台，建立鸟类迁徙、候鸟识别、生境变化预测、病虫害防治、生物多样性识别等算法模型，实现保护区生态现状智能分析及可视化展示，提升保护区动植物巡护、救助信息上报等野生动植物保护工作效率，提升野生动植物栖息地生态环境精准保护能力。</w:t>
            </w:r>
          </w:p>
        </w:tc>
        <w:tc>
          <w:tcPr>
            <w:tcW w:w="1296" w:type="dxa"/>
            <w:vAlign w:val="center"/>
          </w:tcPr>
          <w:p w14:paraId="345051F1"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北京市园林</w:t>
            </w:r>
            <w:proofErr w:type="gramStart"/>
            <w:r>
              <w:rPr>
                <w:rFonts w:ascii="仿宋_GB2312" w:eastAsia="仿宋_GB2312" w:hAnsi="仿宋_GB2312" w:cs="仿宋_GB2312" w:hint="eastAsia"/>
                <w:color w:val="000000"/>
                <w:kern w:val="0"/>
                <w:sz w:val="24"/>
                <w:szCs w:val="24"/>
                <w:lang w:bidi="ar"/>
              </w:rPr>
              <w:t>绿化局</w:t>
            </w:r>
            <w:proofErr w:type="gramEnd"/>
          </w:p>
        </w:tc>
        <w:tc>
          <w:tcPr>
            <w:tcW w:w="1171" w:type="dxa"/>
            <w:vAlign w:val="center"/>
          </w:tcPr>
          <w:p w14:paraId="08644CCB"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闻淼</w:t>
            </w:r>
          </w:p>
        </w:tc>
        <w:tc>
          <w:tcPr>
            <w:tcW w:w="1265" w:type="dxa"/>
            <w:vAlign w:val="center"/>
          </w:tcPr>
          <w:p w14:paraId="0AE2AABE" w14:textId="77777777" w:rsidR="00C611D5" w:rsidRDefault="00000000">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84236290</w:t>
            </w:r>
          </w:p>
        </w:tc>
        <w:tc>
          <w:tcPr>
            <w:tcW w:w="2123" w:type="dxa"/>
            <w:vAlign w:val="center"/>
          </w:tcPr>
          <w:p w14:paraId="34BCE7D5" w14:textId="77777777" w:rsidR="00C611D5" w:rsidRDefault="00000000">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bjlinbaozhanfzk@yllhj.beijing.gov.cn</w:t>
            </w:r>
          </w:p>
        </w:tc>
      </w:tr>
      <w:tr w:rsidR="00C611D5" w14:paraId="475D0311" w14:textId="77777777">
        <w:trPr>
          <w:trHeight w:val="900"/>
        </w:trPr>
        <w:tc>
          <w:tcPr>
            <w:tcW w:w="780" w:type="dxa"/>
            <w:vAlign w:val="center"/>
          </w:tcPr>
          <w:p w14:paraId="55457F1B"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8</w:t>
            </w:r>
          </w:p>
        </w:tc>
        <w:tc>
          <w:tcPr>
            <w:tcW w:w="1342" w:type="dxa"/>
            <w:vAlign w:val="center"/>
          </w:tcPr>
          <w:p w14:paraId="662A020D"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基于“6+4”的实验室综合监管场景建设</w:t>
            </w:r>
          </w:p>
        </w:tc>
        <w:tc>
          <w:tcPr>
            <w:tcW w:w="5931" w:type="dxa"/>
            <w:vAlign w:val="center"/>
          </w:tcPr>
          <w:p w14:paraId="749DA55B" w14:textId="77777777" w:rsidR="00C611D5" w:rsidRDefault="00000000">
            <w:pPr>
              <w:widowControl/>
              <w:jc w:val="left"/>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为支撑“6+4”一体化综合监管改革任务，针对监管对象多、任务压力大、主体扰动多等问题，围绕“实验室监管”这一场景，探索开展“风险+信用”分级分类监管、触发式监管、远程监管等新型监管模式，实现监管资源数字化、监管过程全记录、监管数据可共享，打造“综合监管”新模式，减少监管部门检查工作量和对市场主体的扰动次数，进一步提高政府监管手段，营造公平有序的发展环境。</w:t>
            </w:r>
          </w:p>
        </w:tc>
        <w:tc>
          <w:tcPr>
            <w:tcW w:w="1296" w:type="dxa"/>
            <w:vAlign w:val="center"/>
          </w:tcPr>
          <w:p w14:paraId="5EDD7ED4"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北京经济技术开发区、北京市市场监督管理局</w:t>
            </w:r>
          </w:p>
        </w:tc>
        <w:tc>
          <w:tcPr>
            <w:tcW w:w="1171" w:type="dxa"/>
            <w:vMerge w:val="restart"/>
            <w:vAlign w:val="center"/>
          </w:tcPr>
          <w:p w14:paraId="72578512"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罗珺</w:t>
            </w:r>
          </w:p>
        </w:tc>
        <w:tc>
          <w:tcPr>
            <w:tcW w:w="1265" w:type="dxa"/>
            <w:vMerge w:val="restart"/>
            <w:vAlign w:val="center"/>
          </w:tcPr>
          <w:p w14:paraId="2298FF9F"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67880397</w:t>
            </w:r>
          </w:p>
        </w:tc>
        <w:tc>
          <w:tcPr>
            <w:tcW w:w="2123" w:type="dxa"/>
            <w:vMerge w:val="restart"/>
            <w:vAlign w:val="center"/>
          </w:tcPr>
          <w:p w14:paraId="629348CE"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luojun@bda.gov.cn</w:t>
            </w:r>
          </w:p>
        </w:tc>
      </w:tr>
      <w:tr w:rsidR="00C611D5" w14:paraId="7153AED5" w14:textId="77777777">
        <w:trPr>
          <w:trHeight w:val="600"/>
        </w:trPr>
        <w:tc>
          <w:tcPr>
            <w:tcW w:w="780" w:type="dxa"/>
            <w:vAlign w:val="center"/>
          </w:tcPr>
          <w:p w14:paraId="564B8328"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9</w:t>
            </w:r>
          </w:p>
        </w:tc>
        <w:tc>
          <w:tcPr>
            <w:tcW w:w="1342" w:type="dxa"/>
            <w:vAlign w:val="center"/>
          </w:tcPr>
          <w:p w14:paraId="29F38986"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基于治理链的城市无界公园智能监管场景建设</w:t>
            </w:r>
          </w:p>
        </w:tc>
        <w:tc>
          <w:tcPr>
            <w:tcW w:w="5931" w:type="dxa"/>
            <w:vAlign w:val="center"/>
          </w:tcPr>
          <w:p w14:paraId="7EEF940C" w14:textId="77777777" w:rsidR="00C611D5" w:rsidRDefault="00000000">
            <w:pPr>
              <w:widowControl/>
              <w:jc w:val="lef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重塑无界公园“新边界”应用场景，需选取一个公园为试点，基于治理链的治理要素中心感知接入、事件管理中心任务协同、算法管理中心视频算法仓能力，同时利用市区两级算法协同，加强无界公园场景中的感知、事件、资源协同管理效能。通过视频感知、边缘计算、视频算法调度，以公园景点协同场景为基础，形成城市运行管理面向特定专项场景的事件协同处置架构。通过技术攻关算法调度、</w:t>
            </w:r>
            <w:proofErr w:type="gramStart"/>
            <w:r>
              <w:rPr>
                <w:rFonts w:ascii="仿宋_GB2312" w:eastAsia="仿宋_GB2312" w:hAnsi="仿宋_GB2312" w:cs="仿宋_GB2312" w:hint="eastAsia"/>
                <w:color w:val="000000"/>
                <w:kern w:val="0"/>
                <w:sz w:val="24"/>
                <w:szCs w:val="24"/>
              </w:rPr>
              <w:t>云边算力协同</w:t>
            </w:r>
            <w:proofErr w:type="gramEnd"/>
            <w:r>
              <w:rPr>
                <w:rFonts w:ascii="仿宋_GB2312" w:eastAsia="仿宋_GB2312" w:hAnsi="仿宋_GB2312" w:cs="仿宋_GB2312" w:hint="eastAsia"/>
                <w:color w:val="000000"/>
                <w:kern w:val="0"/>
                <w:sz w:val="24"/>
                <w:szCs w:val="24"/>
              </w:rPr>
              <w:t>，提升城市管理场景灵活性，减少20%成本，提升30%的场景上线周期。</w:t>
            </w:r>
          </w:p>
        </w:tc>
        <w:tc>
          <w:tcPr>
            <w:tcW w:w="1296" w:type="dxa"/>
            <w:vAlign w:val="center"/>
          </w:tcPr>
          <w:p w14:paraId="480F7D4E"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北京经济技术开发区、北京市园林</w:t>
            </w:r>
            <w:proofErr w:type="gramStart"/>
            <w:r>
              <w:rPr>
                <w:rFonts w:ascii="仿宋_GB2312" w:eastAsia="仿宋_GB2312" w:hAnsi="仿宋_GB2312" w:cs="仿宋_GB2312" w:hint="eastAsia"/>
                <w:color w:val="000000"/>
                <w:kern w:val="0"/>
                <w:sz w:val="24"/>
                <w:szCs w:val="24"/>
                <w:lang w:bidi="ar"/>
              </w:rPr>
              <w:t>绿化局</w:t>
            </w:r>
            <w:proofErr w:type="gramEnd"/>
          </w:p>
        </w:tc>
        <w:tc>
          <w:tcPr>
            <w:tcW w:w="1171" w:type="dxa"/>
            <w:vMerge/>
            <w:vAlign w:val="center"/>
          </w:tcPr>
          <w:p w14:paraId="1546F760" w14:textId="77777777" w:rsidR="00C611D5" w:rsidRDefault="00C611D5">
            <w:pPr>
              <w:jc w:val="center"/>
              <w:rPr>
                <w:rFonts w:ascii="仿宋_GB2312" w:eastAsia="仿宋_GB2312" w:hAnsi="仿宋_GB2312" w:cs="仿宋_GB2312"/>
                <w:color w:val="000000"/>
                <w:sz w:val="24"/>
                <w:szCs w:val="24"/>
              </w:rPr>
            </w:pPr>
          </w:p>
        </w:tc>
        <w:tc>
          <w:tcPr>
            <w:tcW w:w="1265" w:type="dxa"/>
            <w:vMerge/>
            <w:vAlign w:val="center"/>
          </w:tcPr>
          <w:p w14:paraId="5E8CCFC7" w14:textId="77777777" w:rsidR="00C611D5" w:rsidRDefault="00C611D5">
            <w:pPr>
              <w:jc w:val="center"/>
              <w:rPr>
                <w:rFonts w:ascii="仿宋_GB2312" w:eastAsia="仿宋_GB2312" w:hAnsi="仿宋_GB2312" w:cs="仿宋_GB2312"/>
                <w:color w:val="000000"/>
                <w:sz w:val="24"/>
                <w:szCs w:val="24"/>
              </w:rPr>
            </w:pPr>
          </w:p>
        </w:tc>
        <w:tc>
          <w:tcPr>
            <w:tcW w:w="2123" w:type="dxa"/>
            <w:vMerge/>
            <w:vAlign w:val="center"/>
          </w:tcPr>
          <w:p w14:paraId="5B0BDE15" w14:textId="77777777" w:rsidR="00C611D5" w:rsidRDefault="00C611D5">
            <w:pPr>
              <w:jc w:val="center"/>
              <w:rPr>
                <w:rFonts w:ascii="仿宋_GB2312" w:eastAsia="仿宋_GB2312" w:hAnsi="仿宋_GB2312" w:cs="仿宋_GB2312"/>
                <w:color w:val="000000"/>
                <w:sz w:val="24"/>
                <w:szCs w:val="24"/>
              </w:rPr>
            </w:pPr>
          </w:p>
        </w:tc>
      </w:tr>
      <w:tr w:rsidR="00C611D5" w14:paraId="366C20C8" w14:textId="77777777">
        <w:trPr>
          <w:trHeight w:val="600"/>
        </w:trPr>
        <w:tc>
          <w:tcPr>
            <w:tcW w:w="780" w:type="dxa"/>
            <w:vAlign w:val="center"/>
          </w:tcPr>
          <w:p w14:paraId="32670E1A"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10</w:t>
            </w:r>
          </w:p>
        </w:tc>
        <w:tc>
          <w:tcPr>
            <w:tcW w:w="1342" w:type="dxa"/>
            <w:vAlign w:val="center"/>
          </w:tcPr>
          <w:p w14:paraId="3694C480"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交通通行服务场景</w:t>
            </w:r>
          </w:p>
        </w:tc>
        <w:tc>
          <w:tcPr>
            <w:tcW w:w="5931" w:type="dxa"/>
            <w:vAlign w:val="center"/>
          </w:tcPr>
          <w:p w14:paraId="0443402A" w14:textId="77777777" w:rsidR="00C611D5" w:rsidRDefault="00000000">
            <w:pPr>
              <w:widowControl/>
              <w:jc w:val="left"/>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场景建设内容及指标请咨询联系人。</w:t>
            </w:r>
          </w:p>
        </w:tc>
        <w:tc>
          <w:tcPr>
            <w:tcW w:w="1296" w:type="dxa"/>
            <w:vAlign w:val="center"/>
          </w:tcPr>
          <w:p w14:paraId="230140AF"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北京市公安局</w:t>
            </w:r>
          </w:p>
        </w:tc>
        <w:tc>
          <w:tcPr>
            <w:tcW w:w="1171" w:type="dxa"/>
            <w:vAlign w:val="center"/>
          </w:tcPr>
          <w:p w14:paraId="021B409C"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陈高翔</w:t>
            </w:r>
          </w:p>
        </w:tc>
        <w:tc>
          <w:tcPr>
            <w:tcW w:w="1265" w:type="dxa"/>
            <w:vAlign w:val="center"/>
          </w:tcPr>
          <w:p w14:paraId="6A8A5BA3" w14:textId="77777777" w:rsidR="00C611D5" w:rsidRDefault="00000000">
            <w:pPr>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13811278580</w:t>
            </w:r>
          </w:p>
        </w:tc>
        <w:tc>
          <w:tcPr>
            <w:tcW w:w="2123" w:type="dxa"/>
            <w:vAlign w:val="center"/>
          </w:tcPr>
          <w:p w14:paraId="58EA7A8C" w14:textId="77777777" w:rsidR="00C611D5" w:rsidRDefault="00C611D5">
            <w:pPr>
              <w:widowControl/>
              <w:jc w:val="center"/>
              <w:textAlignment w:val="center"/>
              <w:rPr>
                <w:rFonts w:ascii="仿宋_GB2312" w:eastAsia="仿宋_GB2312" w:hAnsi="仿宋_GB2312" w:cs="仿宋_GB2312"/>
                <w:color w:val="000000"/>
                <w:sz w:val="24"/>
                <w:szCs w:val="24"/>
              </w:rPr>
            </w:pPr>
          </w:p>
        </w:tc>
      </w:tr>
      <w:tr w:rsidR="00C611D5" w14:paraId="4E371D30" w14:textId="77777777">
        <w:trPr>
          <w:trHeight w:val="600"/>
        </w:trPr>
        <w:tc>
          <w:tcPr>
            <w:tcW w:w="780" w:type="dxa"/>
            <w:vAlign w:val="center"/>
          </w:tcPr>
          <w:p w14:paraId="6D325CEA"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11</w:t>
            </w:r>
          </w:p>
        </w:tc>
        <w:tc>
          <w:tcPr>
            <w:tcW w:w="1342" w:type="dxa"/>
            <w:vAlign w:val="center"/>
          </w:tcPr>
          <w:p w14:paraId="4023690E"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道路交通安全风险评估场景</w:t>
            </w:r>
          </w:p>
        </w:tc>
        <w:tc>
          <w:tcPr>
            <w:tcW w:w="5931" w:type="dxa"/>
            <w:vAlign w:val="center"/>
          </w:tcPr>
          <w:p w14:paraId="2982153B" w14:textId="77777777" w:rsidR="00C611D5" w:rsidRDefault="00000000">
            <w:pPr>
              <w:widowControl/>
              <w:spacing w:line="38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以评估道路安全风险、开展交通事故预防为导向，结合业务理论、行业标准、算法模型，开展道路数据要素的基础治理，形成道路信息采集、维护、核对的规范流程和编码工具，提高道路信息与交管业务信息的匹配度和可用性，为挖掘数据价值奠定基础；重点围绕道路信息和交通事故数据，研究道路要素与事故风险的关系指标、规律特点，构建道路交通安全风险评估算法模型，提高隐患道路排查的精准度和工作效率，助力提升道路交通安全治理水平。</w:t>
            </w:r>
          </w:p>
        </w:tc>
        <w:tc>
          <w:tcPr>
            <w:tcW w:w="1296" w:type="dxa"/>
            <w:vAlign w:val="center"/>
          </w:tcPr>
          <w:p w14:paraId="7E75356C"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北京市公安局公安交通管理局</w:t>
            </w:r>
          </w:p>
        </w:tc>
        <w:tc>
          <w:tcPr>
            <w:tcW w:w="1171" w:type="dxa"/>
            <w:vAlign w:val="center"/>
          </w:tcPr>
          <w:p w14:paraId="718F6AE4" w14:textId="77777777" w:rsidR="00C611D5" w:rsidRDefault="00000000">
            <w:pPr>
              <w:widowControl/>
              <w:jc w:val="center"/>
              <w:textAlignment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李祥河</w:t>
            </w:r>
          </w:p>
          <w:p w14:paraId="26049402"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rPr>
              <w:t>库玉</w:t>
            </w:r>
            <w:proofErr w:type="gramStart"/>
            <w:r>
              <w:rPr>
                <w:rFonts w:ascii="仿宋_GB2312" w:eastAsia="仿宋_GB2312" w:hAnsi="仿宋_GB2312" w:cs="仿宋_GB2312" w:hint="eastAsia"/>
                <w:color w:val="000000"/>
                <w:kern w:val="0"/>
                <w:sz w:val="24"/>
                <w:szCs w:val="24"/>
              </w:rPr>
              <w:t>璇</w:t>
            </w:r>
            <w:proofErr w:type="gramEnd"/>
          </w:p>
        </w:tc>
        <w:tc>
          <w:tcPr>
            <w:tcW w:w="1265" w:type="dxa"/>
            <w:vAlign w:val="center"/>
          </w:tcPr>
          <w:p w14:paraId="18AEC8DA" w14:textId="77777777" w:rsidR="00C611D5" w:rsidRDefault="00000000">
            <w:pPr>
              <w:widowControl/>
              <w:spacing w:line="4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19810229970</w:t>
            </w:r>
          </w:p>
          <w:p w14:paraId="045C088C" w14:textId="77777777" w:rsidR="00C611D5" w:rsidRDefault="00000000">
            <w:pPr>
              <w:widowControl/>
              <w:spacing w:line="400" w:lineRule="exact"/>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rPr>
              <w:t>13911367179</w:t>
            </w:r>
          </w:p>
        </w:tc>
        <w:tc>
          <w:tcPr>
            <w:tcW w:w="2123" w:type="dxa"/>
            <w:vAlign w:val="center"/>
          </w:tcPr>
          <w:p w14:paraId="59C0A2EC" w14:textId="77777777" w:rsidR="00C611D5" w:rsidRDefault="00000000">
            <w:pPr>
              <w:widowControl/>
              <w:spacing w:line="400" w:lineRule="exact"/>
              <w:jc w:val="center"/>
              <w:rPr>
                <w:rFonts w:ascii="仿宋_GB2312" w:eastAsia="仿宋_GB2312" w:hAnsi="仿宋_GB2312" w:cs="仿宋_GB2312"/>
                <w:color w:val="000000"/>
                <w:sz w:val="24"/>
                <w:szCs w:val="24"/>
              </w:rPr>
            </w:pPr>
            <w:r>
              <w:rPr>
                <w:rFonts w:ascii="仿宋_GB2312" w:eastAsia="仿宋_GB2312" w:hAnsi="仿宋_GB2312" w:cs="仿宋_GB2312" w:hint="eastAsia"/>
                <w:sz w:val="24"/>
                <w:szCs w:val="24"/>
              </w:rPr>
              <w:t>lixianghe@jtgl.beijing.gov.cn</w:t>
            </w:r>
          </w:p>
        </w:tc>
      </w:tr>
      <w:tr w:rsidR="00C611D5" w14:paraId="3EDAFC8A" w14:textId="77777777">
        <w:trPr>
          <w:trHeight w:val="900"/>
        </w:trPr>
        <w:tc>
          <w:tcPr>
            <w:tcW w:w="780" w:type="dxa"/>
            <w:vAlign w:val="center"/>
          </w:tcPr>
          <w:p w14:paraId="33679208"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12</w:t>
            </w:r>
          </w:p>
        </w:tc>
        <w:tc>
          <w:tcPr>
            <w:tcW w:w="1342" w:type="dxa"/>
            <w:vAlign w:val="center"/>
          </w:tcPr>
          <w:p w14:paraId="2759FD59"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现场数据多维感知场景（消防救援现场透明化一期）</w:t>
            </w:r>
          </w:p>
        </w:tc>
        <w:tc>
          <w:tcPr>
            <w:tcW w:w="5931" w:type="dxa"/>
            <w:vAlign w:val="center"/>
          </w:tcPr>
          <w:p w14:paraId="4258FAE6" w14:textId="77777777" w:rsidR="00C611D5" w:rsidRDefault="00000000">
            <w:pPr>
              <w:widowControl/>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建设消防救援现场透明化场景，围绕消防现场消防</w:t>
            </w:r>
            <w:proofErr w:type="gramStart"/>
            <w:r>
              <w:rPr>
                <w:rFonts w:ascii="仿宋_GB2312" w:eastAsia="仿宋_GB2312" w:hAnsi="仿宋_GB2312" w:cs="仿宋_GB2312" w:hint="eastAsia"/>
                <w:kern w:val="0"/>
                <w:sz w:val="24"/>
                <w:szCs w:val="24"/>
              </w:rPr>
              <w:t>员生命</w:t>
            </w:r>
            <w:proofErr w:type="gramEnd"/>
            <w:r>
              <w:rPr>
                <w:rFonts w:ascii="仿宋_GB2312" w:eastAsia="仿宋_GB2312" w:hAnsi="仿宋_GB2312" w:cs="仿宋_GB2312" w:hint="eastAsia"/>
                <w:kern w:val="0"/>
                <w:sz w:val="24"/>
                <w:szCs w:val="24"/>
              </w:rPr>
              <w:t>体征监测、消防员室内高精度定位以及单兵、消防车辆配备的多种感知采集设备的集成整合等问题，</w:t>
            </w:r>
            <w:proofErr w:type="gramStart"/>
            <w:r>
              <w:rPr>
                <w:rFonts w:ascii="仿宋_GB2312" w:eastAsia="仿宋_GB2312" w:hAnsi="仿宋_GB2312" w:cs="仿宋_GB2312" w:hint="eastAsia"/>
                <w:kern w:val="0"/>
                <w:sz w:val="24"/>
                <w:szCs w:val="24"/>
              </w:rPr>
              <w:t>应用物联感知</w:t>
            </w:r>
            <w:proofErr w:type="gramEnd"/>
            <w:r>
              <w:rPr>
                <w:rFonts w:ascii="仿宋_GB2312" w:eastAsia="仿宋_GB2312" w:hAnsi="仿宋_GB2312" w:cs="仿宋_GB2312" w:hint="eastAsia"/>
                <w:kern w:val="0"/>
                <w:sz w:val="24"/>
                <w:szCs w:val="24"/>
              </w:rPr>
              <w:t>、大数据、人工智能技术，形成消防救援保障人员安全、现场高效决策的解决方案，对消防救援现场开展智能监测。实现灾害现场从单一图像感知到图像、数据、音频感知的全面提升，灾害现场情报收集能力提升30%，缩短现场作战处置时间10%以上。</w:t>
            </w:r>
          </w:p>
        </w:tc>
        <w:tc>
          <w:tcPr>
            <w:tcW w:w="1296" w:type="dxa"/>
            <w:vAlign w:val="center"/>
          </w:tcPr>
          <w:p w14:paraId="6A9E32E7"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北京市消防救援总队</w:t>
            </w:r>
          </w:p>
        </w:tc>
        <w:tc>
          <w:tcPr>
            <w:tcW w:w="1171" w:type="dxa"/>
            <w:vAlign w:val="center"/>
          </w:tcPr>
          <w:p w14:paraId="5213B098" w14:textId="77777777" w:rsidR="00C611D5" w:rsidRDefault="00000000">
            <w:pPr>
              <w:widowControl/>
              <w:spacing w:line="4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王飞</w:t>
            </w:r>
          </w:p>
        </w:tc>
        <w:tc>
          <w:tcPr>
            <w:tcW w:w="1265" w:type="dxa"/>
            <w:vAlign w:val="center"/>
          </w:tcPr>
          <w:p w14:paraId="586A878A" w14:textId="77777777" w:rsidR="00C611D5" w:rsidRDefault="00000000">
            <w:pPr>
              <w:widowControl/>
              <w:spacing w:line="4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spacing w:val="-6"/>
                <w:kern w:val="0"/>
                <w:sz w:val="24"/>
                <w:szCs w:val="24"/>
              </w:rPr>
              <w:t>82215085</w:t>
            </w:r>
          </w:p>
        </w:tc>
        <w:tc>
          <w:tcPr>
            <w:tcW w:w="2123" w:type="dxa"/>
            <w:vAlign w:val="center"/>
          </w:tcPr>
          <w:p w14:paraId="09DEAE8D" w14:textId="77777777" w:rsidR="00C611D5" w:rsidRDefault="00000000">
            <w:pPr>
              <w:widowControl/>
              <w:spacing w:line="400" w:lineRule="exact"/>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pacing w:val="-6"/>
                <w:kern w:val="0"/>
                <w:sz w:val="24"/>
                <w:szCs w:val="24"/>
              </w:rPr>
              <w:t>txc@bj.119.gov.cn</w:t>
            </w:r>
          </w:p>
        </w:tc>
      </w:tr>
      <w:tr w:rsidR="00C611D5" w14:paraId="396606C8" w14:textId="77777777">
        <w:trPr>
          <w:trHeight w:val="600"/>
        </w:trPr>
        <w:tc>
          <w:tcPr>
            <w:tcW w:w="780" w:type="dxa"/>
            <w:vAlign w:val="center"/>
          </w:tcPr>
          <w:p w14:paraId="7216FF24"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13</w:t>
            </w:r>
          </w:p>
        </w:tc>
        <w:tc>
          <w:tcPr>
            <w:tcW w:w="1342" w:type="dxa"/>
            <w:vAlign w:val="center"/>
          </w:tcPr>
          <w:p w14:paraId="7746ED14"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城市内涝积水监测场景</w:t>
            </w:r>
          </w:p>
        </w:tc>
        <w:tc>
          <w:tcPr>
            <w:tcW w:w="5931" w:type="dxa"/>
            <w:vAlign w:val="center"/>
          </w:tcPr>
          <w:p w14:paraId="770212C5" w14:textId="77777777" w:rsidR="00C611D5" w:rsidRDefault="00000000">
            <w:pPr>
              <w:widowControl/>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建设城市内涝积水监测场景，围绕当前北京汛期部分区域积水内涝严重、风险地图辅助预警</w:t>
            </w:r>
            <w:proofErr w:type="gramStart"/>
            <w:r>
              <w:rPr>
                <w:rFonts w:ascii="仿宋_GB2312" w:eastAsia="仿宋_GB2312" w:hAnsi="仿宋_GB2312" w:cs="仿宋_GB2312" w:hint="eastAsia"/>
                <w:color w:val="000000"/>
                <w:kern w:val="0"/>
                <w:sz w:val="24"/>
                <w:szCs w:val="24"/>
              </w:rPr>
              <w:t>研</w:t>
            </w:r>
            <w:proofErr w:type="gramEnd"/>
            <w:r>
              <w:rPr>
                <w:rFonts w:ascii="仿宋_GB2312" w:eastAsia="仿宋_GB2312" w:hAnsi="仿宋_GB2312" w:cs="仿宋_GB2312" w:hint="eastAsia"/>
                <w:color w:val="000000"/>
                <w:kern w:val="0"/>
                <w:sz w:val="24"/>
                <w:szCs w:val="24"/>
              </w:rPr>
              <w:t>判和指挥调度信息化欠缺、城市物联网防汛预警未形成合力等问题，应用水利专业模型、AI、物联网技术，形成城市内涝积水监测预警解决方案，对北京市内涝积水开展全面的智能监测。实现区域内涝预警风险达到一定数值时，提前发出预警信息；推动北京城市积水内涝风险地图更新和完善，标注实时雨量、水位、积水风险等信息；指导城市排水管网、泵站、渗水砖、下沉式绿地等设施的建设，助力建设海绵城市。</w:t>
            </w:r>
          </w:p>
        </w:tc>
        <w:tc>
          <w:tcPr>
            <w:tcW w:w="1296" w:type="dxa"/>
            <w:vAlign w:val="center"/>
          </w:tcPr>
          <w:p w14:paraId="25970F2C"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丰台区水</w:t>
            </w:r>
            <w:proofErr w:type="gramStart"/>
            <w:r>
              <w:rPr>
                <w:rFonts w:ascii="仿宋_GB2312" w:eastAsia="仿宋_GB2312" w:hAnsi="仿宋_GB2312" w:cs="仿宋_GB2312" w:hint="eastAsia"/>
                <w:color w:val="000000"/>
                <w:kern w:val="0"/>
                <w:sz w:val="24"/>
                <w:szCs w:val="24"/>
                <w:lang w:bidi="ar"/>
              </w:rPr>
              <w:t>务</w:t>
            </w:r>
            <w:proofErr w:type="gramEnd"/>
            <w:r>
              <w:rPr>
                <w:rFonts w:ascii="仿宋_GB2312" w:eastAsia="仿宋_GB2312" w:hAnsi="仿宋_GB2312" w:cs="仿宋_GB2312" w:hint="eastAsia"/>
                <w:color w:val="000000"/>
                <w:kern w:val="0"/>
                <w:sz w:val="24"/>
                <w:szCs w:val="24"/>
                <w:lang w:bidi="ar"/>
              </w:rPr>
              <w:t>局</w:t>
            </w:r>
          </w:p>
        </w:tc>
        <w:tc>
          <w:tcPr>
            <w:tcW w:w="1171" w:type="dxa"/>
            <w:vAlign w:val="center"/>
          </w:tcPr>
          <w:p w14:paraId="2F2DCB59"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刘建</w:t>
            </w:r>
          </w:p>
        </w:tc>
        <w:tc>
          <w:tcPr>
            <w:tcW w:w="1265" w:type="dxa"/>
            <w:vAlign w:val="center"/>
          </w:tcPr>
          <w:p w14:paraId="0ADEF04C" w14:textId="77777777" w:rsidR="00C611D5" w:rsidRDefault="00000000">
            <w:pPr>
              <w:widowControl/>
              <w:spacing w:line="400" w:lineRule="exact"/>
              <w:jc w:val="center"/>
              <w:rPr>
                <w:rFonts w:ascii="仿宋_GB2312" w:eastAsia="仿宋_GB2312" w:hAnsi="仿宋_GB2312" w:cs="仿宋_GB2312"/>
                <w:sz w:val="24"/>
                <w:szCs w:val="24"/>
              </w:rPr>
            </w:pPr>
            <w:r>
              <w:rPr>
                <w:rFonts w:ascii="仿宋_GB2312" w:eastAsia="仿宋_GB2312" w:hAnsi="仿宋_GB2312" w:cs="仿宋_GB2312" w:hint="eastAsia"/>
                <w:color w:val="000000"/>
                <w:kern w:val="0"/>
                <w:sz w:val="24"/>
                <w:szCs w:val="24"/>
              </w:rPr>
              <w:t>63812136</w:t>
            </w:r>
          </w:p>
        </w:tc>
        <w:tc>
          <w:tcPr>
            <w:tcW w:w="2123" w:type="dxa"/>
            <w:vAlign w:val="center"/>
          </w:tcPr>
          <w:p w14:paraId="25B55AB8"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ftshuiwuju05@mail.bjft.gov.cn</w:t>
            </w:r>
          </w:p>
        </w:tc>
      </w:tr>
      <w:tr w:rsidR="00C611D5" w14:paraId="313C5EFA" w14:textId="77777777">
        <w:trPr>
          <w:trHeight w:val="900"/>
        </w:trPr>
        <w:tc>
          <w:tcPr>
            <w:tcW w:w="780" w:type="dxa"/>
            <w:vAlign w:val="center"/>
          </w:tcPr>
          <w:p w14:paraId="1A1EFA81"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14</w:t>
            </w:r>
          </w:p>
        </w:tc>
        <w:tc>
          <w:tcPr>
            <w:tcW w:w="1342" w:type="dxa"/>
            <w:vAlign w:val="center"/>
          </w:tcPr>
          <w:p w14:paraId="317CE428"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露地蔬菜（甘蓝）智能化自主移栽应用场景</w:t>
            </w:r>
          </w:p>
        </w:tc>
        <w:tc>
          <w:tcPr>
            <w:tcW w:w="5931" w:type="dxa"/>
            <w:vAlign w:val="center"/>
          </w:tcPr>
          <w:p w14:paraId="1F499C57" w14:textId="77777777" w:rsidR="00C611D5" w:rsidRDefault="00000000">
            <w:pPr>
              <w:widowControl/>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露地蔬菜（甘蓝）移栽人力投入成本高、移栽环节存在</w:t>
            </w:r>
            <w:proofErr w:type="gramStart"/>
            <w:r>
              <w:rPr>
                <w:rFonts w:ascii="仿宋_GB2312" w:eastAsia="仿宋_GB2312" w:hAnsi="仿宋_GB2312" w:cs="仿宋_GB2312" w:hint="eastAsia"/>
                <w:color w:val="000000"/>
                <w:kern w:val="0"/>
                <w:sz w:val="24"/>
                <w:szCs w:val="24"/>
              </w:rPr>
              <w:t>重耕漏耕</w:t>
            </w:r>
            <w:proofErr w:type="gramEnd"/>
            <w:r>
              <w:rPr>
                <w:rFonts w:ascii="仿宋_GB2312" w:eastAsia="仿宋_GB2312" w:hAnsi="仿宋_GB2312" w:cs="仿宋_GB2312" w:hint="eastAsia"/>
                <w:color w:val="000000"/>
                <w:kern w:val="0"/>
                <w:sz w:val="24"/>
                <w:szCs w:val="24"/>
              </w:rPr>
              <w:t>、标准不统一、质量不可控、直线度参差不齐等问题，应用北斗定位导航、精准轨迹拼接、机具自动控制等关键技术，研发甘蓝智能化自主移栽作业技术装备，实现自动取苗、分苗、投苗。</w:t>
            </w:r>
          </w:p>
        </w:tc>
        <w:tc>
          <w:tcPr>
            <w:tcW w:w="1296" w:type="dxa"/>
            <w:vMerge w:val="restart"/>
            <w:vAlign w:val="center"/>
          </w:tcPr>
          <w:p w14:paraId="65FF65DB"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北京市农业农村局</w:t>
            </w:r>
          </w:p>
        </w:tc>
        <w:tc>
          <w:tcPr>
            <w:tcW w:w="1171" w:type="dxa"/>
            <w:vMerge w:val="restart"/>
            <w:vAlign w:val="center"/>
          </w:tcPr>
          <w:p w14:paraId="11F381DD" w14:textId="77777777" w:rsidR="00C611D5" w:rsidRDefault="00000000">
            <w:pPr>
              <w:widowControl/>
              <w:jc w:val="center"/>
              <w:textAlignment w:val="center"/>
              <w:rPr>
                <w:rFonts w:ascii="仿宋_GB2312" w:eastAsia="仿宋_GB2312" w:hAnsi="仿宋_GB2312" w:cs="仿宋_GB2312"/>
                <w:color w:val="000000"/>
                <w:sz w:val="24"/>
                <w:szCs w:val="24"/>
              </w:rPr>
            </w:pPr>
            <w:proofErr w:type="gramStart"/>
            <w:r>
              <w:rPr>
                <w:rFonts w:ascii="仿宋_GB2312" w:eastAsia="仿宋_GB2312" w:hAnsi="仿宋_GB2312" w:cs="仿宋_GB2312" w:hint="eastAsia"/>
                <w:color w:val="000000"/>
                <w:kern w:val="0"/>
                <w:sz w:val="24"/>
                <w:szCs w:val="24"/>
                <w:lang w:bidi="ar"/>
              </w:rPr>
              <w:t>余礼根</w:t>
            </w:r>
            <w:proofErr w:type="gramEnd"/>
          </w:p>
        </w:tc>
        <w:tc>
          <w:tcPr>
            <w:tcW w:w="1265" w:type="dxa"/>
            <w:vMerge w:val="restart"/>
            <w:vAlign w:val="center"/>
          </w:tcPr>
          <w:p w14:paraId="45C9C610"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18610715026</w:t>
            </w:r>
          </w:p>
        </w:tc>
        <w:tc>
          <w:tcPr>
            <w:tcW w:w="2123" w:type="dxa"/>
            <w:vMerge w:val="restart"/>
            <w:vAlign w:val="center"/>
          </w:tcPr>
          <w:p w14:paraId="68C0384A"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360088609@qq.com</w:t>
            </w:r>
          </w:p>
        </w:tc>
      </w:tr>
      <w:tr w:rsidR="00C611D5" w14:paraId="4634B89D" w14:textId="77777777">
        <w:trPr>
          <w:trHeight w:val="600"/>
        </w:trPr>
        <w:tc>
          <w:tcPr>
            <w:tcW w:w="780" w:type="dxa"/>
            <w:vAlign w:val="center"/>
          </w:tcPr>
          <w:p w14:paraId="74146C77"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15</w:t>
            </w:r>
          </w:p>
        </w:tc>
        <w:tc>
          <w:tcPr>
            <w:tcW w:w="1342" w:type="dxa"/>
            <w:vAlign w:val="center"/>
          </w:tcPr>
          <w:p w14:paraId="4E9214A7"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土壤元素快速检测应用场景</w:t>
            </w:r>
          </w:p>
        </w:tc>
        <w:tc>
          <w:tcPr>
            <w:tcW w:w="5931" w:type="dxa"/>
            <w:vAlign w:val="center"/>
          </w:tcPr>
          <w:p w14:paraId="552F3B95" w14:textId="77777777" w:rsidR="00C611D5" w:rsidRDefault="00000000">
            <w:pPr>
              <w:widowControl/>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因为土壤过于复杂，目前还没有有效的</w:t>
            </w:r>
            <w:proofErr w:type="gramStart"/>
            <w:r>
              <w:rPr>
                <w:rFonts w:ascii="仿宋_GB2312" w:eastAsia="仿宋_GB2312" w:hAnsi="仿宋_GB2312" w:cs="仿宋_GB2312" w:hint="eastAsia"/>
                <w:color w:val="000000"/>
                <w:kern w:val="0"/>
                <w:sz w:val="24"/>
                <w:szCs w:val="24"/>
              </w:rPr>
              <w:t>全指标</w:t>
            </w:r>
            <w:proofErr w:type="gramEnd"/>
            <w:r>
              <w:rPr>
                <w:rFonts w:ascii="仿宋_GB2312" w:eastAsia="仿宋_GB2312" w:hAnsi="仿宋_GB2312" w:cs="仿宋_GB2312" w:hint="eastAsia"/>
                <w:color w:val="000000"/>
                <w:kern w:val="0"/>
                <w:sz w:val="24"/>
                <w:szCs w:val="24"/>
              </w:rPr>
              <w:t>速测技术。针对土壤元素难以现场快速测量等难题，研制土壤硝态氮和多种元素现场快速测量方法，实现土壤元素的现场快速测量，并可对土壤中元素分布图形化显示。</w:t>
            </w:r>
          </w:p>
        </w:tc>
        <w:tc>
          <w:tcPr>
            <w:tcW w:w="1296" w:type="dxa"/>
            <w:vMerge/>
            <w:vAlign w:val="center"/>
          </w:tcPr>
          <w:p w14:paraId="100DB912" w14:textId="77777777" w:rsidR="00C611D5" w:rsidRDefault="00C611D5">
            <w:pPr>
              <w:jc w:val="center"/>
              <w:rPr>
                <w:rFonts w:ascii="仿宋_GB2312" w:eastAsia="仿宋_GB2312" w:hAnsi="仿宋_GB2312" w:cs="仿宋_GB2312"/>
                <w:color w:val="000000"/>
                <w:sz w:val="24"/>
                <w:szCs w:val="24"/>
              </w:rPr>
            </w:pPr>
          </w:p>
        </w:tc>
        <w:tc>
          <w:tcPr>
            <w:tcW w:w="1171" w:type="dxa"/>
            <w:vMerge/>
            <w:vAlign w:val="center"/>
          </w:tcPr>
          <w:p w14:paraId="79819744" w14:textId="77777777" w:rsidR="00C611D5" w:rsidRDefault="00C611D5">
            <w:pPr>
              <w:widowControl/>
              <w:jc w:val="center"/>
              <w:textAlignment w:val="center"/>
              <w:rPr>
                <w:rFonts w:ascii="仿宋_GB2312" w:eastAsia="仿宋_GB2312" w:hAnsi="仿宋_GB2312" w:cs="仿宋_GB2312"/>
                <w:color w:val="000000"/>
                <w:sz w:val="24"/>
                <w:szCs w:val="24"/>
              </w:rPr>
            </w:pPr>
          </w:p>
        </w:tc>
        <w:tc>
          <w:tcPr>
            <w:tcW w:w="1265" w:type="dxa"/>
            <w:vMerge/>
            <w:vAlign w:val="center"/>
          </w:tcPr>
          <w:p w14:paraId="7B950097" w14:textId="77777777" w:rsidR="00C611D5" w:rsidRDefault="00C611D5">
            <w:pPr>
              <w:widowControl/>
              <w:jc w:val="center"/>
              <w:textAlignment w:val="center"/>
              <w:rPr>
                <w:rFonts w:ascii="仿宋_GB2312" w:eastAsia="仿宋_GB2312" w:hAnsi="仿宋_GB2312" w:cs="仿宋_GB2312"/>
                <w:color w:val="000000"/>
                <w:sz w:val="24"/>
                <w:szCs w:val="24"/>
              </w:rPr>
            </w:pPr>
          </w:p>
        </w:tc>
        <w:tc>
          <w:tcPr>
            <w:tcW w:w="2123" w:type="dxa"/>
            <w:vMerge/>
            <w:vAlign w:val="center"/>
          </w:tcPr>
          <w:p w14:paraId="1E44887C" w14:textId="77777777" w:rsidR="00C611D5" w:rsidRDefault="00C611D5">
            <w:pPr>
              <w:widowControl/>
              <w:jc w:val="center"/>
              <w:textAlignment w:val="center"/>
              <w:rPr>
                <w:rFonts w:ascii="仿宋_GB2312" w:eastAsia="仿宋_GB2312" w:hAnsi="仿宋_GB2312" w:cs="仿宋_GB2312"/>
                <w:color w:val="000000"/>
                <w:sz w:val="24"/>
                <w:szCs w:val="24"/>
              </w:rPr>
            </w:pPr>
          </w:p>
        </w:tc>
      </w:tr>
      <w:tr w:rsidR="00C611D5" w14:paraId="324C0DC5" w14:textId="77777777">
        <w:trPr>
          <w:trHeight w:val="600"/>
        </w:trPr>
        <w:tc>
          <w:tcPr>
            <w:tcW w:w="780" w:type="dxa"/>
            <w:vAlign w:val="center"/>
          </w:tcPr>
          <w:p w14:paraId="6F9B4862"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16</w:t>
            </w:r>
          </w:p>
        </w:tc>
        <w:tc>
          <w:tcPr>
            <w:tcW w:w="1342" w:type="dxa"/>
            <w:vAlign w:val="center"/>
          </w:tcPr>
          <w:p w14:paraId="3334C047"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基于图像技术的设施园艺动态监测应用场景</w:t>
            </w:r>
          </w:p>
        </w:tc>
        <w:tc>
          <w:tcPr>
            <w:tcW w:w="5931" w:type="dxa"/>
            <w:vAlign w:val="center"/>
          </w:tcPr>
          <w:p w14:paraId="09C13432" w14:textId="77777777" w:rsidR="00C611D5" w:rsidRDefault="00000000">
            <w:pPr>
              <w:widowControl/>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设施农业具有作物种类多、种植密度大、生长过程动态化等特点，生产监测存在识别难等问题，本场景意在利用人工智能技术和先进的算法模型，基于实时采集的大量设施图像数据和环境参数，研制多</w:t>
            </w:r>
            <w:proofErr w:type="gramStart"/>
            <w:r>
              <w:rPr>
                <w:rFonts w:ascii="仿宋_GB2312" w:eastAsia="仿宋_GB2312" w:hAnsi="仿宋_GB2312" w:cs="仿宋_GB2312" w:hint="eastAsia"/>
                <w:color w:val="000000"/>
                <w:kern w:val="0"/>
                <w:sz w:val="24"/>
                <w:szCs w:val="24"/>
              </w:rPr>
              <w:t>源数据</w:t>
            </w:r>
            <w:proofErr w:type="gramEnd"/>
            <w:r>
              <w:rPr>
                <w:rFonts w:ascii="仿宋_GB2312" w:eastAsia="仿宋_GB2312" w:hAnsi="仿宋_GB2312" w:cs="仿宋_GB2312" w:hint="eastAsia"/>
                <w:color w:val="000000"/>
                <w:kern w:val="0"/>
                <w:sz w:val="24"/>
                <w:szCs w:val="24"/>
              </w:rPr>
              <w:t>融合的设施园艺作物品类识别、生育期识别、产量智能预测等模型，提高设施监测信息化水平。</w:t>
            </w:r>
          </w:p>
        </w:tc>
        <w:tc>
          <w:tcPr>
            <w:tcW w:w="1296" w:type="dxa"/>
            <w:vMerge/>
            <w:vAlign w:val="center"/>
          </w:tcPr>
          <w:p w14:paraId="53FC11D1" w14:textId="77777777" w:rsidR="00C611D5" w:rsidRDefault="00C611D5">
            <w:pPr>
              <w:jc w:val="center"/>
              <w:rPr>
                <w:rFonts w:ascii="仿宋_GB2312" w:eastAsia="仿宋_GB2312" w:hAnsi="仿宋_GB2312" w:cs="仿宋_GB2312"/>
                <w:color w:val="000000"/>
                <w:sz w:val="24"/>
                <w:szCs w:val="24"/>
              </w:rPr>
            </w:pPr>
          </w:p>
        </w:tc>
        <w:tc>
          <w:tcPr>
            <w:tcW w:w="1171" w:type="dxa"/>
            <w:vMerge/>
            <w:vAlign w:val="center"/>
          </w:tcPr>
          <w:p w14:paraId="08446CD9" w14:textId="77777777" w:rsidR="00C611D5" w:rsidRDefault="00C611D5">
            <w:pPr>
              <w:jc w:val="center"/>
              <w:rPr>
                <w:rFonts w:ascii="仿宋_GB2312" w:eastAsia="仿宋_GB2312" w:hAnsi="仿宋_GB2312" w:cs="仿宋_GB2312"/>
                <w:color w:val="000000"/>
                <w:sz w:val="24"/>
                <w:szCs w:val="24"/>
              </w:rPr>
            </w:pPr>
          </w:p>
        </w:tc>
        <w:tc>
          <w:tcPr>
            <w:tcW w:w="1265" w:type="dxa"/>
            <w:vMerge/>
            <w:vAlign w:val="center"/>
          </w:tcPr>
          <w:p w14:paraId="44108637" w14:textId="77777777" w:rsidR="00C611D5" w:rsidRDefault="00C611D5">
            <w:pPr>
              <w:jc w:val="center"/>
              <w:rPr>
                <w:rFonts w:ascii="仿宋_GB2312" w:eastAsia="仿宋_GB2312" w:hAnsi="仿宋_GB2312" w:cs="仿宋_GB2312"/>
                <w:color w:val="000000"/>
                <w:sz w:val="24"/>
                <w:szCs w:val="24"/>
              </w:rPr>
            </w:pPr>
          </w:p>
        </w:tc>
        <w:tc>
          <w:tcPr>
            <w:tcW w:w="2123" w:type="dxa"/>
            <w:vMerge/>
            <w:vAlign w:val="center"/>
          </w:tcPr>
          <w:p w14:paraId="48F9CD76" w14:textId="77777777" w:rsidR="00C611D5" w:rsidRDefault="00C611D5">
            <w:pPr>
              <w:jc w:val="center"/>
              <w:rPr>
                <w:rFonts w:ascii="仿宋_GB2312" w:eastAsia="仿宋_GB2312" w:hAnsi="仿宋_GB2312" w:cs="仿宋_GB2312"/>
                <w:color w:val="000000"/>
                <w:sz w:val="24"/>
                <w:szCs w:val="24"/>
              </w:rPr>
            </w:pPr>
          </w:p>
        </w:tc>
      </w:tr>
      <w:tr w:rsidR="00C611D5" w14:paraId="74E87E98" w14:textId="77777777">
        <w:trPr>
          <w:trHeight w:val="600"/>
        </w:trPr>
        <w:tc>
          <w:tcPr>
            <w:tcW w:w="780" w:type="dxa"/>
            <w:vAlign w:val="center"/>
          </w:tcPr>
          <w:p w14:paraId="2AB9199B"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17</w:t>
            </w:r>
          </w:p>
        </w:tc>
        <w:tc>
          <w:tcPr>
            <w:tcW w:w="1342" w:type="dxa"/>
            <w:vAlign w:val="center"/>
          </w:tcPr>
          <w:p w14:paraId="1A181D63"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新型装配式温室精准感知与</w:t>
            </w:r>
            <w:proofErr w:type="gramStart"/>
            <w:r>
              <w:rPr>
                <w:rFonts w:ascii="仿宋_GB2312" w:eastAsia="仿宋_GB2312" w:hAnsi="仿宋_GB2312" w:cs="仿宋_GB2312" w:hint="eastAsia"/>
                <w:color w:val="000000"/>
                <w:kern w:val="0"/>
                <w:sz w:val="24"/>
                <w:szCs w:val="24"/>
                <w:lang w:bidi="ar"/>
              </w:rPr>
              <w:t>智能环控应用</w:t>
            </w:r>
            <w:proofErr w:type="gramEnd"/>
            <w:r>
              <w:rPr>
                <w:rFonts w:ascii="仿宋_GB2312" w:eastAsia="仿宋_GB2312" w:hAnsi="仿宋_GB2312" w:cs="仿宋_GB2312" w:hint="eastAsia"/>
                <w:color w:val="000000"/>
                <w:kern w:val="0"/>
                <w:sz w:val="24"/>
                <w:szCs w:val="24"/>
                <w:lang w:bidi="ar"/>
              </w:rPr>
              <w:t>场景</w:t>
            </w:r>
          </w:p>
        </w:tc>
        <w:tc>
          <w:tcPr>
            <w:tcW w:w="5931" w:type="dxa"/>
            <w:vAlign w:val="center"/>
          </w:tcPr>
          <w:p w14:paraId="2A2C1CC8" w14:textId="77777777" w:rsidR="00C611D5" w:rsidRDefault="00000000">
            <w:pPr>
              <w:widowControl/>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目前北京市设施</w:t>
            </w:r>
            <w:proofErr w:type="gramStart"/>
            <w:r>
              <w:rPr>
                <w:rFonts w:ascii="仿宋_GB2312" w:eastAsia="仿宋_GB2312" w:hAnsi="仿宋_GB2312" w:cs="仿宋_GB2312" w:hint="eastAsia"/>
                <w:color w:val="000000"/>
                <w:kern w:val="0"/>
                <w:sz w:val="24"/>
                <w:szCs w:val="24"/>
              </w:rPr>
              <w:t>农业奖补政策</w:t>
            </w:r>
            <w:proofErr w:type="gramEnd"/>
            <w:r>
              <w:rPr>
                <w:rFonts w:ascii="仿宋_GB2312" w:eastAsia="仿宋_GB2312" w:hAnsi="仿宋_GB2312" w:cs="仿宋_GB2312" w:hint="eastAsia"/>
                <w:color w:val="000000"/>
                <w:kern w:val="0"/>
                <w:sz w:val="24"/>
                <w:szCs w:val="24"/>
              </w:rPr>
              <w:t>支持设施温室的建设与改造，急需配套成熟的温室环境智能控制技术，突破温室环境传感、温室设备集成联动控制、不同作物环境控制模型等核心技术环节，突破国产温室环境感知和环控装备存在体积大、功耗高、数据精度低、可靠性差及配套系统智能化水平低等问题，创制</w:t>
            </w:r>
            <w:proofErr w:type="gramStart"/>
            <w:r>
              <w:rPr>
                <w:rFonts w:ascii="仿宋_GB2312" w:eastAsia="仿宋_GB2312" w:hAnsi="仿宋_GB2312" w:cs="仿宋_GB2312" w:hint="eastAsia"/>
                <w:color w:val="000000"/>
                <w:kern w:val="0"/>
                <w:sz w:val="24"/>
                <w:szCs w:val="24"/>
              </w:rPr>
              <w:t>一</w:t>
            </w:r>
            <w:proofErr w:type="gramEnd"/>
            <w:r>
              <w:rPr>
                <w:rFonts w:ascii="仿宋_GB2312" w:eastAsia="仿宋_GB2312" w:hAnsi="仿宋_GB2312" w:cs="仿宋_GB2312" w:hint="eastAsia"/>
                <w:color w:val="000000"/>
                <w:kern w:val="0"/>
                <w:sz w:val="24"/>
                <w:szCs w:val="24"/>
              </w:rPr>
              <w:t>体式、太阳能供电、数据无线传输、支持远景近景图像视频采集、高精度、低功耗的新一代设施温室专用传感器，实现装配式温室环境的精准感知与智能调控，有效支撑北京市设施蔬菜产业高质量发展。</w:t>
            </w:r>
          </w:p>
        </w:tc>
        <w:tc>
          <w:tcPr>
            <w:tcW w:w="1296" w:type="dxa"/>
            <w:vMerge/>
            <w:vAlign w:val="center"/>
          </w:tcPr>
          <w:p w14:paraId="7958F8DF" w14:textId="77777777" w:rsidR="00C611D5" w:rsidRDefault="00C611D5">
            <w:pPr>
              <w:jc w:val="center"/>
              <w:rPr>
                <w:rFonts w:ascii="仿宋_GB2312" w:eastAsia="仿宋_GB2312" w:hAnsi="仿宋_GB2312" w:cs="仿宋_GB2312"/>
                <w:color w:val="000000"/>
                <w:sz w:val="24"/>
                <w:szCs w:val="24"/>
              </w:rPr>
            </w:pPr>
          </w:p>
        </w:tc>
        <w:tc>
          <w:tcPr>
            <w:tcW w:w="1171" w:type="dxa"/>
            <w:vMerge/>
            <w:vAlign w:val="center"/>
          </w:tcPr>
          <w:p w14:paraId="65508982" w14:textId="77777777" w:rsidR="00C611D5" w:rsidRDefault="00C611D5">
            <w:pPr>
              <w:jc w:val="center"/>
              <w:rPr>
                <w:rFonts w:ascii="仿宋_GB2312" w:eastAsia="仿宋_GB2312" w:hAnsi="仿宋_GB2312" w:cs="仿宋_GB2312"/>
                <w:color w:val="000000"/>
                <w:sz w:val="24"/>
                <w:szCs w:val="24"/>
              </w:rPr>
            </w:pPr>
          </w:p>
        </w:tc>
        <w:tc>
          <w:tcPr>
            <w:tcW w:w="1265" w:type="dxa"/>
            <w:vMerge/>
            <w:vAlign w:val="center"/>
          </w:tcPr>
          <w:p w14:paraId="5DB81BDD" w14:textId="77777777" w:rsidR="00C611D5" w:rsidRDefault="00C611D5">
            <w:pPr>
              <w:jc w:val="center"/>
              <w:rPr>
                <w:rFonts w:ascii="仿宋_GB2312" w:eastAsia="仿宋_GB2312" w:hAnsi="仿宋_GB2312" w:cs="仿宋_GB2312"/>
                <w:color w:val="000000"/>
                <w:sz w:val="24"/>
                <w:szCs w:val="24"/>
              </w:rPr>
            </w:pPr>
          </w:p>
        </w:tc>
        <w:tc>
          <w:tcPr>
            <w:tcW w:w="2123" w:type="dxa"/>
            <w:vMerge/>
            <w:vAlign w:val="center"/>
          </w:tcPr>
          <w:p w14:paraId="7B11CCBE" w14:textId="77777777" w:rsidR="00C611D5" w:rsidRDefault="00C611D5">
            <w:pPr>
              <w:jc w:val="center"/>
              <w:rPr>
                <w:rFonts w:ascii="仿宋_GB2312" w:eastAsia="仿宋_GB2312" w:hAnsi="仿宋_GB2312" w:cs="仿宋_GB2312"/>
                <w:color w:val="000000"/>
                <w:sz w:val="24"/>
                <w:szCs w:val="24"/>
              </w:rPr>
            </w:pPr>
          </w:p>
        </w:tc>
      </w:tr>
      <w:tr w:rsidR="00C611D5" w14:paraId="7E7DB7F6" w14:textId="77777777">
        <w:trPr>
          <w:trHeight w:val="600"/>
        </w:trPr>
        <w:tc>
          <w:tcPr>
            <w:tcW w:w="780" w:type="dxa"/>
            <w:vAlign w:val="center"/>
          </w:tcPr>
          <w:p w14:paraId="164D8AE0"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18</w:t>
            </w:r>
          </w:p>
        </w:tc>
        <w:tc>
          <w:tcPr>
            <w:tcW w:w="1342" w:type="dxa"/>
            <w:vAlign w:val="center"/>
          </w:tcPr>
          <w:p w14:paraId="37D57E61"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设施无土栽培关键养分智能检测传感应用场景</w:t>
            </w:r>
          </w:p>
        </w:tc>
        <w:tc>
          <w:tcPr>
            <w:tcW w:w="5931" w:type="dxa"/>
            <w:vAlign w:val="center"/>
          </w:tcPr>
          <w:p w14:paraId="145E2243" w14:textId="77777777" w:rsidR="00C611D5" w:rsidRDefault="00000000">
            <w:pPr>
              <w:widowControl/>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大型连栋玻璃温室无土栽培营养液关键养分含量监测国产传感器缺乏稳定性和可靠性，构建多种无机离子的高特异性、高灵敏度检测传感系统，实现设施栽培无土环境中的K</w:t>
            </w:r>
            <w:r>
              <w:rPr>
                <w:rFonts w:ascii="仿宋_GB2312" w:eastAsia="仿宋_GB2312" w:hAnsi="仿宋_GB2312" w:cs="仿宋_GB2312" w:hint="eastAsia"/>
                <w:color w:val="000000"/>
                <w:kern w:val="0"/>
                <w:sz w:val="24"/>
                <w:szCs w:val="24"/>
                <w:vertAlign w:val="superscript"/>
              </w:rPr>
              <w:t>+</w:t>
            </w:r>
            <w:r>
              <w:rPr>
                <w:rFonts w:ascii="仿宋_GB2312" w:eastAsia="仿宋_GB2312" w:hAnsi="仿宋_GB2312" w:cs="仿宋_GB2312" w:hint="eastAsia"/>
                <w:color w:val="000000"/>
                <w:kern w:val="0"/>
                <w:sz w:val="24"/>
                <w:szCs w:val="24"/>
              </w:rPr>
              <w:t>、NH4</w:t>
            </w:r>
            <w:r>
              <w:rPr>
                <w:rFonts w:ascii="仿宋_GB2312" w:eastAsia="仿宋_GB2312" w:hAnsi="仿宋_GB2312" w:cs="仿宋_GB2312" w:hint="eastAsia"/>
                <w:color w:val="000000"/>
                <w:kern w:val="0"/>
                <w:sz w:val="24"/>
                <w:szCs w:val="24"/>
                <w:vertAlign w:val="superscript"/>
              </w:rPr>
              <w:t>+</w:t>
            </w:r>
            <w:r>
              <w:rPr>
                <w:rFonts w:ascii="仿宋_GB2312" w:eastAsia="仿宋_GB2312" w:hAnsi="仿宋_GB2312" w:cs="仿宋_GB2312" w:hint="eastAsia"/>
                <w:color w:val="000000"/>
                <w:kern w:val="0"/>
                <w:sz w:val="24"/>
                <w:szCs w:val="24"/>
              </w:rPr>
              <w:t>、NO</w:t>
            </w:r>
            <w:r>
              <w:rPr>
                <w:rFonts w:ascii="仿宋_GB2312" w:eastAsia="仿宋_GB2312" w:hAnsi="仿宋_GB2312" w:cs="仿宋_GB2312" w:hint="eastAsia"/>
                <w:color w:val="000000"/>
                <w:kern w:val="0"/>
                <w:sz w:val="24"/>
                <w:szCs w:val="24"/>
                <w:vertAlign w:val="subscript"/>
              </w:rPr>
              <w:t>3</w:t>
            </w:r>
            <w:r>
              <w:rPr>
                <w:rFonts w:ascii="仿宋_GB2312" w:eastAsia="仿宋_GB2312" w:hAnsi="仿宋_GB2312" w:cs="仿宋_GB2312" w:hint="eastAsia"/>
                <w:color w:val="000000"/>
                <w:kern w:val="0"/>
                <w:sz w:val="24"/>
                <w:szCs w:val="24"/>
                <w:vertAlign w:val="superscript"/>
              </w:rPr>
              <w:t>-</w:t>
            </w:r>
            <w:r>
              <w:rPr>
                <w:rFonts w:ascii="仿宋_GB2312" w:eastAsia="仿宋_GB2312" w:hAnsi="仿宋_GB2312" w:cs="仿宋_GB2312" w:hint="eastAsia"/>
                <w:color w:val="000000"/>
                <w:kern w:val="0"/>
                <w:sz w:val="24"/>
                <w:szCs w:val="24"/>
              </w:rPr>
              <w:t>浓度智能化精准检测。</w:t>
            </w:r>
          </w:p>
        </w:tc>
        <w:tc>
          <w:tcPr>
            <w:tcW w:w="1296" w:type="dxa"/>
            <w:vMerge/>
            <w:vAlign w:val="center"/>
          </w:tcPr>
          <w:p w14:paraId="7A5521B4" w14:textId="77777777" w:rsidR="00C611D5" w:rsidRDefault="00C611D5">
            <w:pPr>
              <w:jc w:val="center"/>
              <w:rPr>
                <w:rFonts w:ascii="仿宋_GB2312" w:eastAsia="仿宋_GB2312" w:hAnsi="仿宋_GB2312" w:cs="仿宋_GB2312"/>
                <w:color w:val="000000"/>
                <w:sz w:val="24"/>
                <w:szCs w:val="24"/>
              </w:rPr>
            </w:pPr>
          </w:p>
        </w:tc>
        <w:tc>
          <w:tcPr>
            <w:tcW w:w="1171" w:type="dxa"/>
            <w:vMerge/>
            <w:vAlign w:val="center"/>
          </w:tcPr>
          <w:p w14:paraId="2EFAED87" w14:textId="77777777" w:rsidR="00C611D5" w:rsidRDefault="00C611D5">
            <w:pPr>
              <w:jc w:val="center"/>
              <w:rPr>
                <w:rFonts w:ascii="仿宋_GB2312" w:eastAsia="仿宋_GB2312" w:hAnsi="仿宋_GB2312" w:cs="仿宋_GB2312"/>
                <w:color w:val="000000"/>
                <w:sz w:val="24"/>
                <w:szCs w:val="24"/>
              </w:rPr>
            </w:pPr>
          </w:p>
        </w:tc>
        <w:tc>
          <w:tcPr>
            <w:tcW w:w="1265" w:type="dxa"/>
            <w:vMerge/>
            <w:vAlign w:val="center"/>
          </w:tcPr>
          <w:p w14:paraId="6B7726B0" w14:textId="77777777" w:rsidR="00C611D5" w:rsidRDefault="00C611D5">
            <w:pPr>
              <w:jc w:val="center"/>
              <w:rPr>
                <w:rFonts w:ascii="仿宋_GB2312" w:eastAsia="仿宋_GB2312" w:hAnsi="仿宋_GB2312" w:cs="仿宋_GB2312"/>
                <w:color w:val="000000"/>
                <w:sz w:val="24"/>
                <w:szCs w:val="24"/>
              </w:rPr>
            </w:pPr>
          </w:p>
        </w:tc>
        <w:tc>
          <w:tcPr>
            <w:tcW w:w="2123" w:type="dxa"/>
            <w:vMerge/>
            <w:vAlign w:val="center"/>
          </w:tcPr>
          <w:p w14:paraId="55141530" w14:textId="77777777" w:rsidR="00C611D5" w:rsidRDefault="00C611D5">
            <w:pPr>
              <w:jc w:val="center"/>
              <w:rPr>
                <w:rFonts w:ascii="仿宋_GB2312" w:eastAsia="仿宋_GB2312" w:hAnsi="仿宋_GB2312" w:cs="仿宋_GB2312"/>
                <w:color w:val="000000"/>
                <w:sz w:val="24"/>
                <w:szCs w:val="24"/>
              </w:rPr>
            </w:pPr>
          </w:p>
        </w:tc>
      </w:tr>
      <w:tr w:rsidR="00C611D5" w14:paraId="50E48DD9" w14:textId="77777777">
        <w:trPr>
          <w:trHeight w:val="900"/>
        </w:trPr>
        <w:tc>
          <w:tcPr>
            <w:tcW w:w="780" w:type="dxa"/>
            <w:vAlign w:val="center"/>
          </w:tcPr>
          <w:p w14:paraId="38075D4A"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19</w:t>
            </w:r>
          </w:p>
        </w:tc>
        <w:tc>
          <w:tcPr>
            <w:tcW w:w="1342" w:type="dxa"/>
            <w:vAlign w:val="center"/>
          </w:tcPr>
          <w:p w14:paraId="0D92C2B7"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宜机化日光温室水肥精准管理模型与变量灌溉应用场景</w:t>
            </w:r>
          </w:p>
        </w:tc>
        <w:tc>
          <w:tcPr>
            <w:tcW w:w="5931" w:type="dxa"/>
            <w:vAlign w:val="center"/>
          </w:tcPr>
          <w:p w14:paraId="5244B05C" w14:textId="77777777" w:rsidR="00C611D5" w:rsidRDefault="00000000">
            <w:pPr>
              <w:widowControl/>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针对传统</w:t>
            </w:r>
            <w:proofErr w:type="gramStart"/>
            <w:r>
              <w:rPr>
                <w:rFonts w:ascii="仿宋_GB2312" w:eastAsia="仿宋_GB2312" w:hAnsi="仿宋_GB2312" w:cs="仿宋_GB2312" w:hint="eastAsia"/>
                <w:color w:val="000000"/>
                <w:kern w:val="0"/>
                <w:sz w:val="24"/>
                <w:szCs w:val="24"/>
              </w:rPr>
              <w:t>南北垄向种植</w:t>
            </w:r>
            <w:proofErr w:type="gramEnd"/>
            <w:r>
              <w:rPr>
                <w:rFonts w:ascii="仿宋_GB2312" w:eastAsia="仿宋_GB2312" w:hAnsi="仿宋_GB2312" w:cs="仿宋_GB2312" w:hint="eastAsia"/>
                <w:color w:val="000000"/>
                <w:kern w:val="0"/>
                <w:sz w:val="24"/>
                <w:szCs w:val="24"/>
              </w:rPr>
              <w:t>模式</w:t>
            </w:r>
            <w:proofErr w:type="gramStart"/>
            <w:r>
              <w:rPr>
                <w:rFonts w:ascii="仿宋_GB2312" w:eastAsia="仿宋_GB2312" w:hAnsi="仿宋_GB2312" w:cs="仿宋_GB2312" w:hint="eastAsia"/>
                <w:color w:val="000000"/>
                <w:kern w:val="0"/>
                <w:sz w:val="24"/>
                <w:szCs w:val="24"/>
              </w:rPr>
              <w:t>下全棚均量</w:t>
            </w:r>
            <w:proofErr w:type="gramEnd"/>
            <w:r>
              <w:rPr>
                <w:rFonts w:ascii="仿宋_GB2312" w:eastAsia="仿宋_GB2312" w:hAnsi="仿宋_GB2312" w:cs="仿宋_GB2312" w:hint="eastAsia"/>
                <w:color w:val="000000"/>
                <w:kern w:val="0"/>
                <w:sz w:val="24"/>
                <w:szCs w:val="24"/>
              </w:rPr>
              <w:t>灌溉方法无法适用于宜机化</w:t>
            </w:r>
            <w:proofErr w:type="gramStart"/>
            <w:r>
              <w:rPr>
                <w:rFonts w:ascii="仿宋_GB2312" w:eastAsia="仿宋_GB2312" w:hAnsi="仿宋_GB2312" w:cs="仿宋_GB2312" w:hint="eastAsia"/>
                <w:color w:val="000000"/>
                <w:kern w:val="0"/>
                <w:sz w:val="24"/>
                <w:szCs w:val="24"/>
              </w:rPr>
              <w:t>东西垄向种植</w:t>
            </w:r>
            <w:proofErr w:type="gramEnd"/>
            <w:r>
              <w:rPr>
                <w:rFonts w:ascii="仿宋_GB2312" w:eastAsia="仿宋_GB2312" w:hAnsi="仿宋_GB2312" w:cs="仿宋_GB2312" w:hint="eastAsia"/>
                <w:color w:val="000000"/>
                <w:kern w:val="0"/>
                <w:sz w:val="24"/>
                <w:szCs w:val="24"/>
              </w:rPr>
              <w:t>模式的问题，建立以光辐射为驱动、田畦为单元的日光温室东西</w:t>
            </w:r>
            <w:proofErr w:type="gramStart"/>
            <w:r>
              <w:rPr>
                <w:rFonts w:ascii="仿宋_GB2312" w:eastAsia="仿宋_GB2312" w:hAnsi="仿宋_GB2312" w:cs="仿宋_GB2312" w:hint="eastAsia"/>
                <w:color w:val="000000"/>
                <w:kern w:val="0"/>
                <w:sz w:val="24"/>
                <w:szCs w:val="24"/>
              </w:rPr>
              <w:t>垄</w:t>
            </w:r>
            <w:proofErr w:type="gramEnd"/>
            <w:r>
              <w:rPr>
                <w:rFonts w:ascii="仿宋_GB2312" w:eastAsia="仿宋_GB2312" w:hAnsi="仿宋_GB2312" w:cs="仿宋_GB2312" w:hint="eastAsia"/>
                <w:color w:val="000000"/>
                <w:kern w:val="0"/>
                <w:sz w:val="24"/>
                <w:szCs w:val="24"/>
              </w:rPr>
              <w:t>种植下水肥变量调控方法，构建基于边缘计算的日光温室智能灌溉控制系统，确保作物适宜生长周期，提升水肥利用效率。</w:t>
            </w:r>
          </w:p>
        </w:tc>
        <w:tc>
          <w:tcPr>
            <w:tcW w:w="1296" w:type="dxa"/>
            <w:vMerge/>
            <w:vAlign w:val="center"/>
          </w:tcPr>
          <w:p w14:paraId="302E9702" w14:textId="77777777" w:rsidR="00C611D5" w:rsidRDefault="00C611D5">
            <w:pPr>
              <w:jc w:val="center"/>
              <w:rPr>
                <w:rFonts w:ascii="仿宋_GB2312" w:eastAsia="仿宋_GB2312" w:hAnsi="仿宋_GB2312" w:cs="仿宋_GB2312"/>
                <w:color w:val="000000"/>
                <w:sz w:val="24"/>
                <w:szCs w:val="24"/>
              </w:rPr>
            </w:pPr>
          </w:p>
        </w:tc>
        <w:tc>
          <w:tcPr>
            <w:tcW w:w="1171" w:type="dxa"/>
            <w:vMerge/>
            <w:vAlign w:val="center"/>
          </w:tcPr>
          <w:p w14:paraId="0663FC8D" w14:textId="77777777" w:rsidR="00C611D5" w:rsidRDefault="00C611D5">
            <w:pPr>
              <w:jc w:val="center"/>
              <w:rPr>
                <w:rFonts w:ascii="仿宋_GB2312" w:eastAsia="仿宋_GB2312" w:hAnsi="仿宋_GB2312" w:cs="仿宋_GB2312"/>
                <w:color w:val="000000"/>
                <w:sz w:val="24"/>
                <w:szCs w:val="24"/>
              </w:rPr>
            </w:pPr>
          </w:p>
        </w:tc>
        <w:tc>
          <w:tcPr>
            <w:tcW w:w="1265" w:type="dxa"/>
            <w:vMerge/>
            <w:vAlign w:val="center"/>
          </w:tcPr>
          <w:p w14:paraId="44DC5203" w14:textId="77777777" w:rsidR="00C611D5" w:rsidRDefault="00C611D5">
            <w:pPr>
              <w:jc w:val="center"/>
              <w:rPr>
                <w:rFonts w:ascii="仿宋_GB2312" w:eastAsia="仿宋_GB2312" w:hAnsi="仿宋_GB2312" w:cs="仿宋_GB2312"/>
                <w:color w:val="000000"/>
                <w:sz w:val="24"/>
                <w:szCs w:val="24"/>
              </w:rPr>
            </w:pPr>
          </w:p>
        </w:tc>
        <w:tc>
          <w:tcPr>
            <w:tcW w:w="2123" w:type="dxa"/>
            <w:vMerge/>
            <w:vAlign w:val="center"/>
          </w:tcPr>
          <w:p w14:paraId="53431E0C" w14:textId="77777777" w:rsidR="00C611D5" w:rsidRDefault="00C611D5">
            <w:pPr>
              <w:jc w:val="center"/>
              <w:rPr>
                <w:rFonts w:ascii="仿宋_GB2312" w:eastAsia="仿宋_GB2312" w:hAnsi="仿宋_GB2312" w:cs="仿宋_GB2312"/>
                <w:color w:val="000000"/>
                <w:sz w:val="24"/>
                <w:szCs w:val="24"/>
              </w:rPr>
            </w:pPr>
          </w:p>
        </w:tc>
      </w:tr>
      <w:tr w:rsidR="00C611D5" w14:paraId="6F2EFAF4" w14:textId="77777777">
        <w:trPr>
          <w:trHeight w:val="600"/>
        </w:trPr>
        <w:tc>
          <w:tcPr>
            <w:tcW w:w="780" w:type="dxa"/>
            <w:vAlign w:val="center"/>
          </w:tcPr>
          <w:p w14:paraId="6B228F5A"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20</w:t>
            </w:r>
          </w:p>
        </w:tc>
        <w:tc>
          <w:tcPr>
            <w:tcW w:w="1342" w:type="dxa"/>
            <w:vAlign w:val="center"/>
          </w:tcPr>
          <w:p w14:paraId="27E26183"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设施环境植物高通量表型检测应用场景</w:t>
            </w:r>
          </w:p>
        </w:tc>
        <w:tc>
          <w:tcPr>
            <w:tcW w:w="5931" w:type="dxa"/>
            <w:vAlign w:val="center"/>
          </w:tcPr>
          <w:p w14:paraId="32C3B522" w14:textId="77777777" w:rsidR="00C611D5" w:rsidRDefault="00000000">
            <w:pPr>
              <w:widowControl/>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针对作物表型高通量获取技术受国外垄断，难以构建我国自主知识产权的设施植物表型大数据高通量、自动化系统平台导致设施植物育种技术研究受到制约等问题，创制设施环境下流水线成像室表型平台、轨道表型平台、无人车表型平台以及机器人表型平台系统，实现植物形态结构、颜色纹理以及光谱生理等多模态表型指标自动化解析，解决我国农林植物表型软硬件系统装备“卡脖子”问题。</w:t>
            </w:r>
          </w:p>
        </w:tc>
        <w:tc>
          <w:tcPr>
            <w:tcW w:w="1296" w:type="dxa"/>
            <w:vMerge/>
            <w:vAlign w:val="center"/>
          </w:tcPr>
          <w:p w14:paraId="1908AB53" w14:textId="77777777" w:rsidR="00C611D5" w:rsidRDefault="00C611D5">
            <w:pPr>
              <w:jc w:val="center"/>
              <w:rPr>
                <w:rFonts w:ascii="仿宋_GB2312" w:eastAsia="仿宋_GB2312" w:hAnsi="仿宋_GB2312" w:cs="仿宋_GB2312"/>
                <w:color w:val="000000"/>
                <w:sz w:val="24"/>
                <w:szCs w:val="24"/>
              </w:rPr>
            </w:pPr>
          </w:p>
        </w:tc>
        <w:tc>
          <w:tcPr>
            <w:tcW w:w="1171" w:type="dxa"/>
            <w:vMerge/>
            <w:vAlign w:val="center"/>
          </w:tcPr>
          <w:p w14:paraId="7CA15E0C" w14:textId="77777777" w:rsidR="00C611D5" w:rsidRDefault="00C611D5">
            <w:pPr>
              <w:jc w:val="center"/>
              <w:rPr>
                <w:rFonts w:ascii="仿宋_GB2312" w:eastAsia="仿宋_GB2312" w:hAnsi="仿宋_GB2312" w:cs="仿宋_GB2312"/>
                <w:color w:val="000000"/>
                <w:sz w:val="24"/>
                <w:szCs w:val="24"/>
              </w:rPr>
            </w:pPr>
          </w:p>
        </w:tc>
        <w:tc>
          <w:tcPr>
            <w:tcW w:w="1265" w:type="dxa"/>
            <w:vMerge/>
            <w:vAlign w:val="center"/>
          </w:tcPr>
          <w:p w14:paraId="55A1FCD3" w14:textId="77777777" w:rsidR="00C611D5" w:rsidRDefault="00C611D5">
            <w:pPr>
              <w:jc w:val="center"/>
              <w:rPr>
                <w:rFonts w:ascii="仿宋_GB2312" w:eastAsia="仿宋_GB2312" w:hAnsi="仿宋_GB2312" w:cs="仿宋_GB2312"/>
                <w:color w:val="000000"/>
                <w:sz w:val="24"/>
                <w:szCs w:val="24"/>
              </w:rPr>
            </w:pPr>
          </w:p>
        </w:tc>
        <w:tc>
          <w:tcPr>
            <w:tcW w:w="2123" w:type="dxa"/>
            <w:vMerge/>
            <w:vAlign w:val="center"/>
          </w:tcPr>
          <w:p w14:paraId="426D1E44" w14:textId="77777777" w:rsidR="00C611D5" w:rsidRDefault="00C611D5">
            <w:pPr>
              <w:jc w:val="center"/>
              <w:rPr>
                <w:rFonts w:ascii="仿宋_GB2312" w:eastAsia="仿宋_GB2312" w:hAnsi="仿宋_GB2312" w:cs="仿宋_GB2312"/>
                <w:color w:val="000000"/>
                <w:sz w:val="24"/>
                <w:szCs w:val="24"/>
              </w:rPr>
            </w:pPr>
          </w:p>
        </w:tc>
      </w:tr>
      <w:tr w:rsidR="00C611D5" w14:paraId="68C41CCD" w14:textId="77777777">
        <w:trPr>
          <w:trHeight w:val="600"/>
        </w:trPr>
        <w:tc>
          <w:tcPr>
            <w:tcW w:w="780" w:type="dxa"/>
            <w:vAlign w:val="center"/>
          </w:tcPr>
          <w:p w14:paraId="785E6430"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21</w:t>
            </w:r>
          </w:p>
        </w:tc>
        <w:tc>
          <w:tcPr>
            <w:tcW w:w="1342" w:type="dxa"/>
            <w:vAlign w:val="center"/>
          </w:tcPr>
          <w:p w14:paraId="583687E3"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奶牛体型外貌智能鉴定应用场景</w:t>
            </w:r>
          </w:p>
        </w:tc>
        <w:tc>
          <w:tcPr>
            <w:tcW w:w="5931" w:type="dxa"/>
            <w:vAlign w:val="center"/>
          </w:tcPr>
          <w:p w14:paraId="3F07F272" w14:textId="77777777" w:rsidR="00C611D5" w:rsidRDefault="00000000">
            <w:pPr>
              <w:widowControl/>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非接触式体型外貌自动鉴定无须人工干预，能够实现对奶牛体型外貌自动鉴定，但鉴定模型受不均匀环境光照、牛只运动等影响，造成鉴定</w:t>
            </w:r>
            <w:proofErr w:type="gramStart"/>
            <w:r>
              <w:rPr>
                <w:rFonts w:ascii="仿宋_GB2312" w:eastAsia="仿宋_GB2312" w:hAnsi="仿宋_GB2312" w:cs="仿宋_GB2312" w:hint="eastAsia"/>
                <w:color w:val="000000"/>
                <w:kern w:val="0"/>
                <w:sz w:val="24"/>
                <w:szCs w:val="24"/>
              </w:rPr>
              <w:t>分值受</w:t>
            </w:r>
            <w:proofErr w:type="gramEnd"/>
            <w:r>
              <w:rPr>
                <w:rFonts w:ascii="仿宋_GB2312" w:eastAsia="仿宋_GB2312" w:hAnsi="仿宋_GB2312" w:cs="仿宋_GB2312" w:hint="eastAsia"/>
                <w:color w:val="000000"/>
                <w:kern w:val="0"/>
                <w:sz w:val="24"/>
                <w:szCs w:val="24"/>
              </w:rPr>
              <w:t>主观影响较大。利用人工智能技术结合多角度体型外貌视觉特征，创制奶牛体型外貌智能鉴定装置，提升复杂环境下体型外貌鉴定模型的普适性，提高鉴定速度与精度。</w:t>
            </w:r>
          </w:p>
        </w:tc>
        <w:tc>
          <w:tcPr>
            <w:tcW w:w="1296" w:type="dxa"/>
            <w:vMerge/>
            <w:vAlign w:val="center"/>
          </w:tcPr>
          <w:p w14:paraId="2EECD73B" w14:textId="77777777" w:rsidR="00C611D5" w:rsidRDefault="00C611D5">
            <w:pPr>
              <w:jc w:val="center"/>
              <w:rPr>
                <w:rFonts w:ascii="仿宋_GB2312" w:eastAsia="仿宋_GB2312" w:hAnsi="仿宋_GB2312" w:cs="仿宋_GB2312"/>
                <w:color w:val="000000"/>
                <w:sz w:val="24"/>
                <w:szCs w:val="24"/>
              </w:rPr>
            </w:pPr>
          </w:p>
        </w:tc>
        <w:tc>
          <w:tcPr>
            <w:tcW w:w="1171" w:type="dxa"/>
            <w:vMerge/>
            <w:vAlign w:val="center"/>
          </w:tcPr>
          <w:p w14:paraId="4F09C7C7" w14:textId="77777777" w:rsidR="00C611D5" w:rsidRDefault="00C611D5">
            <w:pPr>
              <w:jc w:val="center"/>
              <w:rPr>
                <w:rFonts w:ascii="仿宋_GB2312" w:eastAsia="仿宋_GB2312" w:hAnsi="仿宋_GB2312" w:cs="仿宋_GB2312"/>
                <w:color w:val="000000"/>
                <w:sz w:val="24"/>
                <w:szCs w:val="24"/>
              </w:rPr>
            </w:pPr>
          </w:p>
        </w:tc>
        <w:tc>
          <w:tcPr>
            <w:tcW w:w="1265" w:type="dxa"/>
            <w:vMerge/>
            <w:vAlign w:val="center"/>
          </w:tcPr>
          <w:p w14:paraId="4541F2DC" w14:textId="77777777" w:rsidR="00C611D5" w:rsidRDefault="00C611D5">
            <w:pPr>
              <w:jc w:val="center"/>
              <w:rPr>
                <w:rFonts w:ascii="仿宋_GB2312" w:eastAsia="仿宋_GB2312" w:hAnsi="仿宋_GB2312" w:cs="仿宋_GB2312"/>
                <w:color w:val="000000"/>
                <w:sz w:val="24"/>
                <w:szCs w:val="24"/>
              </w:rPr>
            </w:pPr>
          </w:p>
        </w:tc>
        <w:tc>
          <w:tcPr>
            <w:tcW w:w="2123" w:type="dxa"/>
            <w:vMerge/>
            <w:vAlign w:val="center"/>
          </w:tcPr>
          <w:p w14:paraId="0E0ECC66" w14:textId="77777777" w:rsidR="00C611D5" w:rsidRDefault="00C611D5">
            <w:pPr>
              <w:jc w:val="center"/>
              <w:rPr>
                <w:rFonts w:ascii="仿宋_GB2312" w:eastAsia="仿宋_GB2312" w:hAnsi="仿宋_GB2312" w:cs="仿宋_GB2312"/>
                <w:color w:val="000000"/>
                <w:sz w:val="24"/>
                <w:szCs w:val="24"/>
              </w:rPr>
            </w:pPr>
          </w:p>
        </w:tc>
      </w:tr>
      <w:tr w:rsidR="00C611D5" w14:paraId="32081C6F" w14:textId="77777777">
        <w:trPr>
          <w:trHeight w:val="600"/>
        </w:trPr>
        <w:tc>
          <w:tcPr>
            <w:tcW w:w="780" w:type="dxa"/>
            <w:vAlign w:val="center"/>
          </w:tcPr>
          <w:p w14:paraId="4691C3B5"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22</w:t>
            </w:r>
          </w:p>
        </w:tc>
        <w:tc>
          <w:tcPr>
            <w:tcW w:w="1342" w:type="dxa"/>
            <w:vAlign w:val="center"/>
          </w:tcPr>
          <w:p w14:paraId="610DCB6C"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蛋鸡育种选育智能应用场景</w:t>
            </w:r>
          </w:p>
        </w:tc>
        <w:tc>
          <w:tcPr>
            <w:tcW w:w="5931" w:type="dxa"/>
            <w:vAlign w:val="center"/>
          </w:tcPr>
          <w:p w14:paraId="6941D1D0" w14:textId="77777777" w:rsidR="00C611D5" w:rsidRDefault="00000000">
            <w:pPr>
              <w:widowControl/>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面对传统育种方法的局限性和大数据处理的挑战，通过建立人工智能模型，深度分析各选育点中选育目标与选择性状、选择条件之间的联系，实现人工智能驱动的育种决策，确保选育过程始终符合预定目标，提高育种效率与精确性。</w:t>
            </w:r>
          </w:p>
        </w:tc>
        <w:tc>
          <w:tcPr>
            <w:tcW w:w="1296" w:type="dxa"/>
            <w:vMerge/>
            <w:vAlign w:val="center"/>
          </w:tcPr>
          <w:p w14:paraId="1D1B01C4" w14:textId="77777777" w:rsidR="00C611D5" w:rsidRDefault="00C611D5">
            <w:pPr>
              <w:jc w:val="center"/>
              <w:rPr>
                <w:rFonts w:ascii="仿宋_GB2312" w:eastAsia="仿宋_GB2312" w:hAnsi="仿宋_GB2312" w:cs="仿宋_GB2312"/>
                <w:color w:val="000000"/>
                <w:sz w:val="24"/>
                <w:szCs w:val="24"/>
              </w:rPr>
            </w:pPr>
          </w:p>
        </w:tc>
        <w:tc>
          <w:tcPr>
            <w:tcW w:w="1171" w:type="dxa"/>
            <w:vMerge/>
            <w:vAlign w:val="center"/>
          </w:tcPr>
          <w:p w14:paraId="301F7094" w14:textId="77777777" w:rsidR="00C611D5" w:rsidRDefault="00C611D5">
            <w:pPr>
              <w:jc w:val="center"/>
              <w:rPr>
                <w:rFonts w:ascii="仿宋_GB2312" w:eastAsia="仿宋_GB2312" w:hAnsi="仿宋_GB2312" w:cs="仿宋_GB2312"/>
                <w:color w:val="000000"/>
                <w:sz w:val="24"/>
                <w:szCs w:val="24"/>
              </w:rPr>
            </w:pPr>
          </w:p>
        </w:tc>
        <w:tc>
          <w:tcPr>
            <w:tcW w:w="1265" w:type="dxa"/>
            <w:vMerge/>
            <w:vAlign w:val="center"/>
          </w:tcPr>
          <w:p w14:paraId="412EB655" w14:textId="77777777" w:rsidR="00C611D5" w:rsidRDefault="00C611D5">
            <w:pPr>
              <w:jc w:val="center"/>
              <w:rPr>
                <w:rFonts w:ascii="仿宋_GB2312" w:eastAsia="仿宋_GB2312" w:hAnsi="仿宋_GB2312" w:cs="仿宋_GB2312"/>
                <w:color w:val="000000"/>
                <w:sz w:val="24"/>
                <w:szCs w:val="24"/>
              </w:rPr>
            </w:pPr>
          </w:p>
        </w:tc>
        <w:tc>
          <w:tcPr>
            <w:tcW w:w="2123" w:type="dxa"/>
            <w:vMerge/>
            <w:vAlign w:val="center"/>
          </w:tcPr>
          <w:p w14:paraId="3815A92E" w14:textId="77777777" w:rsidR="00C611D5" w:rsidRDefault="00C611D5">
            <w:pPr>
              <w:jc w:val="center"/>
              <w:rPr>
                <w:rFonts w:ascii="仿宋_GB2312" w:eastAsia="仿宋_GB2312" w:hAnsi="仿宋_GB2312" w:cs="仿宋_GB2312"/>
                <w:color w:val="000000"/>
                <w:sz w:val="24"/>
                <w:szCs w:val="24"/>
              </w:rPr>
            </w:pPr>
          </w:p>
        </w:tc>
      </w:tr>
      <w:tr w:rsidR="00C611D5" w14:paraId="3F212E7D" w14:textId="77777777">
        <w:trPr>
          <w:trHeight w:val="600"/>
        </w:trPr>
        <w:tc>
          <w:tcPr>
            <w:tcW w:w="780" w:type="dxa"/>
            <w:vAlign w:val="center"/>
          </w:tcPr>
          <w:p w14:paraId="7C37962D"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23</w:t>
            </w:r>
          </w:p>
        </w:tc>
        <w:tc>
          <w:tcPr>
            <w:tcW w:w="1342" w:type="dxa"/>
            <w:vAlign w:val="center"/>
          </w:tcPr>
          <w:p w14:paraId="7B8943F7"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果园宜机化智能迷雾药液喷洒应用场景</w:t>
            </w:r>
          </w:p>
        </w:tc>
        <w:tc>
          <w:tcPr>
            <w:tcW w:w="5931" w:type="dxa"/>
            <w:vAlign w:val="center"/>
          </w:tcPr>
          <w:p w14:paraId="5C01523D" w14:textId="77777777" w:rsidR="00C611D5" w:rsidRDefault="00000000">
            <w:pPr>
              <w:widowControl/>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果园生产面临农事作业强度大、肥药喷洒不精细等问题，应用自主导航、路径自主规划与自动寻优等技术方法，创制果园宜机化自动巡检与智能迷雾喷洒装备，实现无人驾驶果园视频图像和火情监测识别、肥药自动喷洒。</w:t>
            </w:r>
          </w:p>
        </w:tc>
        <w:tc>
          <w:tcPr>
            <w:tcW w:w="1296" w:type="dxa"/>
            <w:vMerge/>
            <w:vAlign w:val="center"/>
          </w:tcPr>
          <w:p w14:paraId="39BCE393" w14:textId="77777777" w:rsidR="00C611D5" w:rsidRDefault="00C611D5">
            <w:pPr>
              <w:jc w:val="center"/>
              <w:rPr>
                <w:rFonts w:ascii="仿宋_GB2312" w:eastAsia="仿宋_GB2312" w:hAnsi="仿宋_GB2312" w:cs="仿宋_GB2312"/>
                <w:color w:val="000000"/>
                <w:sz w:val="24"/>
                <w:szCs w:val="24"/>
              </w:rPr>
            </w:pPr>
          </w:p>
        </w:tc>
        <w:tc>
          <w:tcPr>
            <w:tcW w:w="1171" w:type="dxa"/>
            <w:vMerge/>
            <w:vAlign w:val="center"/>
          </w:tcPr>
          <w:p w14:paraId="1E734A15" w14:textId="77777777" w:rsidR="00C611D5" w:rsidRDefault="00C611D5">
            <w:pPr>
              <w:jc w:val="center"/>
              <w:rPr>
                <w:rFonts w:ascii="仿宋_GB2312" w:eastAsia="仿宋_GB2312" w:hAnsi="仿宋_GB2312" w:cs="仿宋_GB2312"/>
                <w:color w:val="000000"/>
                <w:sz w:val="24"/>
                <w:szCs w:val="24"/>
              </w:rPr>
            </w:pPr>
          </w:p>
        </w:tc>
        <w:tc>
          <w:tcPr>
            <w:tcW w:w="1265" w:type="dxa"/>
            <w:vMerge/>
            <w:vAlign w:val="center"/>
          </w:tcPr>
          <w:p w14:paraId="47EDCCA3" w14:textId="77777777" w:rsidR="00C611D5" w:rsidRDefault="00C611D5">
            <w:pPr>
              <w:jc w:val="center"/>
              <w:rPr>
                <w:rFonts w:ascii="仿宋_GB2312" w:eastAsia="仿宋_GB2312" w:hAnsi="仿宋_GB2312" w:cs="仿宋_GB2312"/>
                <w:color w:val="000000"/>
                <w:sz w:val="24"/>
                <w:szCs w:val="24"/>
              </w:rPr>
            </w:pPr>
          </w:p>
        </w:tc>
        <w:tc>
          <w:tcPr>
            <w:tcW w:w="2123" w:type="dxa"/>
            <w:vMerge/>
            <w:vAlign w:val="center"/>
          </w:tcPr>
          <w:p w14:paraId="08D06E39" w14:textId="77777777" w:rsidR="00C611D5" w:rsidRDefault="00C611D5">
            <w:pPr>
              <w:jc w:val="center"/>
              <w:rPr>
                <w:rFonts w:ascii="仿宋_GB2312" w:eastAsia="仿宋_GB2312" w:hAnsi="仿宋_GB2312" w:cs="仿宋_GB2312"/>
                <w:color w:val="000000"/>
                <w:sz w:val="24"/>
                <w:szCs w:val="24"/>
              </w:rPr>
            </w:pPr>
          </w:p>
        </w:tc>
      </w:tr>
      <w:tr w:rsidR="00C611D5" w14:paraId="6669C3A5" w14:textId="77777777">
        <w:trPr>
          <w:trHeight w:val="600"/>
        </w:trPr>
        <w:tc>
          <w:tcPr>
            <w:tcW w:w="780" w:type="dxa"/>
            <w:vAlign w:val="center"/>
          </w:tcPr>
          <w:p w14:paraId="77014A92"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24</w:t>
            </w:r>
          </w:p>
        </w:tc>
        <w:tc>
          <w:tcPr>
            <w:tcW w:w="1342" w:type="dxa"/>
            <w:vAlign w:val="center"/>
          </w:tcPr>
          <w:p w14:paraId="0796C917" w14:textId="77777777" w:rsidR="00C611D5" w:rsidRDefault="00000000">
            <w:pPr>
              <w:widowControl/>
              <w:jc w:val="center"/>
              <w:rPr>
                <w:rFonts w:ascii="仿宋_GB2312" w:eastAsia="仿宋_GB2312" w:hAnsi="仿宋_GB2312" w:cs="仿宋_GB2312"/>
                <w:bCs/>
                <w:kern w:val="0"/>
                <w:sz w:val="24"/>
                <w:szCs w:val="24"/>
              </w:rPr>
            </w:pPr>
            <w:r>
              <w:rPr>
                <w:rFonts w:ascii="仿宋_GB2312" w:eastAsia="仿宋_GB2312" w:hAnsi="仿宋_GB2312" w:cs="仿宋_GB2312" w:hint="eastAsia"/>
                <w:color w:val="000000"/>
                <w:kern w:val="0"/>
                <w:sz w:val="24"/>
                <w:szCs w:val="24"/>
              </w:rPr>
              <w:t>经开</w:t>
            </w:r>
            <w:proofErr w:type="gramStart"/>
            <w:r>
              <w:rPr>
                <w:rFonts w:ascii="仿宋_GB2312" w:eastAsia="仿宋_GB2312" w:hAnsi="仿宋_GB2312" w:cs="仿宋_GB2312" w:hint="eastAsia"/>
                <w:color w:val="000000"/>
                <w:kern w:val="0"/>
                <w:sz w:val="24"/>
                <w:szCs w:val="24"/>
              </w:rPr>
              <w:t>区亦智</w:t>
            </w:r>
            <w:proofErr w:type="gramEnd"/>
            <w:r>
              <w:rPr>
                <w:rFonts w:ascii="仿宋_GB2312" w:eastAsia="仿宋_GB2312" w:hAnsi="仿宋_GB2312" w:cs="仿宋_GB2312" w:hint="eastAsia"/>
                <w:color w:val="000000"/>
                <w:kern w:val="0"/>
                <w:sz w:val="24"/>
                <w:szCs w:val="24"/>
              </w:rPr>
              <w:t>政务大模型服务平台技术验证</w:t>
            </w:r>
          </w:p>
        </w:tc>
        <w:tc>
          <w:tcPr>
            <w:tcW w:w="5931" w:type="dxa"/>
            <w:vAlign w:val="center"/>
          </w:tcPr>
          <w:p w14:paraId="3EAD292F" w14:textId="77777777" w:rsidR="00C611D5" w:rsidRDefault="00000000">
            <w:pPr>
              <w:widowControl/>
              <w:spacing w:line="400" w:lineRule="exact"/>
              <w:jc w:val="left"/>
              <w:rPr>
                <w:rFonts w:ascii="仿宋_GB2312" w:eastAsia="仿宋_GB2312" w:hAnsi="仿宋_GB2312" w:cs="仿宋_GB2312"/>
                <w:bCs/>
                <w:kern w:val="0"/>
                <w:sz w:val="24"/>
                <w:szCs w:val="24"/>
              </w:rPr>
            </w:pPr>
            <w:r>
              <w:rPr>
                <w:rFonts w:ascii="仿宋_GB2312" w:eastAsia="仿宋_GB2312" w:hAnsi="仿宋_GB2312" w:cs="仿宋_GB2312" w:hint="eastAsia"/>
                <w:kern w:val="0"/>
                <w:sz w:val="24"/>
                <w:szCs w:val="24"/>
              </w:rPr>
              <w:t>基于通用</w:t>
            </w:r>
            <w:proofErr w:type="gramStart"/>
            <w:r>
              <w:rPr>
                <w:rFonts w:ascii="仿宋_GB2312" w:eastAsia="仿宋_GB2312" w:hAnsi="仿宋_GB2312" w:cs="仿宋_GB2312" w:hint="eastAsia"/>
                <w:kern w:val="0"/>
                <w:sz w:val="24"/>
                <w:szCs w:val="24"/>
              </w:rPr>
              <w:t>预训练</w:t>
            </w:r>
            <w:proofErr w:type="gramEnd"/>
            <w:r>
              <w:rPr>
                <w:rFonts w:ascii="仿宋_GB2312" w:eastAsia="仿宋_GB2312" w:hAnsi="仿宋_GB2312" w:cs="仿宋_GB2312" w:hint="eastAsia"/>
                <w:kern w:val="0"/>
                <w:sz w:val="24"/>
                <w:szCs w:val="24"/>
              </w:rPr>
              <w:t>大模型，使用本地大数据训练，建设具有经开区认知能力的“亦智”政务大模型平台，采用国产化自主可控框架，建设有效易用的大模型微调训练工具链，实现任务微调训练的自闭环，提供数据管理、模型训练、模型管理、模型压缩、模型发布等能力，支撑多元大模型优化训练的全流程，为政务咨询、智能检索、交互式智能政务办事、城市精准治理等场景建设，提供大模型能力支撑，助力政务服务提质增效。</w:t>
            </w:r>
          </w:p>
        </w:tc>
        <w:tc>
          <w:tcPr>
            <w:tcW w:w="1296" w:type="dxa"/>
            <w:vAlign w:val="center"/>
          </w:tcPr>
          <w:p w14:paraId="1411C1E6" w14:textId="77777777" w:rsidR="00C611D5" w:rsidRDefault="00000000">
            <w:pPr>
              <w:widowControl/>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北京经济技术开发区</w:t>
            </w:r>
          </w:p>
          <w:p w14:paraId="08485585" w14:textId="77777777" w:rsidR="00C611D5" w:rsidRDefault="00000000">
            <w:pPr>
              <w:widowControl/>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rPr>
              <w:t>行政</w:t>
            </w:r>
            <w:proofErr w:type="gramStart"/>
            <w:r>
              <w:rPr>
                <w:rFonts w:ascii="仿宋_GB2312" w:eastAsia="仿宋_GB2312" w:hAnsi="仿宋_GB2312" w:cs="仿宋_GB2312" w:hint="eastAsia"/>
                <w:color w:val="000000"/>
                <w:kern w:val="0"/>
                <w:sz w:val="24"/>
                <w:szCs w:val="24"/>
              </w:rPr>
              <w:t>审批局</w:t>
            </w:r>
            <w:proofErr w:type="gramEnd"/>
          </w:p>
        </w:tc>
        <w:tc>
          <w:tcPr>
            <w:tcW w:w="1171" w:type="dxa"/>
            <w:vAlign w:val="center"/>
          </w:tcPr>
          <w:p w14:paraId="5A05954C"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罗珺</w:t>
            </w:r>
          </w:p>
        </w:tc>
        <w:tc>
          <w:tcPr>
            <w:tcW w:w="1265" w:type="dxa"/>
            <w:vAlign w:val="center"/>
          </w:tcPr>
          <w:p w14:paraId="233D777A" w14:textId="77777777" w:rsidR="00C611D5" w:rsidRDefault="00000000">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67880397</w:t>
            </w:r>
          </w:p>
        </w:tc>
        <w:tc>
          <w:tcPr>
            <w:tcW w:w="2123" w:type="dxa"/>
            <w:vAlign w:val="center"/>
          </w:tcPr>
          <w:p w14:paraId="081D4842" w14:textId="77777777" w:rsidR="00C611D5" w:rsidRDefault="00000000">
            <w:pPr>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luojun@bda.gov.cn</w:t>
            </w:r>
          </w:p>
        </w:tc>
      </w:tr>
      <w:tr w:rsidR="00C611D5" w14:paraId="7D978E16" w14:textId="77777777">
        <w:trPr>
          <w:trHeight w:val="600"/>
        </w:trPr>
        <w:tc>
          <w:tcPr>
            <w:tcW w:w="780" w:type="dxa"/>
            <w:vAlign w:val="center"/>
          </w:tcPr>
          <w:p w14:paraId="02838F93"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25</w:t>
            </w:r>
          </w:p>
        </w:tc>
        <w:tc>
          <w:tcPr>
            <w:tcW w:w="1342" w:type="dxa"/>
            <w:vAlign w:val="center"/>
          </w:tcPr>
          <w:p w14:paraId="0C27ACD5" w14:textId="77777777" w:rsidR="00C611D5" w:rsidRDefault="00000000">
            <w:pPr>
              <w:widowControl/>
              <w:jc w:val="center"/>
              <w:rPr>
                <w:rFonts w:ascii="仿宋_GB2312" w:eastAsia="仿宋_GB2312" w:hAnsi="仿宋_GB2312" w:cs="仿宋_GB2312"/>
                <w:bCs/>
                <w:kern w:val="0"/>
                <w:sz w:val="24"/>
                <w:szCs w:val="24"/>
              </w:rPr>
            </w:pPr>
            <w:r>
              <w:rPr>
                <w:rFonts w:ascii="仿宋_GB2312" w:eastAsia="仿宋_GB2312" w:hAnsi="仿宋_GB2312" w:cs="仿宋_GB2312" w:hint="eastAsia"/>
                <w:color w:val="000000"/>
                <w:kern w:val="0"/>
                <w:sz w:val="24"/>
                <w:szCs w:val="24"/>
              </w:rPr>
              <w:t>基于大模型的驾驶舱“边问边查”场景应用</w:t>
            </w:r>
          </w:p>
        </w:tc>
        <w:tc>
          <w:tcPr>
            <w:tcW w:w="5931" w:type="dxa"/>
            <w:vAlign w:val="center"/>
          </w:tcPr>
          <w:p w14:paraId="691E2439" w14:textId="77777777" w:rsidR="00C611D5" w:rsidRDefault="00000000">
            <w:pPr>
              <w:widowControl/>
              <w:spacing w:line="400" w:lineRule="exact"/>
              <w:jc w:val="left"/>
              <w:rPr>
                <w:rFonts w:ascii="仿宋_GB2312" w:eastAsia="仿宋_GB2312" w:hAnsi="仿宋_GB2312" w:cs="仿宋_GB2312"/>
                <w:bCs/>
                <w:kern w:val="0"/>
                <w:sz w:val="24"/>
                <w:szCs w:val="24"/>
              </w:rPr>
            </w:pPr>
            <w:r>
              <w:rPr>
                <w:rFonts w:ascii="仿宋_GB2312" w:eastAsia="仿宋_GB2312" w:hAnsi="仿宋_GB2312" w:cs="仿宋_GB2312" w:hint="eastAsia"/>
                <w:kern w:val="0"/>
                <w:sz w:val="24"/>
                <w:szCs w:val="24"/>
              </w:rPr>
              <w:t>针对领导驾驶舱应用中存在的需求变化多、分析要求高、响应速度快等问题，通过与数字人对话式的互动体验模式，借助大模型语义理解、自主学习和智能推理等能力，实现对IOC主题大屏各类指标数据进行对话式问答查询，并生成总结摘要、精准数据以及可视化动态图表，探索开展领导指挥决策场景下“动态问数”的需求，提升辅助决策支持效率，助力政府数字化转型。</w:t>
            </w:r>
          </w:p>
        </w:tc>
        <w:tc>
          <w:tcPr>
            <w:tcW w:w="1296" w:type="dxa"/>
            <w:vAlign w:val="center"/>
          </w:tcPr>
          <w:p w14:paraId="44607C0F" w14:textId="77777777" w:rsidR="00C611D5" w:rsidRDefault="00000000">
            <w:pPr>
              <w:widowControl/>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北京经济技术开发区</w:t>
            </w:r>
          </w:p>
          <w:p w14:paraId="44842271" w14:textId="77777777" w:rsidR="00C611D5" w:rsidRDefault="00000000">
            <w:pPr>
              <w:widowControl/>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rPr>
              <w:t>行政</w:t>
            </w:r>
            <w:proofErr w:type="gramStart"/>
            <w:r>
              <w:rPr>
                <w:rFonts w:ascii="仿宋_GB2312" w:eastAsia="仿宋_GB2312" w:hAnsi="仿宋_GB2312" w:cs="仿宋_GB2312" w:hint="eastAsia"/>
                <w:color w:val="000000"/>
                <w:kern w:val="0"/>
                <w:sz w:val="24"/>
                <w:szCs w:val="24"/>
              </w:rPr>
              <w:t>审批局</w:t>
            </w:r>
            <w:proofErr w:type="gramEnd"/>
          </w:p>
        </w:tc>
        <w:tc>
          <w:tcPr>
            <w:tcW w:w="1171" w:type="dxa"/>
            <w:vAlign w:val="center"/>
          </w:tcPr>
          <w:p w14:paraId="1C2A1E79"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罗珺</w:t>
            </w:r>
          </w:p>
        </w:tc>
        <w:tc>
          <w:tcPr>
            <w:tcW w:w="1265" w:type="dxa"/>
            <w:vAlign w:val="center"/>
          </w:tcPr>
          <w:p w14:paraId="16DFBE22" w14:textId="77777777" w:rsidR="00C611D5" w:rsidRDefault="00000000">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67880397</w:t>
            </w:r>
          </w:p>
        </w:tc>
        <w:tc>
          <w:tcPr>
            <w:tcW w:w="2123" w:type="dxa"/>
            <w:vAlign w:val="center"/>
          </w:tcPr>
          <w:p w14:paraId="208DDE58" w14:textId="77777777" w:rsidR="00C611D5" w:rsidRDefault="00000000">
            <w:pPr>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luojun@bda.gov.cn</w:t>
            </w:r>
          </w:p>
        </w:tc>
      </w:tr>
      <w:tr w:rsidR="00C611D5" w14:paraId="0959A6D2" w14:textId="77777777">
        <w:trPr>
          <w:trHeight w:val="600"/>
        </w:trPr>
        <w:tc>
          <w:tcPr>
            <w:tcW w:w="780" w:type="dxa"/>
            <w:vAlign w:val="center"/>
          </w:tcPr>
          <w:p w14:paraId="3A32E412"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26</w:t>
            </w:r>
          </w:p>
        </w:tc>
        <w:tc>
          <w:tcPr>
            <w:tcW w:w="1342" w:type="dxa"/>
            <w:vAlign w:val="center"/>
          </w:tcPr>
          <w:p w14:paraId="4D64469A" w14:textId="77777777" w:rsidR="00C611D5" w:rsidRDefault="00000000">
            <w:pPr>
              <w:widowControl/>
              <w:jc w:val="center"/>
              <w:rPr>
                <w:rFonts w:ascii="仿宋_GB2312" w:eastAsia="仿宋_GB2312" w:hAnsi="仿宋_GB2312" w:cs="仿宋_GB2312"/>
                <w:bCs/>
                <w:color w:val="000000"/>
                <w:kern w:val="0"/>
                <w:sz w:val="24"/>
                <w:szCs w:val="24"/>
              </w:rPr>
            </w:pPr>
            <w:r>
              <w:rPr>
                <w:rFonts w:ascii="仿宋_GB2312" w:eastAsia="仿宋_GB2312" w:hAnsi="仿宋_GB2312" w:cs="仿宋_GB2312" w:hint="eastAsia"/>
                <w:color w:val="000000"/>
                <w:kern w:val="0"/>
                <w:sz w:val="24"/>
                <w:szCs w:val="24"/>
              </w:rPr>
              <w:t>基于大模型的政务“边聊边办”场景应用</w:t>
            </w:r>
          </w:p>
        </w:tc>
        <w:tc>
          <w:tcPr>
            <w:tcW w:w="5931" w:type="dxa"/>
            <w:vAlign w:val="center"/>
          </w:tcPr>
          <w:p w14:paraId="1AF56767" w14:textId="77777777" w:rsidR="00C611D5" w:rsidRDefault="00000000">
            <w:pPr>
              <w:widowControl/>
              <w:spacing w:line="400" w:lineRule="exact"/>
              <w:jc w:val="left"/>
              <w:rPr>
                <w:rFonts w:ascii="仿宋_GB2312" w:eastAsia="仿宋_GB2312" w:hAnsi="仿宋_GB2312" w:cs="仿宋_GB2312"/>
                <w:bCs/>
                <w:kern w:val="0"/>
                <w:sz w:val="24"/>
                <w:szCs w:val="24"/>
              </w:rPr>
            </w:pPr>
            <w:r>
              <w:rPr>
                <w:rFonts w:ascii="仿宋_GB2312" w:eastAsia="仿宋_GB2312" w:hAnsi="仿宋_GB2312" w:cs="仿宋_GB2312" w:hint="eastAsia"/>
                <w:kern w:val="0"/>
                <w:sz w:val="24"/>
                <w:szCs w:val="24"/>
              </w:rPr>
              <w:t>针对窗口咨询量大、传统客</w:t>
            </w:r>
            <w:proofErr w:type="gramStart"/>
            <w:r>
              <w:rPr>
                <w:rFonts w:ascii="仿宋_GB2312" w:eastAsia="仿宋_GB2312" w:hAnsi="仿宋_GB2312" w:cs="仿宋_GB2312" w:hint="eastAsia"/>
                <w:kern w:val="0"/>
                <w:sz w:val="24"/>
                <w:szCs w:val="24"/>
              </w:rPr>
              <w:t>服回答</w:t>
            </w:r>
            <w:proofErr w:type="gramEnd"/>
            <w:r>
              <w:rPr>
                <w:rFonts w:ascii="仿宋_GB2312" w:eastAsia="仿宋_GB2312" w:hAnsi="仿宋_GB2312" w:cs="仿宋_GB2312" w:hint="eastAsia"/>
                <w:kern w:val="0"/>
                <w:sz w:val="24"/>
                <w:szCs w:val="24"/>
              </w:rPr>
              <w:t>单一、线上一次办成率</w:t>
            </w:r>
            <w:proofErr w:type="gramStart"/>
            <w:r>
              <w:rPr>
                <w:rFonts w:ascii="仿宋_GB2312" w:eastAsia="仿宋_GB2312" w:hAnsi="仿宋_GB2312" w:cs="仿宋_GB2312" w:hint="eastAsia"/>
                <w:kern w:val="0"/>
                <w:sz w:val="24"/>
                <w:szCs w:val="24"/>
              </w:rPr>
              <w:t>不</w:t>
            </w:r>
            <w:proofErr w:type="gramEnd"/>
            <w:r>
              <w:rPr>
                <w:rFonts w:ascii="仿宋_GB2312" w:eastAsia="仿宋_GB2312" w:hAnsi="仿宋_GB2312" w:cs="仿宋_GB2312" w:hint="eastAsia"/>
                <w:kern w:val="0"/>
                <w:sz w:val="24"/>
                <w:szCs w:val="24"/>
              </w:rPr>
              <w:t>高等问题，借助大模型语义理解、自主学习和智能推理等能力，开展基于大模型的“边聊边办”场景建设，探索在食品经营许可证、公共场所卫生许可证等2个服务事项办事过程中，引导申请人以聊天的方式完成事项的自动申报，创新线上办理服务新模式，提高政务咨询、智能检索、交互式智能政务办事以及智能问答水平，助力政务服务提质增效，形成基于大模型的政务服务办事应用首方案。</w:t>
            </w:r>
          </w:p>
        </w:tc>
        <w:tc>
          <w:tcPr>
            <w:tcW w:w="1296" w:type="dxa"/>
            <w:vAlign w:val="center"/>
          </w:tcPr>
          <w:p w14:paraId="538C8BA5" w14:textId="77777777" w:rsidR="00C611D5" w:rsidRDefault="00000000">
            <w:pPr>
              <w:widowControl/>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北京经济技术开发区</w:t>
            </w:r>
          </w:p>
          <w:p w14:paraId="51D61FBE" w14:textId="77777777" w:rsidR="00C611D5" w:rsidRDefault="00000000">
            <w:pPr>
              <w:widowControl/>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rPr>
              <w:t>行政</w:t>
            </w:r>
            <w:proofErr w:type="gramStart"/>
            <w:r>
              <w:rPr>
                <w:rFonts w:ascii="仿宋_GB2312" w:eastAsia="仿宋_GB2312" w:hAnsi="仿宋_GB2312" w:cs="仿宋_GB2312" w:hint="eastAsia"/>
                <w:color w:val="000000"/>
                <w:kern w:val="0"/>
                <w:sz w:val="24"/>
                <w:szCs w:val="24"/>
              </w:rPr>
              <w:t>审批局</w:t>
            </w:r>
            <w:proofErr w:type="gramEnd"/>
          </w:p>
        </w:tc>
        <w:tc>
          <w:tcPr>
            <w:tcW w:w="1171" w:type="dxa"/>
            <w:vAlign w:val="center"/>
          </w:tcPr>
          <w:p w14:paraId="1E8C9DF5"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罗珺</w:t>
            </w:r>
          </w:p>
        </w:tc>
        <w:tc>
          <w:tcPr>
            <w:tcW w:w="1265" w:type="dxa"/>
            <w:vAlign w:val="center"/>
          </w:tcPr>
          <w:p w14:paraId="139482FE" w14:textId="77777777" w:rsidR="00C611D5" w:rsidRDefault="00000000">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67880397</w:t>
            </w:r>
          </w:p>
        </w:tc>
        <w:tc>
          <w:tcPr>
            <w:tcW w:w="2123" w:type="dxa"/>
            <w:vAlign w:val="center"/>
          </w:tcPr>
          <w:p w14:paraId="43720C96" w14:textId="77777777" w:rsidR="00C611D5" w:rsidRDefault="00000000">
            <w:pPr>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luojun@bda.gov.cn</w:t>
            </w:r>
          </w:p>
        </w:tc>
      </w:tr>
      <w:tr w:rsidR="00C611D5" w14:paraId="75F875CD" w14:textId="77777777">
        <w:trPr>
          <w:trHeight w:val="600"/>
        </w:trPr>
        <w:tc>
          <w:tcPr>
            <w:tcW w:w="780" w:type="dxa"/>
            <w:vAlign w:val="center"/>
          </w:tcPr>
          <w:p w14:paraId="4F616EF9"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27</w:t>
            </w:r>
          </w:p>
        </w:tc>
        <w:tc>
          <w:tcPr>
            <w:tcW w:w="1342" w:type="dxa"/>
            <w:vAlign w:val="center"/>
          </w:tcPr>
          <w:p w14:paraId="67EB387F" w14:textId="77777777" w:rsidR="00C611D5" w:rsidRDefault="00000000">
            <w:pPr>
              <w:widowControl/>
              <w:jc w:val="center"/>
              <w:rPr>
                <w:rFonts w:ascii="仿宋_GB2312" w:eastAsia="仿宋_GB2312" w:hAnsi="仿宋_GB2312" w:cs="仿宋_GB2312"/>
                <w:bCs/>
                <w:color w:val="000000"/>
                <w:kern w:val="0"/>
                <w:sz w:val="24"/>
                <w:szCs w:val="24"/>
              </w:rPr>
            </w:pPr>
            <w:r>
              <w:rPr>
                <w:rFonts w:ascii="仿宋_GB2312" w:eastAsia="仿宋_GB2312" w:hAnsi="仿宋_GB2312" w:cs="仿宋_GB2312" w:hint="eastAsia"/>
                <w:color w:val="000000"/>
                <w:kern w:val="0"/>
                <w:sz w:val="24"/>
                <w:szCs w:val="24"/>
              </w:rPr>
              <w:t>基于大模型的智慧城市应用场景低代码自动构建技术验证</w:t>
            </w:r>
          </w:p>
        </w:tc>
        <w:tc>
          <w:tcPr>
            <w:tcW w:w="5931" w:type="dxa"/>
            <w:vAlign w:val="center"/>
          </w:tcPr>
          <w:p w14:paraId="45E34B82" w14:textId="77777777" w:rsidR="00C611D5" w:rsidRDefault="00000000">
            <w:pPr>
              <w:widowControl/>
              <w:spacing w:line="400" w:lineRule="exact"/>
              <w:jc w:val="left"/>
              <w:rPr>
                <w:rFonts w:ascii="仿宋_GB2312" w:eastAsia="仿宋_GB2312" w:hAnsi="仿宋_GB2312" w:cs="仿宋_GB2312"/>
                <w:bCs/>
                <w:kern w:val="0"/>
                <w:sz w:val="24"/>
                <w:szCs w:val="24"/>
              </w:rPr>
            </w:pPr>
            <w:r>
              <w:rPr>
                <w:rFonts w:ascii="仿宋_GB2312" w:eastAsia="仿宋_GB2312" w:hAnsi="仿宋_GB2312" w:cs="仿宋_GB2312" w:hint="eastAsia"/>
                <w:kern w:val="0"/>
                <w:sz w:val="24"/>
                <w:szCs w:val="24"/>
              </w:rPr>
              <w:t>针对业务需求频繁变化、任务快速响应、应用重复建设、技术难以迭代更新等政务系统软件开发痛点问题，利用大模型语义理解、代码自动生成等能力，充分复用经开区现有大数据平台共性组件，走通政务智能低代码开发平台建设技术路线，采用“托、拉、拽”的形式进行应用场景的构建与服务发布，搭建及时响应，灵活变更、</w:t>
            </w:r>
            <w:proofErr w:type="gramStart"/>
            <w:r>
              <w:rPr>
                <w:rFonts w:ascii="仿宋_GB2312" w:eastAsia="仿宋_GB2312" w:hAnsi="仿宋_GB2312" w:cs="仿宋_GB2312" w:hint="eastAsia"/>
                <w:kern w:val="0"/>
                <w:sz w:val="24"/>
                <w:szCs w:val="24"/>
              </w:rPr>
              <w:t>业数一体</w:t>
            </w:r>
            <w:proofErr w:type="gramEnd"/>
            <w:r>
              <w:rPr>
                <w:rFonts w:ascii="仿宋_GB2312" w:eastAsia="仿宋_GB2312" w:hAnsi="仿宋_GB2312" w:cs="仿宋_GB2312" w:hint="eastAsia"/>
                <w:kern w:val="0"/>
                <w:sz w:val="24"/>
                <w:szCs w:val="24"/>
              </w:rPr>
              <w:t>的各类业务应用系统，探索通过自然语言交互方式搭建开发应用，降低应用开发门槛，调动业务人员数字化转型应用的积极性，有效提升系统搭建开发速度和业务变化的响应速度。</w:t>
            </w:r>
          </w:p>
        </w:tc>
        <w:tc>
          <w:tcPr>
            <w:tcW w:w="1296" w:type="dxa"/>
            <w:vAlign w:val="center"/>
          </w:tcPr>
          <w:p w14:paraId="3BD49F3B" w14:textId="77777777" w:rsidR="00C611D5" w:rsidRDefault="00000000">
            <w:pPr>
              <w:widowControl/>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北京经济技术开发区</w:t>
            </w:r>
          </w:p>
          <w:p w14:paraId="66ED6E93" w14:textId="77777777" w:rsidR="00C611D5" w:rsidRDefault="00000000">
            <w:pPr>
              <w:widowControl/>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rPr>
              <w:t>行政</w:t>
            </w:r>
            <w:proofErr w:type="gramStart"/>
            <w:r>
              <w:rPr>
                <w:rFonts w:ascii="仿宋_GB2312" w:eastAsia="仿宋_GB2312" w:hAnsi="仿宋_GB2312" w:cs="仿宋_GB2312" w:hint="eastAsia"/>
                <w:color w:val="000000"/>
                <w:kern w:val="0"/>
                <w:sz w:val="24"/>
                <w:szCs w:val="24"/>
              </w:rPr>
              <w:t>审批局</w:t>
            </w:r>
            <w:proofErr w:type="gramEnd"/>
          </w:p>
        </w:tc>
        <w:tc>
          <w:tcPr>
            <w:tcW w:w="1171" w:type="dxa"/>
            <w:vAlign w:val="center"/>
          </w:tcPr>
          <w:p w14:paraId="3DB7FCEE"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罗珺</w:t>
            </w:r>
          </w:p>
        </w:tc>
        <w:tc>
          <w:tcPr>
            <w:tcW w:w="1265" w:type="dxa"/>
            <w:vAlign w:val="center"/>
          </w:tcPr>
          <w:p w14:paraId="566F1625" w14:textId="77777777" w:rsidR="00C611D5" w:rsidRDefault="00000000">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67880397</w:t>
            </w:r>
          </w:p>
        </w:tc>
        <w:tc>
          <w:tcPr>
            <w:tcW w:w="2123" w:type="dxa"/>
            <w:vAlign w:val="center"/>
          </w:tcPr>
          <w:p w14:paraId="7EB1618E" w14:textId="77777777" w:rsidR="00C611D5" w:rsidRDefault="00000000">
            <w:pPr>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luojun@bda.gov.cn</w:t>
            </w:r>
          </w:p>
        </w:tc>
      </w:tr>
      <w:tr w:rsidR="00C611D5" w14:paraId="7D31EEF2" w14:textId="77777777">
        <w:trPr>
          <w:trHeight w:val="600"/>
        </w:trPr>
        <w:tc>
          <w:tcPr>
            <w:tcW w:w="780" w:type="dxa"/>
            <w:vAlign w:val="center"/>
          </w:tcPr>
          <w:p w14:paraId="57CC24FE"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28</w:t>
            </w:r>
          </w:p>
        </w:tc>
        <w:tc>
          <w:tcPr>
            <w:tcW w:w="1342" w:type="dxa"/>
            <w:vAlign w:val="center"/>
          </w:tcPr>
          <w:p w14:paraId="4DB4174A" w14:textId="77777777" w:rsidR="00C611D5" w:rsidRDefault="00000000">
            <w:pPr>
              <w:widowControl/>
              <w:jc w:val="center"/>
              <w:rPr>
                <w:rFonts w:ascii="仿宋_GB2312" w:eastAsia="仿宋_GB2312" w:hAnsi="仿宋_GB2312" w:cs="仿宋_GB2312"/>
                <w:bCs/>
                <w:kern w:val="0"/>
                <w:sz w:val="24"/>
                <w:szCs w:val="24"/>
              </w:rPr>
            </w:pPr>
            <w:r>
              <w:rPr>
                <w:rFonts w:ascii="仿宋_GB2312" w:eastAsia="仿宋_GB2312" w:hAnsi="仿宋_GB2312" w:cs="仿宋_GB2312" w:hint="eastAsia"/>
                <w:kern w:val="0"/>
                <w:sz w:val="24"/>
                <w:szCs w:val="24"/>
              </w:rPr>
              <w:t>多源</w:t>
            </w:r>
            <w:proofErr w:type="gramStart"/>
            <w:r>
              <w:rPr>
                <w:rFonts w:ascii="仿宋_GB2312" w:eastAsia="仿宋_GB2312" w:hAnsi="仿宋_GB2312" w:cs="仿宋_GB2312" w:hint="eastAsia"/>
                <w:kern w:val="0"/>
                <w:sz w:val="24"/>
                <w:szCs w:val="24"/>
              </w:rPr>
              <w:t>异构算力资源</w:t>
            </w:r>
            <w:proofErr w:type="gramEnd"/>
            <w:r>
              <w:rPr>
                <w:rFonts w:ascii="仿宋_GB2312" w:eastAsia="仿宋_GB2312" w:hAnsi="仿宋_GB2312" w:cs="仿宋_GB2312" w:hint="eastAsia"/>
                <w:kern w:val="0"/>
                <w:sz w:val="24"/>
                <w:szCs w:val="24"/>
              </w:rPr>
              <w:t>柔性调度服务应用场景</w:t>
            </w:r>
          </w:p>
        </w:tc>
        <w:tc>
          <w:tcPr>
            <w:tcW w:w="5931" w:type="dxa"/>
            <w:vAlign w:val="center"/>
          </w:tcPr>
          <w:p w14:paraId="10EE44C2" w14:textId="77777777" w:rsidR="00C611D5" w:rsidRDefault="00000000">
            <w:pPr>
              <w:widowControl/>
              <w:spacing w:line="400" w:lineRule="exact"/>
              <w:jc w:val="left"/>
              <w:rPr>
                <w:rFonts w:ascii="仿宋_GB2312" w:eastAsia="仿宋_GB2312" w:hAnsi="仿宋_GB2312" w:cs="仿宋_GB2312"/>
                <w:bCs/>
                <w:kern w:val="0"/>
                <w:sz w:val="24"/>
                <w:szCs w:val="24"/>
              </w:rPr>
            </w:pPr>
            <w:r>
              <w:rPr>
                <w:rFonts w:ascii="仿宋_GB2312" w:eastAsia="仿宋_GB2312" w:hAnsi="仿宋_GB2312" w:cs="仿宋_GB2312" w:hint="eastAsia"/>
                <w:kern w:val="0"/>
                <w:sz w:val="24"/>
                <w:szCs w:val="24"/>
              </w:rPr>
              <w:t>经开区作为数据基础制度先行区，拟</w:t>
            </w:r>
            <w:proofErr w:type="gramStart"/>
            <w:r>
              <w:rPr>
                <w:rFonts w:ascii="仿宋_GB2312" w:eastAsia="仿宋_GB2312" w:hAnsi="仿宋_GB2312" w:cs="仿宋_GB2312" w:hint="eastAsia"/>
                <w:kern w:val="0"/>
                <w:sz w:val="24"/>
                <w:szCs w:val="24"/>
              </w:rPr>
              <w:t>开展算力服务中心</w:t>
            </w:r>
            <w:proofErr w:type="gramEnd"/>
            <w:r>
              <w:rPr>
                <w:rFonts w:ascii="仿宋_GB2312" w:eastAsia="仿宋_GB2312" w:hAnsi="仿宋_GB2312" w:cs="仿宋_GB2312" w:hint="eastAsia"/>
                <w:kern w:val="0"/>
                <w:sz w:val="24"/>
                <w:szCs w:val="24"/>
              </w:rPr>
              <w:t>建设。</w:t>
            </w:r>
            <w:proofErr w:type="gramStart"/>
            <w:r>
              <w:rPr>
                <w:rFonts w:ascii="仿宋_GB2312" w:eastAsia="仿宋_GB2312" w:hAnsi="仿宋_GB2312" w:cs="仿宋_GB2312" w:hint="eastAsia"/>
                <w:kern w:val="0"/>
                <w:sz w:val="24"/>
                <w:szCs w:val="24"/>
              </w:rPr>
              <w:t>针对算力资源</w:t>
            </w:r>
            <w:proofErr w:type="gramEnd"/>
            <w:r>
              <w:rPr>
                <w:rFonts w:ascii="仿宋_GB2312" w:eastAsia="仿宋_GB2312" w:hAnsi="仿宋_GB2312" w:cs="仿宋_GB2312" w:hint="eastAsia"/>
                <w:kern w:val="0"/>
                <w:sz w:val="24"/>
                <w:szCs w:val="24"/>
              </w:rPr>
              <w:t>短缺、空间分布不均衡、多</w:t>
            </w:r>
            <w:proofErr w:type="gramStart"/>
            <w:r>
              <w:rPr>
                <w:rFonts w:ascii="仿宋_GB2312" w:eastAsia="仿宋_GB2312" w:hAnsi="仿宋_GB2312" w:cs="仿宋_GB2312" w:hint="eastAsia"/>
                <w:kern w:val="0"/>
                <w:sz w:val="24"/>
                <w:szCs w:val="24"/>
              </w:rPr>
              <w:t>源算力</w:t>
            </w:r>
            <w:proofErr w:type="gramEnd"/>
            <w:r>
              <w:rPr>
                <w:rFonts w:ascii="仿宋_GB2312" w:eastAsia="仿宋_GB2312" w:hAnsi="仿宋_GB2312" w:cs="仿宋_GB2312" w:hint="eastAsia"/>
                <w:kern w:val="0"/>
                <w:sz w:val="24"/>
                <w:szCs w:val="24"/>
              </w:rPr>
              <w:t>调度难度大、利用效率低、缺乏精准计量手段等问题，围绕多源</w:t>
            </w:r>
            <w:proofErr w:type="gramStart"/>
            <w:r>
              <w:rPr>
                <w:rFonts w:ascii="仿宋_GB2312" w:eastAsia="仿宋_GB2312" w:hAnsi="仿宋_GB2312" w:cs="仿宋_GB2312" w:hint="eastAsia"/>
                <w:kern w:val="0"/>
                <w:sz w:val="24"/>
                <w:szCs w:val="24"/>
              </w:rPr>
              <w:t>异构算力柔性</w:t>
            </w:r>
            <w:proofErr w:type="gramEnd"/>
            <w:r>
              <w:rPr>
                <w:rFonts w:ascii="仿宋_GB2312" w:eastAsia="仿宋_GB2312" w:hAnsi="仿宋_GB2312" w:cs="仿宋_GB2312" w:hint="eastAsia"/>
                <w:kern w:val="0"/>
                <w:sz w:val="24"/>
                <w:szCs w:val="24"/>
              </w:rPr>
              <w:t>调度这一场景，探索开展多源异构</w:t>
            </w:r>
            <w:proofErr w:type="gramStart"/>
            <w:r>
              <w:rPr>
                <w:rFonts w:ascii="仿宋_GB2312" w:eastAsia="仿宋_GB2312" w:hAnsi="仿宋_GB2312" w:cs="仿宋_GB2312" w:hint="eastAsia"/>
                <w:kern w:val="0"/>
                <w:sz w:val="24"/>
                <w:szCs w:val="24"/>
              </w:rPr>
              <w:t>算力组</w:t>
            </w:r>
            <w:proofErr w:type="gramEnd"/>
            <w:r>
              <w:rPr>
                <w:rFonts w:ascii="仿宋_GB2312" w:eastAsia="仿宋_GB2312" w:hAnsi="仿宋_GB2312" w:cs="仿宋_GB2312" w:hint="eastAsia"/>
                <w:kern w:val="0"/>
                <w:sz w:val="24"/>
                <w:szCs w:val="24"/>
              </w:rPr>
              <w:t>网、可</w:t>
            </w:r>
            <w:proofErr w:type="gramStart"/>
            <w:r>
              <w:rPr>
                <w:rFonts w:ascii="仿宋_GB2312" w:eastAsia="仿宋_GB2312" w:hAnsi="仿宋_GB2312" w:cs="仿宋_GB2312" w:hint="eastAsia"/>
                <w:kern w:val="0"/>
                <w:sz w:val="24"/>
                <w:szCs w:val="24"/>
              </w:rPr>
              <w:t>配置算力调度</w:t>
            </w:r>
            <w:proofErr w:type="gramEnd"/>
            <w:r>
              <w:rPr>
                <w:rFonts w:ascii="仿宋_GB2312" w:eastAsia="仿宋_GB2312" w:hAnsi="仿宋_GB2312" w:cs="仿宋_GB2312" w:hint="eastAsia"/>
                <w:kern w:val="0"/>
                <w:sz w:val="24"/>
                <w:szCs w:val="24"/>
              </w:rPr>
              <w:t>引擎（原子调度、故障调度、亲和性调度、就近调度、负载调度等）、</w:t>
            </w:r>
            <w:proofErr w:type="gramStart"/>
            <w:r>
              <w:rPr>
                <w:rFonts w:ascii="仿宋_GB2312" w:eastAsia="仿宋_GB2312" w:hAnsi="仿宋_GB2312" w:cs="仿宋_GB2312" w:hint="eastAsia"/>
                <w:kern w:val="0"/>
                <w:sz w:val="24"/>
                <w:szCs w:val="24"/>
              </w:rPr>
              <w:t>信创资源</w:t>
            </w:r>
            <w:proofErr w:type="gramEnd"/>
            <w:r>
              <w:rPr>
                <w:rFonts w:ascii="仿宋_GB2312" w:eastAsia="仿宋_GB2312" w:hAnsi="仿宋_GB2312" w:cs="仿宋_GB2312" w:hint="eastAsia"/>
                <w:kern w:val="0"/>
                <w:sz w:val="24"/>
                <w:szCs w:val="24"/>
              </w:rPr>
              <w:t>调度（验证国产CPU、GPU、NPU、DCU等芯片的混合纳管和调度），实现通用算力、超算、</w:t>
            </w:r>
            <w:proofErr w:type="gramStart"/>
            <w:r>
              <w:rPr>
                <w:rFonts w:ascii="仿宋_GB2312" w:eastAsia="仿宋_GB2312" w:hAnsi="仿宋_GB2312" w:cs="仿宋_GB2312" w:hint="eastAsia"/>
                <w:kern w:val="0"/>
                <w:sz w:val="24"/>
                <w:szCs w:val="24"/>
              </w:rPr>
              <w:t>智算等异构算力的</w:t>
            </w:r>
            <w:proofErr w:type="gramEnd"/>
            <w:r>
              <w:rPr>
                <w:rFonts w:ascii="仿宋_GB2312" w:eastAsia="仿宋_GB2312" w:hAnsi="仿宋_GB2312" w:cs="仿宋_GB2312" w:hint="eastAsia"/>
                <w:kern w:val="0"/>
                <w:sz w:val="24"/>
                <w:szCs w:val="24"/>
              </w:rPr>
              <w:t>统一纳管和智能编排，打造多云</w:t>
            </w:r>
            <w:proofErr w:type="gramStart"/>
            <w:r>
              <w:rPr>
                <w:rFonts w:ascii="仿宋_GB2312" w:eastAsia="仿宋_GB2312" w:hAnsi="仿宋_GB2312" w:cs="仿宋_GB2312" w:hint="eastAsia"/>
                <w:kern w:val="0"/>
                <w:sz w:val="24"/>
                <w:szCs w:val="24"/>
              </w:rPr>
              <w:t>跨域算力资源</w:t>
            </w:r>
            <w:proofErr w:type="gramEnd"/>
            <w:r>
              <w:rPr>
                <w:rFonts w:ascii="仿宋_GB2312" w:eastAsia="仿宋_GB2312" w:hAnsi="仿宋_GB2312" w:cs="仿宋_GB2312" w:hint="eastAsia"/>
                <w:kern w:val="0"/>
                <w:sz w:val="24"/>
                <w:szCs w:val="24"/>
              </w:rPr>
              <w:t>、国产CPU/GUP统一资源纳管和智能编排，</w:t>
            </w:r>
            <w:proofErr w:type="gramStart"/>
            <w:r>
              <w:rPr>
                <w:rFonts w:ascii="仿宋_GB2312" w:eastAsia="仿宋_GB2312" w:hAnsi="仿宋_GB2312" w:cs="仿宋_GB2312" w:hint="eastAsia"/>
                <w:kern w:val="0"/>
                <w:sz w:val="24"/>
                <w:szCs w:val="24"/>
              </w:rPr>
              <w:t>基于算力调度</w:t>
            </w:r>
            <w:proofErr w:type="gramEnd"/>
            <w:r>
              <w:rPr>
                <w:rFonts w:ascii="仿宋_GB2312" w:eastAsia="仿宋_GB2312" w:hAnsi="仿宋_GB2312" w:cs="仿宋_GB2312" w:hint="eastAsia"/>
                <w:kern w:val="0"/>
                <w:sz w:val="24"/>
                <w:szCs w:val="24"/>
              </w:rPr>
              <w:t>引擎满足多云厂商</w:t>
            </w:r>
            <w:proofErr w:type="gramStart"/>
            <w:r>
              <w:rPr>
                <w:rFonts w:ascii="仿宋_GB2312" w:eastAsia="仿宋_GB2312" w:hAnsi="仿宋_GB2312" w:cs="仿宋_GB2312" w:hint="eastAsia"/>
                <w:kern w:val="0"/>
                <w:sz w:val="24"/>
                <w:szCs w:val="24"/>
              </w:rPr>
              <w:t>的算力资源</w:t>
            </w:r>
            <w:proofErr w:type="gramEnd"/>
            <w:r>
              <w:rPr>
                <w:rFonts w:ascii="仿宋_GB2312" w:eastAsia="仿宋_GB2312" w:hAnsi="仿宋_GB2312" w:cs="仿宋_GB2312" w:hint="eastAsia"/>
                <w:kern w:val="0"/>
                <w:sz w:val="24"/>
                <w:szCs w:val="24"/>
              </w:rPr>
              <w:t>要素、跨区域的资源编排下发，弹性资源调度，降低AI训练模型与高性价比</w:t>
            </w:r>
            <w:proofErr w:type="gramStart"/>
            <w:r>
              <w:rPr>
                <w:rFonts w:ascii="仿宋_GB2312" w:eastAsia="仿宋_GB2312" w:hAnsi="仿宋_GB2312" w:cs="仿宋_GB2312" w:hint="eastAsia"/>
                <w:kern w:val="0"/>
                <w:sz w:val="24"/>
                <w:szCs w:val="24"/>
              </w:rPr>
              <w:t>的算力资源</w:t>
            </w:r>
            <w:proofErr w:type="gramEnd"/>
            <w:r>
              <w:rPr>
                <w:rFonts w:ascii="仿宋_GB2312" w:eastAsia="仿宋_GB2312" w:hAnsi="仿宋_GB2312" w:cs="仿宋_GB2312" w:hint="eastAsia"/>
                <w:kern w:val="0"/>
                <w:sz w:val="24"/>
                <w:szCs w:val="24"/>
              </w:rPr>
              <w:t>匹配，降低企业</w:t>
            </w:r>
            <w:proofErr w:type="gramStart"/>
            <w:r>
              <w:rPr>
                <w:rFonts w:ascii="仿宋_GB2312" w:eastAsia="仿宋_GB2312" w:hAnsi="仿宋_GB2312" w:cs="仿宋_GB2312" w:hint="eastAsia"/>
                <w:kern w:val="0"/>
                <w:sz w:val="24"/>
                <w:szCs w:val="24"/>
              </w:rPr>
              <w:t>使用算力的</w:t>
            </w:r>
            <w:proofErr w:type="gramEnd"/>
            <w:r>
              <w:rPr>
                <w:rFonts w:ascii="仿宋_GB2312" w:eastAsia="仿宋_GB2312" w:hAnsi="仿宋_GB2312" w:cs="仿宋_GB2312" w:hint="eastAsia"/>
                <w:kern w:val="0"/>
                <w:sz w:val="24"/>
                <w:szCs w:val="24"/>
              </w:rPr>
              <w:t>成本，实现</w:t>
            </w:r>
            <w:proofErr w:type="gramStart"/>
            <w:r>
              <w:rPr>
                <w:rFonts w:ascii="仿宋_GB2312" w:eastAsia="仿宋_GB2312" w:hAnsi="仿宋_GB2312" w:cs="仿宋_GB2312" w:hint="eastAsia"/>
                <w:kern w:val="0"/>
                <w:sz w:val="24"/>
                <w:szCs w:val="24"/>
              </w:rPr>
              <w:t>区域算力资源</w:t>
            </w:r>
            <w:proofErr w:type="gramEnd"/>
            <w:r>
              <w:rPr>
                <w:rFonts w:ascii="仿宋_GB2312" w:eastAsia="仿宋_GB2312" w:hAnsi="仿宋_GB2312" w:cs="仿宋_GB2312" w:hint="eastAsia"/>
                <w:kern w:val="0"/>
                <w:sz w:val="24"/>
                <w:szCs w:val="24"/>
              </w:rPr>
              <w:t>的统筹规划和优化配置。</w:t>
            </w:r>
          </w:p>
        </w:tc>
        <w:tc>
          <w:tcPr>
            <w:tcW w:w="1296" w:type="dxa"/>
            <w:vAlign w:val="center"/>
          </w:tcPr>
          <w:p w14:paraId="1FD075E9" w14:textId="77777777" w:rsidR="00C611D5" w:rsidRDefault="00000000">
            <w:pPr>
              <w:widowControl/>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北京经济技术开发区</w:t>
            </w:r>
          </w:p>
          <w:p w14:paraId="1B481E4C" w14:textId="77777777" w:rsidR="00C611D5" w:rsidRDefault="00000000">
            <w:pPr>
              <w:widowControl/>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rPr>
              <w:t>行政</w:t>
            </w:r>
            <w:proofErr w:type="gramStart"/>
            <w:r>
              <w:rPr>
                <w:rFonts w:ascii="仿宋_GB2312" w:eastAsia="仿宋_GB2312" w:hAnsi="仿宋_GB2312" w:cs="仿宋_GB2312" w:hint="eastAsia"/>
                <w:color w:val="000000"/>
                <w:kern w:val="0"/>
                <w:sz w:val="24"/>
                <w:szCs w:val="24"/>
              </w:rPr>
              <w:t>审批局</w:t>
            </w:r>
            <w:proofErr w:type="gramEnd"/>
          </w:p>
        </w:tc>
        <w:tc>
          <w:tcPr>
            <w:tcW w:w="1171" w:type="dxa"/>
            <w:vAlign w:val="center"/>
          </w:tcPr>
          <w:p w14:paraId="38BF1B5B"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罗珺</w:t>
            </w:r>
          </w:p>
        </w:tc>
        <w:tc>
          <w:tcPr>
            <w:tcW w:w="1265" w:type="dxa"/>
            <w:vAlign w:val="center"/>
          </w:tcPr>
          <w:p w14:paraId="1689526B" w14:textId="77777777" w:rsidR="00C611D5" w:rsidRDefault="00000000">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67880397</w:t>
            </w:r>
          </w:p>
        </w:tc>
        <w:tc>
          <w:tcPr>
            <w:tcW w:w="2123" w:type="dxa"/>
            <w:vAlign w:val="center"/>
          </w:tcPr>
          <w:p w14:paraId="2D2B9CFA" w14:textId="77777777" w:rsidR="00C611D5" w:rsidRDefault="00000000">
            <w:pPr>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luojun@bda.gov.cn</w:t>
            </w:r>
          </w:p>
        </w:tc>
      </w:tr>
      <w:tr w:rsidR="00C611D5" w14:paraId="2A3EF204" w14:textId="77777777">
        <w:trPr>
          <w:trHeight w:val="900"/>
        </w:trPr>
        <w:tc>
          <w:tcPr>
            <w:tcW w:w="780" w:type="dxa"/>
            <w:vAlign w:val="center"/>
          </w:tcPr>
          <w:p w14:paraId="7FA8A8BB"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29</w:t>
            </w:r>
          </w:p>
        </w:tc>
        <w:tc>
          <w:tcPr>
            <w:tcW w:w="1342" w:type="dxa"/>
            <w:vAlign w:val="center"/>
          </w:tcPr>
          <w:p w14:paraId="045E00A7" w14:textId="77777777" w:rsidR="00C611D5" w:rsidRDefault="00000000">
            <w:pPr>
              <w:widowControl/>
              <w:jc w:val="center"/>
              <w:rPr>
                <w:rFonts w:ascii="仿宋_GB2312" w:eastAsia="仿宋_GB2312" w:hAnsi="仿宋_GB2312" w:cs="仿宋_GB2312"/>
                <w:bCs/>
                <w:color w:val="000000"/>
                <w:kern w:val="0"/>
                <w:sz w:val="24"/>
                <w:szCs w:val="24"/>
              </w:rPr>
            </w:pPr>
            <w:r>
              <w:rPr>
                <w:rFonts w:ascii="仿宋_GB2312" w:eastAsia="仿宋_GB2312" w:hAnsi="仿宋_GB2312" w:cs="仿宋_GB2312" w:hint="eastAsia"/>
                <w:kern w:val="0"/>
                <w:sz w:val="24"/>
                <w:szCs w:val="24"/>
              </w:rPr>
              <w:t>数据基础制度先行区感知数据专区建设运营场景</w:t>
            </w:r>
          </w:p>
        </w:tc>
        <w:tc>
          <w:tcPr>
            <w:tcW w:w="5931" w:type="dxa"/>
            <w:vAlign w:val="center"/>
          </w:tcPr>
          <w:p w14:paraId="254BBDBE" w14:textId="77777777" w:rsidR="00C611D5" w:rsidRDefault="00000000">
            <w:pPr>
              <w:widowControl/>
              <w:spacing w:line="400" w:lineRule="exact"/>
              <w:jc w:val="left"/>
              <w:rPr>
                <w:rFonts w:ascii="仿宋_GB2312" w:eastAsia="仿宋_GB2312" w:hAnsi="仿宋_GB2312" w:cs="仿宋_GB2312"/>
                <w:bCs/>
                <w:kern w:val="0"/>
                <w:sz w:val="24"/>
                <w:szCs w:val="24"/>
              </w:rPr>
            </w:pPr>
            <w:r>
              <w:rPr>
                <w:rFonts w:ascii="仿宋_GB2312" w:eastAsia="仿宋_GB2312" w:hAnsi="仿宋_GB2312" w:cs="仿宋_GB2312" w:hint="eastAsia"/>
                <w:kern w:val="0"/>
                <w:sz w:val="24"/>
                <w:szCs w:val="24"/>
              </w:rPr>
              <w:t>经开区前期统筹建设有大量视频及感知设备，实现了“多杆合一、多感合一、多箱合一”，针对感知数据流通融合难、开发利用效率低等问题，借助经开</w:t>
            </w:r>
            <w:proofErr w:type="gramStart"/>
            <w:r>
              <w:rPr>
                <w:rFonts w:ascii="仿宋_GB2312" w:eastAsia="仿宋_GB2312" w:hAnsi="仿宋_GB2312" w:cs="仿宋_GB2312" w:hint="eastAsia"/>
                <w:kern w:val="0"/>
                <w:sz w:val="24"/>
                <w:szCs w:val="24"/>
              </w:rPr>
              <w:t>区数据</w:t>
            </w:r>
            <w:proofErr w:type="gramEnd"/>
            <w:r>
              <w:rPr>
                <w:rFonts w:ascii="仿宋_GB2312" w:eastAsia="仿宋_GB2312" w:hAnsi="仿宋_GB2312" w:cs="仿宋_GB2312" w:hint="eastAsia"/>
                <w:kern w:val="0"/>
                <w:sz w:val="24"/>
                <w:szCs w:val="24"/>
              </w:rPr>
              <w:t>基础制度先行区优势，以城市感知数据为突破口，探索感知数据专区建设和服务新模式，按照“原始数据不出域、数据可用不可见”的数据安全要求，开展“集约建设、融合汇聚、开放共享、服务高效”的一体化感知数据运营，释放数据潜力，盘活数据资产，研究感知数据产品和服务交易盈利模式，开展数据基础制度应用创新试点。</w:t>
            </w:r>
          </w:p>
        </w:tc>
        <w:tc>
          <w:tcPr>
            <w:tcW w:w="1296" w:type="dxa"/>
            <w:vAlign w:val="center"/>
          </w:tcPr>
          <w:p w14:paraId="65BAE8E7" w14:textId="77777777" w:rsidR="00C611D5" w:rsidRDefault="00000000">
            <w:pPr>
              <w:widowControl/>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北京经济技术开发区</w:t>
            </w:r>
          </w:p>
          <w:p w14:paraId="4E85DFAD" w14:textId="77777777" w:rsidR="00C611D5" w:rsidRDefault="00000000">
            <w:pPr>
              <w:widowControl/>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rPr>
              <w:t>城市</w:t>
            </w:r>
            <w:proofErr w:type="gramStart"/>
            <w:r>
              <w:rPr>
                <w:rFonts w:ascii="仿宋_GB2312" w:eastAsia="仿宋_GB2312" w:hAnsi="仿宋_GB2312" w:cs="仿宋_GB2312" w:hint="eastAsia"/>
                <w:color w:val="000000"/>
                <w:kern w:val="0"/>
                <w:sz w:val="24"/>
                <w:szCs w:val="24"/>
              </w:rPr>
              <w:t>运行局</w:t>
            </w:r>
            <w:proofErr w:type="gramEnd"/>
          </w:p>
        </w:tc>
        <w:tc>
          <w:tcPr>
            <w:tcW w:w="1171" w:type="dxa"/>
            <w:vAlign w:val="center"/>
          </w:tcPr>
          <w:p w14:paraId="00E2D00F" w14:textId="77777777" w:rsidR="00C611D5" w:rsidRDefault="00000000">
            <w:pPr>
              <w:rPr>
                <w:rFonts w:ascii="仿宋_GB2312" w:eastAsia="仿宋_GB2312" w:hAnsi="仿宋_GB2312" w:cs="仿宋_GB2312"/>
                <w:sz w:val="24"/>
                <w:szCs w:val="24"/>
              </w:rPr>
            </w:pPr>
            <w:r>
              <w:rPr>
                <w:rFonts w:ascii="仿宋_GB2312" w:eastAsia="仿宋_GB2312" w:hAnsi="仿宋_GB2312" w:cs="仿宋_GB2312" w:hint="eastAsia"/>
                <w:color w:val="232930"/>
                <w:kern w:val="0"/>
                <w:sz w:val="24"/>
                <w:szCs w:val="24"/>
              </w:rPr>
              <w:t>冯丽颖</w:t>
            </w:r>
          </w:p>
          <w:p w14:paraId="18548B9F" w14:textId="77777777" w:rsidR="00C611D5" w:rsidRDefault="00C611D5">
            <w:pPr>
              <w:widowControl/>
              <w:jc w:val="center"/>
              <w:rPr>
                <w:rFonts w:ascii="仿宋_GB2312" w:eastAsia="仿宋_GB2312" w:hAnsi="仿宋_GB2312" w:cs="仿宋_GB2312"/>
                <w:color w:val="000000"/>
                <w:sz w:val="24"/>
                <w:szCs w:val="24"/>
              </w:rPr>
            </w:pPr>
          </w:p>
        </w:tc>
        <w:tc>
          <w:tcPr>
            <w:tcW w:w="1265" w:type="dxa"/>
            <w:vAlign w:val="center"/>
          </w:tcPr>
          <w:p w14:paraId="7E7D00C4" w14:textId="77777777" w:rsidR="00C611D5" w:rsidRDefault="00000000">
            <w:pPr>
              <w:rPr>
                <w:rFonts w:ascii="仿宋_GB2312" w:eastAsia="仿宋_GB2312" w:hAnsi="仿宋_GB2312" w:cs="仿宋_GB2312"/>
                <w:sz w:val="24"/>
                <w:szCs w:val="24"/>
              </w:rPr>
            </w:pPr>
            <w:r>
              <w:rPr>
                <w:rFonts w:ascii="仿宋_GB2312" w:eastAsia="仿宋_GB2312" w:hAnsi="仿宋_GB2312" w:cs="仿宋_GB2312" w:hint="eastAsia"/>
                <w:color w:val="232930"/>
                <w:kern w:val="0"/>
                <w:sz w:val="24"/>
                <w:szCs w:val="24"/>
              </w:rPr>
              <w:t>67887513</w:t>
            </w:r>
          </w:p>
          <w:p w14:paraId="1C9358C7" w14:textId="77777777" w:rsidR="00C611D5" w:rsidRDefault="00C611D5">
            <w:pPr>
              <w:widowControl/>
              <w:jc w:val="center"/>
              <w:textAlignment w:val="center"/>
              <w:rPr>
                <w:rFonts w:ascii="仿宋_GB2312" w:eastAsia="仿宋_GB2312" w:hAnsi="仿宋_GB2312" w:cs="仿宋_GB2312"/>
                <w:color w:val="000000"/>
                <w:sz w:val="24"/>
                <w:szCs w:val="24"/>
              </w:rPr>
            </w:pPr>
          </w:p>
        </w:tc>
        <w:tc>
          <w:tcPr>
            <w:tcW w:w="2123" w:type="dxa"/>
            <w:vAlign w:val="center"/>
          </w:tcPr>
          <w:p w14:paraId="5BC18602" w14:textId="77777777" w:rsidR="00C611D5" w:rsidRDefault="00000000">
            <w:pPr>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232930"/>
                <w:kern w:val="0"/>
                <w:sz w:val="24"/>
                <w:szCs w:val="24"/>
              </w:rPr>
              <w:t>fengliying@bda.gov.cn</w:t>
            </w:r>
          </w:p>
        </w:tc>
      </w:tr>
      <w:tr w:rsidR="00C611D5" w14:paraId="016A1E51" w14:textId="77777777">
        <w:trPr>
          <w:trHeight w:val="600"/>
        </w:trPr>
        <w:tc>
          <w:tcPr>
            <w:tcW w:w="780" w:type="dxa"/>
            <w:vAlign w:val="center"/>
          </w:tcPr>
          <w:p w14:paraId="4BD73D86"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30</w:t>
            </w:r>
          </w:p>
        </w:tc>
        <w:tc>
          <w:tcPr>
            <w:tcW w:w="1342" w:type="dxa"/>
            <w:vAlign w:val="center"/>
          </w:tcPr>
          <w:p w14:paraId="1B600EC1" w14:textId="77777777" w:rsidR="00C611D5" w:rsidRDefault="00000000">
            <w:pPr>
              <w:widowControl/>
              <w:jc w:val="center"/>
              <w:rPr>
                <w:rFonts w:ascii="仿宋_GB2312" w:eastAsia="仿宋_GB2312" w:hAnsi="仿宋_GB2312" w:cs="仿宋_GB2312"/>
                <w:bCs/>
                <w:color w:val="000000"/>
                <w:kern w:val="0"/>
                <w:sz w:val="24"/>
                <w:szCs w:val="24"/>
              </w:rPr>
            </w:pPr>
            <w:r>
              <w:rPr>
                <w:rFonts w:ascii="仿宋_GB2312" w:eastAsia="仿宋_GB2312" w:hAnsi="仿宋_GB2312" w:cs="仿宋_GB2312" w:hint="eastAsia"/>
                <w:color w:val="000000"/>
                <w:kern w:val="0"/>
                <w:sz w:val="24"/>
                <w:szCs w:val="24"/>
              </w:rPr>
              <w:t>基于EUHT专网的餐饮油烟监测专项治理场景</w:t>
            </w:r>
          </w:p>
        </w:tc>
        <w:tc>
          <w:tcPr>
            <w:tcW w:w="5931" w:type="dxa"/>
            <w:vAlign w:val="center"/>
          </w:tcPr>
          <w:p w14:paraId="4F22CA1E" w14:textId="77777777" w:rsidR="00C611D5" w:rsidRDefault="00000000">
            <w:pPr>
              <w:widowControl/>
              <w:spacing w:line="400" w:lineRule="exact"/>
              <w:jc w:val="left"/>
              <w:rPr>
                <w:rFonts w:ascii="仿宋_GB2312" w:eastAsia="仿宋_GB2312" w:hAnsi="仿宋_GB2312" w:cs="仿宋_GB2312"/>
                <w:bCs/>
                <w:kern w:val="0"/>
                <w:sz w:val="24"/>
                <w:szCs w:val="24"/>
              </w:rPr>
            </w:pPr>
            <w:r>
              <w:rPr>
                <w:rFonts w:ascii="仿宋_GB2312" w:eastAsia="仿宋_GB2312" w:hAnsi="仿宋_GB2312" w:cs="仿宋_GB2312" w:hint="eastAsia"/>
                <w:kern w:val="0"/>
                <w:sz w:val="24"/>
                <w:szCs w:val="24"/>
              </w:rPr>
              <w:t>针对餐饮油烟检查领域监管效能低、监管人员投入大等痛点问题，以油烟监测</w:t>
            </w:r>
            <w:proofErr w:type="gramStart"/>
            <w:r>
              <w:rPr>
                <w:rFonts w:ascii="仿宋_GB2312" w:eastAsia="仿宋_GB2312" w:hAnsi="仿宋_GB2312" w:cs="仿宋_GB2312" w:hint="eastAsia"/>
                <w:kern w:val="0"/>
                <w:sz w:val="24"/>
                <w:szCs w:val="24"/>
              </w:rPr>
              <w:t>物联设备</w:t>
            </w:r>
            <w:proofErr w:type="gramEnd"/>
            <w:r>
              <w:rPr>
                <w:rFonts w:ascii="仿宋_GB2312" w:eastAsia="仿宋_GB2312" w:hAnsi="仿宋_GB2312" w:cs="仿宋_GB2312" w:hint="eastAsia"/>
                <w:kern w:val="0"/>
                <w:sz w:val="24"/>
                <w:szCs w:val="24"/>
              </w:rPr>
              <w:t>和摄像头，实现对餐饮油烟净化器运行情况的远程监控，并利用经开区特有的EUHT（无线宽带数据专网），选择覆盖范围内的试点餐饮企业进行数据传输，走通技术路线进行实时监测预警，实现餐饮油烟企业专项监管的目标，降低人员现场检查频次，有效提升监管效能。</w:t>
            </w:r>
          </w:p>
        </w:tc>
        <w:tc>
          <w:tcPr>
            <w:tcW w:w="1296" w:type="dxa"/>
            <w:vAlign w:val="center"/>
          </w:tcPr>
          <w:p w14:paraId="04B0D019" w14:textId="77777777" w:rsidR="00C611D5" w:rsidRDefault="00000000">
            <w:pPr>
              <w:widowControl/>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北京经济技术开发区</w:t>
            </w:r>
          </w:p>
          <w:p w14:paraId="0E2BF17A" w14:textId="77777777" w:rsidR="00C611D5" w:rsidRDefault="00000000">
            <w:pPr>
              <w:widowControl/>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rPr>
              <w:t>城市</w:t>
            </w:r>
            <w:proofErr w:type="gramStart"/>
            <w:r>
              <w:rPr>
                <w:rFonts w:ascii="仿宋_GB2312" w:eastAsia="仿宋_GB2312" w:hAnsi="仿宋_GB2312" w:cs="仿宋_GB2312" w:hint="eastAsia"/>
                <w:color w:val="000000"/>
                <w:kern w:val="0"/>
                <w:sz w:val="24"/>
                <w:szCs w:val="24"/>
              </w:rPr>
              <w:t>运行局</w:t>
            </w:r>
            <w:proofErr w:type="gramEnd"/>
          </w:p>
        </w:tc>
        <w:tc>
          <w:tcPr>
            <w:tcW w:w="1171" w:type="dxa"/>
            <w:vAlign w:val="center"/>
          </w:tcPr>
          <w:p w14:paraId="46DB971B"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232930"/>
                <w:kern w:val="0"/>
                <w:sz w:val="24"/>
                <w:szCs w:val="24"/>
              </w:rPr>
              <w:t>冯丽颖</w:t>
            </w:r>
          </w:p>
        </w:tc>
        <w:tc>
          <w:tcPr>
            <w:tcW w:w="1265" w:type="dxa"/>
            <w:vAlign w:val="center"/>
          </w:tcPr>
          <w:p w14:paraId="7140D314"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232930"/>
                <w:kern w:val="0"/>
                <w:sz w:val="24"/>
                <w:szCs w:val="24"/>
              </w:rPr>
              <w:t>67887513</w:t>
            </w:r>
          </w:p>
        </w:tc>
        <w:tc>
          <w:tcPr>
            <w:tcW w:w="2123" w:type="dxa"/>
            <w:vAlign w:val="center"/>
          </w:tcPr>
          <w:p w14:paraId="5EEE9229" w14:textId="77777777" w:rsidR="00C611D5" w:rsidRDefault="00000000">
            <w:pPr>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232930"/>
                <w:kern w:val="0"/>
                <w:sz w:val="24"/>
                <w:szCs w:val="24"/>
              </w:rPr>
              <w:t>fengliying@bda.gov.cn</w:t>
            </w:r>
          </w:p>
        </w:tc>
      </w:tr>
      <w:tr w:rsidR="00C611D5" w14:paraId="56288380" w14:textId="77777777">
        <w:trPr>
          <w:trHeight w:val="900"/>
        </w:trPr>
        <w:tc>
          <w:tcPr>
            <w:tcW w:w="780" w:type="dxa"/>
            <w:vAlign w:val="center"/>
          </w:tcPr>
          <w:p w14:paraId="5F19C0B9"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31</w:t>
            </w:r>
          </w:p>
        </w:tc>
        <w:tc>
          <w:tcPr>
            <w:tcW w:w="1342" w:type="dxa"/>
            <w:vAlign w:val="center"/>
          </w:tcPr>
          <w:p w14:paraId="7A0354FE" w14:textId="77777777" w:rsidR="00C611D5" w:rsidRDefault="00000000">
            <w:pPr>
              <w:widowControl/>
              <w:jc w:val="center"/>
              <w:rPr>
                <w:rFonts w:ascii="仿宋_GB2312" w:eastAsia="仿宋_GB2312" w:hAnsi="仿宋_GB2312" w:cs="仿宋_GB2312"/>
                <w:bCs/>
                <w:color w:val="000000"/>
                <w:kern w:val="0"/>
                <w:sz w:val="24"/>
                <w:szCs w:val="24"/>
              </w:rPr>
            </w:pPr>
            <w:r>
              <w:rPr>
                <w:rFonts w:ascii="仿宋_GB2312" w:eastAsia="仿宋_GB2312" w:hAnsi="仿宋_GB2312" w:cs="仿宋_GB2312" w:hint="eastAsia"/>
                <w:color w:val="000000"/>
                <w:kern w:val="0"/>
                <w:sz w:val="24"/>
                <w:szCs w:val="24"/>
              </w:rPr>
              <w:t>园区重大危险</w:t>
            </w:r>
            <w:proofErr w:type="gramStart"/>
            <w:r>
              <w:rPr>
                <w:rFonts w:ascii="仿宋_GB2312" w:eastAsia="仿宋_GB2312" w:hAnsi="仿宋_GB2312" w:cs="仿宋_GB2312" w:hint="eastAsia"/>
                <w:color w:val="000000"/>
                <w:kern w:val="0"/>
                <w:sz w:val="24"/>
                <w:szCs w:val="24"/>
              </w:rPr>
              <w:t>源风险</w:t>
            </w:r>
            <w:proofErr w:type="gramEnd"/>
            <w:r>
              <w:rPr>
                <w:rFonts w:ascii="仿宋_GB2312" w:eastAsia="仿宋_GB2312" w:hAnsi="仿宋_GB2312" w:cs="仿宋_GB2312" w:hint="eastAsia"/>
                <w:color w:val="000000"/>
                <w:kern w:val="0"/>
                <w:sz w:val="24"/>
                <w:szCs w:val="24"/>
              </w:rPr>
              <w:t>预警监测场景</w:t>
            </w:r>
          </w:p>
        </w:tc>
        <w:tc>
          <w:tcPr>
            <w:tcW w:w="5931" w:type="dxa"/>
            <w:vAlign w:val="center"/>
          </w:tcPr>
          <w:p w14:paraId="6CE08D21" w14:textId="77777777" w:rsidR="00C611D5" w:rsidRDefault="00000000">
            <w:pPr>
              <w:widowControl/>
              <w:spacing w:line="400" w:lineRule="exact"/>
              <w:jc w:val="left"/>
              <w:rPr>
                <w:rFonts w:ascii="仿宋_GB2312" w:eastAsia="仿宋_GB2312" w:hAnsi="仿宋_GB2312" w:cs="仿宋_GB2312"/>
                <w:bCs/>
                <w:kern w:val="0"/>
                <w:sz w:val="24"/>
                <w:szCs w:val="24"/>
              </w:rPr>
            </w:pPr>
            <w:r>
              <w:rPr>
                <w:rFonts w:ascii="仿宋_GB2312" w:eastAsia="仿宋_GB2312" w:hAnsi="仿宋_GB2312" w:cs="仿宋_GB2312" w:hint="eastAsia"/>
                <w:kern w:val="0"/>
                <w:sz w:val="24"/>
                <w:szCs w:val="24"/>
              </w:rPr>
              <w:t>面向经开区在园区重大危险</w:t>
            </w:r>
            <w:proofErr w:type="gramStart"/>
            <w:r>
              <w:rPr>
                <w:rFonts w:ascii="仿宋_GB2312" w:eastAsia="仿宋_GB2312" w:hAnsi="仿宋_GB2312" w:cs="仿宋_GB2312" w:hint="eastAsia"/>
                <w:kern w:val="0"/>
                <w:sz w:val="24"/>
                <w:szCs w:val="24"/>
              </w:rPr>
              <w:t>源风险</w:t>
            </w:r>
            <w:proofErr w:type="gramEnd"/>
            <w:r>
              <w:rPr>
                <w:rFonts w:ascii="仿宋_GB2312" w:eastAsia="仿宋_GB2312" w:hAnsi="仿宋_GB2312" w:cs="仿宋_GB2312" w:hint="eastAsia"/>
                <w:kern w:val="0"/>
                <w:sz w:val="24"/>
                <w:szCs w:val="24"/>
              </w:rPr>
              <w:t>预警领域精细化、数字化和预防性监测手段不足的痛点，选取经开区1个危险源企业为试点，归集危险源数据，以“点、线、面”相结合的方式，统筹分析评估城市复杂耦合风险，建设重大危险源安全生产风险评估分析模型以及政企互动联动指挥体系，构建立体化监测网，形成一张人防、技防、物防有机融合的城市安全风险监测网，以模型监测识别代替人工现场检查，提高重大危险源的智能化、高效化管理，在经开区形成园区重大危险</w:t>
            </w:r>
            <w:proofErr w:type="gramStart"/>
            <w:r>
              <w:rPr>
                <w:rFonts w:ascii="仿宋_GB2312" w:eastAsia="仿宋_GB2312" w:hAnsi="仿宋_GB2312" w:cs="仿宋_GB2312" w:hint="eastAsia"/>
                <w:kern w:val="0"/>
                <w:sz w:val="24"/>
                <w:szCs w:val="24"/>
              </w:rPr>
              <w:t>源风险</w:t>
            </w:r>
            <w:proofErr w:type="gramEnd"/>
            <w:r>
              <w:rPr>
                <w:rFonts w:ascii="仿宋_GB2312" w:eastAsia="仿宋_GB2312" w:hAnsi="仿宋_GB2312" w:cs="仿宋_GB2312" w:hint="eastAsia"/>
                <w:kern w:val="0"/>
                <w:sz w:val="24"/>
                <w:szCs w:val="24"/>
              </w:rPr>
              <w:t>预警模型首方案。</w:t>
            </w:r>
          </w:p>
        </w:tc>
        <w:tc>
          <w:tcPr>
            <w:tcW w:w="1296" w:type="dxa"/>
            <w:vAlign w:val="center"/>
          </w:tcPr>
          <w:p w14:paraId="7D932ABD" w14:textId="77777777" w:rsidR="00C611D5" w:rsidRDefault="00000000">
            <w:pPr>
              <w:widowControl/>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北京经济技术开发区</w:t>
            </w:r>
          </w:p>
          <w:p w14:paraId="11DB8954" w14:textId="77777777" w:rsidR="00C611D5" w:rsidRDefault="00000000">
            <w:pPr>
              <w:widowControl/>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rPr>
              <w:t>城市</w:t>
            </w:r>
            <w:proofErr w:type="gramStart"/>
            <w:r>
              <w:rPr>
                <w:rFonts w:ascii="仿宋_GB2312" w:eastAsia="仿宋_GB2312" w:hAnsi="仿宋_GB2312" w:cs="仿宋_GB2312" w:hint="eastAsia"/>
                <w:color w:val="000000"/>
                <w:kern w:val="0"/>
                <w:sz w:val="24"/>
                <w:szCs w:val="24"/>
              </w:rPr>
              <w:t>运行局</w:t>
            </w:r>
            <w:proofErr w:type="gramEnd"/>
          </w:p>
        </w:tc>
        <w:tc>
          <w:tcPr>
            <w:tcW w:w="1171" w:type="dxa"/>
            <w:vAlign w:val="center"/>
          </w:tcPr>
          <w:p w14:paraId="2E3007F3"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232930"/>
                <w:kern w:val="0"/>
                <w:sz w:val="24"/>
                <w:szCs w:val="24"/>
              </w:rPr>
              <w:t>冯丽颖</w:t>
            </w:r>
          </w:p>
        </w:tc>
        <w:tc>
          <w:tcPr>
            <w:tcW w:w="1265" w:type="dxa"/>
            <w:vAlign w:val="center"/>
          </w:tcPr>
          <w:p w14:paraId="03ADC41B"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232930"/>
                <w:kern w:val="0"/>
                <w:sz w:val="24"/>
                <w:szCs w:val="24"/>
              </w:rPr>
              <w:t>67887513</w:t>
            </w:r>
          </w:p>
        </w:tc>
        <w:tc>
          <w:tcPr>
            <w:tcW w:w="2123" w:type="dxa"/>
            <w:vAlign w:val="center"/>
          </w:tcPr>
          <w:p w14:paraId="3C48F695" w14:textId="77777777" w:rsidR="00C611D5" w:rsidRDefault="00000000">
            <w:pPr>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232930"/>
                <w:kern w:val="0"/>
                <w:sz w:val="24"/>
                <w:szCs w:val="24"/>
              </w:rPr>
              <w:t>fengliying@bda.gov.cn</w:t>
            </w:r>
          </w:p>
        </w:tc>
      </w:tr>
      <w:tr w:rsidR="00C611D5" w14:paraId="34A8AB0D" w14:textId="77777777">
        <w:trPr>
          <w:trHeight w:val="900"/>
        </w:trPr>
        <w:tc>
          <w:tcPr>
            <w:tcW w:w="780" w:type="dxa"/>
            <w:vAlign w:val="center"/>
          </w:tcPr>
          <w:p w14:paraId="6B49A961"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32</w:t>
            </w:r>
          </w:p>
        </w:tc>
        <w:tc>
          <w:tcPr>
            <w:tcW w:w="1342" w:type="dxa"/>
            <w:vAlign w:val="center"/>
          </w:tcPr>
          <w:p w14:paraId="03F3CCF4" w14:textId="77777777" w:rsidR="00C611D5" w:rsidRDefault="00000000">
            <w:pPr>
              <w:widowControl/>
              <w:jc w:val="center"/>
              <w:rPr>
                <w:rFonts w:ascii="仿宋_GB2312" w:eastAsia="仿宋_GB2312" w:hAnsi="仿宋_GB2312" w:cs="仿宋_GB2312"/>
                <w:bCs/>
                <w:kern w:val="0"/>
                <w:sz w:val="24"/>
                <w:szCs w:val="24"/>
              </w:rPr>
            </w:pPr>
            <w:r>
              <w:rPr>
                <w:rFonts w:ascii="仿宋_GB2312" w:eastAsia="仿宋_GB2312" w:hAnsi="仿宋_GB2312" w:cs="仿宋_GB2312" w:hint="eastAsia"/>
                <w:color w:val="000000"/>
                <w:kern w:val="0"/>
                <w:sz w:val="24"/>
                <w:szCs w:val="24"/>
              </w:rPr>
              <w:t>AI+无人驾驶技术在市政设施巡检中的应用场景</w:t>
            </w:r>
          </w:p>
        </w:tc>
        <w:tc>
          <w:tcPr>
            <w:tcW w:w="5931" w:type="dxa"/>
            <w:vAlign w:val="center"/>
          </w:tcPr>
          <w:p w14:paraId="3B0A5088" w14:textId="77777777" w:rsidR="00C611D5" w:rsidRDefault="00000000">
            <w:pPr>
              <w:widowControl/>
              <w:spacing w:line="400" w:lineRule="exact"/>
              <w:jc w:val="left"/>
              <w:rPr>
                <w:rFonts w:ascii="仿宋_GB2312" w:eastAsia="仿宋_GB2312" w:hAnsi="仿宋_GB2312" w:cs="仿宋_GB2312"/>
                <w:bCs/>
                <w:kern w:val="0"/>
                <w:sz w:val="24"/>
                <w:szCs w:val="24"/>
              </w:rPr>
            </w:pPr>
            <w:r>
              <w:rPr>
                <w:rFonts w:ascii="仿宋_GB2312" w:eastAsia="仿宋_GB2312" w:hAnsi="仿宋_GB2312" w:cs="仿宋_GB2312" w:hint="eastAsia"/>
                <w:kern w:val="0"/>
                <w:sz w:val="24"/>
                <w:szCs w:val="24"/>
              </w:rPr>
              <w:t>结合经开区城市运行大脑实际管理情况，针对道路及市政设施监测不够及时等问题，充分挖掘经开区无人驾驶、无人配送等车辆运行场景应用效率，在无人车运行过程同步采集道路市政设施情况，自动识别市政设施破损、遮挡等违法情况并推送到城市大脑，实现指挥调度自动化、智能化，以无人车代替人工巡查，释放紧张的人力资源，提高城市治理的智能化水平和效率。</w:t>
            </w:r>
          </w:p>
        </w:tc>
        <w:tc>
          <w:tcPr>
            <w:tcW w:w="1296" w:type="dxa"/>
            <w:vAlign w:val="center"/>
          </w:tcPr>
          <w:p w14:paraId="15C04B79" w14:textId="77777777" w:rsidR="00C611D5" w:rsidRDefault="00000000">
            <w:pPr>
              <w:widowControl/>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北京经济技术开发区</w:t>
            </w:r>
          </w:p>
          <w:p w14:paraId="0D1C212D" w14:textId="77777777" w:rsidR="00C611D5" w:rsidRDefault="00000000">
            <w:pPr>
              <w:widowControl/>
              <w:jc w:val="center"/>
              <w:rPr>
                <w:rFonts w:ascii="仿宋_GB2312" w:eastAsia="仿宋_GB2312" w:hAnsi="仿宋_GB2312" w:cs="仿宋_GB2312"/>
                <w:color w:val="000000"/>
                <w:sz w:val="24"/>
                <w:szCs w:val="24"/>
              </w:rPr>
            </w:pPr>
            <w:r>
              <w:rPr>
                <w:rFonts w:ascii="仿宋_GB2312" w:eastAsia="仿宋_GB2312" w:hAnsi="仿宋_GB2312" w:cs="仿宋_GB2312" w:hint="eastAsia"/>
                <w:kern w:val="0"/>
                <w:sz w:val="24"/>
                <w:szCs w:val="24"/>
              </w:rPr>
              <w:t>行政</w:t>
            </w:r>
            <w:proofErr w:type="gramStart"/>
            <w:r>
              <w:rPr>
                <w:rFonts w:ascii="仿宋_GB2312" w:eastAsia="仿宋_GB2312" w:hAnsi="仿宋_GB2312" w:cs="仿宋_GB2312" w:hint="eastAsia"/>
                <w:kern w:val="0"/>
                <w:sz w:val="24"/>
                <w:szCs w:val="24"/>
              </w:rPr>
              <w:t>审批局</w:t>
            </w:r>
            <w:proofErr w:type="gramEnd"/>
          </w:p>
        </w:tc>
        <w:tc>
          <w:tcPr>
            <w:tcW w:w="1171" w:type="dxa"/>
            <w:vAlign w:val="center"/>
          </w:tcPr>
          <w:p w14:paraId="0B316204"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232930"/>
                <w:kern w:val="0"/>
                <w:sz w:val="24"/>
                <w:szCs w:val="24"/>
              </w:rPr>
              <w:t>冯丽颖</w:t>
            </w:r>
          </w:p>
        </w:tc>
        <w:tc>
          <w:tcPr>
            <w:tcW w:w="1265" w:type="dxa"/>
            <w:vAlign w:val="center"/>
          </w:tcPr>
          <w:p w14:paraId="0089DC71" w14:textId="77777777" w:rsidR="00C611D5" w:rsidRDefault="00000000">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232930"/>
                <w:kern w:val="0"/>
                <w:sz w:val="24"/>
                <w:szCs w:val="24"/>
              </w:rPr>
              <w:t>67887513</w:t>
            </w:r>
          </w:p>
        </w:tc>
        <w:tc>
          <w:tcPr>
            <w:tcW w:w="2123" w:type="dxa"/>
            <w:vAlign w:val="center"/>
          </w:tcPr>
          <w:p w14:paraId="43DA9C3D" w14:textId="77777777" w:rsidR="00C611D5" w:rsidRDefault="00000000">
            <w:pPr>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232930"/>
                <w:kern w:val="0"/>
                <w:sz w:val="24"/>
                <w:szCs w:val="24"/>
              </w:rPr>
              <w:t>fengliying@bda.gov.cn</w:t>
            </w:r>
          </w:p>
        </w:tc>
      </w:tr>
      <w:tr w:rsidR="00C611D5" w14:paraId="5CF3DC66" w14:textId="77777777">
        <w:trPr>
          <w:trHeight w:val="600"/>
        </w:trPr>
        <w:tc>
          <w:tcPr>
            <w:tcW w:w="780" w:type="dxa"/>
            <w:vAlign w:val="center"/>
          </w:tcPr>
          <w:p w14:paraId="45B6DD53"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33</w:t>
            </w:r>
          </w:p>
        </w:tc>
        <w:tc>
          <w:tcPr>
            <w:tcW w:w="1342" w:type="dxa"/>
            <w:vAlign w:val="center"/>
          </w:tcPr>
          <w:p w14:paraId="13559D8F" w14:textId="77777777" w:rsidR="00C611D5" w:rsidRDefault="00000000">
            <w:pPr>
              <w:widowControl/>
              <w:jc w:val="center"/>
              <w:rPr>
                <w:rFonts w:ascii="仿宋_GB2312" w:eastAsia="仿宋_GB2312" w:hAnsi="仿宋_GB2312" w:cs="仿宋_GB2312"/>
                <w:bCs/>
                <w:kern w:val="0"/>
                <w:sz w:val="24"/>
                <w:szCs w:val="24"/>
              </w:rPr>
            </w:pPr>
            <w:r>
              <w:rPr>
                <w:rFonts w:ascii="仿宋_GB2312" w:eastAsia="仿宋_GB2312" w:hAnsi="仿宋_GB2312" w:cs="仿宋_GB2312" w:hint="eastAsia"/>
                <w:color w:val="000000"/>
                <w:kern w:val="0"/>
                <w:sz w:val="24"/>
                <w:szCs w:val="24"/>
              </w:rPr>
              <w:t>城市内涝综合分析模型场景建设</w:t>
            </w:r>
          </w:p>
        </w:tc>
        <w:tc>
          <w:tcPr>
            <w:tcW w:w="5931" w:type="dxa"/>
            <w:vAlign w:val="center"/>
          </w:tcPr>
          <w:p w14:paraId="568A39B6" w14:textId="77777777" w:rsidR="00C611D5" w:rsidRDefault="00000000">
            <w:pPr>
              <w:widowControl/>
              <w:spacing w:line="400" w:lineRule="exact"/>
              <w:jc w:val="left"/>
              <w:rPr>
                <w:rFonts w:ascii="仿宋_GB2312" w:eastAsia="仿宋_GB2312" w:hAnsi="仿宋_GB2312" w:cs="仿宋_GB2312"/>
                <w:bCs/>
                <w:sz w:val="24"/>
                <w:szCs w:val="24"/>
              </w:rPr>
            </w:pPr>
            <w:r>
              <w:rPr>
                <w:rFonts w:ascii="仿宋_GB2312" w:eastAsia="仿宋_GB2312" w:hAnsi="仿宋_GB2312" w:cs="仿宋_GB2312" w:hint="eastAsia"/>
                <w:kern w:val="0"/>
                <w:sz w:val="24"/>
                <w:szCs w:val="24"/>
              </w:rPr>
              <w:t>针对城市局部区域内涝预测模型缺乏、河湖淹没模型应用效果差等问题，基于经开区城市运行大脑的水务历史数据、积水监测、水量监测等数据，立足内涝模型监管和态势预测发展，设计基于区域实际的城市内涝预测模型，确定内涝风险区域，预测淹没趋势，评估内涝风险程度、提供基础设施更新补充建议，并关联应急预案进行业务协同处置，准确引导和把握内涝监管领域的发展方向，提升防汛排水业务智慧化管理水平。</w:t>
            </w:r>
          </w:p>
        </w:tc>
        <w:tc>
          <w:tcPr>
            <w:tcW w:w="1296" w:type="dxa"/>
            <w:vAlign w:val="center"/>
          </w:tcPr>
          <w:p w14:paraId="0FD4CEE4" w14:textId="77777777" w:rsidR="00C611D5" w:rsidRDefault="00000000">
            <w:pPr>
              <w:widowControl/>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北京经济技术开发区</w:t>
            </w:r>
          </w:p>
          <w:p w14:paraId="7211B726" w14:textId="77777777" w:rsidR="00C611D5" w:rsidRDefault="00000000">
            <w:pPr>
              <w:widowControl/>
              <w:jc w:val="center"/>
              <w:rPr>
                <w:rFonts w:ascii="仿宋_GB2312" w:eastAsia="仿宋_GB2312" w:hAnsi="仿宋_GB2312" w:cs="仿宋_GB2312"/>
                <w:color w:val="000000"/>
                <w:sz w:val="24"/>
                <w:szCs w:val="24"/>
              </w:rPr>
            </w:pPr>
            <w:r>
              <w:rPr>
                <w:rFonts w:ascii="仿宋_GB2312" w:eastAsia="仿宋_GB2312" w:hAnsi="仿宋_GB2312" w:cs="仿宋_GB2312" w:hint="eastAsia"/>
                <w:kern w:val="0"/>
                <w:sz w:val="24"/>
                <w:szCs w:val="24"/>
              </w:rPr>
              <w:t>综合执法局</w:t>
            </w:r>
          </w:p>
        </w:tc>
        <w:tc>
          <w:tcPr>
            <w:tcW w:w="1171" w:type="dxa"/>
            <w:vAlign w:val="center"/>
          </w:tcPr>
          <w:p w14:paraId="2CAC2118" w14:textId="77777777" w:rsidR="00C611D5" w:rsidRDefault="00000000">
            <w:pPr>
              <w:widowControl/>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232930"/>
                <w:kern w:val="0"/>
                <w:sz w:val="24"/>
                <w:szCs w:val="24"/>
              </w:rPr>
              <w:t>冯丽颖</w:t>
            </w:r>
          </w:p>
        </w:tc>
        <w:tc>
          <w:tcPr>
            <w:tcW w:w="1265" w:type="dxa"/>
            <w:vAlign w:val="center"/>
          </w:tcPr>
          <w:p w14:paraId="627E6BF6" w14:textId="77777777" w:rsidR="00C611D5" w:rsidRDefault="00000000">
            <w:pPr>
              <w:widowControl/>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232930"/>
                <w:kern w:val="0"/>
                <w:sz w:val="24"/>
                <w:szCs w:val="24"/>
              </w:rPr>
              <w:t>67887513</w:t>
            </w:r>
          </w:p>
        </w:tc>
        <w:tc>
          <w:tcPr>
            <w:tcW w:w="2123" w:type="dxa"/>
            <w:vAlign w:val="center"/>
          </w:tcPr>
          <w:p w14:paraId="270098D5" w14:textId="77777777" w:rsidR="00C611D5" w:rsidRDefault="00000000">
            <w:pPr>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232930"/>
                <w:kern w:val="0"/>
                <w:sz w:val="24"/>
                <w:szCs w:val="24"/>
              </w:rPr>
              <w:t>fengliying@bda.gov.cn</w:t>
            </w:r>
          </w:p>
        </w:tc>
      </w:tr>
      <w:tr w:rsidR="00C611D5" w14:paraId="5F933828" w14:textId="77777777">
        <w:trPr>
          <w:trHeight w:val="600"/>
        </w:trPr>
        <w:tc>
          <w:tcPr>
            <w:tcW w:w="780" w:type="dxa"/>
            <w:vAlign w:val="center"/>
          </w:tcPr>
          <w:p w14:paraId="125B17AA"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34</w:t>
            </w:r>
          </w:p>
        </w:tc>
        <w:tc>
          <w:tcPr>
            <w:tcW w:w="1342" w:type="dxa"/>
            <w:vAlign w:val="center"/>
          </w:tcPr>
          <w:p w14:paraId="4BA789BB" w14:textId="77777777" w:rsidR="00C611D5" w:rsidRDefault="00000000">
            <w:pPr>
              <w:widowControl/>
              <w:jc w:val="center"/>
              <w:rPr>
                <w:rFonts w:ascii="仿宋_GB2312" w:eastAsia="仿宋_GB2312" w:hAnsi="仿宋_GB2312" w:cs="仿宋_GB2312"/>
                <w:bCs/>
                <w:color w:val="000000"/>
                <w:kern w:val="0"/>
                <w:sz w:val="24"/>
                <w:szCs w:val="24"/>
              </w:rPr>
            </w:pPr>
            <w:r>
              <w:rPr>
                <w:rFonts w:ascii="仿宋_GB2312" w:eastAsia="仿宋_GB2312" w:hAnsi="仿宋_GB2312" w:cs="仿宋_GB2312" w:hint="eastAsia"/>
                <w:kern w:val="0"/>
                <w:sz w:val="24"/>
                <w:szCs w:val="24"/>
              </w:rPr>
              <w:t>非现场综合执法智能监管场景</w:t>
            </w:r>
          </w:p>
        </w:tc>
        <w:tc>
          <w:tcPr>
            <w:tcW w:w="5931" w:type="dxa"/>
            <w:vAlign w:val="center"/>
          </w:tcPr>
          <w:p w14:paraId="755BB4E1" w14:textId="77777777" w:rsidR="00C611D5" w:rsidRDefault="00000000">
            <w:pPr>
              <w:widowControl/>
              <w:spacing w:line="400" w:lineRule="exact"/>
              <w:jc w:val="left"/>
              <w:rPr>
                <w:rFonts w:ascii="仿宋_GB2312" w:eastAsia="仿宋_GB2312" w:hAnsi="仿宋_GB2312" w:cs="仿宋_GB2312"/>
                <w:bCs/>
                <w:kern w:val="0"/>
                <w:sz w:val="24"/>
                <w:szCs w:val="24"/>
              </w:rPr>
            </w:pPr>
            <w:r>
              <w:rPr>
                <w:rFonts w:ascii="仿宋_GB2312" w:eastAsia="仿宋_GB2312" w:hAnsi="仿宋_GB2312" w:cs="仿宋_GB2312" w:hint="eastAsia"/>
                <w:kern w:val="0"/>
                <w:sz w:val="24"/>
                <w:szCs w:val="24"/>
              </w:rPr>
              <w:t>在当前施工工地扬尘治理、地下管线上方破路行为检查中，对工地土方未苫盖、工地出口处未设置洗轮机、道路破损等违规行为处置过程中，执法人员主要通过人力巡查的方式才能覆盖施工工地以及地下管线，需要大量的人力及时间成本，导致问题发现不够及时，违法处理相对滞后。为此，需要基于施工工地的视频图像信息，开展工地洗轮机启用识别、工地土方苫盖识别、地下管线上方破路等算法研发，将土方未苫盖、带泥上路、地下管线破路等疑似违法现象及时推送至执法人员，提高执法检查效率，减少人员成本，强化对施工工地的管理，减少对现场的打扰。</w:t>
            </w:r>
          </w:p>
        </w:tc>
        <w:tc>
          <w:tcPr>
            <w:tcW w:w="1296" w:type="dxa"/>
            <w:vAlign w:val="center"/>
          </w:tcPr>
          <w:p w14:paraId="5A3715CC" w14:textId="77777777" w:rsidR="00C611D5" w:rsidRDefault="00000000">
            <w:pPr>
              <w:widowControl/>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北京经济技术开发区</w:t>
            </w:r>
          </w:p>
          <w:p w14:paraId="0E4C08E8" w14:textId="77777777" w:rsidR="00C611D5" w:rsidRDefault="00000000">
            <w:pPr>
              <w:widowControl/>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rPr>
              <w:t>城市</w:t>
            </w:r>
            <w:proofErr w:type="gramStart"/>
            <w:r>
              <w:rPr>
                <w:rFonts w:ascii="仿宋_GB2312" w:eastAsia="仿宋_GB2312" w:hAnsi="仿宋_GB2312" w:cs="仿宋_GB2312" w:hint="eastAsia"/>
                <w:color w:val="000000"/>
                <w:kern w:val="0"/>
                <w:sz w:val="24"/>
                <w:szCs w:val="24"/>
              </w:rPr>
              <w:t>运行局</w:t>
            </w:r>
            <w:proofErr w:type="gramEnd"/>
          </w:p>
        </w:tc>
        <w:tc>
          <w:tcPr>
            <w:tcW w:w="1171" w:type="dxa"/>
            <w:vAlign w:val="center"/>
          </w:tcPr>
          <w:p w14:paraId="15FE5EF0" w14:textId="77777777" w:rsidR="00C611D5" w:rsidRDefault="00000000">
            <w:pPr>
              <w:widowControl/>
              <w:jc w:val="center"/>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王兰</w:t>
            </w:r>
            <w:proofErr w:type="gramStart"/>
            <w:r>
              <w:rPr>
                <w:rFonts w:ascii="仿宋_GB2312" w:eastAsia="仿宋_GB2312" w:hAnsi="仿宋_GB2312" w:cs="仿宋_GB2312" w:hint="eastAsia"/>
                <w:kern w:val="0"/>
                <w:sz w:val="24"/>
                <w:szCs w:val="24"/>
              </w:rPr>
              <w:t>兰</w:t>
            </w:r>
            <w:proofErr w:type="gramEnd"/>
          </w:p>
        </w:tc>
        <w:tc>
          <w:tcPr>
            <w:tcW w:w="1265" w:type="dxa"/>
            <w:vAlign w:val="center"/>
          </w:tcPr>
          <w:p w14:paraId="5A8CC892" w14:textId="77777777" w:rsidR="00C611D5" w:rsidRDefault="00000000">
            <w:pPr>
              <w:widowControl/>
              <w:jc w:val="center"/>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67892062</w:t>
            </w:r>
          </w:p>
        </w:tc>
        <w:tc>
          <w:tcPr>
            <w:tcW w:w="2123" w:type="dxa"/>
            <w:vAlign w:val="center"/>
          </w:tcPr>
          <w:p w14:paraId="65F76965" w14:textId="77777777" w:rsidR="00C611D5" w:rsidRDefault="00000000">
            <w:pPr>
              <w:jc w:val="center"/>
              <w:rPr>
                <w:rFonts w:ascii="仿宋_GB2312" w:eastAsia="仿宋_GB2312" w:hAnsi="仿宋_GB2312" w:cs="仿宋_GB2312"/>
                <w:color w:val="000000"/>
                <w:sz w:val="24"/>
                <w:szCs w:val="24"/>
              </w:rPr>
            </w:pPr>
            <w:r>
              <w:rPr>
                <w:rFonts w:ascii="仿宋_GB2312" w:eastAsia="仿宋_GB2312" w:hAnsi="仿宋_GB2312" w:cs="仿宋_GB2312" w:hint="eastAsia"/>
                <w:kern w:val="0"/>
                <w:sz w:val="24"/>
                <w:szCs w:val="24"/>
              </w:rPr>
              <w:t>Kfqzhzf1d@163.com</w:t>
            </w:r>
          </w:p>
        </w:tc>
      </w:tr>
      <w:tr w:rsidR="00C611D5" w14:paraId="6101ABA8" w14:textId="77777777">
        <w:trPr>
          <w:trHeight w:val="600"/>
        </w:trPr>
        <w:tc>
          <w:tcPr>
            <w:tcW w:w="780" w:type="dxa"/>
            <w:vAlign w:val="center"/>
          </w:tcPr>
          <w:p w14:paraId="2DDE4906"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35</w:t>
            </w:r>
          </w:p>
        </w:tc>
        <w:tc>
          <w:tcPr>
            <w:tcW w:w="1342" w:type="dxa"/>
            <w:vAlign w:val="center"/>
          </w:tcPr>
          <w:p w14:paraId="43A433A3" w14:textId="77777777" w:rsidR="00C611D5" w:rsidRDefault="00000000">
            <w:pPr>
              <w:widowControl/>
              <w:jc w:val="center"/>
              <w:rPr>
                <w:rFonts w:ascii="仿宋_GB2312" w:eastAsia="仿宋_GB2312" w:hAnsi="仿宋_GB2312" w:cs="仿宋_GB2312"/>
                <w:bCs/>
                <w:color w:val="000000"/>
                <w:kern w:val="0"/>
                <w:sz w:val="24"/>
                <w:szCs w:val="24"/>
              </w:rPr>
            </w:pPr>
            <w:r>
              <w:rPr>
                <w:rFonts w:ascii="仿宋_GB2312" w:eastAsia="仿宋_GB2312" w:hAnsi="仿宋_GB2312" w:cs="仿宋_GB2312" w:hint="eastAsia"/>
                <w:color w:val="000000"/>
                <w:kern w:val="0"/>
                <w:sz w:val="24"/>
                <w:szCs w:val="24"/>
              </w:rPr>
              <w:t>基于“三京”</w:t>
            </w:r>
            <w:proofErr w:type="gramStart"/>
            <w:r>
              <w:rPr>
                <w:rFonts w:ascii="仿宋_GB2312" w:eastAsia="仿宋_GB2312" w:hAnsi="仿宋_GB2312" w:cs="仿宋_GB2312" w:hint="eastAsia"/>
                <w:color w:val="000000"/>
                <w:kern w:val="0"/>
                <w:sz w:val="24"/>
                <w:szCs w:val="24"/>
              </w:rPr>
              <w:t>的多网融合</w:t>
            </w:r>
            <w:proofErr w:type="gramEnd"/>
            <w:r>
              <w:rPr>
                <w:rFonts w:ascii="仿宋_GB2312" w:eastAsia="仿宋_GB2312" w:hAnsi="仿宋_GB2312" w:cs="仿宋_GB2312" w:hint="eastAsia"/>
                <w:color w:val="000000"/>
                <w:kern w:val="0"/>
                <w:sz w:val="24"/>
                <w:szCs w:val="24"/>
              </w:rPr>
              <w:t>贯通示范应用场景建设</w:t>
            </w:r>
          </w:p>
        </w:tc>
        <w:tc>
          <w:tcPr>
            <w:tcW w:w="5931" w:type="dxa"/>
            <w:vAlign w:val="center"/>
          </w:tcPr>
          <w:p w14:paraId="0D5DC07F" w14:textId="77777777" w:rsidR="00C611D5" w:rsidRDefault="00000000">
            <w:pPr>
              <w:widowControl/>
              <w:spacing w:line="400" w:lineRule="exact"/>
              <w:jc w:val="left"/>
              <w:rPr>
                <w:rFonts w:ascii="仿宋_GB2312" w:eastAsia="仿宋_GB2312" w:hAnsi="仿宋_GB2312" w:cs="仿宋_GB2312"/>
                <w:bCs/>
                <w:kern w:val="0"/>
                <w:sz w:val="24"/>
                <w:szCs w:val="24"/>
              </w:rPr>
            </w:pPr>
            <w:r>
              <w:rPr>
                <w:rFonts w:ascii="仿宋_GB2312" w:eastAsia="仿宋_GB2312" w:hAnsi="仿宋_GB2312" w:cs="仿宋_GB2312" w:hint="eastAsia"/>
                <w:color w:val="000000"/>
                <w:kern w:val="0"/>
                <w:sz w:val="24"/>
                <w:szCs w:val="24"/>
              </w:rPr>
              <w:t>经开区围绕“三京（京办、京通、京智）”超级智慧终端应用，针对内部平台数据不互通，应用入口未整合、业务联动</w:t>
            </w:r>
            <w:proofErr w:type="gramStart"/>
            <w:r>
              <w:rPr>
                <w:rFonts w:ascii="仿宋_GB2312" w:eastAsia="仿宋_GB2312" w:hAnsi="仿宋_GB2312" w:cs="仿宋_GB2312" w:hint="eastAsia"/>
                <w:color w:val="000000"/>
                <w:kern w:val="0"/>
                <w:sz w:val="24"/>
                <w:szCs w:val="24"/>
              </w:rPr>
              <w:t>不</w:t>
            </w:r>
            <w:proofErr w:type="gramEnd"/>
            <w:r>
              <w:rPr>
                <w:rFonts w:ascii="仿宋_GB2312" w:eastAsia="仿宋_GB2312" w:hAnsi="仿宋_GB2312" w:cs="仿宋_GB2312" w:hint="eastAsia"/>
                <w:color w:val="000000"/>
                <w:kern w:val="0"/>
                <w:sz w:val="24"/>
                <w:szCs w:val="24"/>
              </w:rPr>
              <w:t>协同等问题，以应急决策指挥场景为切入点，开展技术路线设计和应用预案推演，进行企业准入准营、综合监管、政策兑现、应急处置等业务联动，打通独立业务之间数据和流程，探索基于区大数据平台的</w:t>
            </w:r>
            <w:proofErr w:type="gramStart"/>
            <w:r>
              <w:rPr>
                <w:rFonts w:ascii="仿宋_GB2312" w:eastAsia="仿宋_GB2312" w:hAnsi="仿宋_GB2312" w:cs="仿宋_GB2312" w:hint="eastAsia"/>
                <w:color w:val="000000"/>
                <w:kern w:val="0"/>
                <w:sz w:val="24"/>
                <w:szCs w:val="24"/>
              </w:rPr>
              <w:t>多网数据</w:t>
            </w:r>
            <w:proofErr w:type="gramEnd"/>
            <w:r>
              <w:rPr>
                <w:rFonts w:ascii="仿宋_GB2312" w:eastAsia="仿宋_GB2312" w:hAnsi="仿宋_GB2312" w:cs="仿宋_GB2312" w:hint="eastAsia"/>
                <w:color w:val="000000"/>
                <w:kern w:val="0"/>
                <w:sz w:val="24"/>
                <w:szCs w:val="24"/>
              </w:rPr>
              <w:t>互通及业务接口联通，实现“政务办事+城市治理+领导调度”</w:t>
            </w:r>
            <w:proofErr w:type="gramStart"/>
            <w:r>
              <w:rPr>
                <w:rFonts w:ascii="仿宋_GB2312" w:eastAsia="仿宋_GB2312" w:hAnsi="仿宋_GB2312" w:cs="仿宋_GB2312" w:hint="eastAsia"/>
                <w:color w:val="000000"/>
                <w:kern w:val="0"/>
                <w:sz w:val="24"/>
                <w:szCs w:val="24"/>
              </w:rPr>
              <w:t>等多网融合</w:t>
            </w:r>
            <w:proofErr w:type="gramEnd"/>
            <w:r>
              <w:rPr>
                <w:rFonts w:ascii="仿宋_GB2312" w:eastAsia="仿宋_GB2312" w:hAnsi="仿宋_GB2312" w:cs="仿宋_GB2312" w:hint="eastAsia"/>
                <w:color w:val="000000"/>
                <w:kern w:val="0"/>
                <w:sz w:val="24"/>
                <w:szCs w:val="24"/>
              </w:rPr>
              <w:t>（一网通办、一网统管、一网慧治）和协同联动机制，实现基于“三京”的多端融合应用。</w:t>
            </w:r>
          </w:p>
        </w:tc>
        <w:tc>
          <w:tcPr>
            <w:tcW w:w="1296" w:type="dxa"/>
            <w:vAlign w:val="center"/>
          </w:tcPr>
          <w:p w14:paraId="60AE782A" w14:textId="77777777" w:rsidR="00C611D5" w:rsidRDefault="00000000">
            <w:pPr>
              <w:widowControl/>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北京经济技术开发区</w:t>
            </w:r>
          </w:p>
          <w:p w14:paraId="2044CDA9" w14:textId="77777777" w:rsidR="00C611D5" w:rsidRDefault="00000000">
            <w:pPr>
              <w:widowControl/>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rPr>
              <w:t>荣华街道</w:t>
            </w:r>
          </w:p>
        </w:tc>
        <w:tc>
          <w:tcPr>
            <w:tcW w:w="1171" w:type="dxa"/>
            <w:vAlign w:val="center"/>
          </w:tcPr>
          <w:p w14:paraId="0A927D2D" w14:textId="77777777" w:rsidR="00C611D5" w:rsidRDefault="00000000">
            <w:pPr>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罗珺</w:t>
            </w:r>
          </w:p>
        </w:tc>
        <w:tc>
          <w:tcPr>
            <w:tcW w:w="1265" w:type="dxa"/>
            <w:vAlign w:val="center"/>
          </w:tcPr>
          <w:p w14:paraId="30D8E457" w14:textId="77777777" w:rsidR="00C611D5" w:rsidRDefault="00000000">
            <w:pPr>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67880397</w:t>
            </w:r>
          </w:p>
        </w:tc>
        <w:tc>
          <w:tcPr>
            <w:tcW w:w="2123" w:type="dxa"/>
            <w:vAlign w:val="center"/>
          </w:tcPr>
          <w:p w14:paraId="0BBCB1E7" w14:textId="77777777" w:rsidR="00C611D5" w:rsidRDefault="00000000">
            <w:pPr>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luojun@bda.gov.cn</w:t>
            </w:r>
          </w:p>
        </w:tc>
      </w:tr>
      <w:tr w:rsidR="00C611D5" w14:paraId="64040423" w14:textId="77777777">
        <w:trPr>
          <w:trHeight w:val="600"/>
        </w:trPr>
        <w:tc>
          <w:tcPr>
            <w:tcW w:w="780" w:type="dxa"/>
            <w:vAlign w:val="center"/>
          </w:tcPr>
          <w:p w14:paraId="1823237A"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36</w:t>
            </w:r>
          </w:p>
        </w:tc>
        <w:tc>
          <w:tcPr>
            <w:tcW w:w="1342" w:type="dxa"/>
            <w:vAlign w:val="center"/>
          </w:tcPr>
          <w:p w14:paraId="1714B1D3" w14:textId="77777777" w:rsidR="00C611D5" w:rsidRDefault="00000000">
            <w:pPr>
              <w:widowControl/>
              <w:jc w:val="center"/>
              <w:rPr>
                <w:rFonts w:ascii="仿宋_GB2312" w:eastAsia="仿宋_GB2312" w:hAnsi="仿宋_GB2312" w:cs="仿宋_GB2312"/>
                <w:bCs/>
                <w:color w:val="000000"/>
                <w:kern w:val="0"/>
                <w:sz w:val="24"/>
                <w:szCs w:val="24"/>
              </w:rPr>
            </w:pPr>
            <w:r>
              <w:rPr>
                <w:rFonts w:ascii="仿宋_GB2312" w:eastAsia="仿宋_GB2312" w:hAnsi="仿宋_GB2312" w:cs="仿宋_GB2312" w:hint="eastAsia"/>
                <w:color w:val="000000"/>
                <w:kern w:val="0"/>
                <w:sz w:val="24"/>
                <w:szCs w:val="24"/>
              </w:rPr>
              <w:t>智慧养老健康监测场景</w:t>
            </w:r>
          </w:p>
        </w:tc>
        <w:tc>
          <w:tcPr>
            <w:tcW w:w="5931" w:type="dxa"/>
            <w:vAlign w:val="center"/>
          </w:tcPr>
          <w:p w14:paraId="0FF6AF77" w14:textId="77777777" w:rsidR="00C611D5" w:rsidRDefault="00000000">
            <w:pPr>
              <w:widowControl/>
              <w:spacing w:line="400" w:lineRule="exact"/>
              <w:jc w:val="left"/>
              <w:rPr>
                <w:rFonts w:ascii="仿宋_GB2312" w:eastAsia="仿宋_GB2312" w:hAnsi="仿宋_GB2312" w:cs="仿宋_GB2312"/>
                <w:bCs/>
                <w:kern w:val="0"/>
                <w:sz w:val="24"/>
                <w:szCs w:val="24"/>
              </w:rPr>
            </w:pPr>
            <w:r>
              <w:rPr>
                <w:rFonts w:ascii="仿宋_GB2312" w:eastAsia="仿宋_GB2312" w:hAnsi="仿宋_GB2312" w:cs="仿宋_GB2312" w:hint="eastAsia"/>
                <w:kern w:val="0"/>
                <w:sz w:val="24"/>
                <w:szCs w:val="24"/>
              </w:rPr>
              <w:t>以街道养老驿站为试点，构建智慧养老健康监测场景，通过整合水电气热数据、视频、</w:t>
            </w:r>
            <w:proofErr w:type="gramStart"/>
            <w:r>
              <w:rPr>
                <w:rFonts w:ascii="仿宋_GB2312" w:eastAsia="仿宋_GB2312" w:hAnsi="仿宋_GB2312" w:cs="仿宋_GB2312" w:hint="eastAsia"/>
                <w:kern w:val="0"/>
                <w:sz w:val="24"/>
                <w:szCs w:val="24"/>
              </w:rPr>
              <w:t>穿戴物联设备</w:t>
            </w:r>
            <w:proofErr w:type="gramEnd"/>
            <w:r>
              <w:rPr>
                <w:rFonts w:ascii="仿宋_GB2312" w:eastAsia="仿宋_GB2312" w:hAnsi="仿宋_GB2312" w:cs="仿宋_GB2312" w:hint="eastAsia"/>
                <w:kern w:val="0"/>
                <w:sz w:val="24"/>
                <w:szCs w:val="24"/>
              </w:rPr>
              <w:t>，开展健康小屋监测、卧床失能老人可穿戴设备监测、老人防跌倒视频自动监测、独居老人的水电气热监测等场景建设，实时监测了解老人情况，通过算法发现老年人异常行为，实现自动报警，上报给社区及帮扶人员，快速应答老年人需求，紧急处理突发事件，实现多方需求闭环响应，赋能居家养老、社区养老、机构养老等多种养老模式，有效提升对老人、养老服务机构、服务人员等的支撑能力，促进具有经开</w:t>
            </w:r>
            <w:proofErr w:type="gramStart"/>
            <w:r>
              <w:rPr>
                <w:rFonts w:ascii="仿宋_GB2312" w:eastAsia="仿宋_GB2312" w:hAnsi="仿宋_GB2312" w:cs="仿宋_GB2312" w:hint="eastAsia"/>
                <w:kern w:val="0"/>
                <w:sz w:val="24"/>
                <w:szCs w:val="24"/>
              </w:rPr>
              <w:t>区特色</w:t>
            </w:r>
            <w:proofErr w:type="gramEnd"/>
            <w:r>
              <w:rPr>
                <w:rFonts w:ascii="仿宋_GB2312" w:eastAsia="仿宋_GB2312" w:hAnsi="仿宋_GB2312" w:cs="仿宋_GB2312" w:hint="eastAsia"/>
                <w:kern w:val="0"/>
                <w:sz w:val="24"/>
                <w:szCs w:val="24"/>
              </w:rPr>
              <w:t>的为老服务体系建立健全，提升辖区老年人幸福感安全感获得感。</w:t>
            </w:r>
          </w:p>
        </w:tc>
        <w:tc>
          <w:tcPr>
            <w:tcW w:w="1296" w:type="dxa"/>
            <w:vAlign w:val="center"/>
          </w:tcPr>
          <w:p w14:paraId="05B62A79" w14:textId="77777777" w:rsidR="00C611D5" w:rsidRDefault="00000000">
            <w:pPr>
              <w:widowControl/>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北京经济技术开发区</w:t>
            </w:r>
          </w:p>
          <w:p w14:paraId="388806F3" w14:textId="77777777" w:rsidR="00C611D5" w:rsidRDefault="00000000">
            <w:pPr>
              <w:widowControl/>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rPr>
              <w:t>荣华街道</w:t>
            </w:r>
          </w:p>
        </w:tc>
        <w:tc>
          <w:tcPr>
            <w:tcW w:w="1171" w:type="dxa"/>
            <w:vAlign w:val="center"/>
          </w:tcPr>
          <w:p w14:paraId="557F6B72" w14:textId="77777777" w:rsidR="00C611D5" w:rsidRDefault="00000000">
            <w:pPr>
              <w:widowControl/>
              <w:jc w:val="center"/>
              <w:rPr>
                <w:rFonts w:ascii="仿宋_GB2312" w:eastAsia="仿宋_GB2312" w:hAnsi="仿宋_GB2312" w:cs="仿宋_GB2312"/>
                <w:color w:val="000000"/>
                <w:sz w:val="24"/>
                <w:szCs w:val="24"/>
              </w:rPr>
            </w:pPr>
            <w:r>
              <w:rPr>
                <w:rFonts w:ascii="仿宋_GB2312" w:eastAsia="仿宋_GB2312" w:hAnsi="仿宋_GB2312" w:cs="仿宋_GB2312" w:hint="eastAsia"/>
                <w:kern w:val="0"/>
                <w:sz w:val="24"/>
                <w:szCs w:val="24"/>
              </w:rPr>
              <w:t>张莉</w:t>
            </w:r>
          </w:p>
        </w:tc>
        <w:tc>
          <w:tcPr>
            <w:tcW w:w="1265" w:type="dxa"/>
            <w:vAlign w:val="center"/>
          </w:tcPr>
          <w:p w14:paraId="1449E615" w14:textId="77777777" w:rsidR="00C611D5" w:rsidRDefault="00000000">
            <w:pPr>
              <w:jc w:val="center"/>
              <w:rPr>
                <w:rFonts w:ascii="仿宋_GB2312" w:eastAsia="仿宋_GB2312" w:hAnsi="仿宋_GB2312" w:cs="仿宋_GB2312"/>
                <w:color w:val="000000"/>
                <w:sz w:val="24"/>
                <w:szCs w:val="24"/>
              </w:rPr>
            </w:pPr>
            <w:r>
              <w:rPr>
                <w:rFonts w:ascii="仿宋_GB2312" w:eastAsia="仿宋_GB2312" w:hAnsi="仿宋_GB2312" w:cs="仿宋_GB2312" w:hint="eastAsia"/>
                <w:kern w:val="0"/>
                <w:sz w:val="24"/>
                <w:szCs w:val="24"/>
              </w:rPr>
              <w:t>67837709</w:t>
            </w:r>
          </w:p>
        </w:tc>
        <w:tc>
          <w:tcPr>
            <w:tcW w:w="2123" w:type="dxa"/>
            <w:vAlign w:val="center"/>
          </w:tcPr>
          <w:p w14:paraId="720C7C28" w14:textId="77777777" w:rsidR="00C611D5" w:rsidRDefault="00000000">
            <w:pPr>
              <w:jc w:val="center"/>
              <w:rPr>
                <w:rFonts w:ascii="仿宋_GB2312" w:eastAsia="仿宋_GB2312" w:hAnsi="仿宋_GB2312" w:cs="仿宋_GB2312"/>
                <w:color w:val="000000"/>
                <w:sz w:val="24"/>
                <w:szCs w:val="24"/>
              </w:rPr>
            </w:pPr>
            <w:r>
              <w:rPr>
                <w:rFonts w:ascii="仿宋_GB2312" w:eastAsia="仿宋_GB2312" w:hAnsi="仿宋_GB2312" w:cs="仿宋_GB2312" w:hint="eastAsia"/>
                <w:kern w:val="0"/>
                <w:sz w:val="24"/>
                <w:szCs w:val="24"/>
              </w:rPr>
              <w:t>rhjdjmswk@bjdx.gov.cn</w:t>
            </w:r>
          </w:p>
        </w:tc>
      </w:tr>
      <w:tr w:rsidR="00C611D5" w14:paraId="2CF5111F" w14:textId="77777777">
        <w:trPr>
          <w:trHeight w:val="600"/>
        </w:trPr>
        <w:tc>
          <w:tcPr>
            <w:tcW w:w="780" w:type="dxa"/>
            <w:vAlign w:val="center"/>
          </w:tcPr>
          <w:p w14:paraId="091FAB6E"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37</w:t>
            </w:r>
          </w:p>
        </w:tc>
        <w:tc>
          <w:tcPr>
            <w:tcW w:w="1342" w:type="dxa"/>
            <w:vAlign w:val="center"/>
          </w:tcPr>
          <w:p w14:paraId="1F003FFA" w14:textId="77777777" w:rsidR="00C611D5" w:rsidRDefault="00000000">
            <w:pPr>
              <w:widowControl/>
              <w:jc w:val="center"/>
              <w:rPr>
                <w:rFonts w:ascii="仿宋_GB2312" w:eastAsia="仿宋_GB2312" w:hAnsi="仿宋_GB2312" w:cs="仿宋_GB2312"/>
                <w:bCs/>
                <w:color w:val="000000"/>
                <w:kern w:val="0"/>
                <w:sz w:val="24"/>
                <w:szCs w:val="24"/>
              </w:rPr>
            </w:pPr>
            <w:r>
              <w:rPr>
                <w:rFonts w:ascii="仿宋_GB2312" w:eastAsia="仿宋_GB2312" w:hAnsi="仿宋_GB2312" w:cs="仿宋_GB2312" w:hint="eastAsia"/>
                <w:color w:val="000000"/>
                <w:kern w:val="0"/>
                <w:sz w:val="24"/>
                <w:szCs w:val="24"/>
              </w:rPr>
              <w:t>“门前三包”一码通用场景</w:t>
            </w:r>
          </w:p>
        </w:tc>
        <w:tc>
          <w:tcPr>
            <w:tcW w:w="5931" w:type="dxa"/>
            <w:vAlign w:val="center"/>
          </w:tcPr>
          <w:p w14:paraId="67A32951" w14:textId="77777777" w:rsidR="00C611D5" w:rsidRDefault="00000000">
            <w:pPr>
              <w:widowControl/>
              <w:spacing w:line="400" w:lineRule="exact"/>
              <w:jc w:val="left"/>
              <w:rPr>
                <w:rFonts w:ascii="仿宋_GB2312" w:eastAsia="仿宋_GB2312" w:hAnsi="仿宋_GB2312" w:cs="仿宋_GB2312"/>
                <w:bCs/>
                <w:color w:val="000000"/>
                <w:kern w:val="0"/>
                <w:sz w:val="24"/>
                <w:szCs w:val="24"/>
              </w:rPr>
            </w:pPr>
            <w:r>
              <w:rPr>
                <w:rFonts w:ascii="仿宋_GB2312" w:eastAsia="仿宋_GB2312" w:hAnsi="仿宋_GB2312" w:cs="仿宋_GB2312" w:hint="eastAsia"/>
                <w:kern w:val="0"/>
                <w:sz w:val="24"/>
                <w:szCs w:val="24"/>
              </w:rPr>
              <w:t>利用二维码、</w:t>
            </w:r>
            <w:proofErr w:type="gramStart"/>
            <w:r>
              <w:rPr>
                <w:rFonts w:ascii="仿宋_GB2312" w:eastAsia="仿宋_GB2312" w:hAnsi="仿宋_GB2312" w:cs="仿宋_GB2312" w:hint="eastAsia"/>
                <w:kern w:val="0"/>
                <w:sz w:val="24"/>
                <w:szCs w:val="24"/>
              </w:rPr>
              <w:t>物联感知</w:t>
            </w:r>
            <w:proofErr w:type="gramEnd"/>
            <w:r>
              <w:rPr>
                <w:rFonts w:ascii="仿宋_GB2312" w:eastAsia="仿宋_GB2312" w:hAnsi="仿宋_GB2312" w:cs="仿宋_GB2312" w:hint="eastAsia"/>
                <w:kern w:val="0"/>
                <w:sz w:val="24"/>
                <w:szCs w:val="24"/>
              </w:rPr>
              <w:t>、感知等多种技术，开展荣华街道辖区内商户“门前三包”</w:t>
            </w:r>
            <w:r>
              <w:rPr>
                <w:rFonts w:ascii="仿宋_GB2312" w:eastAsia="仿宋_GB2312" w:hAnsi="仿宋_GB2312" w:cs="仿宋_GB2312" w:hint="eastAsia"/>
                <w:color w:val="000000"/>
                <w:kern w:val="0"/>
                <w:sz w:val="24"/>
                <w:szCs w:val="24"/>
              </w:rPr>
              <w:t>一码通用场景建设</w:t>
            </w:r>
            <w:r>
              <w:rPr>
                <w:rFonts w:ascii="仿宋_GB2312" w:eastAsia="仿宋_GB2312" w:hAnsi="仿宋_GB2312" w:cs="仿宋_GB2312" w:hint="eastAsia"/>
                <w:kern w:val="0"/>
                <w:sz w:val="24"/>
                <w:szCs w:val="24"/>
              </w:rPr>
              <w:t>，建立辖区商户“一户一码”，打破传统纸质监管方式，实现信息查看、业务办理、咨询投诉等多</w:t>
            </w:r>
            <w:proofErr w:type="gramStart"/>
            <w:r>
              <w:rPr>
                <w:rFonts w:ascii="仿宋_GB2312" w:eastAsia="仿宋_GB2312" w:hAnsi="仿宋_GB2312" w:cs="仿宋_GB2312" w:hint="eastAsia"/>
                <w:kern w:val="0"/>
                <w:sz w:val="24"/>
                <w:szCs w:val="24"/>
              </w:rPr>
              <w:t>场景扫码应用</w:t>
            </w:r>
            <w:proofErr w:type="gramEnd"/>
            <w:r>
              <w:rPr>
                <w:rFonts w:ascii="仿宋_GB2312" w:eastAsia="仿宋_GB2312" w:hAnsi="仿宋_GB2312" w:cs="仿宋_GB2312" w:hint="eastAsia"/>
                <w:kern w:val="0"/>
                <w:sz w:val="24"/>
                <w:szCs w:val="24"/>
              </w:rPr>
              <w:t>：一是方便商户录入个人信息、营业执照、责任书等；二是落实门前三包责任制，拓宽群众举报、投诉建议的途径，密切群众与街道联系；三是检查人员</w:t>
            </w:r>
            <w:proofErr w:type="gramStart"/>
            <w:r>
              <w:rPr>
                <w:rFonts w:ascii="仿宋_GB2312" w:eastAsia="仿宋_GB2312" w:hAnsi="仿宋_GB2312" w:cs="仿宋_GB2312" w:hint="eastAsia"/>
                <w:kern w:val="0"/>
                <w:sz w:val="24"/>
                <w:szCs w:val="24"/>
              </w:rPr>
              <w:t>扫码发现</w:t>
            </w:r>
            <w:proofErr w:type="gramEnd"/>
            <w:r>
              <w:rPr>
                <w:rFonts w:ascii="仿宋_GB2312" w:eastAsia="仿宋_GB2312" w:hAnsi="仿宋_GB2312" w:cs="仿宋_GB2312" w:hint="eastAsia"/>
                <w:kern w:val="0"/>
                <w:sz w:val="24"/>
                <w:szCs w:val="24"/>
              </w:rPr>
              <w:t>问题，并进行上报，同时通知相关商户进行整改。通过以技术手段代替传统的纸质手段，打造门前三包特色示范区域，形成荣华街道独特的门前三包环境治理体系。</w:t>
            </w:r>
          </w:p>
        </w:tc>
        <w:tc>
          <w:tcPr>
            <w:tcW w:w="1296" w:type="dxa"/>
            <w:vAlign w:val="center"/>
          </w:tcPr>
          <w:p w14:paraId="7974FDE9" w14:textId="77777777" w:rsidR="00C611D5" w:rsidRDefault="00000000">
            <w:pPr>
              <w:widowControl/>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北京经济技术开发区</w:t>
            </w:r>
          </w:p>
          <w:p w14:paraId="183DCCA8" w14:textId="77777777" w:rsidR="00C611D5" w:rsidRDefault="00000000">
            <w:pPr>
              <w:widowControl/>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rPr>
              <w:t>行政</w:t>
            </w:r>
            <w:proofErr w:type="gramStart"/>
            <w:r>
              <w:rPr>
                <w:rFonts w:ascii="仿宋_GB2312" w:eastAsia="仿宋_GB2312" w:hAnsi="仿宋_GB2312" w:cs="仿宋_GB2312" w:hint="eastAsia"/>
                <w:color w:val="000000"/>
                <w:kern w:val="0"/>
                <w:sz w:val="24"/>
                <w:szCs w:val="24"/>
              </w:rPr>
              <w:t>审批局</w:t>
            </w:r>
            <w:proofErr w:type="gramEnd"/>
          </w:p>
        </w:tc>
        <w:tc>
          <w:tcPr>
            <w:tcW w:w="1171" w:type="dxa"/>
            <w:vAlign w:val="center"/>
          </w:tcPr>
          <w:p w14:paraId="15E109FF" w14:textId="77777777" w:rsidR="00C611D5" w:rsidRDefault="00000000">
            <w:pPr>
              <w:widowControl/>
              <w:jc w:val="center"/>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刘响</w:t>
            </w:r>
          </w:p>
          <w:p w14:paraId="7549419E" w14:textId="77777777" w:rsidR="00C611D5" w:rsidRDefault="00000000">
            <w:pPr>
              <w:widowControl/>
              <w:jc w:val="center"/>
              <w:rPr>
                <w:rFonts w:ascii="仿宋_GB2312" w:eastAsia="仿宋_GB2312" w:hAnsi="仿宋_GB2312" w:cs="仿宋_GB2312"/>
                <w:color w:val="000000"/>
                <w:sz w:val="24"/>
                <w:szCs w:val="24"/>
              </w:rPr>
            </w:pPr>
            <w:proofErr w:type="gramStart"/>
            <w:r>
              <w:rPr>
                <w:rFonts w:ascii="仿宋_GB2312" w:eastAsia="仿宋_GB2312" w:hAnsi="仿宋_GB2312" w:cs="仿宋_GB2312" w:hint="eastAsia"/>
                <w:kern w:val="0"/>
                <w:sz w:val="24"/>
                <w:szCs w:val="24"/>
              </w:rPr>
              <w:t>刘召</w:t>
            </w:r>
            <w:proofErr w:type="gramEnd"/>
          </w:p>
        </w:tc>
        <w:tc>
          <w:tcPr>
            <w:tcW w:w="1265" w:type="dxa"/>
            <w:vAlign w:val="center"/>
          </w:tcPr>
          <w:p w14:paraId="16673D44" w14:textId="77777777" w:rsidR="00C611D5" w:rsidRDefault="00000000">
            <w:pPr>
              <w:widowControl/>
              <w:jc w:val="center"/>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13701160031</w:t>
            </w:r>
            <w:r>
              <w:rPr>
                <w:rFonts w:ascii="仿宋_GB2312" w:eastAsia="仿宋_GB2312" w:hAnsi="仿宋_GB2312" w:cs="仿宋_GB2312" w:hint="eastAsia"/>
                <w:kern w:val="0"/>
                <w:sz w:val="24"/>
                <w:szCs w:val="24"/>
              </w:rPr>
              <w:br/>
              <w:t>15910677037</w:t>
            </w:r>
          </w:p>
        </w:tc>
        <w:tc>
          <w:tcPr>
            <w:tcW w:w="2123" w:type="dxa"/>
            <w:vAlign w:val="center"/>
          </w:tcPr>
          <w:p w14:paraId="11A61EB7" w14:textId="77777777" w:rsidR="00C611D5" w:rsidRDefault="00000000">
            <w:pPr>
              <w:jc w:val="center"/>
              <w:rPr>
                <w:rFonts w:ascii="仿宋_GB2312" w:eastAsia="仿宋_GB2312" w:hAnsi="仿宋_GB2312" w:cs="仿宋_GB2312"/>
                <w:color w:val="000000"/>
                <w:sz w:val="24"/>
                <w:szCs w:val="24"/>
              </w:rPr>
            </w:pPr>
            <w:r>
              <w:rPr>
                <w:rFonts w:ascii="仿宋_GB2312" w:eastAsia="仿宋_GB2312" w:hAnsi="仿宋_GB2312" w:cs="仿宋_GB2312" w:hint="eastAsia"/>
                <w:kern w:val="0"/>
                <w:sz w:val="24"/>
                <w:szCs w:val="24"/>
              </w:rPr>
              <w:t>1358945525@qq.com</w:t>
            </w:r>
          </w:p>
        </w:tc>
      </w:tr>
      <w:tr w:rsidR="00C611D5" w14:paraId="14D422A0" w14:textId="77777777">
        <w:trPr>
          <w:trHeight w:val="600"/>
        </w:trPr>
        <w:tc>
          <w:tcPr>
            <w:tcW w:w="780" w:type="dxa"/>
            <w:vAlign w:val="center"/>
          </w:tcPr>
          <w:p w14:paraId="509EA668"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38</w:t>
            </w:r>
          </w:p>
        </w:tc>
        <w:tc>
          <w:tcPr>
            <w:tcW w:w="1342" w:type="dxa"/>
            <w:vAlign w:val="center"/>
          </w:tcPr>
          <w:p w14:paraId="7162BCF1" w14:textId="77777777" w:rsidR="00C611D5" w:rsidRDefault="00000000">
            <w:pPr>
              <w:widowControl/>
              <w:jc w:val="center"/>
              <w:rPr>
                <w:rFonts w:ascii="仿宋_GB2312" w:eastAsia="仿宋_GB2312" w:hAnsi="仿宋_GB2312" w:cs="仿宋_GB2312"/>
                <w:bCs/>
                <w:color w:val="000000"/>
                <w:kern w:val="0"/>
                <w:sz w:val="24"/>
                <w:szCs w:val="24"/>
              </w:rPr>
            </w:pPr>
            <w:r>
              <w:rPr>
                <w:rFonts w:ascii="仿宋_GB2312" w:eastAsia="仿宋_GB2312" w:hAnsi="仿宋_GB2312" w:cs="仿宋_GB2312" w:hint="eastAsia"/>
                <w:color w:val="000000"/>
                <w:kern w:val="0"/>
                <w:sz w:val="24"/>
                <w:szCs w:val="24"/>
              </w:rPr>
              <w:t>基于身份链平台的民生服务应用场景建设</w:t>
            </w:r>
          </w:p>
        </w:tc>
        <w:tc>
          <w:tcPr>
            <w:tcW w:w="5931" w:type="dxa"/>
            <w:vAlign w:val="center"/>
          </w:tcPr>
          <w:p w14:paraId="73F76F98" w14:textId="77777777" w:rsidR="00C611D5" w:rsidRDefault="00000000">
            <w:pPr>
              <w:widowControl/>
              <w:spacing w:line="400" w:lineRule="exact"/>
              <w:jc w:val="left"/>
              <w:rPr>
                <w:rFonts w:ascii="仿宋_GB2312" w:eastAsia="仿宋_GB2312" w:hAnsi="仿宋_GB2312" w:cs="仿宋_GB2312"/>
                <w:bCs/>
                <w:color w:val="000000"/>
                <w:kern w:val="0"/>
                <w:sz w:val="24"/>
                <w:szCs w:val="24"/>
              </w:rPr>
            </w:pPr>
            <w:r>
              <w:rPr>
                <w:rFonts w:ascii="仿宋_GB2312" w:eastAsia="仿宋_GB2312" w:hAnsi="仿宋_GB2312" w:cs="仿宋_GB2312" w:hint="eastAsia"/>
                <w:color w:val="000000"/>
                <w:kern w:val="0"/>
                <w:sz w:val="24"/>
                <w:szCs w:val="24"/>
              </w:rPr>
              <w:t>面向应用系统中自然人身份管理体系不统一，自然人隐私数据安全体系不健全，自然人全生命周期管理和服务体系未形成，身份核验机制缺乏统筹等痛点问题，利用区块链、隐私计算等技术，汇聚自然人全生命周期过程中产生的数据，探索建立经开区统一自然人数字身份体系，在经开区范围内开展机关人员一网通行、个人服务“无证办”等示范应用场景建设及验证，改变原先在各类应用系统中分散式的身份认证和授权管理，实现"一次登录，精准识别、全区通行"的便民服务场景建设，形成无证办事的长效机制，增强社会群众在一系列“无证明”办事过程中的体验感。</w:t>
            </w:r>
          </w:p>
        </w:tc>
        <w:tc>
          <w:tcPr>
            <w:tcW w:w="1296" w:type="dxa"/>
            <w:vAlign w:val="center"/>
          </w:tcPr>
          <w:p w14:paraId="768118C5" w14:textId="77777777" w:rsidR="00C611D5" w:rsidRDefault="00000000">
            <w:pPr>
              <w:widowControl/>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北京经济技术开发区</w:t>
            </w:r>
          </w:p>
          <w:p w14:paraId="51A035D3" w14:textId="77777777" w:rsidR="00C611D5" w:rsidRDefault="00000000">
            <w:pPr>
              <w:widowControl/>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rPr>
              <w:t>行政</w:t>
            </w:r>
            <w:proofErr w:type="gramStart"/>
            <w:r>
              <w:rPr>
                <w:rFonts w:ascii="仿宋_GB2312" w:eastAsia="仿宋_GB2312" w:hAnsi="仿宋_GB2312" w:cs="仿宋_GB2312" w:hint="eastAsia"/>
                <w:color w:val="000000"/>
                <w:kern w:val="0"/>
                <w:sz w:val="24"/>
                <w:szCs w:val="24"/>
              </w:rPr>
              <w:t>审批局</w:t>
            </w:r>
            <w:proofErr w:type="gramEnd"/>
          </w:p>
        </w:tc>
        <w:tc>
          <w:tcPr>
            <w:tcW w:w="1171" w:type="dxa"/>
            <w:vAlign w:val="center"/>
          </w:tcPr>
          <w:p w14:paraId="0A3DCE06" w14:textId="77777777" w:rsidR="00C611D5" w:rsidRDefault="0000000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罗珺</w:t>
            </w:r>
          </w:p>
        </w:tc>
        <w:tc>
          <w:tcPr>
            <w:tcW w:w="1265" w:type="dxa"/>
            <w:vAlign w:val="center"/>
          </w:tcPr>
          <w:p w14:paraId="00158504" w14:textId="77777777" w:rsidR="00C611D5" w:rsidRDefault="00000000">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67880397</w:t>
            </w:r>
          </w:p>
        </w:tc>
        <w:tc>
          <w:tcPr>
            <w:tcW w:w="2123" w:type="dxa"/>
            <w:vAlign w:val="center"/>
          </w:tcPr>
          <w:p w14:paraId="549C8CD8" w14:textId="77777777" w:rsidR="00C611D5" w:rsidRDefault="00000000">
            <w:pPr>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luojun@bda.gov.cn</w:t>
            </w:r>
          </w:p>
        </w:tc>
      </w:tr>
    </w:tbl>
    <w:p w14:paraId="2941014F" w14:textId="77777777" w:rsidR="00C611D5" w:rsidRDefault="00C611D5">
      <w:pPr>
        <w:pStyle w:val="a3"/>
        <w:spacing w:after="0" w:line="560" w:lineRule="exact"/>
        <w:ind w:firstLineChars="200" w:firstLine="640"/>
        <w:rPr>
          <w:rFonts w:ascii="仿宋_GB2312" w:eastAsia="仿宋_GB2312" w:hAnsi="仿宋_GB2312" w:cs="仿宋_GB2312"/>
          <w:sz w:val="32"/>
          <w:szCs w:val="32"/>
        </w:rPr>
      </w:pPr>
    </w:p>
    <w:p w14:paraId="3DDBFB7B" w14:textId="77777777" w:rsidR="00C611D5" w:rsidRDefault="00C611D5">
      <w:pPr>
        <w:widowControl/>
        <w:jc w:val="left"/>
        <w:rPr>
          <w:rFonts w:ascii="黑体" w:eastAsia="黑体" w:hAnsi="黑体" w:cs="黑体"/>
          <w:sz w:val="32"/>
          <w:szCs w:val="32"/>
        </w:rPr>
        <w:sectPr w:rsidR="00C611D5">
          <w:pgSz w:w="16838" w:h="11905" w:orient="landscape"/>
          <w:pgMar w:top="1803" w:right="1440" w:bottom="1803" w:left="1440" w:header="851" w:footer="992" w:gutter="0"/>
          <w:cols w:space="720"/>
          <w:docGrid w:type="lines" w:linePitch="325"/>
        </w:sectPr>
      </w:pPr>
    </w:p>
    <w:p w14:paraId="3B4B77F9" w14:textId="77777777" w:rsidR="00C611D5" w:rsidRDefault="00C611D5"/>
    <w:sectPr w:rsidR="00C611D5">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黑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3F9E4732"/>
    <w:rsid w:val="EE5FC6C5"/>
    <w:rsid w:val="00AD08B8"/>
    <w:rsid w:val="00C611D5"/>
    <w:rsid w:val="0C9346B6"/>
    <w:rsid w:val="3F9E47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F3CE6D"/>
  <w15:docId w15:val="{AA08D5BE-1765-4D45-991A-AB69AF5D2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9" w:qFormat="1"/>
    <w:lsdException w:name="caption" w:semiHidden="1" w:unhideWhenUsed="1" w:qFormat="1"/>
    <w:lsdException w:name="Title" w:qFormat="1"/>
    <w:lsdException w:name="Default Paragraph Font" w:semiHidden="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9"/>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9">
    <w:name w:val="index 9"/>
    <w:basedOn w:val="a"/>
    <w:next w:val="a"/>
    <w:qFormat/>
    <w:pPr>
      <w:ind w:leftChars="1600" w:left="1600"/>
    </w:pPr>
  </w:style>
  <w:style w:type="paragraph" w:styleId="a3">
    <w:name w:val="Body Text"/>
    <w:basedOn w:val="a"/>
    <w:next w:val="a"/>
    <w:qFormat/>
    <w:pPr>
      <w:spacing w:after="120"/>
    </w:pPr>
    <w:rPr>
      <w:rFonts w:ascii="Times New Roman" w:hAnsi="Times New Roman"/>
    </w:rPr>
  </w:style>
  <w:style w:type="table" w:styleId="a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样式1"/>
    <w:basedOn w:val="a"/>
    <w:qFormat/>
    <w:pPr>
      <w:adjustRightInd w:val="0"/>
      <w:snapToGrid w:val="0"/>
      <w:spacing w:beforeLines="50"/>
      <w:jc w:val="left"/>
    </w:pPr>
    <w:rPr>
      <w:rFonts w:ascii="宋体" w:hAnsi="宋体"/>
      <w:snapToGrid w:val="0"/>
      <w:kern w:val="0"/>
      <w:szCs w:val="30"/>
    </w:rPr>
  </w:style>
  <w:style w:type="paragraph" w:customStyle="1" w:styleId="11">
    <w:name w:val="目录 11"/>
    <w:next w:val="a"/>
    <w:qFormat/>
    <w:pPr>
      <w:wordWrap w:val="0"/>
      <w:jc w:val="both"/>
    </w:pPr>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1410</Words>
  <Characters>8040</Characters>
  <Application>Microsoft Office Word</Application>
  <DocSecurity>0</DocSecurity>
  <Lines>67</Lines>
  <Paragraphs>18</Paragraphs>
  <ScaleCrop>false</ScaleCrop>
  <Company/>
  <LinksUpToDate>false</LinksUpToDate>
  <CharactersWithSpaces>9432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安泰来</dc:creator>
  <cp:lastModifiedBy>数字菁英网;数字理政;首席数据官GovCDO;DigitalElite.CN;DTGOV;智绘九州</cp:lastModifiedBy>
  <cp:revision>2</cp:revision>
  <dcterms:created xsi:type="dcterms:W3CDTF">2023-11-07T14:24:00Z</dcterms:created>
  <dcterms:modified xsi:type="dcterms:W3CDTF">2023-11-07T14:24:00Z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