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680CC" w14:textId="77777777" w:rsidR="000829EF" w:rsidRDefault="00000000">
      <w:pPr>
        <w:pStyle w:val="affffffc"/>
        <w:framePr w:wrap="around"/>
        <w:rPr>
          <w:rFonts w:ascii="Times New Roman"/>
        </w:rPr>
      </w:pPr>
      <w:r>
        <w:rPr>
          <w:rFonts w:ascii="Times New Roman"/>
        </w:rPr>
        <w:t>ICS </w:t>
      </w:r>
      <w:r>
        <w:rPr>
          <w:rFonts w:ascii="Times New Roman"/>
        </w:rPr>
        <w:fldChar w:fldCharType="begin">
          <w:ffData>
            <w:name w:val="ICS"/>
            <w:enabled/>
            <w:calcOnExit w:val="0"/>
            <w:helpText w:type="text" w:val="请输入正确的ICS号："/>
            <w:textInput>
              <w:default w:val="点击此处添加ICS号"/>
            </w:textInput>
          </w:ffData>
        </w:fldChar>
      </w:r>
      <w:bookmarkStart w:id="0" w:name="ICS"/>
      <w:r>
        <w:rPr>
          <w:rFonts w:ascii="Times New Roman"/>
        </w:rPr>
        <w:instrText xml:space="preserve"> FORMTEXT </w:instrText>
      </w:r>
      <w:r>
        <w:rPr>
          <w:rFonts w:ascii="Times New Roman"/>
        </w:rPr>
      </w:r>
      <w:r>
        <w:rPr>
          <w:rFonts w:ascii="Times New Roman"/>
        </w:rPr>
        <w:fldChar w:fldCharType="separate"/>
      </w:r>
      <w:r>
        <w:rPr>
          <w:rFonts w:ascii="Times New Roman" w:hint="eastAsia"/>
        </w:rPr>
        <w:t>点击此处添加</w:t>
      </w:r>
      <w:r>
        <w:rPr>
          <w:rFonts w:ascii="Times New Roman" w:hint="eastAsia"/>
        </w:rPr>
        <w:t>ICS</w:t>
      </w:r>
      <w:r>
        <w:rPr>
          <w:rFonts w:ascii="Times New Roman" w:hint="eastAsia"/>
        </w:rPr>
        <w:t>号</w:t>
      </w:r>
      <w:r>
        <w:rPr>
          <w:rFonts w:ascii="Times New Roman"/>
        </w:rPr>
        <w:fldChar w:fldCharType="end"/>
      </w:r>
      <w:bookmarkEnd w:id="0"/>
    </w:p>
    <w:p w14:paraId="33E81097" w14:textId="77777777" w:rsidR="000829EF" w:rsidRDefault="00000000">
      <w:pPr>
        <w:pStyle w:val="affffffc"/>
        <w:framePr w:wrap="around"/>
        <w:rPr>
          <w:rFonts w:ascii="Times New Roman"/>
        </w:rPr>
      </w:pPr>
      <w:r>
        <w:rPr>
          <w:rFonts w:ascii="Times New Roman" w:hint="eastAsia"/>
        </w:rPr>
        <w:t>C</w:t>
      </w:r>
      <w:r>
        <w:rPr>
          <w:rFonts w:ascii="Times New Roman"/>
        </w:rPr>
        <w:t xml:space="preserve">CS </w:t>
      </w:r>
      <w:r>
        <w:rPr>
          <w:rFonts w:ascii="Times New Roman"/>
        </w:rPr>
        <w:fldChar w:fldCharType="begin">
          <w:ffData>
            <w:name w:val="WXFLH"/>
            <w:enabled/>
            <w:calcOnExit w:val="0"/>
            <w:helpText w:type="text" w:val="请输入中国标准文献分类号："/>
            <w:textInput>
              <w:default w:val="点击此处添加中国标准文献分类号"/>
            </w:textInput>
          </w:ffData>
        </w:fldChar>
      </w:r>
      <w:bookmarkStart w:id="1" w:name="WXFLH"/>
      <w:r>
        <w:rPr>
          <w:rFonts w:ascii="Times New Roman"/>
        </w:rPr>
        <w:instrText xml:space="preserve"> FORMTEXT </w:instrText>
      </w:r>
      <w:r>
        <w:rPr>
          <w:rFonts w:ascii="Times New Roman"/>
        </w:rPr>
      </w:r>
      <w:r>
        <w:rPr>
          <w:rFonts w:ascii="Times New Roman"/>
        </w:rPr>
        <w:fldChar w:fldCharType="separate"/>
      </w:r>
      <w:r>
        <w:rPr>
          <w:rFonts w:ascii="Times New Roman" w:hint="eastAsia"/>
        </w:rPr>
        <w:t>点击此处添加中国标准文献分类号</w:t>
      </w:r>
      <w:r>
        <w:rPr>
          <w:rFonts w:ascii="Times New Roman"/>
        </w:rPr>
        <w:fldChar w:fldCharType="end"/>
      </w:r>
      <w:bookmarkEnd w:id="1"/>
    </w:p>
    <w:tbl>
      <w:tblPr>
        <w:tblStyle w:val="afff0"/>
        <w:tblW w:w="9571" w:type="dxa"/>
        <w:tblLayout w:type="fixed"/>
        <w:tblLook w:val="04A0" w:firstRow="1" w:lastRow="0" w:firstColumn="1" w:lastColumn="0" w:noHBand="0" w:noVBand="1"/>
      </w:tblPr>
      <w:tblGrid>
        <w:gridCol w:w="9571"/>
      </w:tblGrid>
      <w:tr w:rsidR="000829EF" w14:paraId="3DEC7A34" w14:textId="77777777">
        <w:tc>
          <w:tcPr>
            <w:tcW w:w="9571" w:type="dxa"/>
            <w:tcBorders>
              <w:top w:val="nil"/>
              <w:left w:val="nil"/>
              <w:bottom w:val="nil"/>
              <w:right w:val="nil"/>
            </w:tcBorders>
            <w:shd w:val="clear" w:color="auto" w:fill="auto"/>
          </w:tcPr>
          <w:p w14:paraId="68D13BB5" w14:textId="77777777" w:rsidR="000829EF" w:rsidRDefault="000829EF">
            <w:pPr>
              <w:pStyle w:val="affffffc"/>
              <w:framePr w:wrap="around"/>
              <w:rPr>
                <w:rFonts w:ascii="Times New Roman"/>
              </w:rPr>
            </w:pPr>
          </w:p>
        </w:tc>
      </w:tr>
    </w:tbl>
    <w:p w14:paraId="3418E280" w14:textId="77777777" w:rsidR="000829EF" w:rsidRDefault="00000000">
      <w:pPr>
        <w:pStyle w:val="affffff0"/>
        <w:framePr w:w="5489" w:wrap="around" w:x="5284"/>
      </w:pPr>
      <w:r>
        <w:t>D</w:t>
      </w:r>
      <w:r>
        <w:rPr>
          <w:spacing w:val="100"/>
        </w:rPr>
        <w:t>B</w:t>
      </w:r>
      <w:r>
        <w:fldChar w:fldCharType="begin">
          <w:ffData>
            <w:name w:val="c3"/>
            <w:enabled/>
            <w:calcOnExit w:val="0"/>
            <w:entryMacro w:val="ShowHelp16"/>
            <w:textInput/>
          </w:ffData>
        </w:fldChar>
      </w:r>
      <w:bookmarkStart w:id="2" w:name="c3"/>
      <w:r>
        <w:instrText xml:space="preserve"> FORMTEXT </w:instrText>
      </w:r>
      <w:r>
        <w:fldChar w:fldCharType="separate"/>
      </w:r>
      <w:r>
        <w:t>11</w:t>
      </w:r>
      <w:r>
        <w:fldChar w:fldCharType="end"/>
      </w:r>
      <w:bookmarkEnd w:id="2"/>
    </w:p>
    <w:p w14:paraId="39B61886" w14:textId="77777777" w:rsidR="000829EF" w:rsidRDefault="00000000">
      <w:pPr>
        <w:pStyle w:val="affffff1"/>
        <w:framePr w:wrap="around"/>
        <w:rPr>
          <w:rFonts w:ascii="Times New Roman" w:hAnsi="Times New Roman"/>
        </w:rPr>
      </w:pPr>
      <w:r>
        <w:rPr>
          <w:rFonts w:ascii="Times New Roman" w:hAnsi="Times New Roman"/>
        </w:rPr>
        <w:fldChar w:fldCharType="begin">
          <w:ffData>
            <w:name w:val="c4"/>
            <w:enabled/>
            <w:calcOnExit w:val="0"/>
            <w:entryMacro w:val="showhelp12"/>
            <w:textInput/>
          </w:ffData>
        </w:fldChar>
      </w:r>
      <w:bookmarkStart w:id="3" w:name="c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hint="eastAsia"/>
        </w:rPr>
        <w:t>北京市</w:t>
      </w:r>
      <w:r>
        <w:rPr>
          <w:rFonts w:ascii="Times New Roman" w:hAnsi="Times New Roman"/>
        </w:rPr>
        <w:fldChar w:fldCharType="end"/>
      </w:r>
      <w:bookmarkEnd w:id="3"/>
      <w:r>
        <w:rPr>
          <w:rFonts w:ascii="Times New Roman" w:hAnsi="Times New Roman"/>
        </w:rPr>
        <w:t>地方标准</w:t>
      </w:r>
    </w:p>
    <w:p w14:paraId="19D7A639" w14:textId="77777777" w:rsidR="000829EF" w:rsidRDefault="00000000">
      <w:pPr>
        <w:pStyle w:val="22"/>
        <w:framePr w:wrap="around"/>
        <w:rPr>
          <w:rFonts w:ascii="Times New Roman"/>
        </w:rPr>
      </w:pPr>
      <w:r>
        <w:rPr>
          <w:rFonts w:ascii="Times New Roman"/>
        </w:rPr>
        <w:t xml:space="preserve">DB11/T </w:t>
      </w:r>
      <w:r>
        <w:rPr>
          <w:rFonts w:ascii="Times New Roman"/>
        </w:rPr>
        <w:fldChar w:fldCharType="begin">
          <w:ffData>
            <w:name w:val="StdNo1"/>
            <w:enabled/>
            <w:calcOnExit w:val="0"/>
            <w:textInput>
              <w:default w:val="××××"/>
            </w:textInput>
          </w:ffData>
        </w:fldChar>
      </w:r>
      <w:bookmarkStart w:id="4" w:name="StdNo1"/>
      <w:r>
        <w:rPr>
          <w:rFonts w:ascii="Times New Roman"/>
        </w:rPr>
        <w:instrText xml:space="preserve"> FORMTEXT </w:instrText>
      </w:r>
      <w:r>
        <w:rPr>
          <w:rFonts w:ascii="Times New Roman"/>
        </w:rPr>
      </w:r>
      <w:r>
        <w:rPr>
          <w:rFonts w:ascii="Times New Roman"/>
        </w:rPr>
        <w:fldChar w:fldCharType="separate"/>
      </w:r>
      <w:r>
        <w:rPr>
          <w:rFonts w:ascii="Times New Roman"/>
        </w:rPr>
        <w:t>××××</w:t>
      </w:r>
      <w:r>
        <w:rPr>
          <w:rFonts w:ascii="Times New Roman"/>
        </w:rPr>
        <w:fldChar w:fldCharType="end"/>
      </w:r>
      <w:bookmarkEnd w:id="4"/>
      <w:r>
        <w:rPr>
          <w:rFonts w:ascii="Times New Roman"/>
        </w:rPr>
        <w:t>—</w:t>
      </w:r>
      <w:r>
        <w:rPr>
          <w:rFonts w:ascii="Times New Roman"/>
        </w:rPr>
        <w:fldChar w:fldCharType="begin">
          <w:ffData>
            <w:name w:val="StdNo2"/>
            <w:enabled/>
            <w:calcOnExit w:val="0"/>
            <w:textInput>
              <w:default w:val="××××"/>
              <w:maxLength w:val="4"/>
            </w:textInput>
          </w:ffData>
        </w:fldChar>
      </w:r>
      <w:bookmarkStart w:id="5" w:name="StdNo2"/>
      <w:r>
        <w:rPr>
          <w:rFonts w:ascii="Times New Roman"/>
        </w:rPr>
        <w:instrText xml:space="preserve"> FORMTEXT </w:instrText>
      </w:r>
      <w:r>
        <w:rPr>
          <w:rFonts w:ascii="Times New Roman"/>
        </w:rPr>
      </w:r>
      <w:r>
        <w:rPr>
          <w:rFonts w:ascii="Times New Roman"/>
        </w:rPr>
        <w:fldChar w:fldCharType="separate"/>
      </w:r>
      <w:r>
        <w:rPr>
          <w:rFonts w:ascii="Times New Roman"/>
        </w:rPr>
        <w:t>××××</w:t>
      </w:r>
      <w:r>
        <w:rPr>
          <w:rFonts w:ascii="Times New Roman"/>
        </w:rPr>
        <w:fldChar w:fldCharType="end"/>
      </w:r>
      <w:bookmarkEnd w:id="5"/>
    </w:p>
    <w:tbl>
      <w:tblPr>
        <w:tblStyle w:val="afff0"/>
        <w:tblW w:w="9130" w:type="dxa"/>
        <w:tblLayout w:type="fixed"/>
        <w:tblLook w:val="04A0" w:firstRow="1" w:lastRow="0" w:firstColumn="1" w:lastColumn="0" w:noHBand="0" w:noVBand="1"/>
      </w:tblPr>
      <w:tblGrid>
        <w:gridCol w:w="9130"/>
      </w:tblGrid>
      <w:tr w:rsidR="000829EF" w14:paraId="7337D4BC" w14:textId="77777777">
        <w:tc>
          <w:tcPr>
            <w:tcW w:w="9130" w:type="dxa"/>
            <w:tcBorders>
              <w:top w:val="nil"/>
              <w:left w:val="nil"/>
              <w:bottom w:val="nil"/>
              <w:right w:val="nil"/>
            </w:tcBorders>
            <w:shd w:val="clear" w:color="auto" w:fill="auto"/>
          </w:tcPr>
          <w:p w14:paraId="01108E82" w14:textId="77777777" w:rsidR="000829EF" w:rsidRDefault="00000000">
            <w:pPr>
              <w:pStyle w:val="affffe"/>
              <w:framePr w:wrap="around"/>
              <w:rPr>
                <w:rFonts w:ascii="Times New Roman" w:eastAsia="黑体"/>
              </w:rPr>
            </w:pPr>
            <w:r>
              <w:rPr>
                <w:rFonts w:ascii="Times New Roman" w:eastAsia="黑体"/>
                <w:noProof/>
              </w:rPr>
              <mc:AlternateContent>
                <mc:Choice Requires="wps">
                  <w:drawing>
                    <wp:anchor distT="0" distB="0" distL="114300" distR="114300" simplePos="0" relativeHeight="251664384" behindDoc="1" locked="0" layoutInCell="1" allowOverlap="1" wp14:anchorId="029364BC" wp14:editId="6B8C4395">
                      <wp:simplePos x="0" y="0"/>
                      <wp:positionH relativeFrom="column">
                        <wp:posOffset>4665980</wp:posOffset>
                      </wp:positionH>
                      <wp:positionV relativeFrom="paragraph">
                        <wp:posOffset>34290</wp:posOffset>
                      </wp:positionV>
                      <wp:extent cx="1143000" cy="228600"/>
                      <wp:effectExtent l="0" t="0" r="0" b="0"/>
                      <wp:wrapNone/>
                      <wp:docPr id="5"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DT" o:spid="_x0000_s1026" o:spt="1" style="position:absolute;left:0pt;margin-left:367.4pt;margin-top:2.7pt;height:18pt;width:90pt;z-index:-251652096;v-text-anchor:middle;mso-width-relative:page;mso-height-relative:page;" fillcolor="#FFFFFF" filled="t" stroked="f" coordsize="21600,21600" o:gfxdata="UEsDBAoAAAAAAIdO4kAAAAAAAAAAAAAAAAAEAAAAZHJzL1BLAwQUAAAACACHTuJAxZ7k/9MAAAAI&#10;AQAADwAAAGRycy9kb3ducmV2LnhtbE2PzU7DMBCE70i8g7VI3Kid1vyFbCqBhDjTVj078TaJGq8j&#10;223D2+Oe4Dia0cw31Xp2ozhTiINnhGKhQBC33g7cIey2nw8vIGIybM3omRB+KMK6vr2pTGn9hb/p&#10;vEmdyCUcS4PQpzSVUsa2J2fiwk/E2Tv44EzKMnTSBnPJ5W6US6WepDMD54XeTPTRU3vcnByCTF90&#10;3M7LPa+UNs17OOz2k0S8vyvUG4hEc/oLwxU/o0OdmRp/YhvFiPC80hk9ITxqENl/La66QdCFBllX&#10;8v+B+hdQSwMEFAAAAAgAh07iQGWS4spRAgAAvAQAAA4AAABkcnMvZTJvRG9jLnhtbK1UTW8bIRC9&#10;V+p/QNybtV0nTa2sIyuWq0pREympesYseFcChgL2Ov31fbCbj6Y95FAf8AwzfjPzeOOLy6M17KBC&#10;7MjVfHoy4Uw5SU3ndjX/fr/5cM5ZTMI1wpBTNX9QkV8u37+76P1Czagl06jAAOLiovc1b1Pyi6qK&#10;slVWxBPyyiGoKViR4IZd1QTRA92aajaZnFU9hcYHkipG3K6HIB8Rw1sASetOqjXJvVUuDahBGZEw&#10;Umw7H/mydKu1kulG66gSMzXHpKmcKAJ7m89qeSEWuyB828mxBfGWFl7NZEXnUPQJai2SYPvQ/QVl&#10;Oxkokk4nkmw1DFIYwRTTyStu7lrhVZkFVEf/RHr8f7Dy2+E2sK6p+SlnTlg8+Po+s9L7uEDwzt+G&#10;0Ysw84hHHWz+RvPsWJh8eGJSHROTuJxO5x8nE5AsEZvNzs9gA6Z6/rUPMX1RZFk2ah7wUoVAcbiO&#10;aUh9TMnFIpmu2XTGFCfstlcmsIPAq27KZ0T/I8041qP66bw0IqBVDY2gJ+sxb3Q7zoTZYQlkCqW2&#10;o1wBxcUi116L2A41CuxYwrgcV0VbY6uZq4GdbG2peQCngQaxRS83HdCuRUy3IkBdoAX7l25waENo&#10;kUaLs5bCr3/d53w8OqKc9VAr2v+5F0FxZr46yOHzdD7P8i7O/PTTDE54Gdm+jLi9vSJQN8Wme1nM&#10;nJ/Mo6kD2R9Y01WuipBwErUHokbnKg1bhEWXarUqaZC0F+na3XmZwTNPjlb7RLorT/rMDqSQHYi6&#10;iGJcwLw1L/2S9fyns/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Z7k/9MAAAAIAQAADwAAAAAA&#10;AAABACAAAAAiAAAAZHJzL2Rvd25yZXYueG1sUEsBAhQAFAAAAAgAh07iQGWS4spRAgAAvAQAAA4A&#10;AAAAAAAAAQAgAAAAIgEAAGRycy9lMm9Eb2MueG1sUEsFBgAAAAAGAAYAWQEAAOUFAAAAAA==&#10;">
                      <v:fill on="t" focussize="0,0"/>
                      <v:stroke on="f" weight="2pt"/>
                      <v:imagedata o:title=""/>
                      <o:lock v:ext="edit" aspectratio="f"/>
                    </v:rect>
                  </w:pict>
                </mc:Fallback>
              </mc:AlternateContent>
            </w:r>
            <w:r>
              <w:rPr>
                <w:rFonts w:ascii="Times New Roman" w:eastAsia="黑体"/>
              </w:rPr>
              <w:fldChar w:fldCharType="begin">
                <w:ffData>
                  <w:name w:val="DT"/>
                  <w:enabled/>
                  <w:calcOnExit w:val="0"/>
                  <w:entryMacro w:val="ShowHelp4"/>
                  <w:textInput/>
                </w:ffData>
              </w:fldChar>
            </w:r>
            <w:bookmarkStart w:id="6" w:name="DT"/>
            <w:r>
              <w:rPr>
                <w:rFonts w:ascii="Times New Roman" w:eastAsia="黑体"/>
              </w:rPr>
              <w:instrText xml:space="preserve"> FORMTEXT </w:instrText>
            </w:r>
            <w:r>
              <w:rPr>
                <w:rFonts w:ascii="Times New Roman" w:eastAsia="黑体"/>
              </w:rPr>
            </w:r>
            <w:r>
              <w:rPr>
                <w:rFonts w:ascii="Times New Roman" w:eastAsia="黑体"/>
              </w:rPr>
              <w:fldChar w:fldCharType="separate"/>
            </w:r>
            <w:r>
              <w:rPr>
                <w:rFonts w:ascii="Times New Roman" w:eastAsia="黑体"/>
              </w:rPr>
              <w:t>     </w:t>
            </w:r>
            <w:r>
              <w:rPr>
                <w:rFonts w:ascii="Times New Roman" w:eastAsia="黑体"/>
              </w:rPr>
              <w:fldChar w:fldCharType="end"/>
            </w:r>
            <w:bookmarkEnd w:id="6"/>
          </w:p>
        </w:tc>
      </w:tr>
    </w:tbl>
    <w:p w14:paraId="3FE92363" w14:textId="77777777" w:rsidR="000829EF" w:rsidRDefault="000829EF">
      <w:pPr>
        <w:pStyle w:val="22"/>
        <w:framePr w:wrap="around"/>
        <w:rPr>
          <w:rFonts w:ascii="Times New Roman"/>
        </w:rPr>
      </w:pPr>
    </w:p>
    <w:p w14:paraId="6DFF7257" w14:textId="77777777" w:rsidR="000829EF" w:rsidRDefault="000829EF">
      <w:pPr>
        <w:pStyle w:val="22"/>
        <w:framePr w:wrap="around"/>
        <w:rPr>
          <w:rFonts w:ascii="Times New Roman"/>
        </w:rPr>
      </w:pPr>
    </w:p>
    <w:bookmarkStart w:id="7" w:name="StdName"/>
    <w:p w14:paraId="7BD26A97" w14:textId="77777777" w:rsidR="000829EF" w:rsidRDefault="00000000">
      <w:pPr>
        <w:pStyle w:val="afffff"/>
        <w:framePr w:wrap="around" w:x="1332" w:y="6459"/>
        <w:rPr>
          <w:rFonts w:ascii="Times New Roman"/>
        </w:rPr>
      </w:pPr>
      <w:r>
        <w:rPr>
          <w:rFonts w:ascii="Times New Roman" w:hint="eastAsia"/>
        </w:rPr>
        <w:fldChar w:fldCharType="begin">
          <w:ffData>
            <w:name w:val="StdName"/>
            <w:enabled/>
            <w:calcOnExit w:val="0"/>
            <w:textInput>
              <w:default w:val="城市运行监测指标体系"/>
            </w:textInput>
          </w:ffData>
        </w:fldChar>
      </w:r>
      <w:r>
        <w:rPr>
          <w:rFonts w:ascii="Times New Roman" w:hint="eastAsia"/>
        </w:rPr>
        <w:instrText>FORMTEXT</w:instrText>
      </w:r>
      <w:r>
        <w:rPr>
          <w:rFonts w:ascii="Times New Roman" w:hint="eastAsia"/>
        </w:rPr>
      </w:r>
      <w:r>
        <w:rPr>
          <w:rFonts w:ascii="Times New Roman" w:hint="eastAsia"/>
        </w:rPr>
        <w:fldChar w:fldCharType="separate"/>
      </w:r>
      <w:r>
        <w:rPr>
          <w:rFonts w:ascii="Times New Roman" w:hint="eastAsia"/>
        </w:rPr>
        <w:t>城市运行监测指标体系</w:t>
      </w:r>
      <w:r>
        <w:rPr>
          <w:rFonts w:ascii="Times New Roman" w:hint="eastAsia"/>
        </w:rPr>
        <w:fldChar w:fldCharType="end"/>
      </w:r>
      <w:bookmarkEnd w:id="7"/>
    </w:p>
    <w:bookmarkStart w:id="8" w:name="StdEnglishName"/>
    <w:p w14:paraId="52500DC7" w14:textId="77777777" w:rsidR="000829EF" w:rsidRDefault="00000000">
      <w:pPr>
        <w:pStyle w:val="afffff0"/>
        <w:framePr w:wrap="around" w:x="1332" w:y="6459"/>
      </w:pPr>
      <w:r>
        <w:fldChar w:fldCharType="begin">
          <w:ffData>
            <w:name w:val="StdEnglishName"/>
            <w:enabled/>
            <w:calcOnExit w:val="0"/>
            <w:textInput>
              <w:default w:val="City operation monitoring indicators system"/>
            </w:textInput>
          </w:ffData>
        </w:fldChar>
      </w:r>
      <w:r>
        <w:instrText>FORMTEXT</w:instrText>
      </w:r>
      <w:r>
        <w:fldChar w:fldCharType="separate"/>
      </w:r>
      <w:r>
        <w:t>City operation monitoring indicator system</w:t>
      </w:r>
      <w:r>
        <w:fldChar w:fldCharType="end"/>
      </w:r>
      <w:bookmarkEnd w:id="8"/>
    </w:p>
    <w:p w14:paraId="642D6CEC" w14:textId="77777777" w:rsidR="000829EF" w:rsidRDefault="000829EF">
      <w:pPr>
        <w:pStyle w:val="afffff1"/>
        <w:framePr w:wrap="around" w:x="1332" w:y="6459"/>
        <w:rPr>
          <w:rFonts w:ascii="Times New Roman" w:eastAsia="黑体"/>
        </w:rPr>
      </w:pPr>
    </w:p>
    <w:tbl>
      <w:tblPr>
        <w:tblStyle w:val="afff0"/>
        <w:tblW w:w="9629" w:type="dxa"/>
        <w:tblLayout w:type="fixed"/>
        <w:tblLook w:val="04A0" w:firstRow="1" w:lastRow="0" w:firstColumn="1" w:lastColumn="0" w:noHBand="0" w:noVBand="1"/>
      </w:tblPr>
      <w:tblGrid>
        <w:gridCol w:w="9629"/>
      </w:tblGrid>
      <w:tr w:rsidR="000829EF" w14:paraId="6C1C1332" w14:textId="77777777">
        <w:tc>
          <w:tcPr>
            <w:tcW w:w="9629" w:type="dxa"/>
            <w:tcBorders>
              <w:top w:val="nil"/>
              <w:left w:val="nil"/>
              <w:bottom w:val="nil"/>
              <w:right w:val="nil"/>
            </w:tcBorders>
            <w:shd w:val="clear" w:color="auto" w:fill="auto"/>
          </w:tcPr>
          <w:p w14:paraId="3DB88D93" w14:textId="77777777" w:rsidR="000829EF" w:rsidRDefault="00000000">
            <w:pPr>
              <w:pStyle w:val="afffff2"/>
              <w:framePr w:wrap="around" w:x="1332" w:y="6459"/>
              <w:rPr>
                <w:rFonts w:ascii="Times New Roman"/>
              </w:rPr>
            </w:pPr>
            <w:r>
              <w:rPr>
                <w:rFonts w:ascii="Times New Roman"/>
                <w:noProof/>
              </w:rPr>
              <mc:AlternateContent>
                <mc:Choice Requires="wps">
                  <w:drawing>
                    <wp:anchor distT="0" distB="0" distL="114300" distR="114300" simplePos="0" relativeHeight="251666432" behindDoc="1" locked="1" layoutInCell="1" allowOverlap="1" wp14:anchorId="7F098950" wp14:editId="2BE5BF45">
                      <wp:simplePos x="0" y="0"/>
                      <wp:positionH relativeFrom="column">
                        <wp:posOffset>2132330</wp:posOffset>
                      </wp:positionH>
                      <wp:positionV relativeFrom="paragraph">
                        <wp:posOffset>573405</wp:posOffset>
                      </wp:positionV>
                      <wp:extent cx="1905000" cy="254000"/>
                      <wp:effectExtent l="0" t="0" r="0" b="0"/>
                      <wp:wrapNone/>
                      <wp:docPr id="7"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Q" o:spid="_x0000_s1026" o:spt="1" style="position:absolute;left:0pt;margin-left:167.9pt;margin-top:45.15pt;height:20pt;width:150pt;z-index:-251650048;v-text-anchor:middle;mso-width-relative:page;mso-height-relative:page;" fillcolor="#FFFFFF" filled="t" stroked="f" coordsize="21600,21600" o:gfxdata="UEsDBAoAAAAAAIdO4kAAAAAAAAAAAAAAAAAEAAAAZHJzL1BLAwQUAAAACACHTuJASKI4XdMAAAAK&#10;AQAADwAAAGRycy9kb3ducmV2LnhtbE2PwU7DMAyG70h7h8iTuLFkC0yjNJ0EEuLMNu2cNl5brXGq&#10;JNvK22O4wNG/P/3+XG4nP4grxtQHMrBcKBBITXA9tQYO+/eHDYiULTk7BEIDX5hgW83uSlu4cKNP&#10;vO5yK7iEUmENdDmPhZSp6dDbtAgjEu9OIXqbeYytdNHeuNwPcqXUWnrbE1/o7IhvHTbn3cUbkPkD&#10;z/tpdSStHm39Gk+H4yiNuZ8v1QuIjFP+g+FHn9WhYqc6XMglMRjQ+onVs4FnpUEwsP4NaiY1J7Iq&#10;5f8Xqm9QSwMEFAAAAAgAh07iQG6tPsBOAgAAvAQAAA4AAABkcnMvZTJvRG9jLnhtbK1UTW8TMRC9&#10;I/EfLN/pbqKE0qibKkoUhFTRQkGcHa+dtWR7zNjJpvx6xt7tB4VDD+TgzHgmb2ae3+Ty6uQsOyqM&#10;BnzDJ2c1Z8pLaI3fN/z7t+27D5zFJHwrLHjV8HsV+dXy7ZvLPizUFDqwrUJGID4u+tDwLqWwqKoo&#10;O+VEPIOgPAU1oBOJXNxXLYqe0J2tpnX9vuoB24AgVYx0uxmCfETE1wCC1kaqDciDUz4NqKisSDRS&#10;7EyIfFm61VrJdKN1VInZhtOkqZxUhOxdPqvlpVjsUYTOyLEF8ZoWXszkhPFU9BFqI5JgBzR/QTkj&#10;ESLodCbBVcMghRGaYlK/4OauE0GVWYjqGB5Jj/8PVn4+3iIzbcPPOfPC0YN//ZJZ6UNcUPAu3OLo&#10;RTLziCeNLn9T8+xUmLx/ZFKdEpN0Obmo53VNJEuKTeezbBNM9fTrgDF9VOBYNhqO9FKFQHG8jmlI&#10;fUjJxSJY026NtcXB/W5tkR0Fveq2fEb0P9KsZ/1YnRoRpFVNGiHTBZo3+j1nwu5pCWTCUttDrkDF&#10;xSLX3ojYDTUK7FjC+hxXRVtjq5mrgZ1s7aC9J04RBrHFILeG0K5FTLcCSV1EC+1fuqFDW6AWYbQ4&#10;6wB//es+59OjU5SzntRK7f88CFSc2U+e5HAxmc2yvIszm59PycHnkd3ziD+4NRB1E9r0IIuZ85N9&#10;MDWC+0FruspVKSS8pNoDUaOzTsMW0aJLtVqVNJJ0EOna3wWZwTNPHlaHBNqUJ31ih6SQHRJ1EcW4&#10;gHlrnvsl6+lPZ/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SKI4XdMAAAAKAQAADwAAAAAAAAAB&#10;ACAAAAAiAAAAZHJzL2Rvd25yZXYueG1sUEsBAhQAFAAAAAgAh07iQG6tPsBOAgAAvAQAAA4AAAAA&#10;AAAAAQAgAAAAIgEAAGRycy9lMm9Eb2MueG1sUEsFBgAAAAAGAAYAWQEAAOIFAAAAAA==&#10;">
                      <v:fill on="t" focussize="0,0"/>
                      <v:stroke on="f" weight="2pt"/>
                      <v:imagedata o:title=""/>
                      <o:lock v:ext="edit" aspectratio="f"/>
                      <w10:anchorlock/>
                    </v:rect>
                  </w:pict>
                </mc:Fallback>
              </mc:AlternateContent>
            </w:r>
            <w:r>
              <w:rPr>
                <w:rFonts w:ascii="Times New Roman"/>
                <w:noProof/>
              </w:rPr>
              <mc:AlternateContent>
                <mc:Choice Requires="wps">
                  <w:drawing>
                    <wp:anchor distT="0" distB="0" distL="114300" distR="114300" simplePos="0" relativeHeight="251665408" behindDoc="1" locked="0" layoutInCell="1" allowOverlap="1" wp14:anchorId="27E781A0" wp14:editId="77649C81">
                      <wp:simplePos x="0" y="0"/>
                      <wp:positionH relativeFrom="column">
                        <wp:posOffset>2386330</wp:posOffset>
                      </wp:positionH>
                      <wp:positionV relativeFrom="paragraph">
                        <wp:posOffset>255905</wp:posOffset>
                      </wp:positionV>
                      <wp:extent cx="1270000" cy="304800"/>
                      <wp:effectExtent l="0" t="0" r="6350" b="0"/>
                      <wp:wrapNone/>
                      <wp:docPr id="6"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LB" o:spid="_x0000_s1026" o:spt="1" style="position:absolute;left:0pt;margin-left:187.9pt;margin-top:20.15pt;height:24pt;width:100pt;z-index:-251651072;v-text-anchor:middle;mso-width-relative:page;mso-height-relative:page;" fillcolor="#FFFFFF" filled="t" stroked="f" coordsize="21600,21600" o:gfxdata="UEsDBAoAAAAAAIdO4kAAAAAAAAAAAAAAAAAEAAAAZHJzL1BLAwQUAAAACACHTuJAjSBHL9QAAAAJ&#10;AQAADwAAAGRycy9kb3ducmV2LnhtbE2PwW7CMBBE75X4B2uReis2BGiUxkFqparnAuK8iZckIl5H&#10;toH07+v20h53djTzptxNdhA38qF3rGG5UCCIG2d6bjUcD+9POYgQkQ0OjknDFwXYVbOHEgvj7vxJ&#10;t31sRQrhUKCGLsaxkDI0HVkMCzcSp9/ZeYsxnb6VxuM9hdtBrpTaSos9p4YOR3rrqLnsr1aDjB90&#10;OUyrE2dqjfWrPx9Po9T6cb5ULyAiTfHPDD/4CR2qxFS7K5sgBg3Z8yahRw1rlYFIhs2vUGvI8wxk&#10;Vcr/C6pvUEsDBBQAAAAIAIdO4kDx01iQUQIAALwEAAAOAAAAZHJzL2Uyb0RvYy54bWytVE1v2zAM&#10;vQ/YfxB0X51k6ceCOkWWIMOAYC3QDjsrshQLkESNUuJ0v36U7KZdt0MP80EhTeaRfHr09c3RWXZQ&#10;GA34mo/PRpwpL6Exflfz7w/rD1ecxSR8Iyx4VfNHFfnN/P276y7M1ARasI1CRiA+zrpQ8zalMKuq&#10;KFvlRDyDoDwFNaATiVzcVQ2KjtCdrSaj0UXVATYBQaoY6e2qD/IBEd8CCFobqVYg90751KOisiLR&#10;SLE1IfJ56VZrJdOt1lElZmtOk6ZyUhGyt/ms5tditkMRWiOHFsRbWng1kxPGU9ET1EokwfZo/oJy&#10;RiJE0OlMgqv6QQojNMV49Iqb+1YEVWYhqmM4kR7/H6z8drhDZpqaX3DmhaML33zOrHQhzih4H+5w&#10;8CKZecSjRpd/qXl2LEw+nphUx8QkvRxPLkf0cCYp9nE0vSKbYKrnfweM6YsCx7JRc6SbKgSKwyam&#10;PvUpJReLYE2zNtYWB3fbpUV2EHSr6/IM6H+kWc+6mk/Op6URQVrVpBHqyQWaN/odZ8LuaAlkwlLb&#10;Q65AxcUs116J2PY1CuxQwvocV0VbQ6uZq56dbG2heSROEXqxxSDXhtA2IqY7gaQuooX2L93SoS1Q&#10;izBYnLWAv/71PufTpVOUs47USu3/3AtUnNmvnuTwaTydZnkXZ3p+OSEHX0a2LyN+75ZA1I1p04Ms&#10;Zs5P9snUCO4HrekiV6WQ8JJq90QNzjL1W0SLLtViUdJI0kGkjb8PMoNnnjws9gm0KVf6zA5JITsk&#10;6iKKYQHz1rz0S9bzR2f+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0gRy/UAAAACQEAAA8AAAAA&#10;AAAAAQAgAAAAIgAAAGRycy9kb3ducmV2LnhtbFBLAQIUABQAAAAIAIdO4kDx01iQUQIAALwEAAAO&#10;AAAAAAAAAAEAIAAAACMBAABkcnMvZTJvRG9jLnhtbFBLBQYAAAAABgAGAFkBAADmBQAAAAA=&#10;">
                      <v:fill on="t" focussize="0,0"/>
                      <v:stroke on="f" weight="2pt"/>
                      <v:imagedata o:title=""/>
                      <o:lock v:ext="edit" aspectratio="f"/>
                    </v:rect>
                  </w:pict>
                </mc:Fallback>
              </mc:AlternateContent>
            </w:r>
            <w:r>
              <w:rPr>
                <w:rFonts w:ascii="Times New Roman" w:hint="eastAsia"/>
              </w:rPr>
              <w:t>（征求意见稿）</w:t>
            </w:r>
          </w:p>
        </w:tc>
      </w:tr>
      <w:tr w:rsidR="000829EF" w14:paraId="43AC0BD5" w14:textId="77777777">
        <w:tc>
          <w:tcPr>
            <w:tcW w:w="9629" w:type="dxa"/>
            <w:tcBorders>
              <w:top w:val="nil"/>
              <w:left w:val="nil"/>
              <w:bottom w:val="nil"/>
              <w:right w:val="nil"/>
            </w:tcBorders>
            <w:shd w:val="clear" w:color="auto" w:fill="auto"/>
          </w:tcPr>
          <w:p w14:paraId="0C195A5B" w14:textId="77777777" w:rsidR="000829EF" w:rsidRDefault="00000000">
            <w:pPr>
              <w:pStyle w:val="afffff3"/>
              <w:framePr w:wrap="around" w:x="1332" w:y="6459"/>
              <w:rPr>
                <w:rFonts w:ascii="Times New Roman"/>
              </w:rPr>
            </w:pPr>
            <w:r>
              <w:rPr>
                <w:rFonts w:ascii="Times New Roman"/>
              </w:rPr>
              <w:fldChar w:fldCharType="begin">
                <w:ffData>
                  <w:name w:val="WCRQ"/>
                  <w:enabled/>
                  <w:calcOnExit w:val="0"/>
                  <w:textInput/>
                </w:ffData>
              </w:fldChar>
            </w:r>
            <w:bookmarkStart w:id="9" w:name="WCRQ"/>
            <w:r>
              <w:rPr>
                <w:rFonts w:ascii="Times New Roman"/>
              </w:rPr>
              <w:instrText xml:space="preserve"> FORMTEXT </w:instrText>
            </w:r>
            <w:r>
              <w:rPr>
                <w:rFonts w:ascii="Times New Roman"/>
              </w:rPr>
            </w:r>
            <w:r>
              <w:rPr>
                <w:rFonts w:ascii="Times New Roman"/>
              </w:rPr>
              <w:fldChar w:fldCharType="separate"/>
            </w:r>
            <w:r>
              <w:rPr>
                <w:rFonts w:ascii="Times New Roman"/>
              </w:rPr>
              <w:t>     </w:t>
            </w:r>
            <w:r>
              <w:rPr>
                <w:rFonts w:ascii="Times New Roman"/>
              </w:rPr>
              <w:fldChar w:fldCharType="end"/>
            </w:r>
            <w:bookmarkEnd w:id="9"/>
          </w:p>
        </w:tc>
      </w:tr>
    </w:tbl>
    <w:p w14:paraId="3A4EBBC0" w14:textId="77777777" w:rsidR="000829EF" w:rsidRDefault="00000000">
      <w:pPr>
        <w:pStyle w:val="afffffff1"/>
        <w:framePr w:wrap="around"/>
      </w:pPr>
      <w:r>
        <w:fldChar w:fldCharType="begin">
          <w:ffData>
            <w:name w:val="FY"/>
            <w:enabled/>
            <w:calcOnExit w:val="0"/>
            <w:entryMacro w:val="ShowHelp8"/>
            <w:textInput>
              <w:default w:val="××××"/>
              <w:maxLength w:val="4"/>
            </w:textInput>
          </w:ffData>
        </w:fldChar>
      </w:r>
      <w:bookmarkStart w:id="10" w:name="FY"/>
      <w:r>
        <w:instrText xml:space="preserve"> FORMTEXT </w:instrText>
      </w:r>
      <w:r>
        <w:fldChar w:fldCharType="separate"/>
      </w:r>
      <w:r>
        <w:t>××××</w:t>
      </w:r>
      <w:r>
        <w:fldChar w:fldCharType="end"/>
      </w:r>
      <w:bookmarkEnd w:id="10"/>
      <w:r>
        <w:t xml:space="preserve"> - </w:t>
      </w:r>
      <w:r>
        <w:fldChar w:fldCharType="begin">
          <w:ffData>
            <w:name w:val="FM"/>
            <w:enabled/>
            <w:calcOnExit w:val="0"/>
            <w:entryMacro w:val="ShowHelp8"/>
            <w:textInput>
              <w:default w:val="××"/>
              <w:maxLength w:val="2"/>
            </w:textInput>
          </w:ffData>
        </w:fldChar>
      </w:r>
      <w:r>
        <w:instrText xml:space="preserve"> FORMTEXT </w:instrText>
      </w:r>
      <w:r>
        <w:fldChar w:fldCharType="separate"/>
      </w:r>
      <w:r>
        <w:t>××</w:t>
      </w:r>
      <w:r>
        <w:fldChar w:fldCharType="end"/>
      </w:r>
      <w:r>
        <w:t xml:space="preserve"> - </w:t>
      </w:r>
      <w:r>
        <w:fldChar w:fldCharType="begin">
          <w:ffData>
            <w:name w:val="FD"/>
            <w:enabled/>
            <w:calcOnExit w:val="0"/>
            <w:entryMacro w:val="ShowHelp8"/>
            <w:textInput>
              <w:default w:val="××"/>
              <w:maxLength w:val="2"/>
            </w:textInput>
          </w:ffData>
        </w:fldChar>
      </w:r>
      <w:bookmarkStart w:id="11" w:name="FD"/>
      <w:r>
        <w:instrText xml:space="preserve"> FORMTEXT </w:instrText>
      </w:r>
      <w:r>
        <w:fldChar w:fldCharType="separate"/>
      </w:r>
      <w:r>
        <w:t>××</w:t>
      </w:r>
      <w:r>
        <w:fldChar w:fldCharType="end"/>
      </w:r>
      <w:bookmarkEnd w:id="11"/>
      <w:r>
        <w:rPr>
          <w:rFonts w:hint="eastAsia"/>
        </w:rPr>
        <w:t>发布</w:t>
      </w:r>
      <w:r>
        <w:rPr>
          <w:rFonts w:hint="eastAsia"/>
          <w:noProof/>
        </w:rPr>
        <mc:AlternateContent>
          <mc:Choice Requires="wps">
            <w:drawing>
              <wp:anchor distT="0" distB="0" distL="114300" distR="114300" simplePos="0" relativeHeight="251661312" behindDoc="0" locked="0" layoutInCell="1" allowOverlap="1" wp14:anchorId="69D508B5" wp14:editId="2CBBEDBC">
                <wp:simplePos x="0" y="0"/>
                <wp:positionH relativeFrom="column">
                  <wp:posOffset>0</wp:posOffset>
                </wp:positionH>
                <wp:positionV relativeFrom="paragraph">
                  <wp:posOffset>2339340</wp:posOffset>
                </wp:positionV>
                <wp:extent cx="6120130" cy="0"/>
                <wp:effectExtent l="0" t="0" r="33655" b="19050"/>
                <wp:wrapNone/>
                <wp:docPr id="2" name="直接连接符 2"/>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184.2pt;height:0pt;width:481.9pt;z-index:251661312;mso-width-relative:page;mso-height-relative:page;" filled="f" stroked="t" coordsize="21600,21600" o:gfxdata="UEsDBAoAAAAAAIdO4kAAAAAAAAAAAAAAAAAEAAAAZHJzL1BLAwQUAAAACACHTuJAjd8ps9UAAAAI&#10;AQAADwAAAGRycy9kb3ducmV2LnhtbE2PTU/DMAyG70j8h8hIXCaWbEXVKE13AHrjwgBx9RrTVjRO&#10;12Qf8OsxEhIc7dd6/Tzl+uQHdaAp9oEtLOYGFHETXM+thZfn+moFKiZkh0NgsvBJEdbV+VmJhQtH&#10;fqLDJrVKSjgWaKFLaSy0jk1HHuM8jMSSvYfJY5JxarWb8CjlftBLY3LtsWf50OFIdx01H5u9txDr&#10;V9rVX7NmZt6yNtByd//4gNZeXizMLahEp/R3DD/4gg6VMG3Dnl1UgwURSRayfHUNSuKbPBOT7e9G&#10;V6X+L1B9A1BLAwQUAAAACACHTuJAcSXJutcBAACaAwAADgAAAGRycy9lMm9Eb2MueG1srVPNbtQw&#10;EL4j8Q6W72yykVpBtNkeuioXBCsBD+B1nMSS/zTjbnZfghdA4gYnjtx5G8pjdOykW2gvPTQHZzwz&#10;/sbfN+PVxcEatleA2ruGLxclZ8pJ32rXN/zzp6tXrznDKFwrjHeq4UeF/GL98sVqDLWq/OBNq4AR&#10;iMN6DA0fYgx1UaAclBW48EE5CnYerIi0hb5oQYyEbk1RleV5MXpoA3ipEMm7mYJ8RoSnAPqu01Jt&#10;vLy2ysUJFZQRkSjhoAPydb5t1ykZP3QdqshMw4lpzCsVIXuX1mK9EnUPIgxazlcQT7nCA05WaEdF&#10;T1AbEQW7Bv0IymoJHn0XF9LbYiKSFSEWy/KBNh8HEVTmQlJjOImOzwcr3++3wHTb8IozJyw1/Obr&#10;rz9fvv/9/Y3Wm58/WJVEGgPWlHvptjDvMGwhMT50YNOfuLBDFvZ4ElYdIpPkPF9S50vSXN7FivuD&#10;ATC+Vd6yZDTcaJc4i1rs32GkYpR6l5Lczl9pY3LfjGNjw9+cVWeELGgWO5oBMm0gPuh6zoTpachl&#10;hIyI3ug2nU44CP3u0gDbizQa+UtEqdp/aan0RuAw5eXQnGYcZSddJiWStfPtMQuU/dSyjDePV5qJ&#10;f/f59P2TWt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d8ps9UAAAAIAQAADwAAAAAAAAABACAA&#10;AAAiAAAAZHJzL2Rvd25yZXYueG1sUEsBAhQAFAAAAAgAh07iQHElybrXAQAAmgMAAA4AAAAAAAAA&#10;AQAgAAAAJAEAAGRycy9lMm9Eb2MueG1sUEsFBgAAAAAGAAYAWQEAAG0FAAAAAA==&#10;">
                <v:fill on="f" focussize="0,0"/>
                <v:stroke color="#000000 [3204]" joinstyle="round"/>
                <v:imagedata o:title=""/>
                <o:lock v:ext="edit" aspectratio="f"/>
              </v:line>
            </w:pict>
          </mc:Fallback>
        </mc:AlternateContent>
      </w:r>
      <w:r>
        <w:rPr>
          <w:rFonts w:hint="eastAsia"/>
          <w:noProof/>
        </w:rPr>
        <mc:AlternateContent>
          <mc:Choice Requires="wps">
            <w:drawing>
              <wp:anchor distT="0" distB="0" distL="114300" distR="114300" simplePos="0" relativeHeight="251660288" behindDoc="0" locked="0" layoutInCell="1" allowOverlap="1" wp14:anchorId="409C00F1" wp14:editId="3BDCE781">
                <wp:simplePos x="0" y="0"/>
                <wp:positionH relativeFrom="column">
                  <wp:posOffset>0</wp:posOffset>
                </wp:positionH>
                <wp:positionV relativeFrom="paragraph">
                  <wp:posOffset>8891905</wp:posOffset>
                </wp:positionV>
                <wp:extent cx="6120130" cy="0"/>
                <wp:effectExtent l="0" t="0" r="33655" b="1905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700.15pt;height:0pt;width:481.9pt;z-index:251660288;mso-width-relative:page;mso-height-relative:page;" filled="f" stroked="t" coordsize="21600,21600" o:gfxdata="UEsDBAoAAAAAAIdO4kAAAAAAAAAAAAAAAAAEAAAAZHJzL1BLAwQUAAAACACHTuJAw6/RqNUAAAAK&#10;AQAADwAAAGRycy9kb3ducmV2LnhtbE2PzU7DMBCE70i8g7VIXKrWboOqEuL0AOTGhRbEdRsvSUS8&#10;TmP3B56e5YDguDOj2fmK9dn36khj7AJbmM8MKOI6uI4bCy/baroCFROywz4wWfikCOvy8qLA3IUT&#10;P9NxkxolJRxztNCmNORax7olj3EWBmLx3sPoMck5NtqNeJJy3+uFMUvtsWP50OJA9y3VH5uDtxCr&#10;V9pXX5N6Yt6yJtBi//D0iNZeX83NHahE5/QXhp/5Mh1K2bQLB3ZR9RYEJIl6Y0wGSvzbZSYou19J&#10;l4X+j1B+A1BLAwQUAAAACACHTuJA+iLfSdYBAACaAwAADgAAAGRycy9lMm9Eb2MueG1srVPNbhMx&#10;EL4j8Q6W72STSK1glU0PjcoFQSTgASZee9eS/+Rxs8lL8AJI3ODEkTtvQ3mMjr3bFNpLD92Ddzwz&#10;/sbfN+PVxcEatpcRtXcNX8zmnEknfKtd1/DPn65eveYME7gWjHey4UeJ/GL98sVqCLVc+t6bVkZG&#10;IA7rITS8TynUVYWilxZw5oN0FFQ+Wki0jV3VRhgI3ZpqOZ+fV4OPbYheSETybsYgnxDjUwC9UlrI&#10;jRfXVro0okZpIBEl7HVAvi63VUqK9EEplImZhhPTVFYqQvYur9V6BXUXIfRaTFeAp1zhAScL2lHR&#10;E9QGErDrqB9BWS2iR6/STHhbjUSKIsRiMX+gzccegixcSGoMJ9Hx+WDF+/02Mt3SJHDmwFLDb77+&#10;+vPl+9/f32i9+fmDLbJIQ8Caci/dNk47DNuYGR9UtPlPXNihCHs8CSsPiQlyni+o83PSXNzFqvuD&#10;IWJ6K71l2Wi40S5zhhr27zBRMUq9S8lu56+0MaVvxrGh4W/OlmeEDDSLimaATBuID7qOMzAdDblI&#10;sSCiN7rNpzMOxm53aSLbQx6N8mWiVO2/tFx6A9iPeSU0pRlH2VmXUYls7Xx7LAIVP7Ws4E3jlWfi&#10;3305ff+k1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Dr9Go1QAAAAoBAAAPAAAAAAAAAAEAIAAA&#10;ACIAAABkcnMvZG93bnJldi54bWxQSwECFAAUAAAACACHTuJA+iLfSdYBAACaAwAADgAAAAAAAAAB&#10;ACAAAAAkAQAAZHJzL2Uyb0RvYy54bWxQSwUGAAAAAAYABgBZAQAAbAUAAAAA&#10;">
                <v:fill on="f" focussize="0,0"/>
                <v:stroke color="#000000 [3204]" joinstyle="round"/>
                <v:imagedata o:title=""/>
                <o:lock v:ext="edit" aspectratio="f"/>
              </v:line>
            </w:pict>
          </mc:Fallback>
        </mc:AlternateContent>
      </w:r>
    </w:p>
    <w:p w14:paraId="798598A0" w14:textId="77777777" w:rsidR="000829EF" w:rsidRDefault="00000000">
      <w:pPr>
        <w:pStyle w:val="afffffff2"/>
        <w:framePr w:wrap="around"/>
      </w:pPr>
      <w:r>
        <w:fldChar w:fldCharType="begin">
          <w:ffData>
            <w:name w:val="SY"/>
            <w:enabled/>
            <w:calcOnExit w:val="0"/>
            <w:entryMacro w:val="ShowHelp9"/>
            <w:textInput>
              <w:default w:val="××××"/>
              <w:maxLength w:val="4"/>
            </w:textInput>
          </w:ffData>
        </w:fldChar>
      </w:r>
      <w:bookmarkStart w:id="12" w:name="SY"/>
      <w:r>
        <w:instrText xml:space="preserve"> FORMTEXT </w:instrText>
      </w:r>
      <w:r>
        <w:fldChar w:fldCharType="separate"/>
      </w:r>
      <w:r>
        <w:t>××××</w:t>
      </w:r>
      <w:r>
        <w:fldChar w:fldCharType="end"/>
      </w:r>
      <w:bookmarkEnd w:id="12"/>
      <w:r>
        <w:t xml:space="preserve"> - </w:t>
      </w:r>
      <w:r>
        <w:fldChar w:fldCharType="begin">
          <w:ffData>
            <w:name w:val="SM"/>
            <w:enabled/>
            <w:calcOnExit w:val="0"/>
            <w:entryMacro w:val="ShowHelp9"/>
            <w:textInput>
              <w:default w:val="××"/>
              <w:maxLength w:val="2"/>
            </w:textInput>
          </w:ffData>
        </w:fldChar>
      </w:r>
      <w:bookmarkStart w:id="13" w:name="SM"/>
      <w:r>
        <w:instrText xml:space="preserve"> FORMTEXT </w:instrText>
      </w:r>
      <w:r>
        <w:fldChar w:fldCharType="separate"/>
      </w:r>
      <w:r>
        <w:t>××</w:t>
      </w:r>
      <w:r>
        <w:fldChar w:fldCharType="end"/>
      </w:r>
      <w:bookmarkEnd w:id="13"/>
      <w:r>
        <w:t xml:space="preserve"> - </w:t>
      </w:r>
      <w:r>
        <w:fldChar w:fldCharType="begin">
          <w:ffData>
            <w:name w:val="SD"/>
            <w:enabled/>
            <w:calcOnExit w:val="0"/>
            <w:entryMacro w:val="ShowHelp9"/>
            <w:textInput>
              <w:default w:val="××"/>
              <w:maxLength w:val="2"/>
            </w:textInput>
          </w:ffData>
        </w:fldChar>
      </w:r>
      <w:bookmarkStart w:id="14" w:name="SD"/>
      <w:r>
        <w:instrText xml:space="preserve"> FORMTEXT </w:instrText>
      </w:r>
      <w:r>
        <w:fldChar w:fldCharType="separate"/>
      </w:r>
      <w:r>
        <w:t>××</w:t>
      </w:r>
      <w:r>
        <w:fldChar w:fldCharType="end"/>
      </w:r>
      <w:bookmarkEnd w:id="14"/>
      <w:r>
        <w:rPr>
          <w:rFonts w:hint="eastAsia"/>
        </w:rPr>
        <w:t>实施</w:t>
      </w:r>
    </w:p>
    <w:p w14:paraId="153D3733" w14:textId="77777777" w:rsidR="000829EF" w:rsidRDefault="00000000">
      <w:pPr>
        <w:pStyle w:val="affffff2"/>
        <w:framePr w:wrap="around"/>
        <w:rPr>
          <w:rFonts w:ascii="Times New Roman"/>
        </w:rPr>
      </w:pPr>
      <w:r>
        <w:rPr>
          <w:rFonts w:ascii="Times New Roman"/>
        </w:rPr>
        <w:fldChar w:fldCharType="begin">
          <w:ffData>
            <w:name w:val="fm"/>
            <w:enabled/>
            <w:calcOnExit w:val="0"/>
            <w:textInput/>
          </w:ffData>
        </w:fldChar>
      </w:r>
      <w:bookmarkStart w:id="15" w:name="fm"/>
      <w:r>
        <w:rPr>
          <w:rFonts w:ascii="Times New Roman"/>
        </w:rPr>
        <w:instrText xml:space="preserve"> FORMTEXT </w:instrText>
      </w:r>
      <w:r>
        <w:rPr>
          <w:rFonts w:ascii="Times New Roman"/>
        </w:rPr>
      </w:r>
      <w:r>
        <w:rPr>
          <w:rFonts w:ascii="Times New Roman"/>
        </w:rPr>
        <w:fldChar w:fldCharType="separate"/>
      </w:r>
      <w:r>
        <w:rPr>
          <w:rFonts w:ascii="Times New Roman" w:hint="eastAsia"/>
        </w:rPr>
        <w:t>北京市市场监督</w:t>
      </w:r>
      <w:r>
        <w:rPr>
          <w:rFonts w:ascii="Times New Roman"/>
        </w:rPr>
        <w:t>管理局</w:t>
      </w:r>
      <w:r>
        <w:rPr>
          <w:rFonts w:ascii="Times New Roman"/>
        </w:rPr>
        <w:fldChar w:fldCharType="end"/>
      </w:r>
      <w:bookmarkEnd w:id="15"/>
      <w:r>
        <w:rPr>
          <w:rFonts w:ascii="Times New Roman"/>
        </w:rPr>
        <w:t xml:space="preserve"> </w:t>
      </w:r>
      <w:r>
        <w:rPr>
          <w:rStyle w:val="affffb"/>
          <w:rFonts w:ascii="Times New Roman"/>
        </w:rPr>
        <w:t xml:space="preserve"> </w:t>
      </w:r>
      <w:r>
        <w:rPr>
          <w:rStyle w:val="affffb"/>
          <w:rFonts w:ascii="Times New Roman" w:hint="eastAsia"/>
        </w:rPr>
        <w:t>发布</w:t>
      </w:r>
    </w:p>
    <w:p w14:paraId="687B69C7" w14:textId="77777777" w:rsidR="000829EF" w:rsidRDefault="00000000">
      <w:pPr>
        <w:pStyle w:val="affc"/>
        <w:rPr>
          <w:rFonts w:ascii="Times New Roman"/>
        </w:rPr>
        <w:sectPr w:rsidR="000829EF">
          <w:headerReference w:type="even" r:id="rId8"/>
          <w:footerReference w:type="even" r:id="rId9"/>
          <w:footerReference w:type="default" r:id="rId10"/>
          <w:pgSz w:w="11906" w:h="16838"/>
          <w:pgMar w:top="567" w:right="1134" w:bottom="1134" w:left="1417" w:header="0" w:footer="0" w:gutter="0"/>
          <w:pgNumType w:start="1"/>
          <w:cols w:space="425"/>
          <w:docGrid w:type="lines" w:linePitch="312"/>
        </w:sectPr>
      </w:pPr>
      <w:r>
        <w:rPr>
          <w:rFonts w:ascii="Times New Roman" w:hint="eastAsia"/>
          <w:noProof/>
        </w:rPr>
        <mc:AlternateContent>
          <mc:Choice Requires="wps">
            <w:drawing>
              <wp:anchor distT="0" distB="0" distL="114300" distR="114300" simplePos="0" relativeHeight="251667456" behindDoc="1" locked="0" layoutInCell="1" allowOverlap="1" wp14:anchorId="24AA246B" wp14:editId="2E43ED92">
                <wp:simplePos x="0" y="0"/>
                <wp:positionH relativeFrom="column">
                  <wp:posOffset>-66675</wp:posOffset>
                </wp:positionH>
                <wp:positionV relativeFrom="paragraph">
                  <wp:posOffset>396240</wp:posOffset>
                </wp:positionV>
                <wp:extent cx="866775" cy="198120"/>
                <wp:effectExtent l="0" t="0" r="9525" b="0"/>
                <wp:wrapNone/>
                <wp:docPr id="8"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BAH" o:spid="_x0000_s1026" o:spt="1" style="position:absolute;left:0pt;margin-left:-5.25pt;margin-top:31.2pt;height:15.6pt;width:68.25pt;z-index:-251649024;v-text-anchor:middle;mso-width-relative:page;mso-height-relative:page;" fillcolor="#FFFFFF" filled="t" stroked="f" coordsize="21600,21600" o:gfxdata="UEsDBAoAAAAAAIdO4kAAAAAAAAAAAAAAAAAEAAAAZHJzL1BLAwQUAAAACACHTuJAtabbHNUAAAAJ&#10;AQAADwAAAGRycy9kb3ducmV2LnhtbE2PwU7DMBBE70j8g7VI3Fo7aYlKyKYSSIgzbdWzE2+TqPE6&#10;st02/D3uCY6rfZp5U21nO4or+TA4RsiWCgRx68zAHcJh/7nYgAhRs9GjY0L4oQDb+vGh0qVxN/6m&#10;6y52IoVwKDVCH+NUShnanqwOSzcRp9/JeatjOn0njde3FG5HmStVSKsHTg29nuijp/a8u1gEGb/o&#10;vJ/zI6/UWjfv/nQ4ThLx+SlTbyAizfEPhrt+Uoc6OTXuwiaIEWGRqZeEIhT5GsQdyIs0rkF4XRUg&#10;60r+X1D/AlBLAwQUAAAACACHTuJAvwgrllUCAAC8BAAADgAAAGRycy9lMm9Eb2MueG1srVRLb9sw&#10;DL4P2H8QdF+dBEkfQZ0iS5BtQLEWyIadFVmKBeg1SYnT/fp9kt3Huh16mA8yKdIfyY+kr29ORpOj&#10;CFE5W9Px2YgSYblrlN3X9Pu3zYdLSmJitmHaWVHTBxHpzeL9u+vOz8XEtU43IhCA2DjvfE3blPy8&#10;qiJvhWHxzHlhYZQuGJaghn3VBNYB3ehqMhqdV50LjQ+Oixhxu+6NdEAMbwF0Uiou1o4fjLCpRw1C&#10;s4SSYqt8pIuSrZSCpzspo0hE1xSVpnIiCORdPqvFNZvvA/Ot4kMK7C0pvKrJMGUR9AlqzRIjh6D+&#10;gjKKBxedTGfcmaovpDCCKsajV9xsW+ZFqQVUR/9Eevx/sPzr8T4Q1dQUbbfMoOEfl58zLZ2Pc1i3&#10;/j4MWoSYazzJYPIb2ZNTofLhiUpxSoTj8vL8/OJiRgmHaXx1OZ4Uqqvnj32I6ZNwhmShpgGdKgSy&#10;421MCAjXR5ccKzqtmo3Suihhv1vpQI4MXd2UJ2eMT/5w05Z0NZ3MpiN0mzPMqsSMQDQe9Ua7p4Tp&#10;PZaAp1BiW5cjAKmPvWax7WMU2CGEttkuymwNqWaqenKytHPNAzgNrh+26PlGocZbFtM9C5guZIP9&#10;S3c4pHZI0Q0SJa0Lv/51n/3RdFgp6TCtSP/ngQVBif5iMQ5X4+k0j3dRprML0E3CS8vupcUezMqB&#10;ujE23fMiZv+kH0UZnPmBNV3mqDAxyxG7J2pQVqnfIiw6F8tlccNIe5Zu7dbzDJ55sm55SE6q0tJn&#10;dtCsrGCoS9uGBcxb81IvXs8/nc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abbHNUAAAAJAQAA&#10;DwAAAAAAAAABACAAAAAiAAAAZHJzL2Rvd25yZXYueG1sUEsBAhQAFAAAAAgAh07iQL8IK5ZVAgAA&#10;vAQAAA4AAAAAAAAAAQAgAAAAJAEAAGRycy9lMm9Eb2MueG1sUEsFBgAAAAAGAAYAWQEAAOsFAAAA&#10;AA==&#10;">
                <v:fill on="t" focussize="0,0"/>
                <v:stroke on="f" weight="2pt"/>
                <v:imagedata o:title=""/>
                <o:lock v:ext="edit" aspectratio="f"/>
              </v:rect>
            </w:pict>
          </mc:Fallback>
        </mc:AlternateContent>
      </w:r>
      <w:r>
        <w:rPr>
          <w:rFonts w:ascii="Times New Roman" w:hint="eastAsia"/>
          <w:noProof/>
        </w:rPr>
        <mc:AlternateContent>
          <mc:Choice Requires="wps">
            <w:drawing>
              <wp:anchor distT="0" distB="0" distL="114300" distR="114300" simplePos="0" relativeHeight="251663360" behindDoc="0" locked="0" layoutInCell="1" allowOverlap="1" wp14:anchorId="7EFDC590" wp14:editId="6891291C">
                <wp:simplePos x="0" y="0"/>
                <wp:positionH relativeFrom="column">
                  <wp:posOffset>0</wp:posOffset>
                </wp:positionH>
                <wp:positionV relativeFrom="paragraph">
                  <wp:posOffset>2339340</wp:posOffset>
                </wp:positionV>
                <wp:extent cx="6120130" cy="0"/>
                <wp:effectExtent l="0" t="0" r="33655" b="19050"/>
                <wp:wrapNone/>
                <wp:docPr id="4" name="直接连接符 4"/>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184.2pt;height:0pt;width:481.9pt;z-index:251663360;mso-width-relative:page;mso-height-relative:page;" filled="f" stroked="t" coordsize="21600,21600" o:gfxdata="UEsDBAoAAAAAAIdO4kAAAAAAAAAAAAAAAAAEAAAAZHJzL1BLAwQUAAAACACHTuJAjd8ps9UAAAAI&#10;AQAADwAAAGRycy9kb3ducmV2LnhtbE2PTU/DMAyG70j8h8hIXCaWbEXVKE13AHrjwgBx9RrTVjRO&#10;12Qf8OsxEhIc7dd6/Tzl+uQHdaAp9oEtLOYGFHETXM+thZfn+moFKiZkh0NgsvBJEdbV+VmJhQtH&#10;fqLDJrVKSjgWaKFLaSy0jk1HHuM8jMSSvYfJY5JxarWb8CjlftBLY3LtsWf50OFIdx01H5u9txDr&#10;V9rVX7NmZt6yNtByd//4gNZeXizMLahEp/R3DD/4gg6VMG3Dnl1UgwURSRayfHUNSuKbPBOT7e9G&#10;V6X+L1B9A1BLAwQUAAAACACHTuJAJiyUh9cBAACaAwAADgAAAGRycy9lMm9Eb2MueG1srVPNbhMx&#10;EL4j8Q6W72Q3UVvBKpseGpULgkjAAzhee9eS/zTjZpOX4AWQuMGJI3fehvYxGHvTFMqlB/bgHc+M&#10;v/H3zXh5uXeW7RSgCb7l81nNmfIydMb3Lf/44frFS84wCd8JG7xq+UEhv1w9f7YcY6MWYQi2U8AI&#10;xGMzxpYPKcWmqlAOygmchag8BXUAJxJtoa86ECOhO1st6vqiGgN0EYJUiORdT0F+RISnAAatjVTr&#10;IG+c8mlCBWVFIko4mIh8VW6rtZLpndaoErMtJ6aprFSE7G1eq9VSND2IOBh5vIJ4yhUecXLCeCp6&#10;glqLJNgNmH+gnJEQMOg0k8FVE5GiCLGY14+0eT+IqAoXkhrjSXT8f7Dy7W4DzHQtP+PMC0cNv/38&#10;49enr3c/v9B6+/0bO8sijREbyr3yGzjuMG4gM95rcPlPXNi+CHs4Cav2iUlyXsyp8zVpLu9j1cPB&#10;CJheq+BYNlpujc+cRSN2bzBRMUq9T8luH66NtaVv1rOx5a/OF+eELGgWNc0AmS4SH/Q9Z8L2NOQy&#10;QUHEYE2XT2cchH57ZYHtRB6N8mWiVO2vtFx6LXCY8kromGY9ZWddJiWytQ3doQhU/NSygnccrzwT&#10;f+7L6Ycntf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d8ps9UAAAAIAQAADwAAAAAAAAABACAA&#10;AAAiAAAAZHJzL2Rvd25yZXYueG1sUEsBAhQAFAAAAAgAh07iQCYslIfXAQAAmgMAAA4AAAAAAAAA&#10;AQAgAAAAJAEAAGRycy9lMm9Eb2MueG1sUEsFBgAAAAAGAAYAWQEAAG0FAAAAAA==&#10;">
                <v:fill on="f" focussize="0,0"/>
                <v:stroke color="#000000 [3204]" joinstyle="round"/>
                <v:imagedata o:title=""/>
                <o:lock v:ext="edit" aspectratio="f"/>
              </v:line>
            </w:pict>
          </mc:Fallback>
        </mc:AlternateContent>
      </w:r>
      <w:r>
        <w:rPr>
          <w:rFonts w:ascii="Times New Roman" w:hint="eastAsia"/>
          <w:noProof/>
        </w:rPr>
        <mc:AlternateContent>
          <mc:Choice Requires="wps">
            <w:drawing>
              <wp:anchor distT="0" distB="0" distL="114300" distR="114300" simplePos="0" relativeHeight="251662336" behindDoc="0" locked="0" layoutInCell="1" allowOverlap="1" wp14:anchorId="23E3047F" wp14:editId="57303023">
                <wp:simplePos x="0" y="0"/>
                <wp:positionH relativeFrom="column">
                  <wp:posOffset>0</wp:posOffset>
                </wp:positionH>
                <wp:positionV relativeFrom="paragraph">
                  <wp:posOffset>8891905</wp:posOffset>
                </wp:positionV>
                <wp:extent cx="6120130" cy="0"/>
                <wp:effectExtent l="0" t="0" r="33655" b="1905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700.15pt;height:0pt;width:481.9pt;z-index:251662336;mso-width-relative:page;mso-height-relative:page;" filled="f" stroked="t" coordsize="21600,21600" o:gfxdata="UEsDBAoAAAAAAIdO4kAAAAAAAAAAAAAAAAAEAAAAZHJzL1BLAwQUAAAACACHTuJAw6/RqNUAAAAK&#10;AQAADwAAAGRycy9kb3ducmV2LnhtbE2PzU7DMBCE70i8g7VIXKrWboOqEuL0AOTGhRbEdRsvSUS8&#10;TmP3B56e5YDguDOj2fmK9dn36khj7AJbmM8MKOI6uI4bCy/baroCFROywz4wWfikCOvy8qLA3IUT&#10;P9NxkxolJRxztNCmNORax7olj3EWBmLx3sPoMck5NtqNeJJy3+uFMUvtsWP50OJA9y3VH5uDtxCr&#10;V9pXX5N6Yt6yJtBi//D0iNZeX83NHahE5/QXhp/5Mh1K2bQLB3ZR9RYEJIl6Y0wGSvzbZSYou19J&#10;l4X+j1B+A1BLAwQUAAAACACHTuJACNjE69cBAACaAwAADgAAAGRycy9lMm9Eb2MueG1srVPNbhMx&#10;EL4j8Q6W72Q3qVrBKpseGpULgkjAAzhee9eS/zTjZpOX4AWQuMGJI3fehvYxGHvTFMqlB/bgHc+M&#10;v/H3zXh5uXeW7RSgCb7l81nNmfIydMb3Lf/44frFS84wCd8JG7xq+UEhv1w9f7YcY6MWYQi2U8AI&#10;xGMzxpYPKcWmqlAOygmchag8BXUAJxJtoa86ECOhO1st6vqiGgN0EYJUiORdT0F+RISnAAatjVTr&#10;IG+c8mlCBWVFIko4mIh8VW6rtZLpndaoErMtJ6aprFSE7G1eq9VSND2IOBh5vIJ4yhUecXLCeCp6&#10;glqLJNgNmH+gnJEQMOg0k8FVE5GiCLGY14+0eT+IqAoXkhrjSXT8f7Dy7W4DzHQtP+PMC0cNv/38&#10;49enr3c/v9B6+/0bO8sijREbyr3yGzjuMG4gM95rcPlPXNi+CHs4Cav2iUlyXsyp8zVpLu9j1cPB&#10;CJheq+BYNlpujc+cRSN2bzBRMUq9T8luH66NtaVv1rOx5a/OF+eELGgWNc0AmS4SH/Q9Z8L2NOQy&#10;QUHEYE2XT2cchH57ZYHtRB6N8mWiVO2vtFx6LXCY8kromGY9ZWddJiWytQ3doQhU/NSygnccrzwT&#10;f+7L6Ycntf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6/RqNUAAAAKAQAADwAAAAAAAAABACAA&#10;AAAiAAAAZHJzL2Rvd25yZXYueG1sUEsBAhQAFAAAAAgAh07iQAjYxOvXAQAAmgMAAA4AAAAAAAAA&#10;AQAgAAAAJAEAAGRycy9lMm9Eb2MueG1sUEsFBgAAAAAGAAYAWQEAAG0FAAAAAA==&#10;">
                <v:fill on="f" focussize="0,0"/>
                <v:stroke color="#000000 [3204]" joinstyle="round"/>
                <v:imagedata o:title=""/>
                <o:lock v:ext="edit" aspectratio="f"/>
              </v:line>
            </w:pict>
          </mc:Fallback>
        </mc:AlternateContent>
      </w:r>
    </w:p>
    <w:p w14:paraId="6195F7B8" w14:textId="77777777" w:rsidR="000829EF" w:rsidRDefault="00000000">
      <w:pPr>
        <w:pStyle w:val="afffe"/>
        <w:rPr>
          <w:rFonts w:ascii="Times New Roman" w:hAnsi="Times New Roman"/>
        </w:rPr>
      </w:pPr>
      <w:bookmarkStart w:id="16" w:name="_Toc119499886"/>
      <w:bookmarkStart w:id="17" w:name="_Toc145434021"/>
      <w:bookmarkStart w:id="18" w:name="_Toc166831803"/>
      <w:bookmarkStart w:id="19" w:name="_Toc169081582"/>
      <w:bookmarkStart w:id="20" w:name="_Toc70"/>
      <w:bookmarkStart w:id="21" w:name="_Toc119482982"/>
      <w:r>
        <w:rPr>
          <w:rFonts w:ascii="Times New Roman" w:hAnsi="Times New Roman" w:hint="eastAsia"/>
        </w:rPr>
        <w:lastRenderedPageBreak/>
        <w:t>目</w:t>
      </w:r>
      <w:bookmarkStart w:id="22" w:name="BKML"/>
      <w:r>
        <w:rPr>
          <w:rFonts w:ascii="Times New Roman" w:hAnsi="Times New Roman"/>
        </w:rPr>
        <w:t>  </w:t>
      </w:r>
      <w:r>
        <w:rPr>
          <w:rFonts w:ascii="Times New Roman" w:hAnsi="Times New Roman" w:hint="eastAsia"/>
        </w:rPr>
        <w:t>次</w:t>
      </w:r>
      <w:bookmarkEnd w:id="16"/>
      <w:bookmarkEnd w:id="17"/>
      <w:bookmarkEnd w:id="18"/>
      <w:bookmarkEnd w:id="19"/>
      <w:bookmarkEnd w:id="20"/>
      <w:bookmarkEnd w:id="21"/>
      <w:bookmarkEnd w:id="22"/>
    </w:p>
    <w:sdt>
      <w:sdtPr>
        <w:rPr>
          <w:rFonts w:ascii="Times New Roman" w:hAnsi="Times New Roman"/>
          <w:sz w:val="21"/>
          <w:szCs w:val="21"/>
        </w:rPr>
        <w:id w:val="147453629"/>
        <w15:color w:val="DBDBDB"/>
        <w:docPartObj>
          <w:docPartGallery w:val="Table of Contents"/>
          <w:docPartUnique/>
        </w:docPartObj>
      </w:sdtPr>
      <w:sdtEndPr>
        <w:rPr>
          <w:sz w:val="22"/>
        </w:rPr>
      </w:sdtEndPr>
      <w:sdtContent>
        <w:p w14:paraId="514D346B" w14:textId="77777777" w:rsidR="000829EF" w:rsidRDefault="00000000">
          <w:pPr>
            <w:jc w:val="center"/>
            <w:rPr>
              <w:rFonts w:ascii="Times New Roman" w:hAnsi="Times New Roman" w:cstheme="minorBidi"/>
              <w:kern w:val="2"/>
              <w:sz w:val="21"/>
              <w14:ligatures w14:val="standardContextual"/>
            </w:rPr>
          </w:pPr>
          <w:r>
            <w:rPr>
              <w:rFonts w:ascii="Times New Roman" w:eastAsiaTheme="minorEastAsia" w:hAnsi="Times New Roman" w:cs="Times New Roman"/>
              <w:sz w:val="20"/>
              <w:szCs w:val="20"/>
            </w:rPr>
            <w:fldChar w:fldCharType="begin"/>
          </w:r>
          <w:r>
            <w:rPr>
              <w:rFonts w:ascii="Times New Roman" w:hAnsi="Times New Roman"/>
            </w:rPr>
            <w:instrText xml:space="preserve">TOC \o "1-1" \h \u </w:instrText>
          </w:r>
          <w:r>
            <w:rPr>
              <w:rFonts w:ascii="Times New Roman" w:eastAsiaTheme="minorEastAsia" w:hAnsi="Times New Roman" w:cs="Times New Roman"/>
              <w:sz w:val="20"/>
              <w:szCs w:val="20"/>
            </w:rPr>
            <w:fldChar w:fldCharType="separate"/>
          </w:r>
        </w:p>
        <w:p w14:paraId="19E0E043" w14:textId="77777777" w:rsidR="000829EF" w:rsidRDefault="00000000">
          <w:pPr>
            <w:pStyle w:val="TOC1"/>
            <w:rPr>
              <w:rFonts w:ascii="Times New Roman" w:hAnsi="Times New Roman" w:cstheme="minorBidi"/>
              <w:kern w:val="2"/>
              <w:sz w:val="21"/>
              <w:szCs w:val="21"/>
              <w14:ligatures w14:val="standardContextual"/>
            </w:rPr>
          </w:pPr>
          <w:hyperlink w:anchor="_Toc169081583" w:history="1">
            <w:r>
              <w:rPr>
                <w:rStyle w:val="afff6"/>
                <w:rFonts w:ascii="Times New Roman" w:hAnsi="Times New Roman"/>
                <w:sz w:val="21"/>
              </w:rPr>
              <w:t>前</w:t>
            </w:r>
            <w:r>
              <w:rPr>
                <w:rStyle w:val="afff6"/>
                <w:rFonts w:ascii="Times New Roman" w:hAnsi="Times New Roman"/>
                <w:sz w:val="21"/>
              </w:rPr>
              <w:t>  </w:t>
            </w:r>
            <w:r>
              <w:rPr>
                <w:rStyle w:val="afff6"/>
                <w:rFonts w:ascii="Times New Roman" w:hAnsi="Times New Roman"/>
                <w:sz w:val="21"/>
              </w:rPr>
              <w:t>言</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_Toc169081583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II</w:t>
            </w:r>
            <w:r>
              <w:rPr>
                <w:rFonts w:ascii="Times New Roman" w:hAnsi="Times New Roman"/>
                <w:sz w:val="21"/>
                <w:szCs w:val="21"/>
              </w:rPr>
              <w:fldChar w:fldCharType="end"/>
            </w:r>
          </w:hyperlink>
        </w:p>
        <w:p w14:paraId="630839B0" w14:textId="77777777" w:rsidR="000829EF" w:rsidRDefault="00000000">
          <w:pPr>
            <w:pStyle w:val="TOC1"/>
            <w:rPr>
              <w:rFonts w:ascii="Times New Roman" w:hAnsi="Times New Roman" w:cstheme="minorBidi"/>
              <w:kern w:val="2"/>
              <w:sz w:val="21"/>
              <w:szCs w:val="21"/>
              <w14:ligatures w14:val="standardContextual"/>
            </w:rPr>
          </w:pPr>
          <w:hyperlink w:anchor="_Toc169081584" w:history="1">
            <w:r>
              <w:rPr>
                <w:rStyle w:val="afff6"/>
                <w:rFonts w:ascii="Times New Roman" w:hAnsi="Times New Roman"/>
                <w:sz w:val="21"/>
              </w:rPr>
              <w:t>引</w:t>
            </w:r>
            <w:r>
              <w:rPr>
                <w:rStyle w:val="afff6"/>
                <w:rFonts w:ascii="Times New Roman" w:hAnsi="Times New Roman"/>
                <w:sz w:val="21"/>
              </w:rPr>
              <w:t>  </w:t>
            </w:r>
            <w:r>
              <w:rPr>
                <w:rStyle w:val="afff6"/>
                <w:rFonts w:ascii="Times New Roman" w:hAnsi="Times New Roman"/>
                <w:sz w:val="21"/>
              </w:rPr>
              <w:t>言</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_Toc169081584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III</w:t>
            </w:r>
            <w:r>
              <w:rPr>
                <w:rFonts w:ascii="Times New Roman" w:hAnsi="Times New Roman"/>
                <w:sz w:val="21"/>
                <w:szCs w:val="21"/>
              </w:rPr>
              <w:fldChar w:fldCharType="end"/>
            </w:r>
          </w:hyperlink>
        </w:p>
        <w:p w14:paraId="4D99FC7D" w14:textId="77777777" w:rsidR="000829EF" w:rsidRDefault="00000000">
          <w:pPr>
            <w:pStyle w:val="TOC1"/>
            <w:tabs>
              <w:tab w:val="left" w:pos="460"/>
            </w:tabs>
            <w:jc w:val="both"/>
            <w:rPr>
              <w:rFonts w:ascii="Times New Roman" w:hAnsi="Times New Roman" w:cstheme="minorBidi"/>
              <w:kern w:val="2"/>
              <w:sz w:val="21"/>
              <w:szCs w:val="21"/>
              <w14:ligatures w14:val="standardContextual"/>
            </w:rPr>
          </w:pPr>
          <w:hyperlink w:anchor="_Toc169081586" w:history="1">
            <w:r>
              <w:rPr>
                <w:rStyle w:val="afff6"/>
                <w:rFonts w:ascii="Times New Roman" w:hAnsi="Times New Roman"/>
                <w:sz w:val="21"/>
              </w:rPr>
              <w:t>1.</w:t>
            </w:r>
            <w:r>
              <w:rPr>
                <w:rStyle w:val="afff6"/>
                <w:rFonts w:ascii="Times New Roman" w:hAnsi="Times New Roman"/>
                <w:sz w:val="21"/>
              </w:rPr>
              <w:t>范围</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_Toc169081586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hyperlink>
        </w:p>
        <w:p w14:paraId="2778224D" w14:textId="77777777" w:rsidR="000829EF" w:rsidRDefault="00000000">
          <w:pPr>
            <w:pStyle w:val="TOC1"/>
            <w:tabs>
              <w:tab w:val="left" w:pos="1470"/>
            </w:tabs>
            <w:jc w:val="both"/>
            <w:rPr>
              <w:rFonts w:ascii="Times New Roman" w:hAnsi="Times New Roman" w:cstheme="minorBidi"/>
              <w:kern w:val="2"/>
              <w:sz w:val="21"/>
              <w:szCs w:val="21"/>
              <w14:ligatures w14:val="standardContextual"/>
            </w:rPr>
          </w:pPr>
          <w:hyperlink w:anchor="_Toc169081587" w:history="1">
            <w:r>
              <w:rPr>
                <w:rStyle w:val="afff6"/>
                <w:rFonts w:ascii="Times New Roman" w:hAnsi="Times New Roman"/>
                <w:sz w:val="21"/>
              </w:rPr>
              <w:t>2.</w:t>
            </w:r>
            <w:r>
              <w:rPr>
                <w:rStyle w:val="afff6"/>
                <w:rFonts w:ascii="Times New Roman" w:hAnsi="Times New Roman"/>
                <w:sz w:val="21"/>
              </w:rPr>
              <w:t>规范性引用文件</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_Toc169081587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hyperlink>
        </w:p>
        <w:p w14:paraId="46C8A41C" w14:textId="77777777" w:rsidR="000829EF" w:rsidRDefault="00000000">
          <w:pPr>
            <w:pStyle w:val="TOC1"/>
            <w:tabs>
              <w:tab w:val="left" w:pos="664"/>
            </w:tabs>
            <w:jc w:val="both"/>
            <w:rPr>
              <w:rFonts w:ascii="Times New Roman" w:hAnsi="Times New Roman" w:cstheme="minorBidi"/>
              <w:kern w:val="2"/>
              <w:sz w:val="21"/>
              <w:szCs w:val="21"/>
              <w14:ligatures w14:val="standardContextual"/>
            </w:rPr>
          </w:pPr>
          <w:hyperlink w:anchor="_Toc169081588" w:history="1">
            <w:r>
              <w:rPr>
                <w:rStyle w:val="afff6"/>
                <w:rFonts w:ascii="Times New Roman" w:hAnsi="Times New Roman"/>
                <w:sz w:val="21"/>
              </w:rPr>
              <w:t>3.</w:t>
            </w:r>
            <w:r>
              <w:rPr>
                <w:rStyle w:val="afff6"/>
                <w:rFonts w:ascii="Times New Roman" w:hAnsi="Times New Roman"/>
                <w:sz w:val="21"/>
              </w:rPr>
              <w:t>术语和定义</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_Toc169081588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hyperlink>
        </w:p>
        <w:p w14:paraId="1A4CB299" w14:textId="77777777" w:rsidR="000829EF" w:rsidRDefault="00000000">
          <w:pPr>
            <w:pStyle w:val="TOC1"/>
            <w:tabs>
              <w:tab w:val="left" w:pos="1072"/>
            </w:tabs>
            <w:jc w:val="both"/>
            <w:rPr>
              <w:rFonts w:ascii="Times New Roman" w:hAnsi="Times New Roman" w:cstheme="minorBidi"/>
              <w:kern w:val="2"/>
              <w:sz w:val="21"/>
              <w:szCs w:val="21"/>
              <w14:ligatures w14:val="standardContextual"/>
            </w:rPr>
          </w:pPr>
          <w:hyperlink w:anchor="_Toc169081589" w:history="1">
            <w:r>
              <w:rPr>
                <w:rStyle w:val="afff6"/>
                <w:rFonts w:ascii="Times New Roman" w:hAnsi="Times New Roman"/>
                <w:sz w:val="21"/>
              </w:rPr>
              <w:t>4.</w:t>
            </w:r>
            <w:r>
              <w:rPr>
                <w:rStyle w:val="afff6"/>
                <w:rFonts w:ascii="Times New Roman" w:hAnsi="Times New Roman"/>
                <w:sz w:val="21"/>
              </w:rPr>
              <w:t>指标设立原则</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_Toc169081589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hyperlink>
        </w:p>
        <w:p w14:paraId="0B6C44B1" w14:textId="77777777" w:rsidR="000829EF" w:rsidRDefault="00000000">
          <w:pPr>
            <w:pStyle w:val="TOC1"/>
            <w:tabs>
              <w:tab w:val="left" w:pos="1276"/>
            </w:tabs>
            <w:jc w:val="both"/>
            <w:rPr>
              <w:rFonts w:ascii="Times New Roman" w:hAnsi="Times New Roman" w:cstheme="minorBidi"/>
              <w:kern w:val="2"/>
              <w:sz w:val="21"/>
              <w:szCs w:val="21"/>
              <w14:ligatures w14:val="standardContextual"/>
            </w:rPr>
          </w:pPr>
          <w:hyperlink w:anchor="_Toc169081590" w:history="1">
            <w:r>
              <w:rPr>
                <w:rStyle w:val="afff6"/>
                <w:rFonts w:ascii="Times New Roman" w:hAnsi="Times New Roman"/>
                <w:sz w:val="21"/>
              </w:rPr>
              <w:t>5.</w:t>
            </w:r>
            <w:r>
              <w:rPr>
                <w:rStyle w:val="afff6"/>
                <w:rFonts w:ascii="Times New Roman" w:hAnsi="Times New Roman"/>
                <w:sz w:val="21"/>
              </w:rPr>
              <w:t>指标总体框架</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_Toc169081590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hyperlink>
        </w:p>
        <w:p w14:paraId="5393FB1D" w14:textId="77777777" w:rsidR="000829EF" w:rsidRDefault="00000000">
          <w:pPr>
            <w:pStyle w:val="TOC1"/>
            <w:tabs>
              <w:tab w:val="left" w:pos="1470"/>
            </w:tabs>
            <w:jc w:val="both"/>
            <w:rPr>
              <w:rFonts w:ascii="Times New Roman" w:hAnsi="Times New Roman" w:cstheme="minorBidi"/>
              <w:kern w:val="2"/>
              <w:sz w:val="21"/>
              <w:szCs w:val="21"/>
              <w14:ligatures w14:val="standardContextual"/>
            </w:rPr>
          </w:pPr>
          <w:hyperlink w:anchor="_Toc169081591" w:history="1">
            <w:r>
              <w:rPr>
                <w:rStyle w:val="afff6"/>
                <w:rFonts w:ascii="Times New Roman" w:hAnsi="Times New Roman"/>
                <w:sz w:val="21"/>
              </w:rPr>
              <w:t>6.</w:t>
            </w:r>
            <w:r>
              <w:rPr>
                <w:rStyle w:val="afff6"/>
                <w:rFonts w:ascii="Times New Roman" w:hAnsi="Times New Roman"/>
                <w:sz w:val="21"/>
              </w:rPr>
              <w:t>指标分类及描述</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_Toc169081591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hyperlink>
        </w:p>
        <w:p w14:paraId="6F1565F1" w14:textId="77777777" w:rsidR="000829EF" w:rsidRDefault="00000000">
          <w:pPr>
            <w:pStyle w:val="TOC1"/>
            <w:jc w:val="both"/>
            <w:rPr>
              <w:rFonts w:ascii="Times New Roman" w:hAnsi="Times New Roman" w:cstheme="minorBidi"/>
              <w:kern w:val="2"/>
              <w:sz w:val="21"/>
              <w:szCs w:val="21"/>
              <w14:ligatures w14:val="standardContextual"/>
            </w:rPr>
          </w:pPr>
          <w:hyperlink w:anchor="_Toc169081592" w:history="1">
            <w:r>
              <w:rPr>
                <w:rStyle w:val="afff6"/>
                <w:rFonts w:ascii="Times New Roman" w:hAnsi="Times New Roman"/>
                <w:sz w:val="21"/>
              </w:rPr>
              <w:t xml:space="preserve">附　录　</w:t>
            </w:r>
            <w:r>
              <w:rPr>
                <w:rStyle w:val="afff6"/>
                <w:rFonts w:ascii="Times New Roman" w:hAnsi="Times New Roman"/>
                <w:sz w:val="21"/>
              </w:rPr>
              <w:t xml:space="preserve">A </w:t>
            </w:r>
            <w:r>
              <w:rPr>
                <w:rStyle w:val="afff6"/>
                <w:rFonts w:ascii="Times New Roman" w:hAnsi="Times New Roman"/>
                <w:sz w:val="21"/>
              </w:rPr>
              <w:t>（资料性）</w:t>
            </w:r>
            <w:r>
              <w:rPr>
                <w:rStyle w:val="afff6"/>
                <w:rFonts w:ascii="Times New Roman" w:hAnsi="Times New Roman"/>
                <w:sz w:val="21"/>
              </w:rPr>
              <w:t xml:space="preserve"> </w:t>
            </w:r>
            <w:r>
              <w:rPr>
                <w:rStyle w:val="afff6"/>
                <w:rFonts w:ascii="Times New Roman" w:hAnsi="Times New Roman"/>
                <w:sz w:val="21"/>
              </w:rPr>
              <w:t>城市运行监测指标体系</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_Toc169081592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8</w:t>
            </w:r>
            <w:r>
              <w:rPr>
                <w:rFonts w:ascii="Times New Roman" w:hAnsi="Times New Roman"/>
                <w:sz w:val="21"/>
                <w:szCs w:val="21"/>
              </w:rPr>
              <w:fldChar w:fldCharType="end"/>
            </w:r>
          </w:hyperlink>
        </w:p>
        <w:p w14:paraId="22F4C9A9" w14:textId="77777777" w:rsidR="000829EF" w:rsidRDefault="00000000">
          <w:pPr>
            <w:pStyle w:val="TOC1"/>
            <w:jc w:val="both"/>
            <w:rPr>
              <w:rFonts w:ascii="Times New Roman" w:hAnsi="Times New Roman" w:cstheme="minorBidi"/>
              <w:kern w:val="2"/>
              <w:sz w:val="21"/>
              <w:szCs w:val="21"/>
              <w14:ligatures w14:val="standardContextual"/>
            </w:rPr>
          </w:pPr>
          <w:hyperlink w:anchor="_Toc169081593" w:history="1">
            <w:r>
              <w:rPr>
                <w:rStyle w:val="afff6"/>
                <w:rFonts w:ascii="Times New Roman" w:hAnsi="Times New Roman"/>
                <w:sz w:val="21"/>
              </w:rPr>
              <w:t>参考文献</w:t>
            </w:r>
            <w:r>
              <w:rPr>
                <w:rFonts w:ascii="Times New Roman" w:hAnsi="Times New Roman"/>
                <w:sz w:val="21"/>
                <w:szCs w:val="21"/>
              </w:rPr>
              <w:tab/>
            </w:r>
            <w:r>
              <w:rPr>
                <w:rFonts w:ascii="Times New Roman" w:hAnsi="Times New Roman"/>
                <w:sz w:val="21"/>
                <w:szCs w:val="21"/>
              </w:rPr>
              <w:fldChar w:fldCharType="begin"/>
            </w:r>
            <w:r>
              <w:rPr>
                <w:rFonts w:ascii="Times New Roman" w:hAnsi="Times New Roman"/>
                <w:sz w:val="21"/>
                <w:szCs w:val="21"/>
              </w:rPr>
              <w:instrText xml:space="preserve"> PAGEREF _Toc169081593 \h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sz w:val="21"/>
                <w:szCs w:val="21"/>
              </w:rPr>
              <w:t>11</w:t>
            </w:r>
            <w:r>
              <w:rPr>
                <w:rFonts w:ascii="Times New Roman" w:hAnsi="Times New Roman"/>
                <w:sz w:val="21"/>
                <w:szCs w:val="21"/>
              </w:rPr>
              <w:fldChar w:fldCharType="end"/>
            </w:r>
          </w:hyperlink>
        </w:p>
        <w:p w14:paraId="23E91CA8" w14:textId="77777777" w:rsidR="000829EF" w:rsidRDefault="00000000">
          <w:pPr>
            <w:pStyle w:val="TOC2"/>
            <w:rPr>
              <w:rFonts w:ascii="Times New Roman" w:hAnsi="Times New Roman"/>
            </w:rPr>
          </w:pPr>
          <w:r>
            <w:rPr>
              <w:rFonts w:ascii="Times New Roman" w:hAnsi="Times New Roman"/>
            </w:rPr>
            <w:fldChar w:fldCharType="end"/>
          </w:r>
        </w:p>
      </w:sdtContent>
    </w:sdt>
    <w:p w14:paraId="40FD1EB7" w14:textId="77777777" w:rsidR="000829EF" w:rsidRDefault="00000000">
      <w:pPr>
        <w:pStyle w:val="affffff3"/>
        <w:tabs>
          <w:tab w:val="left" w:pos="1105"/>
          <w:tab w:val="center" w:pos="4677"/>
        </w:tabs>
        <w:jc w:val="left"/>
        <w:rPr>
          <w:rFonts w:ascii="Times New Roman"/>
        </w:rPr>
      </w:pPr>
      <w:bookmarkStart w:id="23" w:name="_Toc17878125"/>
      <w:r>
        <w:rPr>
          <w:rFonts w:ascii="Times New Roman"/>
        </w:rPr>
        <w:lastRenderedPageBreak/>
        <w:tab/>
      </w:r>
      <w:r>
        <w:rPr>
          <w:rFonts w:ascii="Times New Roman"/>
        </w:rPr>
        <w:tab/>
      </w:r>
      <w:bookmarkStart w:id="24" w:name="_Toc119499887"/>
      <w:bookmarkStart w:id="25" w:name="_Toc145434022"/>
      <w:bookmarkStart w:id="26" w:name="_Toc169081583"/>
      <w:r>
        <w:rPr>
          <w:rFonts w:ascii="Times New Roman" w:hint="eastAsia"/>
        </w:rPr>
        <w:t>前</w:t>
      </w:r>
      <w:bookmarkStart w:id="27" w:name="BKQY"/>
      <w:r>
        <w:rPr>
          <w:rFonts w:ascii="Times New Roman"/>
        </w:rPr>
        <w:t>  </w:t>
      </w:r>
      <w:r>
        <w:rPr>
          <w:rFonts w:ascii="Times New Roman" w:hint="eastAsia"/>
        </w:rPr>
        <w:t>言</w:t>
      </w:r>
      <w:bookmarkEnd w:id="23"/>
      <w:bookmarkEnd w:id="24"/>
      <w:bookmarkEnd w:id="25"/>
      <w:bookmarkEnd w:id="26"/>
      <w:bookmarkEnd w:id="27"/>
    </w:p>
    <w:p w14:paraId="49902979" w14:textId="77777777" w:rsidR="000829EF" w:rsidRDefault="00000000">
      <w:pPr>
        <w:pStyle w:val="affc"/>
        <w:rPr>
          <w:rFonts w:ascii="Times New Roman"/>
        </w:rPr>
      </w:pPr>
      <w:r>
        <w:rPr>
          <w:rFonts w:ascii="Times New Roman" w:hint="eastAsia"/>
        </w:rPr>
        <w:t>本文件按照</w:t>
      </w:r>
      <w:r>
        <w:rPr>
          <w:rFonts w:ascii="Times New Roman"/>
        </w:rPr>
        <w:t>GB/T 1.1—2020</w:t>
      </w:r>
      <w:r>
        <w:rPr>
          <w:rFonts w:ascii="Times New Roman"/>
        </w:rPr>
        <w:t>《标准化工作导则</w:t>
      </w:r>
      <w:r>
        <w:rPr>
          <w:rFonts w:ascii="Times New Roman"/>
        </w:rPr>
        <w:t xml:space="preserve"> </w:t>
      </w:r>
      <w:r>
        <w:rPr>
          <w:rFonts w:ascii="Times New Roman"/>
        </w:rPr>
        <w:t>第</w:t>
      </w:r>
      <w:r>
        <w:rPr>
          <w:rFonts w:ascii="Times New Roman"/>
        </w:rPr>
        <w:t>1</w:t>
      </w:r>
      <w:r>
        <w:rPr>
          <w:rFonts w:ascii="Times New Roman"/>
        </w:rPr>
        <w:t>部分：标准化文件的结构和起草规则》的规定起草。</w:t>
      </w:r>
    </w:p>
    <w:p w14:paraId="3A93DC60" w14:textId="77777777" w:rsidR="000829EF" w:rsidRDefault="00000000">
      <w:pPr>
        <w:pStyle w:val="affc"/>
        <w:rPr>
          <w:rFonts w:ascii="Times New Roman"/>
        </w:rPr>
      </w:pPr>
      <w:r>
        <w:rPr>
          <w:rFonts w:ascii="Times New Roman" w:hint="eastAsia"/>
        </w:rPr>
        <w:t>请注意本文件的某些内容可能涉及专利。本文件的发布机构不承担识别专利的责任。</w:t>
      </w:r>
    </w:p>
    <w:p w14:paraId="557A2B69" w14:textId="68D24B20" w:rsidR="000829EF" w:rsidRDefault="00000000">
      <w:pPr>
        <w:pStyle w:val="affc"/>
        <w:rPr>
          <w:rFonts w:ascii="Times New Roman"/>
        </w:rPr>
      </w:pPr>
      <w:r>
        <w:rPr>
          <w:rFonts w:ascii="Times New Roman" w:hint="eastAsia"/>
        </w:rPr>
        <w:t>本文件由北京市</w:t>
      </w:r>
      <w:r w:rsidR="00754DC5">
        <w:rPr>
          <w:rFonts w:ascii="Times New Roman" w:hint="eastAsia"/>
        </w:rPr>
        <w:t>经济和信息化</w:t>
      </w:r>
      <w:r>
        <w:rPr>
          <w:rFonts w:ascii="Times New Roman" w:hint="eastAsia"/>
        </w:rPr>
        <w:t>局提出。</w:t>
      </w:r>
    </w:p>
    <w:p w14:paraId="4AE0417F" w14:textId="243D4A66" w:rsidR="000829EF" w:rsidRDefault="00000000">
      <w:pPr>
        <w:pStyle w:val="affc"/>
        <w:rPr>
          <w:rFonts w:ascii="Times New Roman"/>
        </w:rPr>
      </w:pPr>
      <w:r>
        <w:rPr>
          <w:rFonts w:ascii="Times New Roman" w:hint="eastAsia"/>
        </w:rPr>
        <w:t>本文件由北京市政务服务和数据管理局</w:t>
      </w:r>
      <w:r w:rsidR="00754DC5">
        <w:rPr>
          <w:rFonts w:ascii="Times New Roman" w:hint="eastAsia"/>
        </w:rPr>
        <w:t>归口并</w:t>
      </w:r>
      <w:r>
        <w:rPr>
          <w:rFonts w:ascii="Times New Roman" w:hint="eastAsia"/>
        </w:rPr>
        <w:t>组织实施。</w:t>
      </w:r>
    </w:p>
    <w:p w14:paraId="183D83A0" w14:textId="77777777" w:rsidR="000829EF" w:rsidRDefault="00000000">
      <w:pPr>
        <w:pStyle w:val="affc"/>
        <w:rPr>
          <w:rFonts w:ascii="Times New Roman"/>
        </w:rPr>
      </w:pPr>
      <w:r>
        <w:rPr>
          <w:rFonts w:ascii="Times New Roman" w:hint="eastAsia"/>
        </w:rPr>
        <w:t>本文件起草单位：北京市大数据中心、中关村科学城城市大脑股份有限公司、</w:t>
      </w:r>
      <w:proofErr w:type="gramStart"/>
      <w:r>
        <w:rPr>
          <w:rFonts w:ascii="Times New Roman" w:hint="eastAsia"/>
        </w:rPr>
        <w:t>中电云计算技术</w:t>
      </w:r>
      <w:proofErr w:type="gramEnd"/>
      <w:r>
        <w:rPr>
          <w:rFonts w:ascii="Times New Roman" w:hint="eastAsia"/>
        </w:rPr>
        <w:t>有限公司、北京数梦工场科技有限公司。</w:t>
      </w:r>
    </w:p>
    <w:p w14:paraId="0AEF467A" w14:textId="77777777" w:rsidR="000829EF" w:rsidRDefault="00000000">
      <w:pPr>
        <w:pStyle w:val="affc"/>
        <w:rPr>
          <w:rFonts w:ascii="Times New Roman"/>
        </w:rPr>
      </w:pPr>
      <w:r>
        <w:rPr>
          <w:rFonts w:ascii="Times New Roman" w:hint="eastAsia"/>
        </w:rPr>
        <w:t>本文件主要起草人：</w:t>
      </w:r>
    </w:p>
    <w:p w14:paraId="186F7663" w14:textId="77777777" w:rsidR="000829EF" w:rsidRDefault="00000000">
      <w:pPr>
        <w:pStyle w:val="affffff3"/>
        <w:tabs>
          <w:tab w:val="left" w:pos="653"/>
          <w:tab w:val="center" w:pos="4677"/>
        </w:tabs>
        <w:jc w:val="left"/>
        <w:rPr>
          <w:rFonts w:ascii="Times New Roman"/>
        </w:rPr>
      </w:pPr>
      <w:bookmarkStart w:id="28" w:name="_Toc17878126"/>
      <w:r>
        <w:rPr>
          <w:rFonts w:ascii="Times New Roman"/>
        </w:rPr>
        <w:lastRenderedPageBreak/>
        <w:tab/>
      </w:r>
      <w:r>
        <w:rPr>
          <w:rFonts w:ascii="Times New Roman"/>
        </w:rPr>
        <w:tab/>
      </w:r>
      <w:bookmarkStart w:id="29" w:name="_Toc119499888"/>
      <w:bookmarkStart w:id="30" w:name="_Toc145434023"/>
      <w:bookmarkStart w:id="31" w:name="_Toc169081584"/>
      <w:r>
        <w:rPr>
          <w:rFonts w:ascii="Times New Roman" w:hint="eastAsia"/>
        </w:rPr>
        <w:t>引</w:t>
      </w:r>
      <w:bookmarkStart w:id="32" w:name="BKYY"/>
      <w:r>
        <w:rPr>
          <w:rFonts w:ascii="Times New Roman"/>
        </w:rPr>
        <w:t>  </w:t>
      </w:r>
      <w:r>
        <w:rPr>
          <w:rFonts w:ascii="Times New Roman" w:hint="eastAsia"/>
        </w:rPr>
        <w:t>言</w:t>
      </w:r>
      <w:bookmarkEnd w:id="28"/>
      <w:bookmarkEnd w:id="29"/>
      <w:bookmarkEnd w:id="30"/>
      <w:bookmarkEnd w:id="31"/>
      <w:bookmarkEnd w:id="32"/>
    </w:p>
    <w:p w14:paraId="071D730F" w14:textId="77777777" w:rsidR="000829EF" w:rsidRDefault="00000000">
      <w:pPr>
        <w:pStyle w:val="affc"/>
        <w:rPr>
          <w:rFonts w:ascii="Times New Roman"/>
        </w:rPr>
      </w:pPr>
      <w:r>
        <w:rPr>
          <w:rFonts w:ascii="Times New Roman" w:hint="eastAsia"/>
        </w:rPr>
        <w:t>为建立一套科学、系统、客观的城市运行监测指标体系，</w:t>
      </w:r>
      <w:r>
        <w:rPr>
          <w:rFonts w:ascii="Times New Roman"/>
        </w:rPr>
        <w:t>综合</w:t>
      </w:r>
      <w:r>
        <w:rPr>
          <w:rFonts w:ascii="Times New Roman" w:hint="eastAsia"/>
        </w:rPr>
        <w:t>反映城市各行业领域发展和运行情况，本文件立足于北京市智慧城市建设总体</w:t>
      </w:r>
      <w:r>
        <w:rPr>
          <w:rFonts w:ascii="Times New Roman"/>
        </w:rPr>
        <w:t>框架及有关</w:t>
      </w:r>
      <w:r>
        <w:rPr>
          <w:rFonts w:ascii="Times New Roman" w:hint="eastAsia"/>
        </w:rPr>
        <w:t>要求，围绕各级决策“一网慧治”建设总体目标，结合市级政务部门</w:t>
      </w:r>
      <w:r>
        <w:rPr>
          <w:rFonts w:ascii="Times New Roman"/>
        </w:rPr>
        <w:t>主要职责及</w:t>
      </w:r>
      <w:r>
        <w:rPr>
          <w:rFonts w:ascii="Times New Roman" w:hint="eastAsia"/>
        </w:rPr>
        <w:t>核心业务数据，梳理归纳了一套适用于北京市的城市运行监测指标体系</w:t>
      </w:r>
      <w:r>
        <w:rPr>
          <w:rFonts w:ascii="Times New Roman"/>
        </w:rPr>
        <w:t>框架</w:t>
      </w:r>
      <w:r>
        <w:rPr>
          <w:rFonts w:ascii="Times New Roman" w:hint="eastAsia"/>
        </w:rPr>
        <w:t>，</w:t>
      </w:r>
      <w:r>
        <w:rPr>
          <w:rFonts w:ascii="Times New Roman"/>
        </w:rPr>
        <w:t>用于承载和管理各类城市运行指标，</w:t>
      </w:r>
      <w:r>
        <w:rPr>
          <w:rFonts w:ascii="Times New Roman" w:hint="eastAsia"/>
        </w:rPr>
        <w:t>为构建以</w:t>
      </w:r>
      <w:r>
        <w:rPr>
          <w:rFonts w:ascii="Times New Roman"/>
        </w:rPr>
        <w:t>动态监测</w:t>
      </w:r>
      <w:r>
        <w:rPr>
          <w:rFonts w:ascii="Times New Roman" w:hint="eastAsia"/>
        </w:rPr>
        <w:t>、</w:t>
      </w:r>
      <w:r>
        <w:rPr>
          <w:rFonts w:ascii="Times New Roman"/>
        </w:rPr>
        <w:t>精细管理</w:t>
      </w:r>
      <w:r>
        <w:rPr>
          <w:rFonts w:ascii="Times New Roman" w:hint="eastAsia"/>
        </w:rPr>
        <w:t>、高效决策等为核心的城市运行管理与决策支撑应用体系提供数字</w:t>
      </w:r>
      <w:r>
        <w:rPr>
          <w:rFonts w:ascii="Times New Roman"/>
        </w:rPr>
        <w:t>基础支撑</w:t>
      </w:r>
      <w:r>
        <w:rPr>
          <w:rFonts w:ascii="Times New Roman" w:hint="eastAsia"/>
        </w:rPr>
        <w:t>。</w:t>
      </w:r>
    </w:p>
    <w:p w14:paraId="0FD3B7AE" w14:textId="77777777" w:rsidR="000829EF" w:rsidRDefault="000829EF">
      <w:pPr>
        <w:pStyle w:val="affc"/>
        <w:rPr>
          <w:rFonts w:ascii="Times New Roman"/>
        </w:rPr>
        <w:sectPr w:rsidR="000829EF">
          <w:headerReference w:type="even" r:id="rId11"/>
          <w:headerReference w:type="default" r:id="rId12"/>
          <w:footerReference w:type="even" r:id="rId13"/>
          <w:footerReference w:type="default" r:id="rId14"/>
          <w:pgSz w:w="11906" w:h="16838"/>
          <w:pgMar w:top="567" w:right="1134" w:bottom="1134" w:left="1417" w:header="1418" w:footer="1134" w:gutter="0"/>
          <w:pgNumType w:fmt="upperRoman" w:start="1"/>
          <w:cols w:space="425"/>
          <w:formProt w:val="0"/>
          <w:docGrid w:type="lines" w:linePitch="312"/>
        </w:sectPr>
      </w:pPr>
    </w:p>
    <w:bookmarkStart w:id="33" w:name="_Toc166831806"/>
    <w:bookmarkStart w:id="34" w:name="_Toc20663"/>
    <w:bookmarkStart w:id="35" w:name="_Toc145434024"/>
    <w:bookmarkStart w:id="36" w:name="_Toc169081585"/>
    <w:bookmarkStart w:id="37" w:name="_Toc119499889"/>
    <w:bookmarkStart w:id="38" w:name="_Toc119482985"/>
    <w:p w14:paraId="483A4EA6" w14:textId="77777777" w:rsidR="000829EF" w:rsidRDefault="00000000">
      <w:pPr>
        <w:pStyle w:val="afffffff3"/>
        <w:rPr>
          <w:rFonts w:ascii="Times New Roman" w:hAnsi="Times New Roman"/>
        </w:rPr>
      </w:pPr>
      <w:sdt>
        <w:sdtPr>
          <w:rPr>
            <w:rFonts w:ascii="Times New Roman" w:hAnsi="Times New Roman"/>
          </w:rPr>
          <w:alias w:val="标准名称"/>
          <w:tag w:val="标准名称"/>
          <w:id w:val="1795105741"/>
          <w:lock w:val="sdtLocked"/>
          <w:placeholder>
            <w:docPart w:val="111"/>
          </w:placeholder>
          <w:text w:multiLine="1"/>
        </w:sdtPr>
        <w:sdtContent>
          <w:r>
            <w:rPr>
              <w:rFonts w:ascii="Times New Roman" w:hAnsi="Times New Roman" w:hint="eastAsia"/>
            </w:rPr>
            <w:t>城市运行监测指标体系</w:t>
          </w:r>
        </w:sdtContent>
      </w:sdt>
      <w:bookmarkStart w:id="39" w:name="StandardName"/>
      <w:bookmarkEnd w:id="33"/>
      <w:bookmarkEnd w:id="34"/>
      <w:bookmarkEnd w:id="35"/>
      <w:bookmarkEnd w:id="36"/>
      <w:bookmarkEnd w:id="37"/>
      <w:bookmarkEnd w:id="38"/>
      <w:bookmarkEnd w:id="39"/>
    </w:p>
    <w:p w14:paraId="7FE8183B" w14:textId="77777777" w:rsidR="000829EF" w:rsidRDefault="00000000">
      <w:pPr>
        <w:pStyle w:val="afffc"/>
        <w:numPr>
          <w:ilvl w:val="0"/>
          <w:numId w:val="17"/>
        </w:numPr>
        <w:spacing w:before="312" w:after="312"/>
        <w:ind w:left="0" w:firstLine="0"/>
        <w:jc w:val="left"/>
        <w:outlineLvl w:val="0"/>
        <w:rPr>
          <w:rFonts w:ascii="Times New Roman"/>
        </w:rPr>
      </w:pPr>
      <w:bookmarkStart w:id="40" w:name="_Toc17878127"/>
      <w:bookmarkStart w:id="41" w:name="_Toc145434025"/>
      <w:bookmarkStart w:id="42" w:name="_Toc119499890"/>
      <w:bookmarkStart w:id="43" w:name="_Toc169081586"/>
      <w:r>
        <w:rPr>
          <w:rFonts w:ascii="Times New Roman" w:hint="eastAsia"/>
        </w:rPr>
        <w:t>范围</w:t>
      </w:r>
      <w:bookmarkEnd w:id="40"/>
      <w:bookmarkEnd w:id="41"/>
      <w:bookmarkEnd w:id="42"/>
      <w:bookmarkEnd w:id="43"/>
    </w:p>
    <w:p w14:paraId="05F69F26" w14:textId="77777777" w:rsidR="000829EF" w:rsidRDefault="00000000">
      <w:pPr>
        <w:pStyle w:val="affc"/>
        <w:rPr>
          <w:rFonts w:ascii="Times New Roman"/>
        </w:rPr>
      </w:pPr>
      <w:r>
        <w:rPr>
          <w:rFonts w:ascii="Times New Roman" w:hint="eastAsia"/>
        </w:rPr>
        <w:t>本文件规定了北京市城市运行监测指标体系的术语及定义、指标设立原则、指标总体框架、指标分类及描述等内容。</w:t>
      </w:r>
    </w:p>
    <w:p w14:paraId="61443744" w14:textId="77777777" w:rsidR="000829EF" w:rsidRDefault="00000000">
      <w:pPr>
        <w:pStyle w:val="affc"/>
        <w:rPr>
          <w:rFonts w:ascii="Times New Roman"/>
        </w:rPr>
      </w:pPr>
      <w:r>
        <w:rPr>
          <w:rFonts w:ascii="Times New Roman" w:hint="eastAsia"/>
        </w:rPr>
        <w:t>本文件适用于北京市及下辖行政区的城市运行监测指标设立和分类管理，也适用于北京市“一网慧治”</w:t>
      </w:r>
      <w:r>
        <w:rPr>
          <w:rFonts w:ascii="Times New Roman"/>
        </w:rPr>
        <w:t>有</w:t>
      </w:r>
      <w:r>
        <w:rPr>
          <w:rFonts w:ascii="Times New Roman" w:hint="eastAsia"/>
        </w:rPr>
        <w:t>关数据资源管理</w:t>
      </w:r>
      <w:r>
        <w:rPr>
          <w:rFonts w:ascii="Times New Roman"/>
        </w:rPr>
        <w:t>和使用</w:t>
      </w:r>
      <w:r>
        <w:rPr>
          <w:rFonts w:ascii="Times New Roman" w:hint="eastAsia"/>
        </w:rPr>
        <w:t>。</w:t>
      </w:r>
    </w:p>
    <w:p w14:paraId="110909F7" w14:textId="77777777" w:rsidR="000829EF" w:rsidRDefault="00000000">
      <w:pPr>
        <w:pStyle w:val="afffc"/>
        <w:numPr>
          <w:ilvl w:val="0"/>
          <w:numId w:val="17"/>
        </w:numPr>
        <w:spacing w:before="312" w:after="312"/>
        <w:ind w:left="0" w:firstLine="0"/>
        <w:jc w:val="left"/>
        <w:outlineLvl w:val="0"/>
        <w:rPr>
          <w:rFonts w:ascii="Times New Roman"/>
        </w:rPr>
      </w:pPr>
      <w:bookmarkStart w:id="44" w:name="_Toc169081587"/>
      <w:bookmarkStart w:id="45" w:name="_Toc119499891"/>
      <w:bookmarkStart w:id="46" w:name="_Toc17878128"/>
      <w:bookmarkStart w:id="47" w:name="_Toc145434026"/>
      <w:r>
        <w:rPr>
          <w:rFonts w:ascii="Times New Roman" w:hint="eastAsia"/>
        </w:rPr>
        <w:t>规范性引用文件</w:t>
      </w:r>
      <w:bookmarkEnd w:id="44"/>
      <w:bookmarkEnd w:id="45"/>
      <w:bookmarkEnd w:id="46"/>
      <w:bookmarkEnd w:id="47"/>
    </w:p>
    <w:p w14:paraId="22D00F8A" w14:textId="77777777" w:rsidR="000829EF" w:rsidRDefault="00000000">
      <w:pPr>
        <w:pStyle w:val="affc"/>
        <w:rPr>
          <w:rFonts w:ascii="Times New Roman"/>
        </w:rPr>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2F0ED90" w14:textId="77777777" w:rsidR="000829EF" w:rsidRDefault="00000000">
      <w:pPr>
        <w:pStyle w:val="affc"/>
        <w:rPr>
          <w:rFonts w:ascii="Times New Roman"/>
        </w:rPr>
      </w:pPr>
      <w:r>
        <w:rPr>
          <w:rFonts w:ascii="Times New Roman"/>
        </w:rPr>
        <w:t xml:space="preserve">GB/T 7027 </w:t>
      </w:r>
      <w:r>
        <w:rPr>
          <w:rFonts w:ascii="Times New Roman"/>
        </w:rPr>
        <w:t>信息分类和编码的基本原则与方法</w:t>
      </w:r>
    </w:p>
    <w:p w14:paraId="0FD66B48" w14:textId="77777777" w:rsidR="000829EF" w:rsidRDefault="00000000">
      <w:pPr>
        <w:pStyle w:val="affc"/>
        <w:rPr>
          <w:rFonts w:ascii="Times New Roman"/>
        </w:rPr>
      </w:pPr>
      <w:r>
        <w:rPr>
          <w:rFonts w:ascii="Times New Roman"/>
        </w:rPr>
        <w:t xml:space="preserve">GB/T 43048-2023 </w:t>
      </w:r>
      <w:r>
        <w:rPr>
          <w:rFonts w:ascii="Times New Roman"/>
        </w:rPr>
        <w:t>智慧城市</w:t>
      </w:r>
      <w:r>
        <w:rPr>
          <w:rFonts w:ascii="Times New Roman"/>
        </w:rPr>
        <w:t xml:space="preserve"> </w:t>
      </w:r>
      <w:r>
        <w:rPr>
          <w:rFonts w:ascii="Times New Roman"/>
        </w:rPr>
        <w:t>城市运行指标体系</w:t>
      </w:r>
      <w:r>
        <w:rPr>
          <w:rFonts w:ascii="Times New Roman"/>
        </w:rPr>
        <w:t xml:space="preserve"> </w:t>
      </w:r>
      <w:r>
        <w:rPr>
          <w:rFonts w:ascii="Times New Roman"/>
        </w:rPr>
        <w:t>总体框架</w:t>
      </w:r>
    </w:p>
    <w:p w14:paraId="2FDE64F3" w14:textId="77777777" w:rsidR="000829EF" w:rsidRDefault="00000000">
      <w:pPr>
        <w:pStyle w:val="affc"/>
        <w:rPr>
          <w:rFonts w:ascii="Times New Roman"/>
        </w:rPr>
      </w:pPr>
      <w:r>
        <w:rPr>
          <w:rFonts w:ascii="Times New Roman"/>
        </w:rPr>
        <w:t xml:space="preserve">GB/T 30428.2-2013 </w:t>
      </w:r>
      <w:r>
        <w:rPr>
          <w:rFonts w:ascii="Times New Roman"/>
        </w:rPr>
        <w:t>数字化城市管理信息系统第</w:t>
      </w:r>
      <w:r>
        <w:rPr>
          <w:rFonts w:ascii="Times New Roman"/>
        </w:rPr>
        <w:t>2</w:t>
      </w:r>
      <w:r>
        <w:rPr>
          <w:rFonts w:ascii="Times New Roman"/>
        </w:rPr>
        <w:t>部分</w:t>
      </w:r>
      <w:r>
        <w:rPr>
          <w:rFonts w:ascii="Times New Roman" w:hint="eastAsia"/>
        </w:rPr>
        <w:t>：</w:t>
      </w:r>
      <w:r>
        <w:rPr>
          <w:rFonts w:ascii="Times New Roman"/>
        </w:rPr>
        <w:t>管理部件和事件</w:t>
      </w:r>
    </w:p>
    <w:p w14:paraId="01D3962C" w14:textId="77777777" w:rsidR="000829EF" w:rsidRDefault="00000000">
      <w:pPr>
        <w:pStyle w:val="affc"/>
        <w:rPr>
          <w:rFonts w:ascii="Times New Roman"/>
        </w:rPr>
      </w:pPr>
      <w:r>
        <w:rPr>
          <w:rFonts w:ascii="Times New Roman"/>
        </w:rPr>
        <w:t xml:space="preserve">CJ/T552-2023 </w:t>
      </w:r>
      <w:r>
        <w:rPr>
          <w:rFonts w:ascii="Times New Roman"/>
        </w:rPr>
        <w:t>城市运行管理服务平台</w:t>
      </w:r>
      <w:r>
        <w:rPr>
          <w:rFonts w:ascii="Times New Roman"/>
        </w:rPr>
        <w:t xml:space="preserve"> </w:t>
      </w:r>
      <w:r>
        <w:rPr>
          <w:rFonts w:ascii="Times New Roman"/>
        </w:rPr>
        <w:t>运行监测指标及评价标准</w:t>
      </w:r>
    </w:p>
    <w:p w14:paraId="2D34CBEF" w14:textId="77777777" w:rsidR="000829EF" w:rsidRDefault="00000000">
      <w:pPr>
        <w:pStyle w:val="affc"/>
        <w:rPr>
          <w:rFonts w:ascii="Times New Roman"/>
        </w:rPr>
      </w:pPr>
      <w:r>
        <w:rPr>
          <w:rFonts w:ascii="Times New Roman"/>
        </w:rPr>
        <w:t xml:space="preserve">DB11/T932-2021 </w:t>
      </w:r>
      <w:r>
        <w:rPr>
          <w:rFonts w:ascii="Times New Roman"/>
        </w:rPr>
        <w:t>数字化城市管理信息系统部件和事件处置</w:t>
      </w:r>
    </w:p>
    <w:p w14:paraId="5D806146" w14:textId="77777777" w:rsidR="000829EF" w:rsidRDefault="00000000">
      <w:pPr>
        <w:pStyle w:val="afffc"/>
        <w:numPr>
          <w:ilvl w:val="0"/>
          <w:numId w:val="17"/>
        </w:numPr>
        <w:spacing w:before="312" w:after="312"/>
        <w:ind w:left="0" w:firstLine="0"/>
        <w:jc w:val="left"/>
        <w:outlineLvl w:val="0"/>
        <w:rPr>
          <w:rFonts w:ascii="Times New Roman"/>
        </w:rPr>
      </w:pPr>
      <w:bookmarkStart w:id="48" w:name="_Toc169081588"/>
      <w:r>
        <w:rPr>
          <w:rFonts w:ascii="Times New Roman" w:hint="eastAsia"/>
        </w:rPr>
        <w:t>术语</w:t>
      </w:r>
      <w:r>
        <w:rPr>
          <w:rFonts w:ascii="Times New Roman"/>
        </w:rPr>
        <w:t>和定义</w:t>
      </w:r>
      <w:bookmarkEnd w:id="48"/>
    </w:p>
    <w:p w14:paraId="212095EB" w14:textId="77777777" w:rsidR="000829EF" w:rsidRDefault="00000000">
      <w:pPr>
        <w:pStyle w:val="affc"/>
        <w:rPr>
          <w:rFonts w:ascii="Times New Roman"/>
        </w:rPr>
      </w:pPr>
      <w:r>
        <w:rPr>
          <w:rFonts w:ascii="Times New Roman" w:hint="eastAsia"/>
        </w:rPr>
        <w:t>下列</w:t>
      </w:r>
      <w:r>
        <w:rPr>
          <w:rFonts w:ascii="Times New Roman"/>
        </w:rPr>
        <w:t>术语和定义适用于本文件。</w:t>
      </w:r>
    </w:p>
    <w:p w14:paraId="7A2429E4" w14:textId="77777777" w:rsidR="000829EF" w:rsidRDefault="000829EF">
      <w:pPr>
        <w:pStyle w:val="afffc"/>
        <w:numPr>
          <w:ilvl w:val="1"/>
          <w:numId w:val="18"/>
        </w:numPr>
        <w:spacing w:beforeLines="50" w:before="156" w:afterLines="50" w:after="156"/>
        <w:jc w:val="left"/>
        <w:outlineLvl w:val="2"/>
        <w:rPr>
          <w:rFonts w:ascii="Times New Roman"/>
        </w:rPr>
      </w:pPr>
    </w:p>
    <w:p w14:paraId="586801A5" w14:textId="77777777" w:rsidR="000829EF" w:rsidRDefault="00000000">
      <w:pPr>
        <w:pStyle w:val="afffc"/>
        <w:numPr>
          <w:ilvl w:val="255"/>
          <w:numId w:val="0"/>
        </w:numPr>
        <w:spacing w:beforeLines="50" w:before="156" w:afterLines="50" w:after="156"/>
        <w:ind w:firstLineChars="200" w:firstLine="420"/>
        <w:jc w:val="left"/>
        <w:outlineLvl w:val="2"/>
        <w:rPr>
          <w:rFonts w:ascii="Times New Roman"/>
        </w:rPr>
      </w:pPr>
      <w:r>
        <w:rPr>
          <w:rFonts w:ascii="Times New Roman" w:hint="eastAsia"/>
        </w:rPr>
        <w:t>城市运行监测指标</w:t>
      </w:r>
      <w:r>
        <w:rPr>
          <w:rFonts w:ascii="Times New Roman" w:hint="eastAsia"/>
        </w:rPr>
        <w:t xml:space="preserve"> city</w:t>
      </w:r>
      <w:r>
        <w:rPr>
          <w:rFonts w:ascii="Times New Roman"/>
        </w:rPr>
        <w:t xml:space="preserve"> operation indicator</w:t>
      </w:r>
    </w:p>
    <w:p w14:paraId="2913ED7C" w14:textId="77777777" w:rsidR="000829EF" w:rsidRDefault="00000000">
      <w:pPr>
        <w:pStyle w:val="affc"/>
        <w:rPr>
          <w:rFonts w:ascii="Times New Roman"/>
        </w:rPr>
      </w:pPr>
      <w:r>
        <w:rPr>
          <w:rFonts w:ascii="Times New Roman" w:hint="eastAsia"/>
        </w:rPr>
        <w:t>城市各</w:t>
      </w:r>
      <w:r>
        <w:rPr>
          <w:rFonts w:ascii="Times New Roman"/>
        </w:rPr>
        <w:t>部门及</w:t>
      </w:r>
      <w:r>
        <w:rPr>
          <w:rFonts w:ascii="Times New Roman" w:hint="eastAsia"/>
        </w:rPr>
        <w:t>行业领域运行管理过程中</w:t>
      </w:r>
      <w:r>
        <w:rPr>
          <w:rFonts w:ascii="Times New Roman"/>
        </w:rPr>
        <w:t>，</w:t>
      </w:r>
      <w:r>
        <w:rPr>
          <w:rFonts w:ascii="Times New Roman" w:hint="eastAsia"/>
        </w:rPr>
        <w:t>可以</w:t>
      </w:r>
      <w:r>
        <w:rPr>
          <w:rFonts w:ascii="Times New Roman"/>
        </w:rPr>
        <w:t>从时间、区域和属性等维度</w:t>
      </w:r>
      <w:r>
        <w:rPr>
          <w:rFonts w:ascii="Times New Roman" w:hint="eastAsia"/>
        </w:rPr>
        <w:t>量化、动态表征特定业务</w:t>
      </w:r>
      <w:r>
        <w:rPr>
          <w:rFonts w:ascii="Times New Roman"/>
        </w:rPr>
        <w:t>运行</w:t>
      </w:r>
      <w:r>
        <w:rPr>
          <w:rFonts w:ascii="Times New Roman" w:hint="eastAsia"/>
        </w:rPr>
        <w:t>状态</w:t>
      </w:r>
      <w:r>
        <w:rPr>
          <w:rFonts w:ascii="Times New Roman"/>
        </w:rPr>
        <w:t>和能力</w:t>
      </w:r>
      <w:r>
        <w:rPr>
          <w:rFonts w:ascii="Times New Roman" w:hint="eastAsia"/>
        </w:rPr>
        <w:t>的</w:t>
      </w:r>
      <w:r>
        <w:rPr>
          <w:rFonts w:ascii="Times New Roman"/>
        </w:rPr>
        <w:t>数据</w:t>
      </w:r>
      <w:r>
        <w:rPr>
          <w:rFonts w:ascii="Times New Roman" w:hint="eastAsia"/>
        </w:rPr>
        <w:t>指标。</w:t>
      </w:r>
    </w:p>
    <w:p w14:paraId="7C8A8004" w14:textId="77777777" w:rsidR="000829EF" w:rsidRDefault="000829EF">
      <w:pPr>
        <w:pStyle w:val="afffc"/>
        <w:numPr>
          <w:ilvl w:val="1"/>
          <w:numId w:val="18"/>
        </w:numPr>
        <w:spacing w:beforeLines="50" w:before="156" w:afterLines="50" w:after="156"/>
        <w:jc w:val="left"/>
        <w:outlineLvl w:val="2"/>
        <w:rPr>
          <w:rFonts w:ascii="Times New Roman"/>
        </w:rPr>
      </w:pPr>
    </w:p>
    <w:p w14:paraId="685E0EB7" w14:textId="77777777" w:rsidR="000829EF" w:rsidRDefault="00000000">
      <w:pPr>
        <w:pStyle w:val="afffc"/>
        <w:numPr>
          <w:ilvl w:val="255"/>
          <w:numId w:val="0"/>
        </w:numPr>
        <w:spacing w:beforeLines="50" w:before="156" w:afterLines="50" w:after="156"/>
        <w:ind w:firstLineChars="200" w:firstLine="420"/>
        <w:jc w:val="left"/>
        <w:outlineLvl w:val="2"/>
        <w:rPr>
          <w:rFonts w:ascii="Times New Roman"/>
        </w:rPr>
      </w:pPr>
      <w:r>
        <w:rPr>
          <w:rFonts w:ascii="Times New Roman" w:hint="eastAsia"/>
        </w:rPr>
        <w:t>指标分类</w:t>
      </w:r>
      <w:r>
        <w:rPr>
          <w:rFonts w:ascii="Times New Roman"/>
        </w:rPr>
        <w:t xml:space="preserve"> indicator </w:t>
      </w:r>
      <w:r>
        <w:rPr>
          <w:rFonts w:ascii="Times New Roman" w:hint="eastAsia"/>
        </w:rPr>
        <w:t>c</w:t>
      </w:r>
      <w:r>
        <w:rPr>
          <w:rFonts w:ascii="Times New Roman"/>
        </w:rPr>
        <w:t>ategorization</w:t>
      </w:r>
    </w:p>
    <w:p w14:paraId="7B6766A8" w14:textId="77777777" w:rsidR="000829EF" w:rsidRDefault="00000000">
      <w:pPr>
        <w:pStyle w:val="affc"/>
        <w:rPr>
          <w:rFonts w:ascii="Times New Roman"/>
        </w:rPr>
      </w:pPr>
      <w:r>
        <w:rPr>
          <w:rFonts w:ascii="Times New Roman" w:hint="eastAsia"/>
        </w:rPr>
        <w:t>对城市运行监测指标按其功能、领域、层级进行结构化后的归类。</w:t>
      </w:r>
    </w:p>
    <w:p w14:paraId="48DA359D" w14:textId="77777777" w:rsidR="000829EF" w:rsidRDefault="00000000">
      <w:pPr>
        <w:pStyle w:val="afffc"/>
        <w:numPr>
          <w:ilvl w:val="0"/>
          <w:numId w:val="17"/>
        </w:numPr>
        <w:spacing w:before="312" w:after="312"/>
        <w:ind w:left="0" w:firstLine="0"/>
        <w:jc w:val="left"/>
        <w:outlineLvl w:val="0"/>
        <w:rPr>
          <w:rFonts w:ascii="Times New Roman"/>
        </w:rPr>
      </w:pPr>
      <w:bookmarkStart w:id="49" w:name="_Toc17878129"/>
      <w:bookmarkStart w:id="50" w:name="_Toc169081589"/>
      <w:bookmarkEnd w:id="49"/>
      <w:r>
        <w:rPr>
          <w:rFonts w:ascii="Times New Roman" w:hint="eastAsia"/>
        </w:rPr>
        <w:t>指标设立原则</w:t>
      </w:r>
      <w:bookmarkEnd w:id="50"/>
    </w:p>
    <w:p w14:paraId="7647A82A" w14:textId="77777777" w:rsidR="000829EF" w:rsidRDefault="00000000">
      <w:pPr>
        <w:pStyle w:val="affc"/>
        <w:rPr>
          <w:rFonts w:ascii="Times New Roman"/>
        </w:rPr>
      </w:pPr>
      <w:r>
        <w:rPr>
          <w:rFonts w:ascii="Times New Roman" w:hint="eastAsia"/>
        </w:rPr>
        <w:t>城市运行监测指标体系制定遵循如下原则：</w:t>
      </w:r>
    </w:p>
    <w:p w14:paraId="360B552F" w14:textId="77777777" w:rsidR="000829EF" w:rsidRDefault="00000000">
      <w:pPr>
        <w:pStyle w:val="affc"/>
        <w:numPr>
          <w:ilvl w:val="0"/>
          <w:numId w:val="19"/>
        </w:numPr>
        <w:ind w:firstLineChars="0"/>
        <w:rPr>
          <w:rFonts w:ascii="Times New Roman"/>
        </w:rPr>
      </w:pPr>
      <w:r>
        <w:rPr>
          <w:rFonts w:ascii="Times New Roman"/>
        </w:rPr>
        <w:t>系统性：以</w:t>
      </w:r>
      <w:r>
        <w:rPr>
          <w:rFonts w:ascii="Times New Roman" w:hint="eastAsia"/>
        </w:rPr>
        <w:t>“</w:t>
      </w:r>
      <w:r>
        <w:rPr>
          <w:rFonts w:ascii="Times New Roman"/>
        </w:rPr>
        <w:t>优政、惠民、兴业</w:t>
      </w:r>
      <w:r>
        <w:rPr>
          <w:rFonts w:ascii="Times New Roman" w:hint="eastAsia"/>
        </w:rPr>
        <w:t>”</w:t>
      </w:r>
      <w:r>
        <w:rPr>
          <w:rFonts w:ascii="Times New Roman"/>
        </w:rPr>
        <w:t>为导向，系统反映城市管理、社会治理和公共服务等方面的质量和水平</w:t>
      </w:r>
      <w:r>
        <w:rPr>
          <w:rFonts w:ascii="Times New Roman" w:hint="eastAsia"/>
        </w:rPr>
        <w:t>；</w:t>
      </w:r>
    </w:p>
    <w:p w14:paraId="6BCFC4B6" w14:textId="77777777" w:rsidR="000829EF" w:rsidRDefault="00000000">
      <w:pPr>
        <w:pStyle w:val="affc"/>
        <w:numPr>
          <w:ilvl w:val="0"/>
          <w:numId w:val="19"/>
        </w:numPr>
        <w:ind w:firstLineChars="0"/>
        <w:rPr>
          <w:rFonts w:ascii="Times New Roman"/>
        </w:rPr>
      </w:pPr>
      <w:r>
        <w:rPr>
          <w:rFonts w:ascii="Times New Roman"/>
        </w:rPr>
        <w:t>客观性：指标来源可追溯、可测量、易获取，能够客观、量化反映城市各领域的运行情况；</w:t>
      </w:r>
    </w:p>
    <w:p w14:paraId="1CBA75C0" w14:textId="77777777" w:rsidR="000829EF" w:rsidRDefault="00000000">
      <w:pPr>
        <w:pStyle w:val="affc"/>
        <w:numPr>
          <w:ilvl w:val="0"/>
          <w:numId w:val="19"/>
        </w:numPr>
        <w:ind w:firstLineChars="0"/>
        <w:rPr>
          <w:rFonts w:ascii="Times New Roman"/>
        </w:rPr>
      </w:pPr>
      <w:r>
        <w:rPr>
          <w:rFonts w:ascii="Times New Roman"/>
        </w:rPr>
        <w:lastRenderedPageBreak/>
        <w:t>科学性：指标分类选取科学、合理、规范，体现各领域运行管理与数字科技融合应用成果；</w:t>
      </w:r>
    </w:p>
    <w:p w14:paraId="38441580" w14:textId="77777777" w:rsidR="000829EF" w:rsidRDefault="00000000">
      <w:pPr>
        <w:pStyle w:val="affc"/>
        <w:numPr>
          <w:ilvl w:val="0"/>
          <w:numId w:val="19"/>
        </w:numPr>
        <w:ind w:firstLineChars="0"/>
        <w:rPr>
          <w:rFonts w:ascii="Times New Roman"/>
        </w:rPr>
      </w:pPr>
      <w:r>
        <w:rPr>
          <w:rFonts w:ascii="Times New Roman"/>
        </w:rPr>
        <w:t>可适性：能够适应北京智慧城市建设不同阶段目标和任务推进需要，指标项可灵活拓展。</w:t>
      </w:r>
    </w:p>
    <w:p w14:paraId="26F9A5AB" w14:textId="77777777" w:rsidR="000829EF" w:rsidRDefault="00000000">
      <w:pPr>
        <w:pStyle w:val="afffc"/>
        <w:numPr>
          <w:ilvl w:val="0"/>
          <w:numId w:val="17"/>
        </w:numPr>
        <w:spacing w:before="312" w:after="312"/>
        <w:jc w:val="left"/>
        <w:outlineLvl w:val="0"/>
        <w:rPr>
          <w:rFonts w:ascii="Times New Roman"/>
        </w:rPr>
      </w:pPr>
      <w:bookmarkStart w:id="51" w:name="_Toc169081590"/>
      <w:r>
        <w:rPr>
          <w:rFonts w:ascii="Times New Roman" w:hint="eastAsia"/>
        </w:rPr>
        <w:t>指标总体框架</w:t>
      </w:r>
      <w:bookmarkEnd w:id="51"/>
    </w:p>
    <w:p w14:paraId="5255669D" w14:textId="77777777" w:rsidR="000829EF" w:rsidRDefault="00000000">
      <w:pPr>
        <w:pStyle w:val="affc"/>
        <w:rPr>
          <w:rFonts w:ascii="Times New Roman"/>
        </w:rPr>
      </w:pPr>
      <w:r>
        <w:rPr>
          <w:rFonts w:ascii="Times New Roman" w:hint="eastAsia"/>
        </w:rPr>
        <w:t>城市运行监测指标体系总体框架共包含</w:t>
      </w:r>
      <w:r>
        <w:rPr>
          <w:rFonts w:ascii="Times New Roman" w:hint="eastAsia"/>
        </w:rPr>
        <w:t>6</w:t>
      </w:r>
      <w:r>
        <w:rPr>
          <w:rFonts w:ascii="Times New Roman" w:hint="eastAsia"/>
        </w:rPr>
        <w:t>类一级指标、</w:t>
      </w:r>
      <w:r>
        <w:rPr>
          <w:rFonts w:ascii="Times New Roman" w:hint="eastAsia"/>
        </w:rPr>
        <w:t>36</w:t>
      </w:r>
      <w:r>
        <w:rPr>
          <w:rFonts w:ascii="Times New Roman" w:hint="eastAsia"/>
        </w:rPr>
        <w:t>类二级指标，见图</w:t>
      </w:r>
      <w:r>
        <w:rPr>
          <w:rFonts w:ascii="Times New Roman" w:hint="eastAsia"/>
        </w:rPr>
        <w:t>1</w:t>
      </w:r>
      <w:r>
        <w:rPr>
          <w:rFonts w:ascii="Times New Roman" w:hint="eastAsia"/>
        </w:rPr>
        <w:t>。指标分类依据如下：</w:t>
      </w:r>
    </w:p>
    <w:p w14:paraId="314E788B" w14:textId="77777777" w:rsidR="000829EF" w:rsidRDefault="00000000">
      <w:pPr>
        <w:pStyle w:val="affc"/>
        <w:numPr>
          <w:ilvl w:val="0"/>
          <w:numId w:val="20"/>
        </w:numPr>
        <w:ind w:firstLineChars="0"/>
        <w:rPr>
          <w:rFonts w:ascii="Times New Roman"/>
        </w:rPr>
      </w:pPr>
      <w:r>
        <w:rPr>
          <w:rFonts w:ascii="Times New Roman" w:hint="eastAsia"/>
        </w:rPr>
        <w:t>充分考虑北京智慧城市建设特征、各政府部门业务职能及各行业领域运行特点，制定指标体系总体框架，确定一级指标分类和二级指标分类；</w:t>
      </w:r>
    </w:p>
    <w:p w14:paraId="2A73285E" w14:textId="77777777" w:rsidR="000829EF" w:rsidRDefault="00000000">
      <w:pPr>
        <w:pStyle w:val="affc"/>
        <w:numPr>
          <w:ilvl w:val="0"/>
          <w:numId w:val="20"/>
        </w:numPr>
        <w:ind w:firstLineChars="0"/>
        <w:rPr>
          <w:rFonts w:ascii="Times New Roman"/>
        </w:rPr>
      </w:pPr>
      <w:r>
        <w:rPr>
          <w:rFonts w:ascii="Times New Roman" w:hint="eastAsia"/>
        </w:rPr>
        <w:t>一级指标分类反映城市</w:t>
      </w:r>
      <w:r>
        <w:rPr>
          <w:rFonts w:ascii="Times New Roman"/>
        </w:rPr>
        <w:t>基本要素及其组成关系</w:t>
      </w:r>
      <w:r>
        <w:rPr>
          <w:rFonts w:ascii="Times New Roman" w:hint="eastAsia"/>
        </w:rPr>
        <w:t>，覆盖各个管理机构的职能领域，</w:t>
      </w:r>
      <w:r>
        <w:rPr>
          <w:rFonts w:ascii="Times New Roman"/>
        </w:rPr>
        <w:t>体现</w:t>
      </w:r>
      <w:r>
        <w:rPr>
          <w:rFonts w:ascii="Times New Roman" w:hint="eastAsia"/>
        </w:rPr>
        <w:t>指标分类</w:t>
      </w:r>
      <w:r>
        <w:rPr>
          <w:rFonts w:ascii="Times New Roman"/>
        </w:rPr>
        <w:t>的综合性及</w:t>
      </w:r>
      <w:r>
        <w:rPr>
          <w:rFonts w:ascii="Times New Roman" w:hint="eastAsia"/>
        </w:rPr>
        <w:t>辐射度，凸显城市运行管理</w:t>
      </w:r>
      <w:r>
        <w:rPr>
          <w:rFonts w:ascii="Times New Roman"/>
        </w:rPr>
        <w:t>事务的</w:t>
      </w:r>
      <w:r>
        <w:rPr>
          <w:rFonts w:ascii="Times New Roman" w:hint="eastAsia"/>
        </w:rPr>
        <w:t>本质；</w:t>
      </w:r>
    </w:p>
    <w:p w14:paraId="1EE056A6" w14:textId="77777777" w:rsidR="000829EF" w:rsidRDefault="00000000">
      <w:pPr>
        <w:pStyle w:val="affc"/>
        <w:numPr>
          <w:ilvl w:val="0"/>
          <w:numId w:val="20"/>
        </w:numPr>
        <w:ind w:firstLineChars="0"/>
        <w:rPr>
          <w:rFonts w:ascii="Times New Roman"/>
        </w:rPr>
      </w:pPr>
      <w:r>
        <w:rPr>
          <w:rFonts w:ascii="Times New Roman" w:hint="eastAsia"/>
        </w:rPr>
        <w:t>二级指标分类包含一级指标分类下的各项细分业务领域，</w:t>
      </w:r>
      <w:r>
        <w:rPr>
          <w:rFonts w:ascii="Times New Roman"/>
        </w:rPr>
        <w:t>体现</w:t>
      </w:r>
      <w:r>
        <w:rPr>
          <w:rFonts w:ascii="Times New Roman" w:hint="eastAsia"/>
        </w:rPr>
        <w:t>核心</w:t>
      </w:r>
      <w:r>
        <w:rPr>
          <w:rFonts w:ascii="Times New Roman"/>
        </w:rPr>
        <w:t>元素及</w:t>
      </w:r>
      <w:r>
        <w:rPr>
          <w:rFonts w:ascii="Times New Roman" w:hint="eastAsia"/>
        </w:rPr>
        <w:t>内涵</w:t>
      </w:r>
      <w:r>
        <w:rPr>
          <w:rFonts w:ascii="Times New Roman"/>
        </w:rPr>
        <w:t>要义</w:t>
      </w:r>
      <w:r>
        <w:rPr>
          <w:rFonts w:ascii="Times New Roman" w:hint="eastAsia"/>
        </w:rPr>
        <w:t>，</w:t>
      </w:r>
      <w:r>
        <w:rPr>
          <w:rFonts w:ascii="Times New Roman"/>
        </w:rPr>
        <w:t>准确表达涵盖的指标内容及特征，便于具体指标项的设计和归类</w:t>
      </w:r>
      <w:r>
        <w:rPr>
          <w:rFonts w:ascii="Times New Roman" w:hint="eastAsia"/>
        </w:rPr>
        <w:t>。</w:t>
      </w:r>
    </w:p>
    <w:p w14:paraId="1F68D022" w14:textId="77777777" w:rsidR="000829EF" w:rsidRDefault="000829EF">
      <w:pPr>
        <w:pStyle w:val="affc"/>
        <w:ind w:left="420" w:firstLineChars="0" w:firstLine="0"/>
        <w:rPr>
          <w:rFonts w:ascii="Times New Roman"/>
        </w:rPr>
      </w:pPr>
    </w:p>
    <w:p w14:paraId="13057A2D" w14:textId="77777777" w:rsidR="000829EF" w:rsidRDefault="000829EF">
      <w:pPr>
        <w:rPr>
          <w:rFonts w:ascii="Times New Roman" w:hAnsi="Times New Roman"/>
        </w:rPr>
        <w:sectPr w:rsidR="000829EF">
          <w:headerReference w:type="even" r:id="rId15"/>
          <w:headerReference w:type="default" r:id="rId16"/>
          <w:footerReference w:type="even" r:id="rId17"/>
          <w:footerReference w:type="default" r:id="rId18"/>
          <w:pgSz w:w="11906" w:h="16838"/>
          <w:pgMar w:top="567" w:right="1134" w:bottom="1134" w:left="1417" w:header="1418" w:footer="1134" w:gutter="0"/>
          <w:pgNumType w:start="1"/>
          <w:cols w:space="425"/>
          <w:formProt w:val="0"/>
          <w:docGrid w:type="lines" w:linePitch="312"/>
        </w:sectPr>
      </w:pPr>
    </w:p>
    <w:p w14:paraId="542CD14F" w14:textId="77777777" w:rsidR="000829EF" w:rsidRDefault="00000000">
      <w:pPr>
        <w:pStyle w:val="affc"/>
        <w:ind w:firstLineChars="0" w:firstLine="0"/>
        <w:jc w:val="center"/>
        <w:rPr>
          <w:rFonts w:ascii="Times New Roman"/>
        </w:rPr>
      </w:pPr>
      <w:r>
        <w:rPr>
          <w:noProof/>
        </w:rPr>
        <w:lastRenderedPageBreak/>
        <w:drawing>
          <wp:inline distT="0" distB="0" distL="114300" distR="114300" wp14:anchorId="6EB38ACD" wp14:editId="78E0BD60">
            <wp:extent cx="8200390" cy="3561080"/>
            <wp:effectExtent l="0" t="0" r="0" b="0"/>
            <wp:docPr id="12" name="图片 12" descr="城市运行监测指标体系框架图（二改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城市运行监测指标体系框架图（二改稿）"/>
                    <pic:cNvPicPr>
                      <a:picLocks noChangeAspect="1"/>
                    </pic:cNvPicPr>
                  </pic:nvPicPr>
                  <pic:blipFill>
                    <a:blip r:embed="rId19"/>
                    <a:stretch>
                      <a:fillRect/>
                    </a:stretch>
                  </pic:blipFill>
                  <pic:spPr>
                    <a:xfrm rot="16200000">
                      <a:off x="0" y="0"/>
                      <a:ext cx="8200390" cy="3561080"/>
                    </a:xfrm>
                    <a:prstGeom prst="rect">
                      <a:avLst/>
                    </a:prstGeom>
                  </pic:spPr>
                </pic:pic>
              </a:graphicData>
            </a:graphic>
          </wp:inline>
        </w:drawing>
      </w:r>
    </w:p>
    <w:p w14:paraId="5666B00B" w14:textId="77777777" w:rsidR="000829EF" w:rsidRDefault="00000000">
      <w:pPr>
        <w:pStyle w:val="aff0"/>
        <w:rPr>
          <w:rFonts w:ascii="Times New Roman" w:hAnsi="Times New Roman"/>
        </w:rPr>
      </w:pPr>
      <w:r>
        <w:rPr>
          <w:rFonts w:ascii="Times New Roman" w:hAnsi="Times New Roman"/>
        </w:rPr>
        <w:t>图</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SEQ </w:instrText>
      </w:r>
      <w:r>
        <w:rPr>
          <w:rFonts w:ascii="Times New Roman" w:hAnsi="Times New Roman"/>
        </w:rPr>
        <w:instrText>图</w:instrText>
      </w:r>
      <w:r>
        <w:rPr>
          <w:rFonts w:ascii="Times New Roman" w:hAnsi="Times New Roman"/>
        </w:rPr>
        <w:instrText xml:space="preserve"> \* ARABIC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hint="eastAsia"/>
        </w:rPr>
        <w:t xml:space="preserve"> </w:t>
      </w:r>
      <w:r>
        <w:rPr>
          <w:rFonts w:ascii="Times New Roman" w:hAnsi="Times New Roman" w:hint="eastAsia"/>
        </w:rPr>
        <w:t>城市运行监测指标体系总体框架</w:t>
      </w:r>
    </w:p>
    <w:p w14:paraId="3C7C88DD" w14:textId="77777777" w:rsidR="000829EF" w:rsidRDefault="000829EF">
      <w:pPr>
        <w:rPr>
          <w:rFonts w:ascii="Times New Roman" w:hAnsi="Times New Roman"/>
        </w:rPr>
        <w:sectPr w:rsidR="000829EF">
          <w:footerReference w:type="even" r:id="rId20"/>
          <w:footerReference w:type="default" r:id="rId21"/>
          <w:pgSz w:w="11906" w:h="16838"/>
          <w:pgMar w:top="567" w:right="1134" w:bottom="1134" w:left="1417" w:header="1418" w:footer="1134" w:gutter="0"/>
          <w:cols w:space="0"/>
          <w:formProt w:val="0"/>
          <w:docGrid w:type="lines" w:linePitch="312"/>
        </w:sectPr>
      </w:pPr>
      <w:bookmarkStart w:id="52" w:name="_Toc145434044"/>
    </w:p>
    <w:p w14:paraId="109B4B39" w14:textId="77777777" w:rsidR="000829EF" w:rsidRDefault="00000000">
      <w:pPr>
        <w:pStyle w:val="afffc"/>
        <w:numPr>
          <w:ilvl w:val="0"/>
          <w:numId w:val="17"/>
        </w:numPr>
        <w:spacing w:before="312" w:after="312"/>
        <w:jc w:val="left"/>
        <w:outlineLvl w:val="0"/>
        <w:rPr>
          <w:rFonts w:ascii="Times New Roman"/>
        </w:rPr>
      </w:pPr>
      <w:bookmarkStart w:id="53" w:name="_Toc169081591"/>
      <w:bookmarkStart w:id="54" w:name="_Toc119499895"/>
      <w:bookmarkStart w:id="55" w:name="_Toc145434049"/>
      <w:bookmarkEnd w:id="52"/>
      <w:r>
        <w:rPr>
          <w:rFonts w:ascii="Times New Roman" w:hint="eastAsia"/>
        </w:rPr>
        <w:lastRenderedPageBreak/>
        <w:t>指标分类及描述</w:t>
      </w:r>
      <w:bookmarkEnd w:id="53"/>
    </w:p>
    <w:p w14:paraId="30A18161" w14:textId="77777777" w:rsidR="000829EF" w:rsidRDefault="00000000">
      <w:pPr>
        <w:pStyle w:val="afffc"/>
        <w:numPr>
          <w:ilvl w:val="1"/>
          <w:numId w:val="17"/>
        </w:numPr>
        <w:spacing w:beforeLines="50" w:before="156" w:afterLines="50" w:after="156"/>
        <w:jc w:val="left"/>
        <w:outlineLvl w:val="2"/>
        <w:rPr>
          <w:rFonts w:ascii="Times New Roman"/>
        </w:rPr>
      </w:pPr>
      <w:r>
        <w:rPr>
          <w:rFonts w:ascii="Times New Roman" w:hint="eastAsia"/>
        </w:rPr>
        <w:t>社会民生</w:t>
      </w:r>
    </w:p>
    <w:p w14:paraId="3EED3E81" w14:textId="77777777" w:rsidR="000829EF" w:rsidRDefault="00000000">
      <w:pPr>
        <w:pStyle w:val="affc"/>
        <w:rPr>
          <w:rFonts w:ascii="Times New Roman"/>
        </w:rPr>
      </w:pPr>
      <w:r>
        <w:rPr>
          <w:rFonts w:ascii="Times New Roman" w:hint="eastAsia"/>
        </w:rPr>
        <w:t>社会民生涵盖教育</w:t>
      </w:r>
      <w:r>
        <w:rPr>
          <w:rFonts w:ascii="Times New Roman"/>
        </w:rPr>
        <w:t>事业</w:t>
      </w:r>
      <w:r>
        <w:rPr>
          <w:rFonts w:ascii="Times New Roman" w:hint="eastAsia"/>
        </w:rPr>
        <w:t>、人口就业、社会保障、医疗</w:t>
      </w:r>
      <w:r>
        <w:rPr>
          <w:rFonts w:ascii="Times New Roman"/>
        </w:rPr>
        <w:t>健康</w:t>
      </w:r>
      <w:r>
        <w:rPr>
          <w:rFonts w:ascii="Times New Roman" w:hint="eastAsia"/>
        </w:rPr>
        <w:t>、民政民生、住房保障、</w:t>
      </w:r>
      <w:proofErr w:type="gramStart"/>
      <w:r>
        <w:rPr>
          <w:rFonts w:ascii="Times New Roman" w:hint="eastAsia"/>
        </w:rPr>
        <w:t>文旅文娱</w:t>
      </w:r>
      <w:proofErr w:type="gramEnd"/>
      <w:r>
        <w:rPr>
          <w:rFonts w:ascii="Times New Roman" w:hint="eastAsia"/>
        </w:rPr>
        <w:t>、居民生活及农业农村领域的资源配置与服务能力指标。社会民生指标分类及描述见表</w:t>
      </w:r>
      <w:r>
        <w:rPr>
          <w:rFonts w:ascii="Times New Roman" w:hint="eastAsia"/>
        </w:rPr>
        <w:t>1</w:t>
      </w:r>
      <w:r>
        <w:rPr>
          <w:rFonts w:ascii="Times New Roman" w:hint="eastAsia"/>
        </w:rPr>
        <w:t>，指标示例见附录</w:t>
      </w:r>
      <w:r>
        <w:rPr>
          <w:rFonts w:ascii="Times New Roman" w:hint="eastAsia"/>
        </w:rPr>
        <w:t>A</w:t>
      </w:r>
      <w:r>
        <w:rPr>
          <w:rFonts w:ascii="Times New Roman" w:hint="eastAsia"/>
        </w:rPr>
        <w:t>。</w:t>
      </w:r>
    </w:p>
    <w:p w14:paraId="2E83B3A8" w14:textId="77777777" w:rsidR="000829EF" w:rsidRDefault="00000000">
      <w:pPr>
        <w:pStyle w:val="aff0"/>
        <w:rPr>
          <w:rFonts w:ascii="Times New Roman" w:hAnsi="Times New Roman"/>
        </w:rPr>
      </w:pPr>
      <w:r>
        <w:rPr>
          <w:rFonts w:ascii="Times New Roman" w:hAnsi="Times New Roman"/>
        </w:rPr>
        <w:t>表</w:t>
      </w:r>
      <w:r>
        <w:rPr>
          <w:rFonts w:ascii="Times New Roman" w:hAnsi="Times New Roman"/>
        </w:rPr>
        <w:t xml:space="preserve"> </w:t>
      </w:r>
      <w:r>
        <w:rPr>
          <w:rFonts w:ascii="Times New Roman" w:hAnsi="Times New Roman" w:hint="eastAsia"/>
        </w:rPr>
        <w:t xml:space="preserve">1 </w:t>
      </w:r>
      <w:r>
        <w:rPr>
          <w:rFonts w:ascii="Times New Roman" w:hAnsi="Times New Roman" w:hint="eastAsia"/>
        </w:rPr>
        <w:t>社会民生指标分类及描述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500"/>
        <w:gridCol w:w="5265"/>
      </w:tblGrid>
      <w:tr w:rsidR="000829EF" w14:paraId="0B437A7D" w14:textId="77777777">
        <w:trPr>
          <w:trHeight w:val="567"/>
          <w:jc w:val="center"/>
        </w:trPr>
        <w:tc>
          <w:tcPr>
            <w:tcW w:w="1740" w:type="dxa"/>
            <w:shd w:val="clear" w:color="auto" w:fill="auto"/>
            <w:vAlign w:val="center"/>
          </w:tcPr>
          <w:p w14:paraId="0D8FF0E0" w14:textId="77777777" w:rsidR="000829EF" w:rsidRDefault="00000000">
            <w:pPr>
              <w:jc w:val="center"/>
              <w:rPr>
                <w:rFonts w:ascii="Times New Roman" w:hAnsi="Times New Roman"/>
                <w:b/>
                <w:bCs/>
                <w:sz w:val="21"/>
                <w:szCs w:val="21"/>
              </w:rPr>
            </w:pPr>
            <w:bookmarkStart w:id="56" w:name="_Hlk169515057"/>
            <w:r>
              <w:rPr>
                <w:rFonts w:ascii="Times New Roman" w:hAnsi="Times New Roman" w:hint="eastAsia"/>
                <w:b/>
                <w:bCs/>
                <w:sz w:val="21"/>
                <w:szCs w:val="21"/>
              </w:rPr>
              <w:t>一级指标分类</w:t>
            </w:r>
          </w:p>
        </w:tc>
        <w:tc>
          <w:tcPr>
            <w:tcW w:w="1500" w:type="dxa"/>
            <w:shd w:val="clear" w:color="auto" w:fill="auto"/>
            <w:vAlign w:val="center"/>
          </w:tcPr>
          <w:p w14:paraId="661887BB"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二级指标分类</w:t>
            </w:r>
          </w:p>
        </w:tc>
        <w:tc>
          <w:tcPr>
            <w:tcW w:w="5265" w:type="dxa"/>
            <w:shd w:val="clear" w:color="auto" w:fill="auto"/>
            <w:vAlign w:val="center"/>
          </w:tcPr>
          <w:p w14:paraId="561C0047"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描述</w:t>
            </w:r>
          </w:p>
        </w:tc>
      </w:tr>
      <w:bookmarkEnd w:id="56"/>
      <w:tr w:rsidR="000829EF" w14:paraId="18D6B876" w14:textId="77777777">
        <w:trPr>
          <w:trHeight w:val="567"/>
          <w:jc w:val="center"/>
        </w:trPr>
        <w:tc>
          <w:tcPr>
            <w:tcW w:w="1740" w:type="dxa"/>
            <w:vMerge w:val="restart"/>
            <w:tcBorders>
              <w:top w:val="single" w:sz="4" w:space="0" w:color="auto"/>
              <w:left w:val="single" w:sz="4" w:space="0" w:color="auto"/>
              <w:right w:val="single" w:sz="4" w:space="0" w:color="auto"/>
            </w:tcBorders>
            <w:shd w:val="clear" w:color="auto" w:fill="auto"/>
            <w:vAlign w:val="center"/>
          </w:tcPr>
          <w:p w14:paraId="36BEC6F5" w14:textId="77777777" w:rsidR="000829EF" w:rsidRDefault="00000000">
            <w:pPr>
              <w:rPr>
                <w:rFonts w:ascii="Times New Roman" w:hAnsi="Times New Roman"/>
                <w:sz w:val="21"/>
                <w:szCs w:val="21"/>
              </w:rPr>
            </w:pPr>
            <w:r>
              <w:rPr>
                <w:rFonts w:ascii="Times New Roman" w:hAnsi="Times New Roman" w:hint="eastAsia"/>
                <w:sz w:val="21"/>
                <w:szCs w:val="21"/>
              </w:rPr>
              <w:t>社会民生</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4FE36BA9" w14:textId="77777777" w:rsidR="000829EF" w:rsidRDefault="00000000">
            <w:pPr>
              <w:rPr>
                <w:rFonts w:ascii="Times New Roman" w:hAnsi="Times New Roman"/>
                <w:sz w:val="21"/>
                <w:szCs w:val="21"/>
              </w:rPr>
            </w:pPr>
            <w:r>
              <w:rPr>
                <w:rFonts w:ascii="Times New Roman" w:hAnsi="Times New Roman" w:hint="eastAsia"/>
                <w:sz w:val="21"/>
                <w:szCs w:val="21"/>
              </w:rPr>
              <w:t>教育事业</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2A6173F" w14:textId="77777777" w:rsidR="000829EF" w:rsidRDefault="00000000">
            <w:pPr>
              <w:rPr>
                <w:rFonts w:ascii="Times New Roman" w:hAnsi="Times New Roman"/>
                <w:sz w:val="21"/>
                <w:szCs w:val="21"/>
              </w:rPr>
            </w:pPr>
            <w:r>
              <w:rPr>
                <w:rFonts w:ascii="Times New Roman" w:hAnsi="Times New Roman" w:hint="eastAsia"/>
                <w:sz w:val="21"/>
                <w:szCs w:val="21"/>
              </w:rPr>
              <w:t>反映全市各级各类教育资源投入、学位学科建设、教育学校设置、考试招生、学生就业、教学水平评估等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4191CF43"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006F41EA"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47406694" w14:textId="77777777" w:rsidR="000829EF" w:rsidRDefault="00000000">
            <w:pPr>
              <w:rPr>
                <w:rFonts w:ascii="Times New Roman" w:hAnsi="Times New Roman"/>
                <w:sz w:val="21"/>
                <w:szCs w:val="21"/>
              </w:rPr>
            </w:pPr>
            <w:r>
              <w:rPr>
                <w:rFonts w:ascii="Times New Roman" w:hAnsi="Times New Roman" w:hint="eastAsia"/>
                <w:sz w:val="21"/>
                <w:szCs w:val="21"/>
              </w:rPr>
              <w:t>人口就业</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CAC1AEE" w14:textId="77777777" w:rsidR="000829EF" w:rsidRDefault="00000000">
            <w:pPr>
              <w:rPr>
                <w:rFonts w:ascii="Times New Roman" w:hAnsi="Times New Roman"/>
                <w:sz w:val="21"/>
                <w:szCs w:val="21"/>
              </w:rPr>
            </w:pPr>
            <w:r>
              <w:rPr>
                <w:rFonts w:ascii="Times New Roman" w:hAnsi="Times New Roman" w:hint="eastAsia"/>
                <w:sz w:val="21"/>
                <w:szCs w:val="21"/>
              </w:rPr>
              <w:t>反映全市人口动态、公共人力资源服务、社会保险基金管理调控、促进就业、职业技能鉴定、积分落户管理、专业技能人员鉴定等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0D610F65"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11C91D07"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6B6B474B" w14:textId="77777777" w:rsidR="000829EF" w:rsidRDefault="00000000">
            <w:pPr>
              <w:rPr>
                <w:rFonts w:ascii="Times New Roman" w:hAnsi="Times New Roman"/>
                <w:sz w:val="21"/>
                <w:szCs w:val="21"/>
              </w:rPr>
            </w:pPr>
            <w:r>
              <w:rPr>
                <w:rFonts w:ascii="Times New Roman" w:hAnsi="Times New Roman" w:hint="eastAsia"/>
                <w:sz w:val="21"/>
                <w:szCs w:val="21"/>
              </w:rPr>
              <w:t>社会保障</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D9AF977" w14:textId="77777777" w:rsidR="000829EF" w:rsidRDefault="00000000">
            <w:pPr>
              <w:rPr>
                <w:rFonts w:ascii="Times New Roman" w:hAnsi="Times New Roman"/>
                <w:sz w:val="21"/>
                <w:szCs w:val="21"/>
              </w:rPr>
            </w:pPr>
            <w:r>
              <w:rPr>
                <w:rFonts w:ascii="Times New Roman" w:hAnsi="Times New Roman" w:hint="eastAsia"/>
                <w:sz w:val="21"/>
                <w:szCs w:val="21"/>
              </w:rPr>
              <w:t>反映全市社会保险基金管理与调控、社会保障卡发放等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37FDCD8D"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5F983BE7"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6E3EFF2E" w14:textId="77777777" w:rsidR="000829EF" w:rsidRDefault="00000000">
            <w:pPr>
              <w:rPr>
                <w:rFonts w:ascii="Times New Roman" w:hAnsi="Times New Roman"/>
                <w:sz w:val="21"/>
                <w:szCs w:val="21"/>
              </w:rPr>
            </w:pPr>
            <w:r>
              <w:rPr>
                <w:rFonts w:ascii="Times New Roman" w:hAnsi="Times New Roman" w:hint="eastAsia"/>
                <w:sz w:val="21"/>
                <w:szCs w:val="21"/>
              </w:rPr>
              <w:t>医疗</w:t>
            </w:r>
            <w:r>
              <w:rPr>
                <w:rFonts w:ascii="Times New Roman" w:hAnsi="Times New Roman"/>
                <w:sz w:val="21"/>
                <w:szCs w:val="21"/>
              </w:rPr>
              <w:t>健康</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1D087FE" w14:textId="77777777" w:rsidR="000829EF" w:rsidRDefault="00000000">
            <w:pPr>
              <w:rPr>
                <w:rFonts w:ascii="Times New Roman" w:hAnsi="Times New Roman"/>
                <w:sz w:val="21"/>
                <w:szCs w:val="21"/>
              </w:rPr>
            </w:pPr>
            <w:r>
              <w:rPr>
                <w:rFonts w:ascii="Times New Roman" w:hAnsi="Times New Roman" w:hint="eastAsia"/>
                <w:sz w:val="21"/>
                <w:szCs w:val="21"/>
              </w:rPr>
              <w:t>反映全市卫生健康服务资源配置、疾病预防控制、临床综合评价、公共卫生监督管理、医疗卫生行业监督管理、计划生育、药品</w:t>
            </w:r>
            <w:r>
              <w:rPr>
                <w:rFonts w:ascii="Times New Roman" w:hAnsi="Times New Roman" w:hint="eastAsia"/>
                <w:sz w:val="21"/>
                <w:szCs w:val="21"/>
              </w:rPr>
              <w:t>/</w:t>
            </w:r>
            <w:r>
              <w:rPr>
                <w:rFonts w:ascii="Times New Roman" w:hAnsi="Times New Roman" w:hint="eastAsia"/>
                <w:sz w:val="21"/>
                <w:szCs w:val="21"/>
              </w:rPr>
              <w:t>医疗器械</w:t>
            </w:r>
            <w:r>
              <w:rPr>
                <w:rFonts w:ascii="Times New Roman" w:hAnsi="Times New Roman" w:hint="eastAsia"/>
                <w:sz w:val="21"/>
                <w:szCs w:val="21"/>
              </w:rPr>
              <w:t>/</w:t>
            </w:r>
            <w:r>
              <w:rPr>
                <w:rFonts w:ascii="Times New Roman" w:hAnsi="Times New Roman" w:hint="eastAsia"/>
                <w:sz w:val="21"/>
                <w:szCs w:val="21"/>
              </w:rPr>
              <w:t>化妆品监督管理、</w:t>
            </w:r>
            <w:proofErr w:type="gramStart"/>
            <w:r>
              <w:rPr>
                <w:rFonts w:ascii="Times New Roman" w:hAnsi="Times New Roman" w:hint="eastAsia"/>
                <w:sz w:val="21"/>
                <w:szCs w:val="21"/>
              </w:rPr>
              <w:t>医</w:t>
            </w:r>
            <w:proofErr w:type="gramEnd"/>
            <w:r>
              <w:rPr>
                <w:rFonts w:ascii="Times New Roman" w:hAnsi="Times New Roman" w:hint="eastAsia"/>
                <w:sz w:val="21"/>
                <w:szCs w:val="21"/>
              </w:rPr>
              <w:t>保支付医药服务价格信息监测、医疗服务分级疗诊等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011CDFFB"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1EC36F7F"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4A991A60" w14:textId="77777777" w:rsidR="000829EF" w:rsidRDefault="00000000">
            <w:pPr>
              <w:rPr>
                <w:rFonts w:ascii="Times New Roman" w:hAnsi="Times New Roman"/>
                <w:sz w:val="21"/>
                <w:szCs w:val="21"/>
              </w:rPr>
            </w:pPr>
            <w:r>
              <w:rPr>
                <w:rFonts w:ascii="Times New Roman" w:hAnsi="Times New Roman" w:hint="eastAsia"/>
                <w:sz w:val="21"/>
                <w:szCs w:val="21"/>
              </w:rPr>
              <w:t>民政民生</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E95BA66" w14:textId="77777777" w:rsidR="000829EF" w:rsidRDefault="00000000">
            <w:pPr>
              <w:rPr>
                <w:rFonts w:ascii="Times New Roman" w:hAnsi="Times New Roman"/>
                <w:sz w:val="21"/>
                <w:szCs w:val="21"/>
              </w:rPr>
            </w:pPr>
            <w:r>
              <w:rPr>
                <w:rFonts w:ascii="Times New Roman" w:hAnsi="Times New Roman" w:hint="eastAsia"/>
                <w:sz w:val="21"/>
                <w:szCs w:val="21"/>
              </w:rPr>
              <w:t>反映全市社会福利统筹、困境儿童保障、社会救助、婚姻</w:t>
            </w:r>
            <w:r>
              <w:rPr>
                <w:rFonts w:ascii="Times New Roman" w:hAnsi="Times New Roman"/>
                <w:sz w:val="21"/>
                <w:szCs w:val="21"/>
              </w:rPr>
              <w:t>登记</w:t>
            </w:r>
            <w:r>
              <w:rPr>
                <w:rFonts w:ascii="Times New Roman" w:hAnsi="Times New Roman" w:hint="eastAsia"/>
                <w:sz w:val="21"/>
                <w:szCs w:val="21"/>
              </w:rPr>
              <w:t>、社会组织</w:t>
            </w:r>
            <w:r>
              <w:rPr>
                <w:rFonts w:ascii="Times New Roman" w:hAnsi="Times New Roman"/>
                <w:sz w:val="21"/>
                <w:szCs w:val="21"/>
              </w:rPr>
              <w:t>管理</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08404A73"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4BC95CA6"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6F43C8D" w14:textId="77777777" w:rsidR="000829EF" w:rsidRDefault="00000000">
            <w:pPr>
              <w:rPr>
                <w:rFonts w:ascii="Times New Roman" w:hAnsi="Times New Roman"/>
                <w:sz w:val="21"/>
                <w:szCs w:val="21"/>
              </w:rPr>
            </w:pPr>
            <w:r>
              <w:rPr>
                <w:rFonts w:ascii="Times New Roman" w:hAnsi="Times New Roman" w:hint="eastAsia"/>
                <w:sz w:val="21"/>
                <w:szCs w:val="21"/>
              </w:rPr>
              <w:t>住房保障</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2C3AFE8" w14:textId="77777777" w:rsidR="000829EF" w:rsidRDefault="00000000">
            <w:pPr>
              <w:rPr>
                <w:rFonts w:ascii="Times New Roman" w:hAnsi="Times New Roman"/>
                <w:sz w:val="21"/>
                <w:szCs w:val="21"/>
              </w:rPr>
            </w:pPr>
            <w:r>
              <w:rPr>
                <w:rFonts w:ascii="Times New Roman" w:hAnsi="Times New Roman" w:hint="eastAsia"/>
                <w:sz w:val="21"/>
                <w:szCs w:val="21"/>
              </w:rPr>
              <w:t>反映</w:t>
            </w:r>
            <w:proofErr w:type="gramStart"/>
            <w:r>
              <w:rPr>
                <w:rFonts w:ascii="Times New Roman" w:hAnsi="Times New Roman" w:hint="eastAsia"/>
                <w:sz w:val="21"/>
                <w:szCs w:val="21"/>
              </w:rPr>
              <w:t>全市保障</w:t>
            </w:r>
            <w:proofErr w:type="gramEnd"/>
            <w:r>
              <w:rPr>
                <w:rFonts w:ascii="Times New Roman" w:hAnsi="Times New Roman" w:hint="eastAsia"/>
                <w:sz w:val="21"/>
                <w:szCs w:val="21"/>
              </w:rPr>
              <w:t>性住房建设、工程建设管理、建筑市场监督管理、房地产市场监测分析、房屋管理、住房公积金管理等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0C3C3CBB"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2574D839"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E97D043" w14:textId="77777777" w:rsidR="000829EF" w:rsidRDefault="00000000">
            <w:pPr>
              <w:rPr>
                <w:rFonts w:ascii="Times New Roman" w:hAnsi="Times New Roman"/>
                <w:sz w:val="21"/>
                <w:szCs w:val="21"/>
              </w:rPr>
            </w:pPr>
            <w:proofErr w:type="gramStart"/>
            <w:r>
              <w:rPr>
                <w:rFonts w:ascii="Times New Roman" w:hAnsi="Times New Roman" w:hint="eastAsia"/>
                <w:sz w:val="21"/>
                <w:szCs w:val="21"/>
              </w:rPr>
              <w:t>文旅文娱</w:t>
            </w:r>
            <w:proofErr w:type="gramEnd"/>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711D4DBD" w14:textId="77777777" w:rsidR="000829EF" w:rsidRDefault="00000000">
            <w:pPr>
              <w:rPr>
                <w:rFonts w:ascii="Times New Roman" w:hAnsi="Times New Roman"/>
                <w:sz w:val="21"/>
                <w:szCs w:val="21"/>
              </w:rPr>
            </w:pPr>
            <w:r>
              <w:rPr>
                <w:rFonts w:ascii="Times New Roman" w:hAnsi="Times New Roman" w:hint="eastAsia"/>
                <w:sz w:val="21"/>
                <w:szCs w:val="21"/>
              </w:rPr>
              <w:t>反映</w:t>
            </w:r>
            <w:proofErr w:type="gramStart"/>
            <w:r>
              <w:rPr>
                <w:rFonts w:ascii="Times New Roman" w:hAnsi="Times New Roman" w:hint="eastAsia"/>
                <w:sz w:val="21"/>
                <w:szCs w:val="21"/>
              </w:rPr>
              <w:t>全市文旅产业</w:t>
            </w:r>
            <w:proofErr w:type="gramEnd"/>
            <w:r>
              <w:rPr>
                <w:rFonts w:ascii="Times New Roman" w:hAnsi="Times New Roman" w:hint="eastAsia"/>
                <w:sz w:val="21"/>
                <w:szCs w:val="21"/>
              </w:rPr>
              <w:t>发展、基层文化设施和旅游设施建设、</w:t>
            </w:r>
            <w:proofErr w:type="gramStart"/>
            <w:r>
              <w:rPr>
                <w:rFonts w:ascii="Times New Roman" w:hAnsi="Times New Roman" w:hint="eastAsia"/>
                <w:sz w:val="21"/>
                <w:szCs w:val="21"/>
              </w:rPr>
              <w:t>文旅资源</w:t>
            </w:r>
            <w:proofErr w:type="gramEnd"/>
            <w:r>
              <w:rPr>
                <w:rFonts w:ascii="Times New Roman" w:hAnsi="Times New Roman" w:hint="eastAsia"/>
                <w:sz w:val="21"/>
                <w:szCs w:val="21"/>
              </w:rPr>
              <w:t>保护、</w:t>
            </w:r>
            <w:proofErr w:type="gramStart"/>
            <w:r>
              <w:rPr>
                <w:rFonts w:ascii="Times New Roman" w:hAnsi="Times New Roman" w:hint="eastAsia"/>
                <w:sz w:val="21"/>
                <w:szCs w:val="21"/>
              </w:rPr>
              <w:t>文旅市场</w:t>
            </w:r>
            <w:proofErr w:type="gramEnd"/>
            <w:r>
              <w:rPr>
                <w:rFonts w:ascii="Times New Roman" w:hAnsi="Times New Roman" w:hint="eastAsia"/>
                <w:sz w:val="21"/>
                <w:szCs w:val="21"/>
              </w:rPr>
              <w:t>监管、公共体育设施管理、体育活动及运动员管理、文物及博物馆管理、广播电视机构及网络视听节目管理等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4A9688CA"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7DF28927"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5C849859" w14:textId="77777777" w:rsidR="000829EF" w:rsidRDefault="00000000">
            <w:pPr>
              <w:rPr>
                <w:rFonts w:ascii="Times New Roman" w:hAnsi="Times New Roman"/>
                <w:sz w:val="21"/>
                <w:szCs w:val="21"/>
              </w:rPr>
            </w:pPr>
            <w:r>
              <w:rPr>
                <w:rFonts w:ascii="Times New Roman" w:hAnsi="Times New Roman" w:hint="eastAsia"/>
                <w:sz w:val="21"/>
                <w:szCs w:val="21"/>
              </w:rPr>
              <w:t>居民生活</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5D57FD9" w14:textId="77777777" w:rsidR="000829EF" w:rsidRDefault="00000000">
            <w:pPr>
              <w:rPr>
                <w:rFonts w:ascii="Times New Roman" w:hAnsi="Times New Roman"/>
                <w:sz w:val="21"/>
                <w:szCs w:val="21"/>
              </w:rPr>
            </w:pPr>
            <w:r>
              <w:rPr>
                <w:rFonts w:ascii="Times New Roman" w:hAnsi="Times New Roman" w:hint="eastAsia"/>
                <w:sz w:val="21"/>
                <w:szCs w:val="21"/>
              </w:rPr>
              <w:t>反映全市居民收入和支出、居民生活必需品保障、粮食流通、应急物资供求监测预警等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34904C2D" w14:textId="77777777">
        <w:trPr>
          <w:trHeight w:val="567"/>
          <w:jc w:val="center"/>
        </w:trPr>
        <w:tc>
          <w:tcPr>
            <w:tcW w:w="1740" w:type="dxa"/>
            <w:vMerge/>
            <w:tcBorders>
              <w:left w:val="single" w:sz="4" w:space="0" w:color="auto"/>
              <w:bottom w:val="single" w:sz="4" w:space="0" w:color="auto"/>
              <w:right w:val="single" w:sz="4" w:space="0" w:color="auto"/>
            </w:tcBorders>
            <w:shd w:val="clear" w:color="auto" w:fill="auto"/>
            <w:vAlign w:val="center"/>
          </w:tcPr>
          <w:p w14:paraId="0C0A88E0"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B31A48A" w14:textId="77777777" w:rsidR="000829EF" w:rsidRDefault="00000000">
            <w:pPr>
              <w:rPr>
                <w:rFonts w:ascii="Times New Roman" w:hAnsi="Times New Roman"/>
                <w:sz w:val="21"/>
                <w:szCs w:val="21"/>
              </w:rPr>
            </w:pPr>
            <w:r>
              <w:rPr>
                <w:rFonts w:ascii="Times New Roman" w:hAnsi="Times New Roman" w:hint="eastAsia"/>
                <w:sz w:val="21"/>
                <w:szCs w:val="21"/>
              </w:rPr>
              <w:t>农业农村</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A81E73A" w14:textId="77777777" w:rsidR="000829EF" w:rsidRDefault="00000000">
            <w:pPr>
              <w:rPr>
                <w:rFonts w:ascii="Times New Roman" w:hAnsi="Times New Roman"/>
                <w:sz w:val="21"/>
                <w:szCs w:val="21"/>
              </w:rPr>
            </w:pPr>
            <w:r>
              <w:rPr>
                <w:rFonts w:ascii="Times New Roman" w:hAnsi="Times New Roman" w:hint="eastAsia"/>
                <w:sz w:val="21"/>
                <w:szCs w:val="21"/>
              </w:rPr>
              <w:t>反映全市农产品生产、乡村特色产业发展、</w:t>
            </w:r>
            <w:proofErr w:type="gramStart"/>
            <w:r>
              <w:rPr>
                <w:rFonts w:ascii="Times New Roman" w:hAnsi="Times New Roman" w:hint="eastAsia"/>
                <w:sz w:val="21"/>
                <w:szCs w:val="21"/>
              </w:rPr>
              <w:t>农灾及</w:t>
            </w:r>
            <w:proofErr w:type="gramEnd"/>
            <w:r>
              <w:rPr>
                <w:rFonts w:ascii="Times New Roman" w:hAnsi="Times New Roman" w:hint="eastAsia"/>
                <w:sz w:val="21"/>
                <w:szCs w:val="21"/>
              </w:rPr>
              <w:t>病虫害防治、农业投入</w:t>
            </w:r>
            <w:proofErr w:type="gramStart"/>
            <w:r>
              <w:rPr>
                <w:rFonts w:ascii="Times New Roman" w:hAnsi="Times New Roman" w:hint="eastAsia"/>
                <w:sz w:val="21"/>
                <w:szCs w:val="21"/>
              </w:rPr>
              <w:t>品监督</w:t>
            </w:r>
            <w:proofErr w:type="gramEnd"/>
            <w:r>
              <w:rPr>
                <w:rFonts w:ascii="Times New Roman" w:hAnsi="Times New Roman" w:hint="eastAsia"/>
                <w:sz w:val="21"/>
                <w:szCs w:val="21"/>
              </w:rPr>
              <w:t>管理、农产品质量监测溯源、农村土地流转等</w:t>
            </w:r>
            <w:r>
              <w:rPr>
                <w:rFonts w:ascii="Times New Roman" w:hAnsi="Times New Roman"/>
                <w:sz w:val="21"/>
                <w:szCs w:val="21"/>
              </w:rPr>
              <w:t>方面的</w:t>
            </w:r>
            <w:r>
              <w:rPr>
                <w:rFonts w:ascii="Times New Roman" w:hAnsi="Times New Roman" w:hint="eastAsia"/>
                <w:sz w:val="21"/>
                <w:szCs w:val="21"/>
              </w:rPr>
              <w:t>状态及能力情况。</w:t>
            </w:r>
          </w:p>
        </w:tc>
      </w:tr>
    </w:tbl>
    <w:p w14:paraId="1EC7255A" w14:textId="77777777" w:rsidR="000829EF" w:rsidRDefault="000829EF"/>
    <w:p w14:paraId="58F0C0B7" w14:textId="77777777" w:rsidR="000829EF" w:rsidRDefault="00000000">
      <w:r>
        <w:br w:type="page"/>
      </w:r>
    </w:p>
    <w:p w14:paraId="271E1036" w14:textId="77777777" w:rsidR="000829EF" w:rsidRDefault="00000000">
      <w:pPr>
        <w:pStyle w:val="afffc"/>
        <w:numPr>
          <w:ilvl w:val="1"/>
          <w:numId w:val="18"/>
        </w:numPr>
        <w:spacing w:beforeLines="50" w:before="156" w:afterLines="50" w:after="156"/>
        <w:jc w:val="left"/>
        <w:outlineLvl w:val="2"/>
        <w:rPr>
          <w:rFonts w:ascii="Times New Roman"/>
        </w:rPr>
      </w:pPr>
      <w:r>
        <w:rPr>
          <w:rFonts w:ascii="Times New Roman" w:hint="eastAsia"/>
        </w:rPr>
        <w:lastRenderedPageBreak/>
        <w:t>资源环境</w:t>
      </w:r>
    </w:p>
    <w:p w14:paraId="4760B864" w14:textId="77777777" w:rsidR="000829EF" w:rsidRDefault="00000000">
      <w:pPr>
        <w:pStyle w:val="affc"/>
        <w:rPr>
          <w:rFonts w:ascii="Times New Roman"/>
        </w:rPr>
      </w:pPr>
      <w:r>
        <w:rPr>
          <w:rFonts w:ascii="Times New Roman" w:hint="eastAsia"/>
        </w:rPr>
        <w:t>资源环境涵盖全市水资源、规划自然资源、园林绿化、生态环境与气象监测领域的开发、保护与管理效能相关指标。资源环境指标分类及描述见表</w:t>
      </w:r>
      <w:r>
        <w:rPr>
          <w:rFonts w:ascii="Times New Roman" w:hint="eastAsia"/>
        </w:rPr>
        <w:t>2</w:t>
      </w:r>
      <w:r>
        <w:rPr>
          <w:rFonts w:ascii="Times New Roman" w:hint="eastAsia"/>
        </w:rPr>
        <w:t>，指标示例见附录</w:t>
      </w:r>
      <w:r>
        <w:rPr>
          <w:rFonts w:ascii="Times New Roman" w:hint="eastAsia"/>
        </w:rPr>
        <w:t>A</w:t>
      </w:r>
      <w:r>
        <w:rPr>
          <w:rFonts w:ascii="Times New Roman" w:hint="eastAsia"/>
        </w:rPr>
        <w:t>。</w:t>
      </w:r>
    </w:p>
    <w:p w14:paraId="648EA6D3" w14:textId="77777777" w:rsidR="000829EF" w:rsidRDefault="00000000">
      <w:pPr>
        <w:pStyle w:val="aff0"/>
        <w:rPr>
          <w:rFonts w:ascii="Times New Roman" w:hAnsi="Times New Roman"/>
        </w:rPr>
      </w:pPr>
      <w:r>
        <w:rPr>
          <w:rFonts w:ascii="Times New Roman" w:hAnsi="Times New Roman"/>
        </w:rPr>
        <w:t>表</w:t>
      </w:r>
      <w:r>
        <w:rPr>
          <w:rFonts w:ascii="Times New Roman" w:hAnsi="Times New Roman"/>
        </w:rPr>
        <w:t xml:space="preserve"> </w:t>
      </w:r>
      <w:r>
        <w:rPr>
          <w:rFonts w:ascii="Times New Roman" w:hAnsi="Times New Roman" w:hint="eastAsia"/>
        </w:rPr>
        <w:t xml:space="preserve">2 </w:t>
      </w:r>
      <w:r>
        <w:rPr>
          <w:rFonts w:ascii="Times New Roman" w:hAnsi="Times New Roman"/>
        </w:rPr>
        <w:t>资源环境</w:t>
      </w:r>
      <w:r>
        <w:rPr>
          <w:rFonts w:ascii="Times New Roman" w:hAnsi="Times New Roman" w:hint="eastAsia"/>
        </w:rPr>
        <w:t>指标分类及描述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500"/>
        <w:gridCol w:w="5265"/>
      </w:tblGrid>
      <w:tr w:rsidR="000829EF" w14:paraId="7A315AA3" w14:textId="77777777">
        <w:trPr>
          <w:trHeight w:val="567"/>
          <w:jc w:val="center"/>
        </w:trPr>
        <w:tc>
          <w:tcPr>
            <w:tcW w:w="1740" w:type="dxa"/>
            <w:shd w:val="clear" w:color="auto" w:fill="auto"/>
            <w:vAlign w:val="center"/>
          </w:tcPr>
          <w:p w14:paraId="4FA2C5F7"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一级指标分类</w:t>
            </w:r>
          </w:p>
        </w:tc>
        <w:tc>
          <w:tcPr>
            <w:tcW w:w="1500" w:type="dxa"/>
            <w:shd w:val="clear" w:color="auto" w:fill="auto"/>
            <w:vAlign w:val="center"/>
          </w:tcPr>
          <w:p w14:paraId="3291825A"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二级指标分类</w:t>
            </w:r>
          </w:p>
        </w:tc>
        <w:tc>
          <w:tcPr>
            <w:tcW w:w="5265" w:type="dxa"/>
            <w:shd w:val="clear" w:color="auto" w:fill="auto"/>
            <w:vAlign w:val="center"/>
          </w:tcPr>
          <w:p w14:paraId="13428692"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描述</w:t>
            </w:r>
          </w:p>
        </w:tc>
      </w:tr>
      <w:tr w:rsidR="000829EF" w14:paraId="7D1D9D47" w14:textId="77777777">
        <w:trPr>
          <w:trHeight w:val="567"/>
          <w:jc w:val="center"/>
        </w:trPr>
        <w:tc>
          <w:tcPr>
            <w:tcW w:w="1740" w:type="dxa"/>
            <w:vMerge w:val="restart"/>
            <w:tcBorders>
              <w:top w:val="single" w:sz="4" w:space="0" w:color="auto"/>
              <w:left w:val="single" w:sz="4" w:space="0" w:color="auto"/>
              <w:right w:val="single" w:sz="4" w:space="0" w:color="auto"/>
            </w:tcBorders>
            <w:shd w:val="clear" w:color="auto" w:fill="auto"/>
            <w:vAlign w:val="center"/>
          </w:tcPr>
          <w:p w14:paraId="526F29FB" w14:textId="77777777" w:rsidR="000829EF" w:rsidRDefault="00000000">
            <w:pPr>
              <w:rPr>
                <w:rFonts w:ascii="Times New Roman" w:hAnsi="Times New Roman"/>
                <w:sz w:val="21"/>
                <w:szCs w:val="21"/>
              </w:rPr>
            </w:pPr>
            <w:r>
              <w:rPr>
                <w:rFonts w:ascii="Times New Roman" w:hAnsi="Times New Roman" w:hint="eastAsia"/>
                <w:sz w:val="21"/>
                <w:szCs w:val="21"/>
              </w:rPr>
              <w:t>资源环境</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DAA6B50" w14:textId="77777777" w:rsidR="000829EF" w:rsidRDefault="00000000">
            <w:pPr>
              <w:rPr>
                <w:rFonts w:ascii="Times New Roman" w:hAnsi="Times New Roman"/>
                <w:sz w:val="21"/>
                <w:szCs w:val="21"/>
              </w:rPr>
            </w:pPr>
            <w:r>
              <w:rPr>
                <w:rFonts w:ascii="Times New Roman" w:hAnsi="Times New Roman" w:hint="eastAsia"/>
                <w:sz w:val="21"/>
                <w:szCs w:val="21"/>
              </w:rPr>
              <w:t>水资源</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5DE38978" w14:textId="77777777" w:rsidR="000829EF" w:rsidRDefault="00000000">
            <w:pPr>
              <w:rPr>
                <w:rFonts w:ascii="Times New Roman" w:hAnsi="Times New Roman"/>
                <w:sz w:val="21"/>
                <w:szCs w:val="21"/>
              </w:rPr>
            </w:pPr>
            <w:r>
              <w:rPr>
                <w:rFonts w:ascii="Times New Roman" w:hAnsi="Times New Roman" w:hint="eastAsia"/>
                <w:sz w:val="21"/>
                <w:szCs w:val="21"/>
              </w:rPr>
              <w:t>反映全市水资源开发利用、水资源保护、水文水资源监测、供水排水、节约用水、水情旱情监测、涉水违法查处等方面的状态及能力情况。</w:t>
            </w:r>
          </w:p>
        </w:tc>
      </w:tr>
      <w:tr w:rsidR="000829EF" w14:paraId="17E4E437"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7427A114"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2F5B78DF" w14:textId="77777777" w:rsidR="000829EF" w:rsidRDefault="00000000">
            <w:pPr>
              <w:rPr>
                <w:rFonts w:ascii="Times New Roman" w:hAnsi="Times New Roman"/>
                <w:sz w:val="21"/>
                <w:szCs w:val="21"/>
              </w:rPr>
            </w:pPr>
            <w:r>
              <w:rPr>
                <w:rFonts w:ascii="Times New Roman" w:hAnsi="Times New Roman" w:hint="eastAsia"/>
                <w:sz w:val="21"/>
                <w:szCs w:val="21"/>
              </w:rPr>
              <w:t>规划自然资源</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338DF8C" w14:textId="77777777" w:rsidR="000829EF" w:rsidRDefault="00000000">
            <w:pPr>
              <w:rPr>
                <w:rFonts w:ascii="Times New Roman" w:hAnsi="Times New Roman"/>
                <w:sz w:val="21"/>
                <w:szCs w:val="21"/>
              </w:rPr>
            </w:pPr>
            <w:r>
              <w:rPr>
                <w:rFonts w:ascii="Times New Roman" w:hAnsi="Times New Roman" w:hint="eastAsia"/>
                <w:sz w:val="21"/>
                <w:szCs w:val="21"/>
              </w:rPr>
              <w:t>反映全市自然资源调查监测评价、不动产登记、自然资源资产价值评估管理、耕地保护、地质灾害预防和治理、地质勘查和矿产资源管理、勘察设计和测绘地理信息管理等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1FBDEB76"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4313CA1A"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693D2328" w14:textId="77777777" w:rsidR="000829EF" w:rsidRDefault="00000000">
            <w:pPr>
              <w:rPr>
                <w:rFonts w:ascii="Times New Roman" w:hAnsi="Times New Roman"/>
                <w:sz w:val="21"/>
                <w:szCs w:val="21"/>
              </w:rPr>
            </w:pPr>
            <w:r>
              <w:rPr>
                <w:rFonts w:ascii="Times New Roman" w:hAnsi="Times New Roman" w:hint="eastAsia"/>
                <w:sz w:val="21"/>
                <w:szCs w:val="21"/>
              </w:rPr>
              <w:t>园林绿化</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97A9BF5" w14:textId="77777777" w:rsidR="000829EF" w:rsidRDefault="00000000">
            <w:pPr>
              <w:rPr>
                <w:rFonts w:ascii="Times New Roman" w:hAnsi="Times New Roman"/>
                <w:sz w:val="21"/>
                <w:szCs w:val="21"/>
              </w:rPr>
            </w:pPr>
            <w:r>
              <w:rPr>
                <w:rFonts w:ascii="Times New Roman" w:hAnsi="Times New Roman" w:hint="eastAsia"/>
                <w:sz w:val="21"/>
                <w:szCs w:val="21"/>
              </w:rPr>
              <w:t>反映全市园林绿化</w:t>
            </w:r>
            <w:r>
              <w:rPr>
                <w:rFonts w:ascii="Times New Roman" w:hAnsi="Times New Roman"/>
                <w:sz w:val="21"/>
                <w:szCs w:val="21"/>
              </w:rPr>
              <w:t>生态保护修复、城市绿化美化和植树造林</w:t>
            </w:r>
            <w:r>
              <w:rPr>
                <w:rFonts w:ascii="Times New Roman" w:hAnsi="Times New Roman" w:hint="eastAsia"/>
                <w:sz w:val="21"/>
                <w:szCs w:val="21"/>
              </w:rPr>
              <w:t>、森林</w:t>
            </w:r>
            <w:r>
              <w:rPr>
                <w:rFonts w:ascii="Times New Roman" w:hAnsi="Times New Roman"/>
                <w:sz w:val="21"/>
                <w:szCs w:val="21"/>
              </w:rPr>
              <w:t>/</w:t>
            </w:r>
            <w:r>
              <w:rPr>
                <w:rFonts w:ascii="Times New Roman" w:hAnsi="Times New Roman" w:hint="eastAsia"/>
                <w:sz w:val="21"/>
                <w:szCs w:val="21"/>
              </w:rPr>
              <w:t>湿地</w:t>
            </w:r>
            <w:r>
              <w:rPr>
                <w:rFonts w:ascii="Times New Roman" w:hAnsi="Times New Roman"/>
                <w:sz w:val="21"/>
                <w:szCs w:val="21"/>
              </w:rPr>
              <w:t>资源监督</w:t>
            </w:r>
            <w:r>
              <w:rPr>
                <w:rFonts w:ascii="Times New Roman" w:hAnsi="Times New Roman" w:hint="eastAsia"/>
                <w:sz w:val="21"/>
                <w:szCs w:val="21"/>
              </w:rPr>
              <w:t>管理、公园</w:t>
            </w:r>
            <w:r>
              <w:rPr>
                <w:rFonts w:ascii="Times New Roman" w:hAnsi="Times New Roman"/>
                <w:sz w:val="21"/>
                <w:szCs w:val="21"/>
              </w:rPr>
              <w:t>行业管理</w:t>
            </w:r>
            <w:r>
              <w:rPr>
                <w:rFonts w:ascii="Times New Roman" w:hAnsi="Times New Roman" w:hint="eastAsia"/>
                <w:sz w:val="21"/>
                <w:szCs w:val="21"/>
              </w:rPr>
              <w:t>、动植物资源监督</w:t>
            </w:r>
            <w:r>
              <w:rPr>
                <w:rFonts w:ascii="Times New Roman" w:hAnsi="Times New Roman"/>
                <w:sz w:val="21"/>
                <w:szCs w:val="21"/>
              </w:rPr>
              <w:t>管理</w:t>
            </w:r>
            <w:r>
              <w:rPr>
                <w:rFonts w:ascii="Times New Roman" w:hAnsi="Times New Roman" w:hint="eastAsia"/>
                <w:sz w:val="21"/>
                <w:szCs w:val="21"/>
              </w:rPr>
              <w:t>、</w:t>
            </w:r>
            <w:r>
              <w:rPr>
                <w:rFonts w:ascii="Times New Roman" w:hAnsi="Times New Roman"/>
                <w:sz w:val="21"/>
                <w:szCs w:val="21"/>
              </w:rPr>
              <w:t>森林火灾防治</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19CA5C50"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53FEBF18"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6EF5E285" w14:textId="77777777" w:rsidR="000829EF" w:rsidRDefault="00000000">
            <w:pPr>
              <w:rPr>
                <w:rFonts w:ascii="Times New Roman" w:hAnsi="Times New Roman"/>
                <w:sz w:val="21"/>
                <w:szCs w:val="21"/>
              </w:rPr>
            </w:pPr>
            <w:r>
              <w:rPr>
                <w:rFonts w:ascii="Times New Roman" w:hAnsi="Times New Roman" w:hint="eastAsia"/>
                <w:sz w:val="21"/>
                <w:szCs w:val="21"/>
              </w:rPr>
              <w:t>生态环境</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9FFEA3F" w14:textId="77777777" w:rsidR="000829EF" w:rsidRDefault="00000000">
            <w:pPr>
              <w:rPr>
                <w:rFonts w:ascii="Times New Roman" w:hAnsi="Times New Roman"/>
                <w:sz w:val="21"/>
                <w:szCs w:val="21"/>
              </w:rPr>
            </w:pPr>
            <w:r>
              <w:rPr>
                <w:rFonts w:ascii="Times New Roman" w:hAnsi="Times New Roman" w:hint="eastAsia"/>
                <w:sz w:val="21"/>
                <w:szCs w:val="21"/>
              </w:rPr>
              <w:t>反映全市环境污染防治监管、污染减排目标落实、生态环境质量监测、生态保护修复、生态环境监测评价、重大生态环境问题处置等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5A4ADC4D" w14:textId="77777777">
        <w:trPr>
          <w:trHeight w:val="567"/>
          <w:jc w:val="center"/>
        </w:trPr>
        <w:tc>
          <w:tcPr>
            <w:tcW w:w="1740" w:type="dxa"/>
            <w:vMerge/>
            <w:tcBorders>
              <w:left w:val="single" w:sz="4" w:space="0" w:color="auto"/>
              <w:bottom w:val="single" w:sz="4" w:space="0" w:color="auto"/>
              <w:right w:val="single" w:sz="4" w:space="0" w:color="auto"/>
            </w:tcBorders>
            <w:shd w:val="clear" w:color="auto" w:fill="auto"/>
            <w:vAlign w:val="center"/>
          </w:tcPr>
          <w:p w14:paraId="03443259"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6A4C262B" w14:textId="77777777" w:rsidR="000829EF" w:rsidRDefault="00000000">
            <w:pPr>
              <w:rPr>
                <w:rFonts w:ascii="Times New Roman" w:hAnsi="Times New Roman"/>
                <w:sz w:val="21"/>
                <w:szCs w:val="21"/>
              </w:rPr>
            </w:pPr>
            <w:r>
              <w:rPr>
                <w:rFonts w:ascii="Times New Roman" w:hAnsi="Times New Roman" w:hint="eastAsia"/>
                <w:sz w:val="21"/>
                <w:szCs w:val="21"/>
              </w:rPr>
              <w:t>气象监测</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661356A" w14:textId="77777777" w:rsidR="000829EF" w:rsidRDefault="00000000">
            <w:pPr>
              <w:rPr>
                <w:rFonts w:ascii="Times New Roman" w:hAnsi="Times New Roman"/>
                <w:sz w:val="21"/>
                <w:szCs w:val="21"/>
              </w:rPr>
            </w:pPr>
            <w:r>
              <w:rPr>
                <w:rFonts w:ascii="Times New Roman" w:hAnsi="Times New Roman" w:hint="eastAsia"/>
                <w:sz w:val="21"/>
                <w:szCs w:val="21"/>
              </w:rPr>
              <w:t>反映全市气象监测预报、气象灾害防御预警、气候资源利用保护等</w:t>
            </w:r>
            <w:r>
              <w:rPr>
                <w:rFonts w:ascii="Times New Roman" w:hAnsi="Times New Roman"/>
                <w:sz w:val="21"/>
                <w:szCs w:val="21"/>
              </w:rPr>
              <w:t>方面的</w:t>
            </w:r>
            <w:r>
              <w:rPr>
                <w:rFonts w:ascii="Times New Roman" w:hAnsi="Times New Roman" w:hint="eastAsia"/>
                <w:sz w:val="21"/>
                <w:szCs w:val="21"/>
              </w:rPr>
              <w:t>状态及能力情况。</w:t>
            </w:r>
          </w:p>
        </w:tc>
      </w:tr>
    </w:tbl>
    <w:p w14:paraId="04F26A0A" w14:textId="77777777" w:rsidR="000829EF" w:rsidRDefault="000829EF"/>
    <w:p w14:paraId="62DAC2F8" w14:textId="77777777" w:rsidR="000829EF" w:rsidRDefault="00000000">
      <w:pPr>
        <w:pStyle w:val="afffc"/>
        <w:numPr>
          <w:ilvl w:val="1"/>
          <w:numId w:val="18"/>
        </w:numPr>
        <w:spacing w:beforeLines="50" w:before="156" w:afterLines="50" w:after="156"/>
        <w:jc w:val="left"/>
        <w:outlineLvl w:val="2"/>
        <w:rPr>
          <w:rFonts w:ascii="Times New Roman"/>
        </w:rPr>
      </w:pPr>
      <w:r>
        <w:rPr>
          <w:rFonts w:ascii="Times New Roman" w:hint="eastAsia"/>
        </w:rPr>
        <w:t>公共管理</w:t>
      </w:r>
    </w:p>
    <w:p w14:paraId="7D768CEA" w14:textId="77777777" w:rsidR="000829EF" w:rsidRDefault="00000000">
      <w:pPr>
        <w:pStyle w:val="affc"/>
        <w:rPr>
          <w:rFonts w:ascii="Times New Roman"/>
        </w:rPr>
      </w:pPr>
      <w:r>
        <w:rPr>
          <w:rFonts w:ascii="Times New Roman" w:hint="eastAsia"/>
        </w:rPr>
        <w:t>公共管理涵盖城市管理、交通运输、公共安全、政务服务、数字基础与公用</w:t>
      </w:r>
      <w:r>
        <w:rPr>
          <w:rFonts w:ascii="Times New Roman"/>
        </w:rPr>
        <w:t>事业</w:t>
      </w:r>
      <w:r>
        <w:rPr>
          <w:rFonts w:ascii="Times New Roman" w:hint="eastAsia"/>
        </w:rPr>
        <w:t>相关指标，综合</w:t>
      </w:r>
      <w:r>
        <w:rPr>
          <w:rFonts w:ascii="Times New Roman"/>
        </w:rPr>
        <w:t>反映</w:t>
      </w:r>
      <w:r>
        <w:rPr>
          <w:rFonts w:ascii="Times New Roman" w:hint="eastAsia"/>
        </w:rPr>
        <w:t>城市</w:t>
      </w:r>
      <w:r>
        <w:rPr>
          <w:rFonts w:ascii="Times New Roman"/>
        </w:rPr>
        <w:t>管理</w:t>
      </w:r>
      <w:r>
        <w:rPr>
          <w:rFonts w:ascii="Times New Roman" w:hint="eastAsia"/>
        </w:rPr>
        <w:t>效能与</w:t>
      </w:r>
      <w:r>
        <w:rPr>
          <w:rFonts w:ascii="Times New Roman"/>
        </w:rPr>
        <w:t>公共</w:t>
      </w:r>
      <w:r>
        <w:rPr>
          <w:rFonts w:ascii="Times New Roman" w:hint="eastAsia"/>
        </w:rPr>
        <w:t>服务水平。公共管理指标分类及描述见表</w:t>
      </w:r>
      <w:r>
        <w:rPr>
          <w:rFonts w:ascii="Times New Roman" w:hint="eastAsia"/>
        </w:rPr>
        <w:t>3</w:t>
      </w:r>
      <w:r>
        <w:rPr>
          <w:rFonts w:ascii="Times New Roman" w:hint="eastAsia"/>
        </w:rPr>
        <w:t>，指标示例见附录</w:t>
      </w:r>
      <w:r>
        <w:rPr>
          <w:rFonts w:ascii="Times New Roman" w:hint="eastAsia"/>
        </w:rPr>
        <w:t>A</w:t>
      </w:r>
      <w:r>
        <w:rPr>
          <w:rFonts w:ascii="Times New Roman" w:hint="eastAsia"/>
        </w:rPr>
        <w:t>。</w:t>
      </w:r>
    </w:p>
    <w:p w14:paraId="4808F1A1" w14:textId="77777777" w:rsidR="000829EF" w:rsidRDefault="00000000">
      <w:pPr>
        <w:pStyle w:val="aff0"/>
        <w:rPr>
          <w:rFonts w:ascii="Times New Roman" w:hAnsi="Times New Roman"/>
        </w:rPr>
      </w:pPr>
      <w:r>
        <w:rPr>
          <w:rFonts w:ascii="Times New Roman" w:hAnsi="Times New Roman"/>
        </w:rPr>
        <w:t>表</w:t>
      </w:r>
      <w:r>
        <w:rPr>
          <w:rFonts w:ascii="Times New Roman" w:hAnsi="Times New Roman"/>
        </w:rPr>
        <w:t xml:space="preserve"> </w:t>
      </w:r>
      <w:r>
        <w:rPr>
          <w:rFonts w:ascii="Times New Roman" w:hAnsi="Times New Roman" w:hint="eastAsia"/>
        </w:rPr>
        <w:t xml:space="preserve">3 </w:t>
      </w:r>
      <w:r>
        <w:rPr>
          <w:rFonts w:ascii="Times New Roman" w:hAnsi="Times New Roman"/>
        </w:rPr>
        <w:t>公共管理</w:t>
      </w:r>
      <w:r>
        <w:rPr>
          <w:rFonts w:ascii="Times New Roman" w:hAnsi="Times New Roman" w:hint="eastAsia"/>
        </w:rPr>
        <w:t>指标分类及描述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500"/>
        <w:gridCol w:w="5265"/>
      </w:tblGrid>
      <w:tr w:rsidR="000829EF" w14:paraId="6678F508" w14:textId="77777777">
        <w:trPr>
          <w:trHeight w:val="567"/>
          <w:tblHeader/>
          <w:jc w:val="center"/>
        </w:trPr>
        <w:tc>
          <w:tcPr>
            <w:tcW w:w="1740" w:type="dxa"/>
            <w:shd w:val="clear" w:color="auto" w:fill="auto"/>
            <w:vAlign w:val="center"/>
          </w:tcPr>
          <w:p w14:paraId="1A2A9AD0"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一级指标分类</w:t>
            </w:r>
          </w:p>
        </w:tc>
        <w:tc>
          <w:tcPr>
            <w:tcW w:w="1500" w:type="dxa"/>
            <w:shd w:val="clear" w:color="auto" w:fill="auto"/>
            <w:vAlign w:val="center"/>
          </w:tcPr>
          <w:p w14:paraId="6F81D18F"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二级指标分类</w:t>
            </w:r>
          </w:p>
        </w:tc>
        <w:tc>
          <w:tcPr>
            <w:tcW w:w="5265" w:type="dxa"/>
            <w:shd w:val="clear" w:color="auto" w:fill="auto"/>
            <w:vAlign w:val="center"/>
          </w:tcPr>
          <w:p w14:paraId="62515D66"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描述</w:t>
            </w:r>
          </w:p>
        </w:tc>
      </w:tr>
      <w:tr w:rsidR="000829EF" w14:paraId="7FBCAAAB" w14:textId="77777777">
        <w:trPr>
          <w:trHeight w:val="567"/>
          <w:jc w:val="center"/>
        </w:trPr>
        <w:tc>
          <w:tcPr>
            <w:tcW w:w="1740" w:type="dxa"/>
            <w:vMerge w:val="restart"/>
            <w:tcBorders>
              <w:top w:val="single" w:sz="4" w:space="0" w:color="auto"/>
              <w:left w:val="single" w:sz="4" w:space="0" w:color="auto"/>
              <w:right w:val="single" w:sz="4" w:space="0" w:color="auto"/>
            </w:tcBorders>
            <w:shd w:val="clear" w:color="auto" w:fill="auto"/>
            <w:vAlign w:val="center"/>
          </w:tcPr>
          <w:p w14:paraId="495D3216" w14:textId="77777777" w:rsidR="000829EF" w:rsidRDefault="00000000">
            <w:pPr>
              <w:rPr>
                <w:rFonts w:ascii="Times New Roman" w:hAnsi="Times New Roman"/>
                <w:sz w:val="21"/>
                <w:szCs w:val="21"/>
              </w:rPr>
            </w:pPr>
            <w:r>
              <w:rPr>
                <w:rFonts w:ascii="Times New Roman" w:hAnsi="Times New Roman" w:hint="eastAsia"/>
                <w:sz w:val="21"/>
                <w:szCs w:val="21"/>
              </w:rPr>
              <w:t>公共管理</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7574B57" w14:textId="77777777" w:rsidR="000829EF" w:rsidRDefault="00000000">
            <w:pPr>
              <w:rPr>
                <w:rFonts w:ascii="Times New Roman" w:hAnsi="Times New Roman"/>
                <w:sz w:val="21"/>
                <w:szCs w:val="21"/>
              </w:rPr>
            </w:pPr>
            <w:r>
              <w:rPr>
                <w:rFonts w:ascii="Times New Roman" w:hAnsi="Times New Roman" w:hint="eastAsia"/>
                <w:sz w:val="21"/>
                <w:szCs w:val="21"/>
              </w:rPr>
              <w:t>城市管理</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AF1F7D0" w14:textId="77777777" w:rsidR="000829EF" w:rsidRDefault="00000000">
            <w:pPr>
              <w:rPr>
                <w:rFonts w:ascii="Times New Roman" w:hAnsi="Times New Roman"/>
                <w:sz w:val="21"/>
                <w:szCs w:val="21"/>
              </w:rPr>
            </w:pPr>
            <w:r>
              <w:rPr>
                <w:rFonts w:ascii="Times New Roman" w:hAnsi="Times New Roman" w:hint="eastAsia"/>
                <w:sz w:val="21"/>
                <w:szCs w:val="21"/>
              </w:rPr>
              <w:t>反映全市</w:t>
            </w:r>
            <w:r>
              <w:rPr>
                <w:rFonts w:ascii="Times New Roman" w:hAnsi="Times New Roman"/>
                <w:sz w:val="21"/>
                <w:szCs w:val="21"/>
              </w:rPr>
              <w:t>城市管理专项整治和检查评价、城乡环境建设监督考核、</w:t>
            </w:r>
            <w:r>
              <w:rPr>
                <w:rFonts w:ascii="Times New Roman" w:hAnsi="Times New Roman" w:hint="eastAsia"/>
                <w:sz w:val="21"/>
                <w:szCs w:val="21"/>
              </w:rPr>
              <w:t>网格化</w:t>
            </w:r>
            <w:r>
              <w:rPr>
                <w:rFonts w:ascii="Times New Roman" w:hAnsi="Times New Roman"/>
                <w:sz w:val="21"/>
                <w:szCs w:val="21"/>
              </w:rPr>
              <w:t>体系建设及运行</w:t>
            </w:r>
            <w:r>
              <w:rPr>
                <w:rFonts w:ascii="Times New Roman" w:hAnsi="Times New Roman" w:hint="eastAsia"/>
                <w:sz w:val="21"/>
                <w:szCs w:val="21"/>
              </w:rPr>
              <w:t>管理、市容环境</w:t>
            </w:r>
            <w:r>
              <w:rPr>
                <w:rFonts w:ascii="Times New Roman" w:hAnsi="Times New Roman"/>
                <w:sz w:val="21"/>
                <w:szCs w:val="21"/>
              </w:rPr>
              <w:t>综合整治</w:t>
            </w:r>
            <w:r>
              <w:rPr>
                <w:rFonts w:ascii="Times New Roman" w:hAnsi="Times New Roman" w:hint="eastAsia"/>
                <w:sz w:val="21"/>
                <w:szCs w:val="21"/>
              </w:rPr>
              <w:t>、</w:t>
            </w:r>
            <w:r>
              <w:rPr>
                <w:rFonts w:ascii="Times New Roman" w:hAnsi="Times New Roman"/>
                <w:sz w:val="21"/>
                <w:szCs w:val="21"/>
              </w:rPr>
              <w:t>生活垃圾清运</w:t>
            </w:r>
            <w:r>
              <w:rPr>
                <w:rFonts w:ascii="Times New Roman" w:hAnsi="Times New Roman"/>
                <w:sz w:val="21"/>
                <w:szCs w:val="21"/>
              </w:rPr>
              <w:t>/</w:t>
            </w:r>
            <w:r>
              <w:rPr>
                <w:rFonts w:ascii="Times New Roman" w:hAnsi="Times New Roman"/>
                <w:sz w:val="21"/>
                <w:szCs w:val="21"/>
              </w:rPr>
              <w:t>处置</w:t>
            </w:r>
            <w:r>
              <w:rPr>
                <w:rFonts w:ascii="Times New Roman" w:hAnsi="Times New Roman"/>
                <w:sz w:val="21"/>
                <w:szCs w:val="21"/>
              </w:rPr>
              <w:t>/</w:t>
            </w:r>
            <w:r>
              <w:rPr>
                <w:rFonts w:ascii="Times New Roman" w:hAnsi="Times New Roman"/>
                <w:sz w:val="21"/>
                <w:szCs w:val="21"/>
              </w:rPr>
              <w:t>分类、城市管理综合行政执法</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4102DAC7"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03EC6699"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F28B474" w14:textId="77777777" w:rsidR="000829EF" w:rsidRDefault="00000000">
            <w:pPr>
              <w:rPr>
                <w:rFonts w:ascii="Times New Roman" w:hAnsi="Times New Roman"/>
                <w:sz w:val="21"/>
                <w:szCs w:val="21"/>
              </w:rPr>
            </w:pPr>
            <w:r>
              <w:rPr>
                <w:rFonts w:ascii="Times New Roman" w:hAnsi="Times New Roman" w:hint="eastAsia"/>
                <w:sz w:val="21"/>
                <w:szCs w:val="21"/>
              </w:rPr>
              <w:t>交通运输</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779F9ACE" w14:textId="77777777" w:rsidR="000829EF" w:rsidRDefault="00000000">
            <w:pPr>
              <w:rPr>
                <w:rFonts w:ascii="Times New Roman" w:hAnsi="Times New Roman"/>
                <w:sz w:val="21"/>
                <w:szCs w:val="21"/>
              </w:rPr>
            </w:pPr>
            <w:r>
              <w:rPr>
                <w:rFonts w:ascii="Times New Roman" w:hAnsi="Times New Roman" w:hint="eastAsia"/>
                <w:sz w:val="21"/>
                <w:szCs w:val="21"/>
              </w:rPr>
              <w:t>反映全市交通基础设施建设、铁路</w:t>
            </w:r>
            <w:r>
              <w:rPr>
                <w:rFonts w:ascii="Times New Roman" w:hAnsi="Times New Roman" w:hint="eastAsia"/>
                <w:sz w:val="21"/>
                <w:szCs w:val="21"/>
              </w:rPr>
              <w:t>\</w:t>
            </w:r>
            <w:r>
              <w:rPr>
                <w:rFonts w:ascii="Times New Roman" w:hAnsi="Times New Roman" w:hint="eastAsia"/>
                <w:sz w:val="21"/>
                <w:szCs w:val="21"/>
              </w:rPr>
              <w:t>民航</w:t>
            </w:r>
            <w:r>
              <w:rPr>
                <w:rFonts w:ascii="Times New Roman" w:hAnsi="Times New Roman" w:hint="eastAsia"/>
                <w:sz w:val="21"/>
                <w:szCs w:val="21"/>
              </w:rPr>
              <w:t>\</w:t>
            </w:r>
            <w:r>
              <w:rPr>
                <w:rFonts w:ascii="Times New Roman" w:hAnsi="Times New Roman" w:hint="eastAsia"/>
                <w:sz w:val="21"/>
                <w:szCs w:val="21"/>
              </w:rPr>
              <w:t>邮政等综合运输、交通运输行业监管、交通综合治理、智能交通系统建设等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4CF5AC09"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258FED92"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D99B562" w14:textId="77777777" w:rsidR="000829EF" w:rsidRDefault="00000000">
            <w:pPr>
              <w:rPr>
                <w:rFonts w:ascii="Times New Roman" w:hAnsi="Times New Roman"/>
                <w:sz w:val="21"/>
                <w:szCs w:val="21"/>
              </w:rPr>
            </w:pPr>
            <w:r>
              <w:rPr>
                <w:rFonts w:ascii="Times New Roman" w:hAnsi="Times New Roman" w:hint="eastAsia"/>
                <w:sz w:val="21"/>
                <w:szCs w:val="21"/>
              </w:rPr>
              <w:t>公共安全</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2CD0450C" w14:textId="77777777" w:rsidR="000829EF" w:rsidRDefault="00000000">
            <w:pPr>
              <w:rPr>
                <w:rFonts w:ascii="Times New Roman" w:hAnsi="Times New Roman"/>
                <w:sz w:val="21"/>
                <w:szCs w:val="21"/>
              </w:rPr>
            </w:pPr>
            <w:r>
              <w:rPr>
                <w:rFonts w:ascii="Times New Roman" w:hAnsi="Times New Roman" w:hint="eastAsia"/>
                <w:sz w:val="21"/>
                <w:szCs w:val="21"/>
              </w:rPr>
              <w:t>反映全市各类突发事件应急处置、应急专业队伍及救援力量建设、消防管理、安全生产综合监督及考核、事故调查与处理、应急物资储备等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3DE70A5B"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07D5A479"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2A136936" w14:textId="77777777" w:rsidR="000829EF" w:rsidRDefault="00000000">
            <w:pPr>
              <w:rPr>
                <w:rFonts w:ascii="Times New Roman" w:hAnsi="Times New Roman"/>
                <w:sz w:val="21"/>
                <w:szCs w:val="21"/>
              </w:rPr>
            </w:pPr>
            <w:r>
              <w:rPr>
                <w:rFonts w:ascii="Times New Roman" w:hAnsi="Times New Roman" w:hint="eastAsia"/>
                <w:sz w:val="21"/>
                <w:szCs w:val="21"/>
              </w:rPr>
              <w:t>政务服务</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45B7F962" w14:textId="77777777" w:rsidR="000829EF" w:rsidRDefault="00000000">
            <w:pPr>
              <w:rPr>
                <w:rFonts w:ascii="Times New Roman" w:hAnsi="Times New Roman"/>
                <w:sz w:val="21"/>
                <w:szCs w:val="21"/>
              </w:rPr>
            </w:pPr>
            <w:r>
              <w:rPr>
                <w:rFonts w:ascii="Times New Roman" w:hAnsi="Times New Roman" w:hint="eastAsia"/>
                <w:sz w:val="21"/>
                <w:szCs w:val="21"/>
              </w:rPr>
              <w:t>反映全市行政审批</w:t>
            </w:r>
            <w:r>
              <w:rPr>
                <w:rFonts w:ascii="Times New Roman" w:hAnsi="Times New Roman"/>
                <w:sz w:val="21"/>
                <w:szCs w:val="21"/>
              </w:rPr>
              <w:t>制度改革</w:t>
            </w:r>
            <w:r>
              <w:rPr>
                <w:rFonts w:ascii="Times New Roman" w:hAnsi="Times New Roman" w:hint="eastAsia"/>
                <w:sz w:val="21"/>
                <w:szCs w:val="21"/>
              </w:rPr>
              <w:t>、</w:t>
            </w:r>
            <w:r>
              <w:rPr>
                <w:rFonts w:ascii="Times New Roman" w:hAnsi="Times New Roman"/>
                <w:sz w:val="21"/>
                <w:szCs w:val="21"/>
              </w:rPr>
              <w:t>政务服务事项规范管理、</w:t>
            </w:r>
            <w:r>
              <w:rPr>
                <w:rFonts w:ascii="Times New Roman" w:hAnsi="Times New Roman" w:hint="eastAsia"/>
                <w:sz w:val="21"/>
                <w:szCs w:val="21"/>
              </w:rPr>
              <w:t>政务服务体系建设、数字政务</w:t>
            </w:r>
            <w:r>
              <w:rPr>
                <w:rFonts w:ascii="Times New Roman" w:hAnsi="Times New Roman"/>
                <w:sz w:val="21"/>
                <w:szCs w:val="21"/>
              </w:rPr>
              <w:t>建设、中介服务网上交易</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56CF43A0"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63851228"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3168537" w14:textId="77777777" w:rsidR="000829EF" w:rsidRDefault="00000000">
            <w:pPr>
              <w:rPr>
                <w:rFonts w:ascii="Times New Roman" w:hAnsi="Times New Roman"/>
                <w:sz w:val="21"/>
                <w:szCs w:val="21"/>
              </w:rPr>
            </w:pPr>
            <w:r>
              <w:rPr>
                <w:rFonts w:ascii="Times New Roman" w:hAnsi="Times New Roman" w:hint="eastAsia"/>
                <w:sz w:val="21"/>
                <w:szCs w:val="21"/>
              </w:rPr>
              <w:t>数字基础</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12014C0D" w14:textId="77777777" w:rsidR="000829EF" w:rsidRDefault="00000000">
            <w:pPr>
              <w:rPr>
                <w:rFonts w:ascii="Times New Roman" w:hAnsi="Times New Roman"/>
                <w:sz w:val="21"/>
                <w:szCs w:val="21"/>
              </w:rPr>
            </w:pPr>
            <w:r>
              <w:rPr>
                <w:rFonts w:ascii="Times New Roman" w:hAnsi="Times New Roman" w:hint="eastAsia"/>
                <w:sz w:val="21"/>
                <w:szCs w:val="21"/>
              </w:rPr>
              <w:t>反映全市</w:t>
            </w:r>
            <w:r>
              <w:rPr>
                <w:rFonts w:ascii="Times New Roman" w:hAnsi="Times New Roman"/>
                <w:sz w:val="21"/>
                <w:szCs w:val="21"/>
              </w:rPr>
              <w:t>智慧城市</w:t>
            </w:r>
            <w:r>
              <w:rPr>
                <w:rFonts w:ascii="Times New Roman" w:hAnsi="Times New Roman" w:hint="eastAsia"/>
                <w:sz w:val="21"/>
                <w:szCs w:val="21"/>
              </w:rPr>
              <w:t>数字基础设施建设</w:t>
            </w:r>
            <w:r>
              <w:rPr>
                <w:rFonts w:ascii="Times New Roman" w:hAnsi="Times New Roman"/>
                <w:sz w:val="21"/>
                <w:szCs w:val="21"/>
              </w:rPr>
              <w:t>与运行服务</w:t>
            </w:r>
            <w:r>
              <w:rPr>
                <w:rFonts w:ascii="Times New Roman" w:hAnsi="Times New Roman" w:hint="eastAsia"/>
                <w:sz w:val="21"/>
                <w:szCs w:val="21"/>
              </w:rPr>
              <w:t>、数据要素市场建设、数据要素产权</w:t>
            </w:r>
            <w:r>
              <w:rPr>
                <w:rFonts w:ascii="Times New Roman" w:hAnsi="Times New Roman" w:hint="eastAsia"/>
                <w:sz w:val="21"/>
                <w:szCs w:val="21"/>
              </w:rPr>
              <w:t>\</w:t>
            </w:r>
            <w:r>
              <w:rPr>
                <w:rFonts w:ascii="Times New Roman" w:hAnsi="Times New Roman" w:hint="eastAsia"/>
                <w:sz w:val="21"/>
                <w:szCs w:val="21"/>
              </w:rPr>
              <w:t>流通</w:t>
            </w:r>
            <w:r>
              <w:rPr>
                <w:rFonts w:ascii="Times New Roman" w:hAnsi="Times New Roman" w:hint="eastAsia"/>
                <w:sz w:val="21"/>
                <w:szCs w:val="21"/>
              </w:rPr>
              <w:t>\</w:t>
            </w:r>
            <w:r>
              <w:rPr>
                <w:rFonts w:ascii="Times New Roman" w:hAnsi="Times New Roman" w:hint="eastAsia"/>
                <w:sz w:val="21"/>
                <w:szCs w:val="21"/>
              </w:rPr>
              <w:t>分配</w:t>
            </w:r>
            <w:r>
              <w:rPr>
                <w:rFonts w:ascii="Times New Roman" w:hAnsi="Times New Roman" w:hint="eastAsia"/>
                <w:sz w:val="21"/>
                <w:szCs w:val="21"/>
              </w:rPr>
              <w:t>\</w:t>
            </w:r>
            <w:r>
              <w:rPr>
                <w:rFonts w:ascii="Times New Roman" w:hAnsi="Times New Roman" w:hint="eastAsia"/>
                <w:sz w:val="21"/>
                <w:szCs w:val="21"/>
              </w:rPr>
              <w:t>治理、数据资源整合共享和开发利用等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7D800997" w14:textId="77777777">
        <w:trPr>
          <w:trHeight w:val="567"/>
          <w:jc w:val="center"/>
        </w:trPr>
        <w:tc>
          <w:tcPr>
            <w:tcW w:w="1740" w:type="dxa"/>
            <w:vMerge/>
            <w:tcBorders>
              <w:left w:val="single" w:sz="4" w:space="0" w:color="auto"/>
              <w:bottom w:val="single" w:sz="4" w:space="0" w:color="auto"/>
              <w:right w:val="single" w:sz="4" w:space="0" w:color="auto"/>
            </w:tcBorders>
            <w:shd w:val="clear" w:color="auto" w:fill="auto"/>
            <w:vAlign w:val="center"/>
          </w:tcPr>
          <w:p w14:paraId="686224BE"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8288224" w14:textId="77777777" w:rsidR="000829EF" w:rsidRDefault="00000000">
            <w:pPr>
              <w:rPr>
                <w:rFonts w:ascii="Times New Roman" w:hAnsi="Times New Roman"/>
                <w:sz w:val="21"/>
                <w:szCs w:val="21"/>
              </w:rPr>
            </w:pPr>
            <w:r>
              <w:rPr>
                <w:rFonts w:ascii="Times New Roman" w:hAnsi="Times New Roman" w:hint="eastAsia"/>
                <w:sz w:val="21"/>
                <w:szCs w:val="21"/>
              </w:rPr>
              <w:t>公用</w:t>
            </w:r>
            <w:r>
              <w:rPr>
                <w:rFonts w:ascii="Times New Roman" w:hAnsi="Times New Roman"/>
                <w:sz w:val="21"/>
                <w:szCs w:val="21"/>
              </w:rPr>
              <w:t>事业</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5154EE1" w14:textId="77777777" w:rsidR="000829EF" w:rsidRDefault="00000000">
            <w:pPr>
              <w:rPr>
                <w:rFonts w:ascii="Times New Roman" w:hAnsi="Times New Roman"/>
                <w:sz w:val="21"/>
                <w:szCs w:val="21"/>
              </w:rPr>
            </w:pPr>
            <w:r>
              <w:rPr>
                <w:rFonts w:ascii="Times New Roman" w:hAnsi="Times New Roman" w:hint="eastAsia"/>
                <w:sz w:val="21"/>
                <w:szCs w:val="21"/>
              </w:rPr>
              <w:t>反映全市</w:t>
            </w:r>
            <w:r>
              <w:rPr>
                <w:rFonts w:ascii="Times New Roman" w:hAnsi="Times New Roman"/>
                <w:sz w:val="21"/>
                <w:szCs w:val="21"/>
              </w:rPr>
              <w:t>煤</w:t>
            </w:r>
            <w:r>
              <w:rPr>
                <w:rFonts w:ascii="Times New Roman" w:hAnsi="Times New Roman"/>
                <w:sz w:val="21"/>
                <w:szCs w:val="21"/>
              </w:rPr>
              <w:t>/</w:t>
            </w:r>
            <w:r>
              <w:rPr>
                <w:rFonts w:ascii="Times New Roman" w:hAnsi="Times New Roman"/>
                <w:sz w:val="21"/>
                <w:szCs w:val="21"/>
              </w:rPr>
              <w:t>电</w:t>
            </w:r>
            <w:r>
              <w:rPr>
                <w:rFonts w:ascii="Times New Roman" w:hAnsi="Times New Roman"/>
                <w:sz w:val="21"/>
                <w:szCs w:val="21"/>
              </w:rPr>
              <w:t>/</w:t>
            </w:r>
            <w:r>
              <w:rPr>
                <w:rFonts w:ascii="Times New Roman" w:hAnsi="Times New Roman"/>
                <w:sz w:val="21"/>
                <w:szCs w:val="21"/>
              </w:rPr>
              <w:t>油</w:t>
            </w:r>
            <w:r>
              <w:rPr>
                <w:rFonts w:ascii="Times New Roman" w:hAnsi="Times New Roman"/>
                <w:sz w:val="21"/>
                <w:szCs w:val="21"/>
              </w:rPr>
              <w:t>/</w:t>
            </w:r>
            <w:r>
              <w:rPr>
                <w:rFonts w:ascii="Times New Roman" w:hAnsi="Times New Roman"/>
                <w:sz w:val="21"/>
                <w:szCs w:val="21"/>
              </w:rPr>
              <w:t>气等能源日常运行监测、市政</w:t>
            </w:r>
            <w:r>
              <w:rPr>
                <w:rFonts w:ascii="Times New Roman" w:hAnsi="Times New Roman" w:hint="eastAsia"/>
                <w:sz w:val="21"/>
                <w:szCs w:val="21"/>
              </w:rPr>
              <w:t>公用</w:t>
            </w:r>
            <w:r>
              <w:rPr>
                <w:rFonts w:ascii="Times New Roman" w:hAnsi="Times New Roman"/>
                <w:sz w:val="21"/>
                <w:szCs w:val="21"/>
              </w:rPr>
              <w:t>事业管理、市政设施建设等方面的</w:t>
            </w:r>
            <w:r>
              <w:rPr>
                <w:rFonts w:ascii="Times New Roman" w:hAnsi="Times New Roman" w:hint="eastAsia"/>
                <w:sz w:val="21"/>
                <w:szCs w:val="21"/>
              </w:rPr>
              <w:t>状态及能力情况。</w:t>
            </w:r>
          </w:p>
        </w:tc>
      </w:tr>
    </w:tbl>
    <w:p w14:paraId="33FCEFB9" w14:textId="77777777" w:rsidR="000829EF" w:rsidRDefault="000829EF"/>
    <w:p w14:paraId="09856E71" w14:textId="77777777" w:rsidR="000829EF" w:rsidRDefault="00000000">
      <w:pPr>
        <w:pStyle w:val="afffc"/>
        <w:numPr>
          <w:ilvl w:val="1"/>
          <w:numId w:val="18"/>
        </w:numPr>
        <w:spacing w:beforeLines="50" w:before="156" w:afterLines="50" w:after="156"/>
        <w:jc w:val="left"/>
        <w:outlineLvl w:val="2"/>
        <w:rPr>
          <w:rFonts w:ascii="Times New Roman"/>
        </w:rPr>
      </w:pPr>
      <w:r>
        <w:rPr>
          <w:rFonts w:ascii="Times New Roman" w:hint="eastAsia"/>
        </w:rPr>
        <w:t>经济运行</w:t>
      </w:r>
    </w:p>
    <w:p w14:paraId="5EEA9D8C" w14:textId="77777777" w:rsidR="000829EF" w:rsidRDefault="00000000">
      <w:pPr>
        <w:pStyle w:val="affc"/>
        <w:rPr>
          <w:rFonts w:ascii="Times New Roman"/>
        </w:rPr>
      </w:pPr>
      <w:r>
        <w:rPr>
          <w:rFonts w:ascii="Times New Roman" w:hint="eastAsia"/>
        </w:rPr>
        <w:t>经济运行涵盖国民经济、财政税收、产业运行、外资外贸、金融管理、投资建设</w:t>
      </w:r>
      <w:r>
        <w:rPr>
          <w:rFonts w:ascii="Times New Roman"/>
        </w:rPr>
        <w:t>与</w:t>
      </w:r>
      <w:r>
        <w:rPr>
          <w:rFonts w:ascii="Times New Roman" w:hint="eastAsia"/>
        </w:rPr>
        <w:t>价格指数相关</w:t>
      </w:r>
      <w:r>
        <w:rPr>
          <w:rFonts w:ascii="Times New Roman"/>
        </w:rPr>
        <w:t>统计分析及动态监测</w:t>
      </w:r>
      <w:r>
        <w:rPr>
          <w:rFonts w:ascii="Times New Roman" w:hint="eastAsia"/>
        </w:rPr>
        <w:t>指标。经济运行指标分类及描述见表</w:t>
      </w:r>
      <w:r>
        <w:rPr>
          <w:rFonts w:ascii="Times New Roman" w:hint="eastAsia"/>
        </w:rPr>
        <w:t>4</w:t>
      </w:r>
      <w:r>
        <w:rPr>
          <w:rFonts w:ascii="Times New Roman" w:hint="eastAsia"/>
        </w:rPr>
        <w:t>，指标示例见附录</w:t>
      </w:r>
      <w:r>
        <w:rPr>
          <w:rFonts w:ascii="Times New Roman" w:hint="eastAsia"/>
        </w:rPr>
        <w:t>A</w:t>
      </w:r>
      <w:r>
        <w:rPr>
          <w:rFonts w:ascii="Times New Roman" w:hint="eastAsia"/>
        </w:rPr>
        <w:t>。</w:t>
      </w:r>
    </w:p>
    <w:p w14:paraId="69AADC0C" w14:textId="77777777" w:rsidR="000829EF" w:rsidRDefault="00000000">
      <w:pPr>
        <w:pStyle w:val="aff0"/>
        <w:rPr>
          <w:rFonts w:ascii="Times New Roman" w:hAnsi="Times New Roman"/>
        </w:rPr>
      </w:pPr>
      <w:r>
        <w:rPr>
          <w:rFonts w:ascii="Times New Roman" w:hAnsi="Times New Roman"/>
        </w:rPr>
        <w:t>表</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SEQ </w:instrText>
      </w:r>
      <w:r>
        <w:rPr>
          <w:rFonts w:ascii="Times New Roman" w:hAnsi="Times New Roman"/>
        </w:rPr>
        <w:instrText>表</w:instrText>
      </w:r>
      <w:r>
        <w:rPr>
          <w:rFonts w:ascii="Times New Roman" w:hAnsi="Times New Roman"/>
        </w:rPr>
        <w:instrText xml:space="preserve"> \* ARABIC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hint="eastAsia"/>
        </w:rPr>
        <w:t xml:space="preserve"> </w:t>
      </w:r>
      <w:r>
        <w:rPr>
          <w:rFonts w:ascii="Times New Roman" w:hAnsi="Times New Roman" w:hint="eastAsia"/>
        </w:rPr>
        <w:t>经济</w:t>
      </w:r>
      <w:r>
        <w:rPr>
          <w:rFonts w:ascii="Times New Roman" w:hAnsi="Times New Roman"/>
        </w:rPr>
        <w:t>运行</w:t>
      </w:r>
      <w:r>
        <w:rPr>
          <w:rFonts w:ascii="Times New Roman" w:hAnsi="Times New Roman" w:hint="eastAsia"/>
        </w:rPr>
        <w:t>指标分类及描述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500"/>
        <w:gridCol w:w="5265"/>
      </w:tblGrid>
      <w:tr w:rsidR="000829EF" w14:paraId="6A13D0B7" w14:textId="77777777">
        <w:trPr>
          <w:trHeight w:val="567"/>
          <w:jc w:val="center"/>
        </w:trPr>
        <w:tc>
          <w:tcPr>
            <w:tcW w:w="1740" w:type="dxa"/>
            <w:shd w:val="clear" w:color="auto" w:fill="auto"/>
            <w:vAlign w:val="center"/>
          </w:tcPr>
          <w:p w14:paraId="5AC8B08B"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一级指标分类</w:t>
            </w:r>
          </w:p>
        </w:tc>
        <w:tc>
          <w:tcPr>
            <w:tcW w:w="1500" w:type="dxa"/>
            <w:shd w:val="clear" w:color="auto" w:fill="auto"/>
            <w:vAlign w:val="center"/>
          </w:tcPr>
          <w:p w14:paraId="6029ABD2"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二级指标分类</w:t>
            </w:r>
          </w:p>
        </w:tc>
        <w:tc>
          <w:tcPr>
            <w:tcW w:w="5265" w:type="dxa"/>
            <w:shd w:val="clear" w:color="auto" w:fill="auto"/>
            <w:vAlign w:val="center"/>
          </w:tcPr>
          <w:p w14:paraId="39B183A3"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描述</w:t>
            </w:r>
          </w:p>
        </w:tc>
      </w:tr>
      <w:tr w:rsidR="000829EF" w14:paraId="35CE7A72" w14:textId="77777777">
        <w:trPr>
          <w:trHeight w:val="567"/>
          <w:jc w:val="center"/>
        </w:trPr>
        <w:tc>
          <w:tcPr>
            <w:tcW w:w="1740" w:type="dxa"/>
            <w:vMerge w:val="restart"/>
            <w:tcBorders>
              <w:top w:val="single" w:sz="4" w:space="0" w:color="auto"/>
              <w:left w:val="single" w:sz="4" w:space="0" w:color="auto"/>
              <w:right w:val="single" w:sz="4" w:space="0" w:color="auto"/>
            </w:tcBorders>
            <w:shd w:val="clear" w:color="auto" w:fill="auto"/>
            <w:vAlign w:val="center"/>
          </w:tcPr>
          <w:p w14:paraId="153AE7C8" w14:textId="77777777" w:rsidR="000829EF" w:rsidRDefault="00000000">
            <w:pPr>
              <w:rPr>
                <w:rFonts w:ascii="Times New Roman" w:hAnsi="Times New Roman"/>
                <w:sz w:val="21"/>
                <w:szCs w:val="21"/>
              </w:rPr>
            </w:pPr>
            <w:r>
              <w:rPr>
                <w:rFonts w:ascii="Times New Roman" w:hAnsi="Times New Roman" w:hint="eastAsia"/>
                <w:sz w:val="21"/>
                <w:szCs w:val="21"/>
              </w:rPr>
              <w:t>经济运行</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FDA9B55" w14:textId="77777777" w:rsidR="000829EF" w:rsidRDefault="00000000">
            <w:pPr>
              <w:rPr>
                <w:rFonts w:ascii="Times New Roman" w:hAnsi="Times New Roman"/>
                <w:sz w:val="21"/>
                <w:szCs w:val="21"/>
              </w:rPr>
            </w:pPr>
            <w:r>
              <w:rPr>
                <w:rFonts w:ascii="Times New Roman" w:hAnsi="Times New Roman" w:hint="eastAsia"/>
                <w:sz w:val="21"/>
                <w:szCs w:val="21"/>
              </w:rPr>
              <w:t>国民经济</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5085BDC8" w14:textId="77777777" w:rsidR="000829EF" w:rsidRDefault="00000000">
            <w:pPr>
              <w:rPr>
                <w:rFonts w:ascii="Times New Roman" w:hAnsi="Times New Roman"/>
                <w:sz w:val="21"/>
                <w:szCs w:val="21"/>
              </w:rPr>
            </w:pPr>
            <w:r>
              <w:rPr>
                <w:rFonts w:ascii="Times New Roman" w:hAnsi="Times New Roman" w:hint="eastAsia"/>
                <w:sz w:val="21"/>
                <w:szCs w:val="21"/>
              </w:rPr>
              <w:t>反映全市地区生产总值、新兴产业增加值、各行业增加值、三次产业及三大需求贡献率、居民消费水平、社会劳动生产率等</w:t>
            </w:r>
            <w:r>
              <w:rPr>
                <w:rFonts w:ascii="Times New Roman" w:hAnsi="Times New Roman"/>
                <w:sz w:val="21"/>
                <w:szCs w:val="21"/>
              </w:rPr>
              <w:t>方面的统计分析</w:t>
            </w:r>
            <w:r>
              <w:rPr>
                <w:rFonts w:ascii="Times New Roman" w:hAnsi="Times New Roman" w:hint="eastAsia"/>
                <w:sz w:val="21"/>
                <w:szCs w:val="21"/>
              </w:rPr>
              <w:t>情况。</w:t>
            </w:r>
          </w:p>
        </w:tc>
      </w:tr>
      <w:tr w:rsidR="000829EF" w14:paraId="5C2B7337"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4D3C4A9E"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D077C1F" w14:textId="77777777" w:rsidR="000829EF" w:rsidRDefault="00000000">
            <w:pPr>
              <w:rPr>
                <w:rFonts w:ascii="Times New Roman" w:hAnsi="Times New Roman"/>
                <w:sz w:val="21"/>
                <w:szCs w:val="21"/>
              </w:rPr>
            </w:pPr>
            <w:r>
              <w:rPr>
                <w:rFonts w:ascii="Times New Roman" w:hAnsi="Times New Roman" w:hint="eastAsia"/>
                <w:sz w:val="21"/>
                <w:szCs w:val="21"/>
              </w:rPr>
              <w:t>财政税收</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43317A3E" w14:textId="77777777" w:rsidR="000829EF" w:rsidRDefault="00000000">
            <w:pPr>
              <w:rPr>
                <w:rFonts w:ascii="Times New Roman" w:hAnsi="Times New Roman"/>
                <w:sz w:val="21"/>
                <w:szCs w:val="21"/>
              </w:rPr>
            </w:pPr>
            <w:r>
              <w:rPr>
                <w:rFonts w:ascii="Times New Roman" w:hAnsi="Times New Roman" w:hint="eastAsia"/>
                <w:sz w:val="21"/>
                <w:szCs w:val="21"/>
              </w:rPr>
              <w:t>反映全市政府预算收支</w:t>
            </w:r>
            <w:r>
              <w:rPr>
                <w:rFonts w:ascii="Times New Roman" w:hAnsi="Times New Roman"/>
                <w:sz w:val="21"/>
                <w:szCs w:val="21"/>
              </w:rPr>
              <w:t>、</w:t>
            </w:r>
            <w:r>
              <w:rPr>
                <w:rFonts w:ascii="Times New Roman" w:hAnsi="Times New Roman" w:hint="eastAsia"/>
                <w:sz w:val="21"/>
                <w:szCs w:val="21"/>
              </w:rPr>
              <w:t>税收收入、财政各科目支出、各区年度财政预算分配等</w:t>
            </w:r>
            <w:r>
              <w:rPr>
                <w:rFonts w:ascii="Times New Roman" w:hAnsi="Times New Roman"/>
                <w:sz w:val="21"/>
                <w:szCs w:val="21"/>
              </w:rPr>
              <w:t>方面的统分分析</w:t>
            </w:r>
            <w:r>
              <w:rPr>
                <w:rFonts w:ascii="Times New Roman" w:hAnsi="Times New Roman" w:hint="eastAsia"/>
                <w:sz w:val="21"/>
                <w:szCs w:val="21"/>
              </w:rPr>
              <w:t>情况。</w:t>
            </w:r>
          </w:p>
        </w:tc>
      </w:tr>
      <w:tr w:rsidR="000829EF" w14:paraId="782C061F"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09EFE4E4"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532CC57C" w14:textId="77777777" w:rsidR="000829EF" w:rsidRDefault="00000000">
            <w:pPr>
              <w:rPr>
                <w:rFonts w:ascii="Times New Roman" w:hAnsi="Times New Roman"/>
                <w:sz w:val="21"/>
                <w:szCs w:val="21"/>
              </w:rPr>
            </w:pPr>
            <w:r>
              <w:rPr>
                <w:rFonts w:ascii="Times New Roman" w:hAnsi="Times New Roman" w:hint="eastAsia"/>
                <w:sz w:val="21"/>
                <w:szCs w:val="21"/>
              </w:rPr>
              <w:t>产业运行</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77A10AE6" w14:textId="77777777" w:rsidR="000829EF" w:rsidRDefault="00000000">
            <w:pPr>
              <w:rPr>
                <w:rFonts w:ascii="Times New Roman" w:hAnsi="Times New Roman"/>
                <w:sz w:val="21"/>
                <w:szCs w:val="21"/>
              </w:rPr>
            </w:pPr>
            <w:r>
              <w:rPr>
                <w:rFonts w:ascii="Times New Roman" w:hAnsi="Times New Roman" w:hint="eastAsia"/>
                <w:sz w:val="21"/>
                <w:szCs w:val="21"/>
              </w:rPr>
              <w:t>反映全市</w:t>
            </w:r>
            <w:r>
              <w:rPr>
                <w:rFonts w:ascii="Times New Roman" w:hAnsi="Times New Roman"/>
                <w:sz w:val="21"/>
                <w:szCs w:val="21"/>
              </w:rPr>
              <w:t>农业</w:t>
            </w:r>
            <w:r>
              <w:rPr>
                <w:rFonts w:ascii="Times New Roman" w:hAnsi="Times New Roman"/>
                <w:sz w:val="21"/>
                <w:szCs w:val="21"/>
              </w:rPr>
              <w:t>/</w:t>
            </w:r>
            <w:r>
              <w:rPr>
                <w:rFonts w:ascii="Times New Roman" w:hAnsi="Times New Roman"/>
                <w:sz w:val="21"/>
                <w:szCs w:val="21"/>
              </w:rPr>
              <w:t>工业</w:t>
            </w:r>
            <w:r>
              <w:rPr>
                <w:rFonts w:ascii="Times New Roman" w:hAnsi="Times New Roman"/>
                <w:sz w:val="21"/>
                <w:szCs w:val="21"/>
              </w:rPr>
              <w:t>/</w:t>
            </w:r>
            <w:r>
              <w:rPr>
                <w:rFonts w:ascii="Times New Roman" w:hAnsi="Times New Roman"/>
                <w:sz w:val="21"/>
                <w:szCs w:val="21"/>
              </w:rPr>
              <w:t>第三产业</w:t>
            </w:r>
            <w:r>
              <w:rPr>
                <w:rFonts w:ascii="Times New Roman" w:hAnsi="Times New Roman"/>
                <w:sz w:val="21"/>
                <w:szCs w:val="21"/>
              </w:rPr>
              <w:t>/</w:t>
            </w:r>
            <w:r>
              <w:rPr>
                <w:rFonts w:ascii="Times New Roman" w:hAnsi="Times New Roman"/>
                <w:sz w:val="21"/>
                <w:szCs w:val="21"/>
              </w:rPr>
              <w:t>批发和零售业</w:t>
            </w:r>
            <w:r>
              <w:rPr>
                <w:rFonts w:ascii="Times New Roman" w:hAnsi="Times New Roman"/>
                <w:sz w:val="21"/>
                <w:szCs w:val="21"/>
              </w:rPr>
              <w:t>/</w:t>
            </w:r>
            <w:r>
              <w:rPr>
                <w:rFonts w:ascii="Times New Roman" w:hAnsi="Times New Roman"/>
                <w:sz w:val="21"/>
                <w:szCs w:val="21"/>
              </w:rPr>
              <w:t>住宿餐饮业</w:t>
            </w:r>
            <w:r>
              <w:rPr>
                <w:rFonts w:ascii="Times New Roman" w:hAnsi="Times New Roman"/>
                <w:sz w:val="21"/>
                <w:szCs w:val="21"/>
              </w:rPr>
              <w:t>/</w:t>
            </w:r>
            <w:r>
              <w:rPr>
                <w:rFonts w:ascii="Times New Roman" w:hAnsi="Times New Roman"/>
                <w:sz w:val="21"/>
                <w:szCs w:val="21"/>
              </w:rPr>
              <w:t>旅游业</w:t>
            </w:r>
            <w:r>
              <w:rPr>
                <w:rFonts w:ascii="Times New Roman" w:hAnsi="Times New Roman"/>
                <w:sz w:val="21"/>
                <w:szCs w:val="21"/>
              </w:rPr>
              <w:t>/</w:t>
            </w:r>
            <w:r>
              <w:rPr>
                <w:rFonts w:ascii="Times New Roman" w:hAnsi="Times New Roman"/>
                <w:sz w:val="21"/>
                <w:szCs w:val="21"/>
              </w:rPr>
              <w:t>金融业等</w:t>
            </w:r>
            <w:r>
              <w:rPr>
                <w:rFonts w:ascii="Times New Roman" w:hAnsi="Times New Roman" w:hint="eastAsia"/>
                <w:sz w:val="21"/>
                <w:szCs w:val="21"/>
              </w:rPr>
              <w:t>各类产业</w:t>
            </w:r>
            <w:r>
              <w:rPr>
                <w:rFonts w:ascii="Times New Roman" w:hAnsi="Times New Roman"/>
                <w:sz w:val="21"/>
                <w:szCs w:val="21"/>
              </w:rPr>
              <w:t>产值、企业财务状况及法人单位主要</w:t>
            </w:r>
            <w:r>
              <w:rPr>
                <w:rFonts w:ascii="Times New Roman" w:hAnsi="Times New Roman" w:hint="eastAsia"/>
                <w:sz w:val="21"/>
                <w:szCs w:val="21"/>
              </w:rPr>
              <w:t>经济</w:t>
            </w:r>
            <w:r>
              <w:rPr>
                <w:rFonts w:ascii="Times New Roman" w:hAnsi="Times New Roman"/>
                <w:sz w:val="21"/>
                <w:szCs w:val="21"/>
              </w:rPr>
              <w:t>指标等方面的统计分析</w:t>
            </w:r>
            <w:r>
              <w:rPr>
                <w:rFonts w:ascii="Times New Roman" w:hAnsi="Times New Roman" w:hint="eastAsia"/>
                <w:sz w:val="21"/>
                <w:szCs w:val="21"/>
              </w:rPr>
              <w:t>情况。</w:t>
            </w:r>
          </w:p>
        </w:tc>
      </w:tr>
      <w:tr w:rsidR="000829EF" w14:paraId="6CE8B37F"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4BF3DB1B"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652980C9" w14:textId="77777777" w:rsidR="000829EF" w:rsidRDefault="00000000">
            <w:pPr>
              <w:rPr>
                <w:rFonts w:ascii="Times New Roman" w:hAnsi="Times New Roman"/>
                <w:sz w:val="21"/>
                <w:szCs w:val="21"/>
              </w:rPr>
            </w:pPr>
            <w:r>
              <w:rPr>
                <w:rFonts w:ascii="Times New Roman" w:hAnsi="Times New Roman" w:hint="eastAsia"/>
                <w:sz w:val="21"/>
                <w:szCs w:val="21"/>
              </w:rPr>
              <w:t>外资外贸</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43E8108" w14:textId="77777777" w:rsidR="000829EF" w:rsidRDefault="00000000">
            <w:pPr>
              <w:rPr>
                <w:rFonts w:ascii="Times New Roman" w:hAnsi="Times New Roman"/>
                <w:sz w:val="21"/>
                <w:szCs w:val="21"/>
              </w:rPr>
            </w:pPr>
            <w:r>
              <w:rPr>
                <w:rFonts w:ascii="Times New Roman" w:hAnsi="Times New Roman" w:hint="eastAsia"/>
                <w:sz w:val="21"/>
                <w:szCs w:val="21"/>
              </w:rPr>
              <w:t>反映全市货物进出口、口岸运营、利用外资、对外经济合作等</w:t>
            </w:r>
            <w:r>
              <w:rPr>
                <w:rFonts w:ascii="Times New Roman" w:hAnsi="Times New Roman"/>
                <w:sz w:val="21"/>
                <w:szCs w:val="21"/>
              </w:rPr>
              <w:t>方面的统计分析</w:t>
            </w:r>
            <w:r>
              <w:rPr>
                <w:rFonts w:ascii="Times New Roman" w:hAnsi="Times New Roman" w:hint="eastAsia"/>
                <w:sz w:val="21"/>
                <w:szCs w:val="21"/>
              </w:rPr>
              <w:t>情况。</w:t>
            </w:r>
          </w:p>
        </w:tc>
      </w:tr>
      <w:tr w:rsidR="000829EF" w14:paraId="5D92B942"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363AF3B1"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EA39E27" w14:textId="77777777" w:rsidR="000829EF" w:rsidRDefault="00000000">
            <w:pPr>
              <w:rPr>
                <w:rFonts w:ascii="Times New Roman" w:hAnsi="Times New Roman"/>
                <w:sz w:val="21"/>
                <w:szCs w:val="21"/>
              </w:rPr>
            </w:pPr>
            <w:r>
              <w:rPr>
                <w:rFonts w:ascii="Times New Roman" w:hAnsi="Times New Roman" w:hint="eastAsia"/>
                <w:sz w:val="21"/>
                <w:szCs w:val="21"/>
              </w:rPr>
              <w:t>金融管理</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35F6F145" w14:textId="77777777" w:rsidR="000829EF" w:rsidRDefault="00000000">
            <w:pPr>
              <w:rPr>
                <w:rFonts w:ascii="Times New Roman" w:hAnsi="Times New Roman"/>
                <w:sz w:val="21"/>
                <w:szCs w:val="21"/>
              </w:rPr>
            </w:pPr>
            <w:r>
              <w:rPr>
                <w:rFonts w:ascii="Times New Roman" w:hAnsi="Times New Roman" w:hint="eastAsia"/>
                <w:sz w:val="21"/>
                <w:szCs w:val="21"/>
              </w:rPr>
              <w:t>反映全市</w:t>
            </w:r>
            <w:r>
              <w:rPr>
                <w:rFonts w:ascii="Times New Roman" w:hAnsi="Times New Roman"/>
                <w:sz w:val="21"/>
                <w:szCs w:val="21"/>
              </w:rPr>
              <w:t>金融市场建设和发展、企业融资、普惠</w:t>
            </w:r>
            <w:r>
              <w:rPr>
                <w:rFonts w:ascii="Times New Roman" w:hAnsi="Times New Roman"/>
                <w:sz w:val="21"/>
                <w:szCs w:val="21"/>
              </w:rPr>
              <w:t>/</w:t>
            </w:r>
            <w:r>
              <w:rPr>
                <w:rFonts w:ascii="Times New Roman" w:hAnsi="Times New Roman"/>
                <w:sz w:val="21"/>
                <w:szCs w:val="21"/>
              </w:rPr>
              <w:t>绿色</w:t>
            </w:r>
            <w:r>
              <w:rPr>
                <w:rFonts w:ascii="Times New Roman" w:hAnsi="Times New Roman"/>
                <w:sz w:val="21"/>
                <w:szCs w:val="21"/>
              </w:rPr>
              <w:t>/</w:t>
            </w:r>
            <w:r>
              <w:rPr>
                <w:rFonts w:ascii="Times New Roman" w:hAnsi="Times New Roman"/>
                <w:sz w:val="21"/>
                <w:szCs w:val="21"/>
              </w:rPr>
              <w:t>小</w:t>
            </w:r>
            <w:proofErr w:type="gramStart"/>
            <w:r>
              <w:rPr>
                <w:rFonts w:ascii="Times New Roman" w:hAnsi="Times New Roman"/>
                <w:sz w:val="21"/>
                <w:szCs w:val="21"/>
              </w:rPr>
              <w:t>微金融</w:t>
            </w:r>
            <w:proofErr w:type="gramEnd"/>
            <w:r>
              <w:rPr>
                <w:rFonts w:ascii="Times New Roman" w:hAnsi="Times New Roman"/>
                <w:sz w:val="21"/>
                <w:szCs w:val="21"/>
              </w:rPr>
              <w:t>发展、金融服务、金融欺诈</w:t>
            </w:r>
            <w:r>
              <w:rPr>
                <w:rFonts w:ascii="Times New Roman" w:hAnsi="Times New Roman"/>
                <w:sz w:val="21"/>
                <w:szCs w:val="21"/>
              </w:rPr>
              <w:t>/</w:t>
            </w:r>
            <w:r>
              <w:rPr>
                <w:rFonts w:ascii="Times New Roman" w:hAnsi="Times New Roman"/>
                <w:sz w:val="21"/>
                <w:szCs w:val="21"/>
              </w:rPr>
              <w:t>非法集资</w:t>
            </w:r>
            <w:r>
              <w:rPr>
                <w:rFonts w:ascii="Times New Roman" w:hAnsi="Times New Roman"/>
                <w:sz w:val="21"/>
                <w:szCs w:val="21"/>
              </w:rPr>
              <w:t>/</w:t>
            </w:r>
            <w:r>
              <w:rPr>
                <w:rFonts w:ascii="Times New Roman" w:hAnsi="Times New Roman"/>
                <w:sz w:val="21"/>
                <w:szCs w:val="21"/>
              </w:rPr>
              <w:t>非法证券期货活动等违法违规行为防范和打击</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65958839"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60DA06F8"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274A4AD0" w14:textId="77777777" w:rsidR="000829EF" w:rsidRDefault="00000000">
            <w:pPr>
              <w:rPr>
                <w:rFonts w:ascii="Times New Roman" w:hAnsi="Times New Roman"/>
                <w:sz w:val="21"/>
                <w:szCs w:val="21"/>
              </w:rPr>
            </w:pPr>
            <w:r>
              <w:rPr>
                <w:rFonts w:ascii="Times New Roman" w:hAnsi="Times New Roman" w:hint="eastAsia"/>
                <w:sz w:val="21"/>
                <w:szCs w:val="21"/>
              </w:rPr>
              <w:t>投资建设</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824C48F" w14:textId="77777777" w:rsidR="000829EF" w:rsidRDefault="00000000">
            <w:pPr>
              <w:rPr>
                <w:rFonts w:ascii="Times New Roman" w:hAnsi="Times New Roman"/>
                <w:sz w:val="21"/>
                <w:szCs w:val="21"/>
              </w:rPr>
            </w:pPr>
            <w:r>
              <w:rPr>
                <w:rFonts w:ascii="Times New Roman" w:hAnsi="Times New Roman" w:hint="eastAsia"/>
                <w:sz w:val="21"/>
                <w:szCs w:val="21"/>
              </w:rPr>
              <w:t>反映全市固定资产投资、基础设施投资、房地产开发投资</w:t>
            </w:r>
            <w:r>
              <w:rPr>
                <w:rFonts w:ascii="Times New Roman" w:hAnsi="Times New Roman"/>
                <w:sz w:val="21"/>
                <w:szCs w:val="21"/>
              </w:rPr>
              <w:t>建设</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4EB84BDD" w14:textId="77777777">
        <w:trPr>
          <w:trHeight w:val="567"/>
          <w:jc w:val="center"/>
        </w:trPr>
        <w:tc>
          <w:tcPr>
            <w:tcW w:w="1740" w:type="dxa"/>
            <w:vMerge/>
            <w:tcBorders>
              <w:left w:val="single" w:sz="4" w:space="0" w:color="auto"/>
              <w:bottom w:val="single" w:sz="4" w:space="0" w:color="auto"/>
              <w:right w:val="single" w:sz="4" w:space="0" w:color="auto"/>
            </w:tcBorders>
            <w:shd w:val="clear" w:color="auto" w:fill="auto"/>
            <w:vAlign w:val="center"/>
          </w:tcPr>
          <w:p w14:paraId="3497F096"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43F58A53" w14:textId="77777777" w:rsidR="000829EF" w:rsidRDefault="00000000">
            <w:pPr>
              <w:rPr>
                <w:rFonts w:ascii="Times New Roman" w:hAnsi="Times New Roman"/>
                <w:sz w:val="21"/>
                <w:szCs w:val="21"/>
              </w:rPr>
            </w:pPr>
            <w:r>
              <w:rPr>
                <w:rFonts w:ascii="Times New Roman" w:hAnsi="Times New Roman" w:hint="eastAsia"/>
                <w:sz w:val="21"/>
                <w:szCs w:val="21"/>
              </w:rPr>
              <w:t>价格指数</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3DC87835" w14:textId="77777777" w:rsidR="000829EF" w:rsidRDefault="00000000">
            <w:pPr>
              <w:rPr>
                <w:rFonts w:ascii="Times New Roman" w:hAnsi="Times New Roman"/>
                <w:sz w:val="21"/>
                <w:szCs w:val="21"/>
              </w:rPr>
            </w:pPr>
            <w:r>
              <w:rPr>
                <w:rFonts w:ascii="Times New Roman" w:hAnsi="Times New Roman" w:hint="eastAsia"/>
                <w:sz w:val="21"/>
                <w:szCs w:val="21"/>
              </w:rPr>
              <w:t>反映全市生产、流通、消费与投资的价格变动趋势和变动幅度</w:t>
            </w:r>
            <w:r>
              <w:rPr>
                <w:rFonts w:ascii="Times New Roman" w:hAnsi="Times New Roman"/>
                <w:sz w:val="21"/>
                <w:szCs w:val="21"/>
              </w:rPr>
              <w:t>的各类价格指数</w:t>
            </w:r>
            <w:r>
              <w:rPr>
                <w:rFonts w:ascii="Times New Roman" w:hAnsi="Times New Roman" w:hint="eastAsia"/>
                <w:sz w:val="21"/>
                <w:szCs w:val="21"/>
              </w:rPr>
              <w:t>。</w:t>
            </w:r>
          </w:p>
        </w:tc>
      </w:tr>
    </w:tbl>
    <w:p w14:paraId="0F43497C" w14:textId="77777777" w:rsidR="000829EF" w:rsidRDefault="000829EF"/>
    <w:p w14:paraId="2366D89D" w14:textId="77777777" w:rsidR="000829EF" w:rsidRDefault="00000000">
      <w:pPr>
        <w:pStyle w:val="afffc"/>
        <w:numPr>
          <w:ilvl w:val="1"/>
          <w:numId w:val="18"/>
        </w:numPr>
        <w:spacing w:beforeLines="50" w:before="156" w:afterLines="50" w:after="156"/>
        <w:jc w:val="left"/>
        <w:outlineLvl w:val="2"/>
        <w:rPr>
          <w:rFonts w:ascii="Times New Roman"/>
        </w:rPr>
      </w:pPr>
      <w:r>
        <w:rPr>
          <w:rFonts w:ascii="Times New Roman" w:hint="eastAsia"/>
        </w:rPr>
        <w:t>市场经营</w:t>
      </w:r>
    </w:p>
    <w:p w14:paraId="3B90CC36" w14:textId="77777777" w:rsidR="000829EF" w:rsidRDefault="00000000">
      <w:pPr>
        <w:pStyle w:val="affc"/>
        <w:rPr>
          <w:rFonts w:ascii="Times New Roman"/>
        </w:rPr>
      </w:pPr>
      <w:r>
        <w:rPr>
          <w:rFonts w:ascii="Times New Roman" w:hint="eastAsia"/>
        </w:rPr>
        <w:t>市场经营涵盖市场监管、社会信用、科技创新、营商环境及知识产权相关指标，综合评估公平竞争、创新活跃、诚信守法的市场环境。市场经营指标分类及描述见表</w:t>
      </w:r>
      <w:r>
        <w:rPr>
          <w:rFonts w:ascii="Times New Roman" w:hint="eastAsia"/>
        </w:rPr>
        <w:t>5</w:t>
      </w:r>
      <w:r>
        <w:rPr>
          <w:rFonts w:ascii="Times New Roman" w:hint="eastAsia"/>
        </w:rPr>
        <w:t>，指标示例见附录</w:t>
      </w:r>
      <w:r>
        <w:rPr>
          <w:rFonts w:ascii="Times New Roman" w:hint="eastAsia"/>
        </w:rPr>
        <w:t>A</w:t>
      </w:r>
      <w:r>
        <w:rPr>
          <w:rFonts w:ascii="Times New Roman" w:hint="eastAsia"/>
        </w:rPr>
        <w:t>。</w:t>
      </w:r>
    </w:p>
    <w:p w14:paraId="3CF710E7" w14:textId="77777777" w:rsidR="000829EF" w:rsidRDefault="00000000">
      <w:pPr>
        <w:pStyle w:val="aff0"/>
        <w:rPr>
          <w:rFonts w:ascii="Times New Roman" w:hAnsi="Times New Roman"/>
        </w:rPr>
      </w:pPr>
      <w:r>
        <w:rPr>
          <w:rFonts w:ascii="Times New Roman" w:hAnsi="Times New Roman"/>
        </w:rPr>
        <w:lastRenderedPageBreak/>
        <w:t>表</w:t>
      </w:r>
      <w:r>
        <w:rPr>
          <w:rFonts w:ascii="Times New Roman" w:hAnsi="Times New Roman"/>
        </w:rPr>
        <w:t xml:space="preserve"> </w:t>
      </w:r>
      <w:r>
        <w:rPr>
          <w:rFonts w:ascii="Times New Roman" w:hAnsi="Times New Roman" w:hint="eastAsia"/>
        </w:rPr>
        <w:t xml:space="preserve">5 </w:t>
      </w:r>
      <w:r>
        <w:rPr>
          <w:rFonts w:ascii="Times New Roman" w:hAnsi="Times New Roman"/>
        </w:rPr>
        <w:t>市场经营</w:t>
      </w:r>
      <w:r>
        <w:rPr>
          <w:rFonts w:ascii="Times New Roman" w:hAnsi="Times New Roman" w:hint="eastAsia"/>
        </w:rPr>
        <w:t>指标分类及描述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500"/>
        <w:gridCol w:w="5265"/>
      </w:tblGrid>
      <w:tr w:rsidR="000829EF" w14:paraId="5E79F10F" w14:textId="77777777">
        <w:trPr>
          <w:trHeight w:val="567"/>
          <w:jc w:val="center"/>
        </w:trPr>
        <w:tc>
          <w:tcPr>
            <w:tcW w:w="1740" w:type="dxa"/>
            <w:shd w:val="clear" w:color="auto" w:fill="auto"/>
            <w:vAlign w:val="center"/>
          </w:tcPr>
          <w:p w14:paraId="6D504D39"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一级指标分类</w:t>
            </w:r>
          </w:p>
        </w:tc>
        <w:tc>
          <w:tcPr>
            <w:tcW w:w="1500" w:type="dxa"/>
            <w:shd w:val="clear" w:color="auto" w:fill="auto"/>
            <w:vAlign w:val="center"/>
          </w:tcPr>
          <w:p w14:paraId="3CAF85B5"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二级指标分类</w:t>
            </w:r>
          </w:p>
        </w:tc>
        <w:tc>
          <w:tcPr>
            <w:tcW w:w="5265" w:type="dxa"/>
            <w:shd w:val="clear" w:color="auto" w:fill="auto"/>
            <w:vAlign w:val="center"/>
          </w:tcPr>
          <w:p w14:paraId="34A9504A"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描述</w:t>
            </w:r>
          </w:p>
        </w:tc>
      </w:tr>
      <w:tr w:rsidR="000829EF" w14:paraId="3A89809D" w14:textId="77777777">
        <w:trPr>
          <w:trHeight w:val="567"/>
          <w:jc w:val="center"/>
        </w:trPr>
        <w:tc>
          <w:tcPr>
            <w:tcW w:w="1740" w:type="dxa"/>
            <w:vMerge w:val="restart"/>
            <w:tcBorders>
              <w:top w:val="single" w:sz="4" w:space="0" w:color="auto"/>
              <w:left w:val="single" w:sz="4" w:space="0" w:color="auto"/>
              <w:right w:val="single" w:sz="4" w:space="0" w:color="auto"/>
            </w:tcBorders>
            <w:shd w:val="clear" w:color="auto" w:fill="auto"/>
            <w:vAlign w:val="center"/>
          </w:tcPr>
          <w:p w14:paraId="0721C5E9" w14:textId="77777777" w:rsidR="000829EF" w:rsidRDefault="00000000">
            <w:pPr>
              <w:rPr>
                <w:rFonts w:ascii="Times New Roman" w:hAnsi="Times New Roman"/>
                <w:sz w:val="21"/>
                <w:szCs w:val="21"/>
              </w:rPr>
            </w:pPr>
            <w:r>
              <w:rPr>
                <w:rFonts w:ascii="Times New Roman" w:hAnsi="Times New Roman" w:hint="eastAsia"/>
                <w:sz w:val="21"/>
                <w:szCs w:val="21"/>
              </w:rPr>
              <w:t>市场经营</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35B23FFB" w14:textId="77777777" w:rsidR="000829EF" w:rsidRDefault="00000000">
            <w:pPr>
              <w:rPr>
                <w:rFonts w:ascii="Times New Roman" w:hAnsi="Times New Roman"/>
                <w:sz w:val="21"/>
                <w:szCs w:val="21"/>
              </w:rPr>
            </w:pPr>
            <w:r>
              <w:rPr>
                <w:rFonts w:ascii="Times New Roman" w:hAnsi="Times New Roman" w:hint="eastAsia"/>
                <w:sz w:val="21"/>
                <w:szCs w:val="21"/>
              </w:rPr>
              <w:t>市场监管</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124D4CD7" w14:textId="77777777" w:rsidR="000829EF" w:rsidRDefault="00000000">
            <w:pPr>
              <w:rPr>
                <w:rFonts w:ascii="Times New Roman" w:hAnsi="Times New Roman"/>
                <w:sz w:val="21"/>
                <w:szCs w:val="21"/>
              </w:rPr>
            </w:pPr>
            <w:r>
              <w:rPr>
                <w:rFonts w:ascii="Times New Roman" w:hAnsi="Times New Roman" w:hint="eastAsia"/>
                <w:sz w:val="21"/>
                <w:szCs w:val="21"/>
              </w:rPr>
              <w:t>反映全市市场主体登记注册、市场监管综合执法、市场秩序监管、产品质量安全监管、特种设备安全监管、食品安全监管、检验检测管理等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0CDAB507"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4817DCD4"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567F8A08" w14:textId="77777777" w:rsidR="000829EF" w:rsidRDefault="00000000">
            <w:pPr>
              <w:rPr>
                <w:rFonts w:ascii="Times New Roman" w:hAnsi="Times New Roman"/>
                <w:sz w:val="21"/>
                <w:szCs w:val="21"/>
              </w:rPr>
            </w:pPr>
            <w:r>
              <w:rPr>
                <w:rFonts w:ascii="Times New Roman" w:hAnsi="Times New Roman" w:hint="eastAsia"/>
                <w:sz w:val="21"/>
                <w:szCs w:val="21"/>
              </w:rPr>
              <w:t>社会信用</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75DF26A6" w14:textId="77777777" w:rsidR="000829EF" w:rsidRDefault="00000000">
            <w:pPr>
              <w:rPr>
                <w:rFonts w:ascii="Times New Roman" w:hAnsi="Times New Roman"/>
                <w:sz w:val="21"/>
                <w:szCs w:val="21"/>
              </w:rPr>
            </w:pPr>
            <w:r>
              <w:rPr>
                <w:rFonts w:ascii="Times New Roman" w:hAnsi="Times New Roman" w:hint="eastAsia"/>
                <w:sz w:val="21"/>
                <w:szCs w:val="21"/>
              </w:rPr>
              <w:t>反映全市企业信用信息、信用评价结果、严重失信、经营异常、行政处罚、失信企业信息、失信人员等</w:t>
            </w:r>
            <w:r>
              <w:rPr>
                <w:rFonts w:ascii="Times New Roman" w:hAnsi="Times New Roman"/>
                <w:sz w:val="21"/>
                <w:szCs w:val="21"/>
              </w:rPr>
              <w:t>方面的</w:t>
            </w:r>
            <w:r>
              <w:rPr>
                <w:rFonts w:ascii="Times New Roman" w:hAnsi="Times New Roman" w:hint="eastAsia"/>
                <w:sz w:val="21"/>
                <w:szCs w:val="21"/>
              </w:rPr>
              <w:t>状态及能力情况。</w:t>
            </w:r>
          </w:p>
        </w:tc>
      </w:tr>
      <w:tr w:rsidR="000829EF" w14:paraId="2394E657"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3D5F97CC"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74F472D" w14:textId="77777777" w:rsidR="000829EF" w:rsidRDefault="00000000">
            <w:pPr>
              <w:rPr>
                <w:rFonts w:ascii="Times New Roman" w:hAnsi="Times New Roman"/>
                <w:sz w:val="21"/>
                <w:szCs w:val="21"/>
              </w:rPr>
            </w:pPr>
            <w:r>
              <w:rPr>
                <w:rFonts w:ascii="Times New Roman" w:hAnsi="Times New Roman" w:hint="eastAsia"/>
                <w:sz w:val="21"/>
                <w:szCs w:val="21"/>
              </w:rPr>
              <w:t>科技创新</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576A498F" w14:textId="77777777" w:rsidR="000829EF" w:rsidRDefault="00000000">
            <w:pPr>
              <w:rPr>
                <w:rFonts w:ascii="Times New Roman" w:hAnsi="Times New Roman"/>
                <w:sz w:val="21"/>
                <w:szCs w:val="21"/>
              </w:rPr>
            </w:pPr>
            <w:r>
              <w:rPr>
                <w:rFonts w:ascii="Times New Roman" w:hAnsi="Times New Roman" w:hint="eastAsia"/>
                <w:sz w:val="21"/>
                <w:szCs w:val="21"/>
              </w:rPr>
              <w:t>反映全市科学研究</w:t>
            </w:r>
            <w:r>
              <w:rPr>
                <w:rFonts w:ascii="Times New Roman" w:hAnsi="Times New Roman"/>
                <w:sz w:val="21"/>
                <w:szCs w:val="21"/>
              </w:rPr>
              <w:t>和</w:t>
            </w:r>
            <w:r>
              <w:rPr>
                <w:rFonts w:ascii="Times New Roman" w:hAnsi="Times New Roman" w:hint="eastAsia"/>
                <w:sz w:val="21"/>
                <w:szCs w:val="21"/>
              </w:rPr>
              <w:t>技术创新、科研</w:t>
            </w:r>
            <w:r>
              <w:rPr>
                <w:rFonts w:ascii="Times New Roman" w:hAnsi="Times New Roman"/>
                <w:sz w:val="21"/>
                <w:szCs w:val="21"/>
              </w:rPr>
              <w:t>项目和</w:t>
            </w:r>
            <w:r>
              <w:rPr>
                <w:rFonts w:ascii="Times New Roman" w:hAnsi="Times New Roman" w:hint="eastAsia"/>
                <w:sz w:val="21"/>
                <w:szCs w:val="21"/>
              </w:rPr>
              <w:t>经费</w:t>
            </w:r>
            <w:r>
              <w:rPr>
                <w:rFonts w:ascii="Times New Roman" w:hAnsi="Times New Roman"/>
                <w:sz w:val="21"/>
                <w:szCs w:val="21"/>
              </w:rPr>
              <w:t>管理</w:t>
            </w:r>
            <w:r>
              <w:rPr>
                <w:rFonts w:ascii="Times New Roman" w:hAnsi="Times New Roman" w:hint="eastAsia"/>
                <w:sz w:val="21"/>
                <w:szCs w:val="21"/>
              </w:rPr>
              <w:t>、</w:t>
            </w:r>
            <w:r>
              <w:rPr>
                <w:rFonts w:ascii="Times New Roman" w:hAnsi="Times New Roman"/>
                <w:sz w:val="21"/>
                <w:szCs w:val="21"/>
              </w:rPr>
              <w:t>科技评估评价和监督检查、科技</w:t>
            </w:r>
            <w:r>
              <w:rPr>
                <w:rFonts w:ascii="Times New Roman" w:hAnsi="Times New Roman" w:hint="eastAsia"/>
                <w:sz w:val="21"/>
                <w:szCs w:val="21"/>
              </w:rPr>
              <w:t>成果转化</w:t>
            </w:r>
            <w:r>
              <w:rPr>
                <w:rFonts w:ascii="Times New Roman" w:hAnsi="Times New Roman"/>
                <w:sz w:val="21"/>
                <w:szCs w:val="21"/>
              </w:rPr>
              <w:t>、引进国外智力、科技人才队伍建设、</w:t>
            </w:r>
            <w:r>
              <w:rPr>
                <w:rFonts w:ascii="Times New Roman" w:hAnsi="Times New Roman" w:hint="eastAsia"/>
                <w:sz w:val="21"/>
                <w:szCs w:val="21"/>
              </w:rPr>
              <w:t>“</w:t>
            </w:r>
            <w:r>
              <w:rPr>
                <w:rFonts w:ascii="Times New Roman" w:hAnsi="Times New Roman"/>
                <w:sz w:val="21"/>
                <w:szCs w:val="21"/>
              </w:rPr>
              <w:t>三城一区</w:t>
            </w:r>
            <w:r>
              <w:rPr>
                <w:rFonts w:ascii="Times New Roman" w:hAnsi="Times New Roman" w:hint="eastAsia"/>
                <w:sz w:val="21"/>
                <w:szCs w:val="21"/>
              </w:rPr>
              <w:t>”“</w:t>
            </w:r>
            <w:r>
              <w:rPr>
                <w:rFonts w:ascii="Times New Roman" w:hAnsi="Times New Roman"/>
                <w:sz w:val="21"/>
                <w:szCs w:val="21"/>
              </w:rPr>
              <w:t>一区十六园</w:t>
            </w:r>
            <w:r>
              <w:rPr>
                <w:rFonts w:ascii="Times New Roman" w:hAnsi="Times New Roman" w:hint="eastAsia"/>
                <w:sz w:val="21"/>
                <w:szCs w:val="21"/>
              </w:rPr>
              <w:t>”</w:t>
            </w:r>
            <w:r>
              <w:rPr>
                <w:rFonts w:ascii="Times New Roman" w:hAnsi="Times New Roman"/>
                <w:sz w:val="21"/>
                <w:szCs w:val="21"/>
              </w:rPr>
              <w:t>建设发展</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w:t>
            </w:r>
            <w:r>
              <w:rPr>
                <w:rFonts w:ascii="Times New Roman" w:hAnsi="Times New Roman"/>
                <w:sz w:val="21"/>
                <w:szCs w:val="21"/>
              </w:rPr>
              <w:t>情</w:t>
            </w:r>
            <w:r>
              <w:rPr>
                <w:rFonts w:ascii="Times New Roman" w:hAnsi="Times New Roman" w:hint="eastAsia"/>
                <w:sz w:val="21"/>
                <w:szCs w:val="21"/>
              </w:rPr>
              <w:t>况。</w:t>
            </w:r>
          </w:p>
        </w:tc>
      </w:tr>
      <w:tr w:rsidR="000829EF" w14:paraId="4DB3A670"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225566F5"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415B8631" w14:textId="77777777" w:rsidR="000829EF" w:rsidRDefault="00000000">
            <w:pPr>
              <w:rPr>
                <w:rFonts w:ascii="Times New Roman" w:hAnsi="Times New Roman"/>
                <w:sz w:val="21"/>
                <w:szCs w:val="21"/>
              </w:rPr>
            </w:pPr>
            <w:r>
              <w:rPr>
                <w:rFonts w:ascii="Times New Roman" w:hAnsi="Times New Roman" w:hint="eastAsia"/>
                <w:sz w:val="21"/>
                <w:szCs w:val="21"/>
              </w:rPr>
              <w:t>营商环境</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F37E0B0" w14:textId="77777777" w:rsidR="000829EF" w:rsidRDefault="00000000">
            <w:pPr>
              <w:rPr>
                <w:rFonts w:ascii="Times New Roman" w:hAnsi="Times New Roman"/>
                <w:sz w:val="21"/>
                <w:szCs w:val="21"/>
              </w:rPr>
            </w:pPr>
            <w:r>
              <w:rPr>
                <w:rFonts w:ascii="Times New Roman" w:hAnsi="Times New Roman" w:hint="eastAsia"/>
                <w:sz w:val="21"/>
                <w:szCs w:val="21"/>
              </w:rPr>
              <w:t>反映市场主体在本市经济活动中的市场准入、经营便利、公平竞争、高效政务服务与法治保障、重大项目招商引资及落地情况等方面的状态及能力情况。</w:t>
            </w:r>
          </w:p>
        </w:tc>
      </w:tr>
      <w:tr w:rsidR="000829EF" w14:paraId="77622662" w14:textId="77777777">
        <w:trPr>
          <w:trHeight w:val="567"/>
          <w:jc w:val="center"/>
        </w:trPr>
        <w:tc>
          <w:tcPr>
            <w:tcW w:w="1740" w:type="dxa"/>
            <w:vMerge/>
            <w:tcBorders>
              <w:left w:val="single" w:sz="4" w:space="0" w:color="auto"/>
              <w:bottom w:val="single" w:sz="4" w:space="0" w:color="auto"/>
              <w:right w:val="single" w:sz="4" w:space="0" w:color="auto"/>
            </w:tcBorders>
            <w:shd w:val="clear" w:color="auto" w:fill="auto"/>
            <w:vAlign w:val="center"/>
          </w:tcPr>
          <w:p w14:paraId="0005031D"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5B551CA4" w14:textId="77777777" w:rsidR="000829EF" w:rsidRDefault="00000000">
            <w:pPr>
              <w:rPr>
                <w:rFonts w:ascii="Times New Roman" w:hAnsi="Times New Roman"/>
                <w:sz w:val="21"/>
                <w:szCs w:val="21"/>
              </w:rPr>
            </w:pPr>
            <w:r>
              <w:rPr>
                <w:rFonts w:ascii="Times New Roman" w:hAnsi="Times New Roman" w:hint="eastAsia"/>
                <w:sz w:val="21"/>
                <w:szCs w:val="21"/>
              </w:rPr>
              <w:t>知识产权</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B38A6C1" w14:textId="77777777" w:rsidR="000829EF" w:rsidRDefault="00000000">
            <w:pPr>
              <w:rPr>
                <w:rFonts w:ascii="Times New Roman" w:hAnsi="Times New Roman"/>
                <w:sz w:val="21"/>
                <w:szCs w:val="21"/>
              </w:rPr>
            </w:pPr>
            <w:r>
              <w:rPr>
                <w:rFonts w:ascii="Times New Roman" w:hAnsi="Times New Roman" w:hint="eastAsia"/>
                <w:sz w:val="21"/>
                <w:szCs w:val="21"/>
              </w:rPr>
              <w:t>反映全市知识产权保护、专利</w:t>
            </w:r>
            <w:r>
              <w:rPr>
                <w:rFonts w:ascii="Times New Roman" w:hAnsi="Times New Roman"/>
                <w:sz w:val="21"/>
                <w:szCs w:val="21"/>
              </w:rPr>
              <w:t>/</w:t>
            </w:r>
            <w:r>
              <w:rPr>
                <w:rFonts w:ascii="Times New Roman" w:hAnsi="Times New Roman" w:hint="eastAsia"/>
                <w:sz w:val="21"/>
                <w:szCs w:val="21"/>
              </w:rPr>
              <w:t>商标</w:t>
            </w:r>
            <w:r>
              <w:rPr>
                <w:rFonts w:ascii="Times New Roman" w:hAnsi="Times New Roman"/>
                <w:sz w:val="21"/>
                <w:szCs w:val="21"/>
              </w:rPr>
              <w:t>/</w:t>
            </w:r>
            <w:r>
              <w:rPr>
                <w:rFonts w:ascii="Times New Roman" w:hAnsi="Times New Roman" w:hint="eastAsia"/>
                <w:sz w:val="21"/>
                <w:szCs w:val="21"/>
              </w:rPr>
              <w:t>原产地地理标志</w:t>
            </w:r>
            <w:r>
              <w:rPr>
                <w:rFonts w:ascii="Times New Roman" w:hAnsi="Times New Roman"/>
                <w:sz w:val="21"/>
                <w:szCs w:val="21"/>
              </w:rPr>
              <w:t>规范管理、知识产权转移转化、知识产权公共服务</w:t>
            </w:r>
            <w:r>
              <w:rPr>
                <w:rFonts w:ascii="Times New Roman" w:hAnsi="Times New Roman" w:hint="eastAsia"/>
                <w:sz w:val="21"/>
                <w:szCs w:val="21"/>
              </w:rPr>
              <w:t>等</w:t>
            </w:r>
            <w:r>
              <w:rPr>
                <w:rFonts w:ascii="Times New Roman" w:hAnsi="Times New Roman"/>
                <w:sz w:val="21"/>
                <w:szCs w:val="21"/>
              </w:rPr>
              <w:t>方面的</w:t>
            </w:r>
            <w:r>
              <w:rPr>
                <w:rFonts w:ascii="Times New Roman" w:hAnsi="Times New Roman" w:hint="eastAsia"/>
                <w:sz w:val="21"/>
                <w:szCs w:val="21"/>
              </w:rPr>
              <w:t>状态及能力情况。</w:t>
            </w:r>
          </w:p>
        </w:tc>
      </w:tr>
    </w:tbl>
    <w:p w14:paraId="0B676994" w14:textId="77777777" w:rsidR="000829EF" w:rsidRDefault="000829EF"/>
    <w:p w14:paraId="1949FC81" w14:textId="77777777" w:rsidR="000829EF" w:rsidRDefault="00000000">
      <w:pPr>
        <w:pStyle w:val="afffc"/>
        <w:numPr>
          <w:ilvl w:val="1"/>
          <w:numId w:val="18"/>
        </w:numPr>
        <w:spacing w:beforeLines="50" w:before="156" w:afterLines="50" w:after="156"/>
        <w:jc w:val="left"/>
        <w:outlineLvl w:val="2"/>
        <w:rPr>
          <w:rFonts w:ascii="Times New Roman"/>
        </w:rPr>
      </w:pPr>
      <w:r>
        <w:rPr>
          <w:rFonts w:ascii="Times New Roman"/>
        </w:rPr>
        <w:t>城市</w:t>
      </w:r>
      <w:r>
        <w:rPr>
          <w:rFonts w:ascii="Times New Roman" w:hint="eastAsia"/>
        </w:rPr>
        <w:t>治理</w:t>
      </w:r>
    </w:p>
    <w:p w14:paraId="46689B02" w14:textId="77777777" w:rsidR="000829EF" w:rsidRDefault="00000000">
      <w:pPr>
        <w:pStyle w:val="affc"/>
        <w:rPr>
          <w:rFonts w:ascii="Times New Roman"/>
        </w:rPr>
      </w:pPr>
      <w:r>
        <w:rPr>
          <w:rFonts w:ascii="Times New Roman" w:hint="eastAsia"/>
        </w:rPr>
        <w:t>社会治理涵盖社会治安、</w:t>
      </w:r>
      <w:proofErr w:type="gramStart"/>
      <w:r>
        <w:rPr>
          <w:rFonts w:ascii="Times New Roman"/>
        </w:rPr>
        <w:t>接诉即办</w:t>
      </w:r>
      <w:proofErr w:type="gramEnd"/>
      <w:r>
        <w:rPr>
          <w:rFonts w:ascii="Times New Roman" w:hint="eastAsia"/>
        </w:rPr>
        <w:t>、社会治理与法制公正相关指标，</w:t>
      </w:r>
      <w:r>
        <w:rPr>
          <w:rFonts w:ascii="Times New Roman"/>
        </w:rPr>
        <w:t>综合评价</w:t>
      </w:r>
      <w:r>
        <w:rPr>
          <w:rFonts w:ascii="Times New Roman"/>
        </w:rPr>
        <w:t>“</w:t>
      </w:r>
      <w:r>
        <w:rPr>
          <w:rFonts w:ascii="Times New Roman"/>
        </w:rPr>
        <w:t>精治</w:t>
      </w:r>
      <w:r>
        <w:rPr>
          <w:rFonts w:ascii="Times New Roman" w:hint="eastAsia"/>
        </w:rPr>
        <w:t>、法治</w:t>
      </w:r>
      <w:r>
        <w:rPr>
          <w:rFonts w:ascii="Times New Roman"/>
        </w:rPr>
        <w:t>、共治</w:t>
      </w:r>
      <w:r>
        <w:rPr>
          <w:rFonts w:ascii="Times New Roman"/>
        </w:rPr>
        <w:t>”</w:t>
      </w:r>
      <w:r>
        <w:rPr>
          <w:rFonts w:ascii="Times New Roman" w:hint="eastAsia"/>
        </w:rPr>
        <w:t>的</w:t>
      </w:r>
      <w:r>
        <w:rPr>
          <w:rFonts w:ascii="Times New Roman"/>
        </w:rPr>
        <w:t>首都城市治理现代化水平</w:t>
      </w:r>
      <w:r>
        <w:rPr>
          <w:rFonts w:ascii="Times New Roman" w:hint="eastAsia"/>
        </w:rPr>
        <w:t>。社会治理指标分类及描述见表</w:t>
      </w:r>
      <w:r>
        <w:rPr>
          <w:rFonts w:ascii="Times New Roman" w:hint="eastAsia"/>
        </w:rPr>
        <w:t>6</w:t>
      </w:r>
      <w:r>
        <w:rPr>
          <w:rFonts w:ascii="Times New Roman" w:hint="eastAsia"/>
        </w:rPr>
        <w:t>，指标示例见附录</w:t>
      </w:r>
      <w:r>
        <w:rPr>
          <w:rFonts w:ascii="Times New Roman" w:hint="eastAsia"/>
        </w:rPr>
        <w:t>A</w:t>
      </w:r>
      <w:r>
        <w:rPr>
          <w:rFonts w:ascii="Times New Roman" w:hint="eastAsia"/>
        </w:rPr>
        <w:t>。</w:t>
      </w:r>
    </w:p>
    <w:p w14:paraId="360F73C5" w14:textId="77777777" w:rsidR="000829EF" w:rsidRDefault="00000000">
      <w:pPr>
        <w:pStyle w:val="aff0"/>
        <w:rPr>
          <w:rFonts w:ascii="Times New Roman" w:hAnsi="Times New Roman"/>
        </w:rPr>
      </w:pPr>
      <w:r>
        <w:rPr>
          <w:rFonts w:ascii="Times New Roman" w:hAnsi="Times New Roman"/>
        </w:rPr>
        <w:t>表</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SEQ </w:instrText>
      </w:r>
      <w:r>
        <w:rPr>
          <w:rFonts w:ascii="Times New Roman" w:hAnsi="Times New Roman"/>
        </w:rPr>
        <w:instrText>表</w:instrText>
      </w:r>
      <w:r>
        <w:rPr>
          <w:rFonts w:ascii="Times New Roman" w:hAnsi="Times New Roman"/>
        </w:rPr>
        <w:instrText xml:space="preserve"> \* ARABIC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hint="eastAsia"/>
        </w:rPr>
        <w:t xml:space="preserve"> </w:t>
      </w:r>
      <w:r>
        <w:rPr>
          <w:rFonts w:ascii="Times New Roman" w:hAnsi="Times New Roman"/>
        </w:rPr>
        <w:t>城市治理</w:t>
      </w:r>
      <w:r>
        <w:rPr>
          <w:rFonts w:ascii="Times New Roman" w:hAnsi="Times New Roman" w:hint="eastAsia"/>
        </w:rPr>
        <w:t>指标分类及描述</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500"/>
        <w:gridCol w:w="5265"/>
      </w:tblGrid>
      <w:tr w:rsidR="000829EF" w14:paraId="6ECC7038" w14:textId="77777777">
        <w:trPr>
          <w:trHeight w:val="567"/>
          <w:jc w:val="center"/>
        </w:trPr>
        <w:tc>
          <w:tcPr>
            <w:tcW w:w="1740" w:type="dxa"/>
            <w:shd w:val="clear" w:color="auto" w:fill="auto"/>
            <w:vAlign w:val="center"/>
          </w:tcPr>
          <w:p w14:paraId="09D91074"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一级指标分类</w:t>
            </w:r>
          </w:p>
        </w:tc>
        <w:tc>
          <w:tcPr>
            <w:tcW w:w="1500" w:type="dxa"/>
            <w:shd w:val="clear" w:color="auto" w:fill="auto"/>
            <w:vAlign w:val="center"/>
          </w:tcPr>
          <w:p w14:paraId="6758FB58"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二级指标分类</w:t>
            </w:r>
          </w:p>
        </w:tc>
        <w:tc>
          <w:tcPr>
            <w:tcW w:w="5265" w:type="dxa"/>
            <w:shd w:val="clear" w:color="auto" w:fill="auto"/>
            <w:vAlign w:val="center"/>
          </w:tcPr>
          <w:p w14:paraId="5BAF4A90" w14:textId="77777777" w:rsidR="000829EF" w:rsidRDefault="00000000">
            <w:pPr>
              <w:jc w:val="center"/>
              <w:rPr>
                <w:rFonts w:ascii="Times New Roman" w:hAnsi="Times New Roman"/>
                <w:b/>
                <w:bCs/>
                <w:sz w:val="21"/>
                <w:szCs w:val="21"/>
              </w:rPr>
            </w:pPr>
            <w:r>
              <w:rPr>
                <w:rFonts w:ascii="Times New Roman" w:hAnsi="Times New Roman" w:hint="eastAsia"/>
                <w:b/>
                <w:bCs/>
                <w:sz w:val="21"/>
                <w:szCs w:val="21"/>
              </w:rPr>
              <w:t>描述</w:t>
            </w:r>
          </w:p>
        </w:tc>
      </w:tr>
      <w:tr w:rsidR="000829EF" w14:paraId="7B36553F" w14:textId="77777777">
        <w:trPr>
          <w:trHeight w:val="567"/>
          <w:jc w:val="center"/>
        </w:trPr>
        <w:tc>
          <w:tcPr>
            <w:tcW w:w="1740" w:type="dxa"/>
            <w:vMerge w:val="restart"/>
            <w:tcBorders>
              <w:top w:val="single" w:sz="4" w:space="0" w:color="auto"/>
              <w:left w:val="single" w:sz="4" w:space="0" w:color="auto"/>
              <w:right w:val="single" w:sz="4" w:space="0" w:color="auto"/>
            </w:tcBorders>
            <w:shd w:val="clear" w:color="auto" w:fill="auto"/>
            <w:vAlign w:val="center"/>
          </w:tcPr>
          <w:p w14:paraId="33FA027D" w14:textId="77777777" w:rsidR="000829EF" w:rsidRDefault="00000000">
            <w:pPr>
              <w:rPr>
                <w:rFonts w:ascii="Times New Roman" w:hAnsi="Times New Roman"/>
                <w:sz w:val="21"/>
                <w:szCs w:val="21"/>
              </w:rPr>
            </w:pPr>
            <w:r>
              <w:rPr>
                <w:rFonts w:ascii="Times New Roman" w:hAnsi="Times New Roman"/>
                <w:sz w:val="21"/>
                <w:szCs w:val="21"/>
              </w:rPr>
              <w:t>城市</w:t>
            </w:r>
            <w:r>
              <w:rPr>
                <w:rFonts w:ascii="Times New Roman" w:hAnsi="Times New Roman" w:hint="eastAsia"/>
                <w:sz w:val="21"/>
                <w:szCs w:val="21"/>
              </w:rPr>
              <w:t>治理</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193E4FDA" w14:textId="77777777" w:rsidR="000829EF" w:rsidRDefault="00000000">
            <w:pPr>
              <w:rPr>
                <w:rFonts w:ascii="Times New Roman" w:hAnsi="Times New Roman"/>
                <w:sz w:val="21"/>
                <w:szCs w:val="21"/>
              </w:rPr>
            </w:pPr>
            <w:r>
              <w:rPr>
                <w:rFonts w:ascii="Times New Roman" w:hAnsi="Times New Roman" w:hint="eastAsia"/>
                <w:sz w:val="21"/>
                <w:szCs w:val="21"/>
              </w:rPr>
              <w:t>社会治安</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068A1AE4" w14:textId="77777777" w:rsidR="000829EF" w:rsidRDefault="00000000">
            <w:pPr>
              <w:rPr>
                <w:rFonts w:ascii="Times New Roman" w:hAnsi="Times New Roman"/>
                <w:sz w:val="21"/>
                <w:szCs w:val="21"/>
              </w:rPr>
            </w:pPr>
            <w:r>
              <w:rPr>
                <w:rFonts w:ascii="Times New Roman" w:hAnsi="Times New Roman" w:hint="eastAsia"/>
                <w:sz w:val="21"/>
                <w:szCs w:val="21"/>
              </w:rPr>
              <w:t>反映全市公安、海关、移民管理、市场监管、金融监管等相关部门在打击各类治安和刑事违法犯罪、维护社会秩序</w:t>
            </w:r>
            <w:r>
              <w:rPr>
                <w:rFonts w:ascii="Times New Roman" w:hAnsi="Times New Roman"/>
                <w:sz w:val="21"/>
                <w:szCs w:val="21"/>
              </w:rPr>
              <w:t>等</w:t>
            </w:r>
            <w:r>
              <w:rPr>
                <w:rFonts w:ascii="Times New Roman" w:hAnsi="Times New Roman" w:hint="eastAsia"/>
                <w:sz w:val="21"/>
                <w:szCs w:val="21"/>
              </w:rPr>
              <w:t>方面的能力及成效。</w:t>
            </w:r>
          </w:p>
        </w:tc>
      </w:tr>
      <w:tr w:rsidR="000829EF" w14:paraId="4835A69A"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6E714978"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0B1C7CE7" w14:textId="77777777" w:rsidR="000829EF" w:rsidRDefault="00000000">
            <w:pPr>
              <w:rPr>
                <w:rFonts w:ascii="Times New Roman" w:hAnsi="Times New Roman"/>
                <w:sz w:val="21"/>
                <w:szCs w:val="21"/>
              </w:rPr>
            </w:pPr>
            <w:proofErr w:type="gramStart"/>
            <w:r>
              <w:rPr>
                <w:rFonts w:ascii="Times New Roman" w:hAnsi="Times New Roman" w:hint="eastAsia"/>
                <w:sz w:val="21"/>
                <w:szCs w:val="21"/>
              </w:rPr>
              <w:t>接诉即办</w:t>
            </w:r>
            <w:proofErr w:type="gramEnd"/>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5EF06A94" w14:textId="77777777" w:rsidR="000829EF" w:rsidRDefault="00000000">
            <w:pPr>
              <w:rPr>
                <w:rFonts w:ascii="Times New Roman" w:hAnsi="Times New Roman"/>
                <w:sz w:val="21"/>
                <w:szCs w:val="21"/>
              </w:rPr>
            </w:pPr>
            <w:r>
              <w:rPr>
                <w:rFonts w:ascii="Times New Roman" w:hAnsi="Times New Roman" w:hint="eastAsia"/>
                <w:sz w:val="21"/>
                <w:szCs w:val="21"/>
              </w:rPr>
              <w:t>反映</w:t>
            </w:r>
            <w:r>
              <w:rPr>
                <w:rFonts w:ascii="Times New Roman" w:hAnsi="Times New Roman"/>
                <w:sz w:val="21"/>
                <w:szCs w:val="21"/>
              </w:rPr>
              <w:t>市民</w:t>
            </w:r>
            <w:r>
              <w:rPr>
                <w:rFonts w:ascii="Times New Roman" w:hAnsi="Times New Roman" w:hint="eastAsia"/>
                <w:sz w:val="21"/>
                <w:szCs w:val="21"/>
              </w:rPr>
              <w:t>服务</w:t>
            </w:r>
            <w:r>
              <w:rPr>
                <w:rFonts w:ascii="Times New Roman" w:hAnsi="Times New Roman"/>
                <w:sz w:val="21"/>
                <w:szCs w:val="21"/>
              </w:rPr>
              <w:t>热线</w:t>
            </w:r>
            <w:r>
              <w:rPr>
                <w:rFonts w:ascii="Times New Roman" w:hAnsi="Times New Roman" w:hint="eastAsia"/>
                <w:sz w:val="21"/>
                <w:szCs w:val="21"/>
              </w:rPr>
              <w:t>管理</w:t>
            </w:r>
            <w:r>
              <w:rPr>
                <w:rFonts w:ascii="Times New Roman" w:hAnsi="Times New Roman"/>
                <w:sz w:val="21"/>
                <w:szCs w:val="21"/>
              </w:rPr>
              <w:t>、市级部门</w:t>
            </w:r>
            <w:r>
              <w:rPr>
                <w:rFonts w:ascii="Times New Roman" w:hAnsi="Times New Roman"/>
                <w:sz w:val="21"/>
                <w:szCs w:val="21"/>
              </w:rPr>
              <w:t>/</w:t>
            </w:r>
            <w:r>
              <w:rPr>
                <w:rFonts w:ascii="Times New Roman" w:hAnsi="Times New Roman"/>
                <w:sz w:val="21"/>
                <w:szCs w:val="21"/>
              </w:rPr>
              <w:t>区政府</w:t>
            </w:r>
            <w:r>
              <w:rPr>
                <w:rFonts w:ascii="Times New Roman" w:hAnsi="Times New Roman"/>
                <w:sz w:val="21"/>
                <w:szCs w:val="21"/>
              </w:rPr>
              <w:t>/</w:t>
            </w:r>
            <w:r>
              <w:rPr>
                <w:rFonts w:ascii="Times New Roman" w:hAnsi="Times New Roman"/>
                <w:sz w:val="21"/>
                <w:szCs w:val="21"/>
              </w:rPr>
              <w:t>街乡镇</w:t>
            </w:r>
            <w:r>
              <w:rPr>
                <w:rFonts w:ascii="Times New Roman" w:hAnsi="Times New Roman" w:hint="eastAsia"/>
                <w:sz w:val="21"/>
                <w:szCs w:val="21"/>
              </w:rPr>
              <w:t>等</w:t>
            </w:r>
            <w:proofErr w:type="gramStart"/>
            <w:r>
              <w:rPr>
                <w:rFonts w:ascii="Times New Roman" w:hAnsi="Times New Roman"/>
                <w:sz w:val="21"/>
                <w:szCs w:val="21"/>
              </w:rPr>
              <w:t>接诉即办</w:t>
            </w:r>
            <w:proofErr w:type="gramEnd"/>
            <w:r>
              <w:rPr>
                <w:rFonts w:ascii="Times New Roman" w:hAnsi="Times New Roman" w:hint="eastAsia"/>
                <w:sz w:val="21"/>
                <w:szCs w:val="21"/>
              </w:rPr>
              <w:t>工作</w:t>
            </w:r>
            <w:r>
              <w:rPr>
                <w:rFonts w:ascii="Times New Roman" w:hAnsi="Times New Roman"/>
                <w:sz w:val="21"/>
                <w:szCs w:val="21"/>
              </w:rPr>
              <w:t>考核</w:t>
            </w:r>
            <w:r>
              <w:rPr>
                <w:rFonts w:ascii="Times New Roman" w:hAnsi="Times New Roman" w:hint="eastAsia"/>
                <w:sz w:val="21"/>
                <w:szCs w:val="21"/>
              </w:rPr>
              <w:t>等方面的状态及成效</w:t>
            </w:r>
            <w:r>
              <w:rPr>
                <w:rFonts w:ascii="Times New Roman" w:hAnsi="Times New Roman"/>
                <w:sz w:val="21"/>
                <w:szCs w:val="21"/>
              </w:rPr>
              <w:t>情况</w:t>
            </w:r>
            <w:r>
              <w:rPr>
                <w:rFonts w:ascii="Times New Roman" w:hAnsi="Times New Roman" w:hint="eastAsia"/>
                <w:sz w:val="21"/>
                <w:szCs w:val="21"/>
              </w:rPr>
              <w:t>。</w:t>
            </w:r>
          </w:p>
        </w:tc>
      </w:tr>
      <w:tr w:rsidR="000829EF" w14:paraId="2C6C971E" w14:textId="77777777">
        <w:trPr>
          <w:trHeight w:val="567"/>
          <w:jc w:val="center"/>
        </w:trPr>
        <w:tc>
          <w:tcPr>
            <w:tcW w:w="1740" w:type="dxa"/>
            <w:vMerge/>
            <w:tcBorders>
              <w:left w:val="single" w:sz="4" w:space="0" w:color="auto"/>
              <w:right w:val="single" w:sz="4" w:space="0" w:color="auto"/>
            </w:tcBorders>
            <w:shd w:val="clear" w:color="auto" w:fill="auto"/>
            <w:vAlign w:val="center"/>
          </w:tcPr>
          <w:p w14:paraId="4D453EEE"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748C1A42" w14:textId="77777777" w:rsidR="000829EF" w:rsidRDefault="00000000">
            <w:pPr>
              <w:rPr>
                <w:rFonts w:ascii="Times New Roman" w:hAnsi="Times New Roman"/>
                <w:sz w:val="21"/>
                <w:szCs w:val="21"/>
              </w:rPr>
            </w:pPr>
            <w:r>
              <w:rPr>
                <w:rFonts w:ascii="Times New Roman" w:hAnsi="Times New Roman"/>
                <w:sz w:val="21"/>
                <w:szCs w:val="21"/>
              </w:rPr>
              <w:t>社会</w:t>
            </w:r>
            <w:r>
              <w:rPr>
                <w:rFonts w:ascii="Times New Roman" w:hAnsi="Times New Roman" w:hint="eastAsia"/>
                <w:sz w:val="21"/>
                <w:szCs w:val="21"/>
              </w:rPr>
              <w:t>治理</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3DD84219" w14:textId="77777777" w:rsidR="000829EF" w:rsidRDefault="00000000">
            <w:pPr>
              <w:rPr>
                <w:rFonts w:ascii="Times New Roman" w:hAnsi="Times New Roman"/>
                <w:sz w:val="21"/>
                <w:szCs w:val="21"/>
              </w:rPr>
            </w:pPr>
            <w:r>
              <w:rPr>
                <w:rFonts w:ascii="Times New Roman" w:hAnsi="Times New Roman" w:hint="eastAsia"/>
                <w:sz w:val="21"/>
                <w:szCs w:val="21"/>
              </w:rPr>
              <w:t>反映</w:t>
            </w:r>
            <w:r>
              <w:rPr>
                <w:rFonts w:ascii="Times New Roman" w:hAnsi="Times New Roman"/>
                <w:sz w:val="21"/>
                <w:szCs w:val="21"/>
              </w:rPr>
              <w:t>全</w:t>
            </w:r>
            <w:r>
              <w:rPr>
                <w:rFonts w:ascii="Times New Roman" w:hAnsi="Times New Roman" w:hint="eastAsia"/>
                <w:sz w:val="21"/>
                <w:szCs w:val="21"/>
              </w:rPr>
              <w:t>市</w:t>
            </w:r>
            <w:r>
              <w:rPr>
                <w:rFonts w:ascii="Times New Roman" w:hAnsi="Times New Roman"/>
                <w:sz w:val="21"/>
                <w:szCs w:val="21"/>
              </w:rPr>
              <w:t>基层政权建设、社会工作队伍建设、志愿者服务、人民信访和建议征集等</w:t>
            </w:r>
            <w:r>
              <w:rPr>
                <w:rFonts w:ascii="Times New Roman" w:hAnsi="Times New Roman" w:hint="eastAsia"/>
                <w:sz w:val="21"/>
                <w:szCs w:val="21"/>
              </w:rPr>
              <w:t>方面的</w:t>
            </w:r>
            <w:r>
              <w:rPr>
                <w:rFonts w:ascii="Times New Roman" w:hAnsi="Times New Roman"/>
                <w:sz w:val="21"/>
                <w:szCs w:val="21"/>
              </w:rPr>
              <w:t>状态及成效情况</w:t>
            </w:r>
            <w:r>
              <w:rPr>
                <w:rFonts w:ascii="Times New Roman" w:hAnsi="Times New Roman" w:hint="eastAsia"/>
                <w:sz w:val="21"/>
                <w:szCs w:val="21"/>
              </w:rPr>
              <w:t>。</w:t>
            </w:r>
          </w:p>
        </w:tc>
      </w:tr>
      <w:tr w:rsidR="000829EF" w14:paraId="7AC45208" w14:textId="77777777">
        <w:trPr>
          <w:trHeight w:val="567"/>
          <w:jc w:val="center"/>
        </w:trPr>
        <w:tc>
          <w:tcPr>
            <w:tcW w:w="1740" w:type="dxa"/>
            <w:vMerge/>
            <w:tcBorders>
              <w:left w:val="single" w:sz="4" w:space="0" w:color="auto"/>
              <w:bottom w:val="single" w:sz="4" w:space="0" w:color="auto"/>
              <w:right w:val="single" w:sz="4" w:space="0" w:color="auto"/>
            </w:tcBorders>
            <w:shd w:val="clear" w:color="auto" w:fill="auto"/>
            <w:vAlign w:val="center"/>
          </w:tcPr>
          <w:p w14:paraId="5CEE322A" w14:textId="77777777" w:rsidR="000829EF" w:rsidRDefault="000829EF">
            <w:pPr>
              <w:rPr>
                <w:rFonts w:ascii="Times New Roman" w:hAnsi="Times New Roman"/>
                <w:sz w:val="21"/>
                <w:szCs w:val="21"/>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14:paraId="39074E0C" w14:textId="77777777" w:rsidR="000829EF" w:rsidRDefault="00000000">
            <w:pPr>
              <w:rPr>
                <w:rFonts w:ascii="Times New Roman" w:hAnsi="Times New Roman"/>
                <w:sz w:val="21"/>
                <w:szCs w:val="21"/>
              </w:rPr>
            </w:pPr>
            <w:r>
              <w:rPr>
                <w:rFonts w:ascii="Times New Roman" w:hAnsi="Times New Roman" w:hint="eastAsia"/>
                <w:sz w:val="21"/>
                <w:szCs w:val="21"/>
              </w:rPr>
              <w:t>法制公正</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14:paraId="684A0590" w14:textId="77777777" w:rsidR="000829EF" w:rsidRDefault="00000000">
            <w:pPr>
              <w:rPr>
                <w:rFonts w:ascii="Times New Roman" w:hAnsi="Times New Roman"/>
                <w:sz w:val="21"/>
                <w:szCs w:val="21"/>
              </w:rPr>
            </w:pPr>
            <w:r>
              <w:rPr>
                <w:rFonts w:ascii="Times New Roman" w:hAnsi="Times New Roman" w:hint="eastAsia"/>
                <w:sz w:val="21"/>
                <w:szCs w:val="21"/>
              </w:rPr>
              <w:t>反映刑事侦查与起诉、控告申诉处理、社区矫正与安置帮教、公共法律服务、监狱与戒毒管理、案件判决执行等</w:t>
            </w:r>
            <w:r>
              <w:rPr>
                <w:rFonts w:ascii="Times New Roman" w:hAnsi="Times New Roman"/>
                <w:sz w:val="21"/>
                <w:szCs w:val="21"/>
              </w:rPr>
              <w:t>方面的</w:t>
            </w:r>
            <w:r>
              <w:rPr>
                <w:rFonts w:ascii="Times New Roman" w:hAnsi="Times New Roman" w:hint="eastAsia"/>
                <w:sz w:val="21"/>
                <w:szCs w:val="21"/>
              </w:rPr>
              <w:t>状态及能力情况。</w:t>
            </w:r>
          </w:p>
        </w:tc>
      </w:tr>
    </w:tbl>
    <w:p w14:paraId="588BEC40" w14:textId="77777777" w:rsidR="000829EF" w:rsidRDefault="000829EF"/>
    <w:p w14:paraId="0AF32A18" w14:textId="77777777" w:rsidR="000829EF" w:rsidRDefault="00000000">
      <w:r>
        <w:br w:type="page"/>
      </w:r>
    </w:p>
    <w:bookmarkEnd w:id="54"/>
    <w:bookmarkEnd w:id="55"/>
    <w:p w14:paraId="2DA2A234" w14:textId="77777777" w:rsidR="000829EF" w:rsidRDefault="00000000">
      <w:pPr>
        <w:pStyle w:val="af2"/>
        <w:rPr>
          <w:rFonts w:ascii="Times New Roman" w:hAnsi="Times New Roman"/>
        </w:rPr>
      </w:pPr>
      <w:r>
        <w:rPr>
          <w:rFonts w:ascii="Times New Roman" w:hAnsi="Times New Roman"/>
        </w:rPr>
        <w:lastRenderedPageBreak/>
        <w:br/>
      </w:r>
      <w:bookmarkStart w:id="57" w:name="_Toc17878130"/>
      <w:bookmarkStart w:id="58" w:name="_Toc145434086"/>
      <w:bookmarkStart w:id="59" w:name="_Toc119499897"/>
      <w:bookmarkStart w:id="60" w:name="_Toc169081592"/>
      <w:r>
        <w:rPr>
          <w:rFonts w:ascii="Times New Roman" w:hAnsi="Times New Roman" w:hint="eastAsia"/>
        </w:rPr>
        <w:t>（资料性）</w:t>
      </w:r>
      <w:r>
        <w:rPr>
          <w:rFonts w:ascii="Times New Roman" w:hAnsi="Times New Roman"/>
        </w:rPr>
        <w:br/>
      </w:r>
      <w:bookmarkEnd w:id="57"/>
      <w:bookmarkEnd w:id="58"/>
      <w:bookmarkEnd w:id="59"/>
      <w:r>
        <w:rPr>
          <w:rFonts w:ascii="Times New Roman" w:hAnsi="Times New Roman" w:hint="eastAsia"/>
        </w:rPr>
        <w:t>城市运行监测指标体系</w:t>
      </w:r>
      <w:bookmarkEnd w:id="60"/>
    </w:p>
    <w:tbl>
      <w:tblPr>
        <w:tblW w:w="9072" w:type="dxa"/>
        <w:jc w:val="center"/>
        <w:tblLayout w:type="fixed"/>
        <w:tblLook w:val="04A0" w:firstRow="1" w:lastRow="0" w:firstColumn="1" w:lastColumn="0" w:noHBand="0" w:noVBand="1"/>
      </w:tblPr>
      <w:tblGrid>
        <w:gridCol w:w="1604"/>
        <w:gridCol w:w="1605"/>
        <w:gridCol w:w="5863"/>
      </w:tblGrid>
      <w:tr w:rsidR="000829EF" w14:paraId="4241230A" w14:textId="77777777">
        <w:trPr>
          <w:trHeight w:val="288"/>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auto"/>
            <w:vAlign w:val="center"/>
          </w:tcPr>
          <w:p w14:paraId="5335634E" w14:textId="77777777" w:rsidR="000829EF" w:rsidRDefault="00000000">
            <w:pPr>
              <w:jc w:val="center"/>
              <w:rPr>
                <w:rFonts w:ascii="黑体" w:eastAsia="黑体" w:hAnsi="黑体"/>
                <w:color w:val="000000"/>
              </w:rPr>
            </w:pPr>
            <w:r>
              <w:rPr>
                <w:rFonts w:ascii="黑体" w:eastAsia="黑体" w:hAnsi="黑体" w:hint="eastAsia"/>
                <w:color w:val="000000"/>
              </w:rPr>
              <w:t>一级指标分类</w:t>
            </w:r>
          </w:p>
        </w:tc>
        <w:tc>
          <w:tcPr>
            <w:tcW w:w="1605" w:type="dxa"/>
            <w:tcBorders>
              <w:top w:val="single" w:sz="4" w:space="0" w:color="auto"/>
              <w:left w:val="nil"/>
              <w:bottom w:val="single" w:sz="4" w:space="0" w:color="auto"/>
              <w:right w:val="single" w:sz="4" w:space="0" w:color="auto"/>
            </w:tcBorders>
            <w:shd w:val="clear" w:color="auto" w:fill="auto"/>
            <w:vAlign w:val="center"/>
          </w:tcPr>
          <w:p w14:paraId="422F8CF0" w14:textId="77777777" w:rsidR="000829EF" w:rsidRDefault="00000000">
            <w:pPr>
              <w:rPr>
                <w:rFonts w:ascii="黑体" w:eastAsia="黑体" w:hAnsi="黑体"/>
                <w:color w:val="000000"/>
              </w:rPr>
            </w:pPr>
            <w:r>
              <w:rPr>
                <w:rFonts w:ascii="黑体" w:eastAsia="黑体" w:hAnsi="黑体" w:hint="eastAsia"/>
                <w:color w:val="000000"/>
              </w:rPr>
              <w:t>二级指标分类</w:t>
            </w:r>
          </w:p>
        </w:tc>
        <w:tc>
          <w:tcPr>
            <w:tcW w:w="5863" w:type="dxa"/>
            <w:tcBorders>
              <w:top w:val="single" w:sz="4" w:space="0" w:color="auto"/>
              <w:left w:val="nil"/>
              <w:bottom w:val="single" w:sz="4" w:space="0" w:color="auto"/>
              <w:right w:val="single" w:sz="4" w:space="0" w:color="auto"/>
            </w:tcBorders>
            <w:shd w:val="clear" w:color="auto" w:fill="auto"/>
            <w:vAlign w:val="center"/>
          </w:tcPr>
          <w:p w14:paraId="353EB8B7" w14:textId="77777777" w:rsidR="000829EF" w:rsidRDefault="00000000">
            <w:pPr>
              <w:jc w:val="center"/>
              <w:rPr>
                <w:rFonts w:ascii="黑体" w:eastAsia="黑体" w:hAnsi="黑体"/>
                <w:color w:val="000000"/>
              </w:rPr>
            </w:pPr>
            <w:r>
              <w:rPr>
                <w:rFonts w:ascii="黑体" w:eastAsia="黑体" w:hAnsi="黑体" w:hint="eastAsia"/>
                <w:color w:val="000000"/>
              </w:rPr>
              <w:t>指标示例</w:t>
            </w:r>
          </w:p>
        </w:tc>
      </w:tr>
      <w:tr w:rsidR="000829EF" w14:paraId="2F860DE4" w14:textId="77777777">
        <w:trPr>
          <w:trHeight w:val="576"/>
          <w:jc w:val="center"/>
        </w:trPr>
        <w:tc>
          <w:tcPr>
            <w:tcW w:w="1604" w:type="dxa"/>
            <w:vMerge w:val="restart"/>
            <w:tcBorders>
              <w:top w:val="nil"/>
              <w:left w:val="single" w:sz="4" w:space="0" w:color="auto"/>
              <w:bottom w:val="single" w:sz="4" w:space="0" w:color="auto"/>
              <w:right w:val="single" w:sz="4" w:space="0" w:color="auto"/>
            </w:tcBorders>
            <w:shd w:val="clear" w:color="auto" w:fill="auto"/>
            <w:vAlign w:val="center"/>
          </w:tcPr>
          <w:p w14:paraId="57EA1950" w14:textId="77777777" w:rsidR="000829EF" w:rsidRDefault="00000000">
            <w:pPr>
              <w:jc w:val="center"/>
              <w:rPr>
                <w:color w:val="000000"/>
              </w:rPr>
            </w:pPr>
            <w:r>
              <w:rPr>
                <w:rFonts w:hint="eastAsia"/>
                <w:color w:val="000000"/>
              </w:rPr>
              <w:t>社会民生</w:t>
            </w:r>
          </w:p>
        </w:tc>
        <w:tc>
          <w:tcPr>
            <w:tcW w:w="1605" w:type="dxa"/>
            <w:tcBorders>
              <w:top w:val="nil"/>
              <w:left w:val="nil"/>
              <w:bottom w:val="single" w:sz="4" w:space="0" w:color="auto"/>
              <w:right w:val="single" w:sz="4" w:space="0" w:color="auto"/>
            </w:tcBorders>
            <w:shd w:val="clear" w:color="auto" w:fill="auto"/>
            <w:vAlign w:val="center"/>
          </w:tcPr>
          <w:p w14:paraId="4AD9F45E" w14:textId="77777777" w:rsidR="000829EF" w:rsidRDefault="00000000">
            <w:pPr>
              <w:rPr>
                <w:color w:val="000000"/>
              </w:rPr>
            </w:pPr>
            <w:r>
              <w:rPr>
                <w:rFonts w:hint="eastAsia"/>
                <w:color w:val="000000"/>
              </w:rPr>
              <w:t>教育事业</w:t>
            </w:r>
          </w:p>
        </w:tc>
        <w:tc>
          <w:tcPr>
            <w:tcW w:w="5863" w:type="dxa"/>
            <w:tcBorders>
              <w:top w:val="nil"/>
              <w:left w:val="nil"/>
              <w:bottom w:val="single" w:sz="4" w:space="0" w:color="auto"/>
              <w:right w:val="single" w:sz="4" w:space="0" w:color="auto"/>
            </w:tcBorders>
            <w:shd w:val="clear" w:color="auto" w:fill="auto"/>
            <w:vAlign w:val="center"/>
          </w:tcPr>
          <w:p w14:paraId="26809FFA" w14:textId="77777777" w:rsidR="000829EF" w:rsidRDefault="00000000">
            <w:pPr>
              <w:rPr>
                <w:color w:val="000000"/>
              </w:rPr>
            </w:pPr>
            <w:r>
              <w:rPr>
                <w:rFonts w:hint="eastAsia"/>
                <w:color w:val="000000"/>
              </w:rPr>
              <w:t>各级各类教育学校数</w:t>
            </w:r>
            <w:r>
              <w:rPr>
                <w:color w:val="000000"/>
              </w:rPr>
              <w:t>量</w:t>
            </w:r>
            <w:r>
              <w:rPr>
                <w:rFonts w:hint="eastAsia"/>
                <w:color w:val="000000"/>
              </w:rPr>
              <w:t>、各级各类学校学历教育学生数</w:t>
            </w:r>
            <w:r>
              <w:rPr>
                <w:color w:val="000000"/>
              </w:rPr>
              <w:t>量</w:t>
            </w:r>
            <w:r>
              <w:rPr>
                <w:rFonts w:hint="eastAsia"/>
                <w:color w:val="000000"/>
              </w:rPr>
              <w:t>与质量、各级各类学校教职工数</w:t>
            </w:r>
            <w:r>
              <w:rPr>
                <w:color w:val="000000"/>
              </w:rPr>
              <w:t>量</w:t>
            </w:r>
            <w:r>
              <w:rPr>
                <w:rFonts w:hint="eastAsia"/>
                <w:color w:val="000000"/>
              </w:rPr>
              <w:t>与质量等。</w:t>
            </w:r>
          </w:p>
        </w:tc>
      </w:tr>
      <w:tr w:rsidR="000829EF" w14:paraId="01F29356"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44CFB606"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6F86E7FB" w14:textId="77777777" w:rsidR="000829EF" w:rsidRDefault="00000000">
            <w:pPr>
              <w:rPr>
                <w:color w:val="000000"/>
              </w:rPr>
            </w:pPr>
            <w:r>
              <w:rPr>
                <w:rFonts w:hint="eastAsia"/>
                <w:color w:val="000000"/>
              </w:rPr>
              <w:t>人口就业</w:t>
            </w:r>
          </w:p>
        </w:tc>
        <w:tc>
          <w:tcPr>
            <w:tcW w:w="5863" w:type="dxa"/>
            <w:tcBorders>
              <w:top w:val="nil"/>
              <w:left w:val="nil"/>
              <w:bottom w:val="single" w:sz="4" w:space="0" w:color="auto"/>
              <w:right w:val="single" w:sz="4" w:space="0" w:color="auto"/>
            </w:tcBorders>
            <w:shd w:val="clear" w:color="auto" w:fill="auto"/>
            <w:vAlign w:val="center"/>
          </w:tcPr>
          <w:p w14:paraId="257E864A" w14:textId="77777777" w:rsidR="000829EF" w:rsidRDefault="00000000">
            <w:pPr>
              <w:rPr>
                <w:color w:val="000000"/>
              </w:rPr>
            </w:pPr>
            <w:r>
              <w:rPr>
                <w:rFonts w:hint="eastAsia"/>
                <w:color w:val="000000"/>
              </w:rPr>
              <w:t>运营商信令稳定居住人口、常住人口、年末城镇登记失业率、服务求职者人数、服务用人单位家数、职业技能培训覆盖人群比例等。</w:t>
            </w:r>
          </w:p>
        </w:tc>
      </w:tr>
      <w:tr w:rsidR="000829EF" w14:paraId="74D6EAF1"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520B0489"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0BB9E1C1" w14:textId="77777777" w:rsidR="000829EF" w:rsidRDefault="00000000">
            <w:pPr>
              <w:rPr>
                <w:color w:val="000000"/>
              </w:rPr>
            </w:pPr>
            <w:r>
              <w:rPr>
                <w:rFonts w:hint="eastAsia"/>
                <w:color w:val="000000"/>
              </w:rPr>
              <w:t>社会保障</w:t>
            </w:r>
          </w:p>
        </w:tc>
        <w:tc>
          <w:tcPr>
            <w:tcW w:w="5863" w:type="dxa"/>
            <w:tcBorders>
              <w:top w:val="nil"/>
              <w:left w:val="nil"/>
              <w:bottom w:val="single" w:sz="4" w:space="0" w:color="auto"/>
              <w:right w:val="single" w:sz="4" w:space="0" w:color="auto"/>
            </w:tcBorders>
            <w:shd w:val="clear" w:color="auto" w:fill="auto"/>
            <w:vAlign w:val="center"/>
          </w:tcPr>
          <w:p w14:paraId="75165565" w14:textId="77777777" w:rsidR="000829EF" w:rsidRDefault="00000000">
            <w:pPr>
              <w:rPr>
                <w:color w:val="000000"/>
              </w:rPr>
            </w:pPr>
            <w:r>
              <w:rPr>
                <w:rFonts w:hint="eastAsia"/>
                <w:color w:val="000000"/>
              </w:rPr>
              <w:t>参加职工基本养老保险人数、参加职工基本医疗保险人数、社保基金结余、社保卡发放数量等。</w:t>
            </w:r>
          </w:p>
        </w:tc>
      </w:tr>
      <w:tr w:rsidR="000829EF" w14:paraId="433963F2"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74000513"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3FCFAEE7" w14:textId="77777777" w:rsidR="000829EF" w:rsidRDefault="00000000">
            <w:pPr>
              <w:rPr>
                <w:color w:val="000000"/>
              </w:rPr>
            </w:pPr>
            <w:r>
              <w:rPr>
                <w:rFonts w:hint="eastAsia"/>
                <w:color w:val="000000"/>
              </w:rPr>
              <w:t>医疗</w:t>
            </w:r>
            <w:r>
              <w:rPr>
                <w:color w:val="000000"/>
              </w:rPr>
              <w:t>健康</w:t>
            </w:r>
          </w:p>
        </w:tc>
        <w:tc>
          <w:tcPr>
            <w:tcW w:w="5863" w:type="dxa"/>
            <w:tcBorders>
              <w:top w:val="nil"/>
              <w:left w:val="nil"/>
              <w:bottom w:val="single" w:sz="4" w:space="0" w:color="auto"/>
              <w:right w:val="single" w:sz="4" w:space="0" w:color="auto"/>
            </w:tcBorders>
            <w:shd w:val="clear" w:color="auto" w:fill="auto"/>
            <w:vAlign w:val="center"/>
          </w:tcPr>
          <w:p w14:paraId="1D759748" w14:textId="77777777" w:rsidR="000829EF" w:rsidRDefault="00000000">
            <w:pPr>
              <w:rPr>
                <w:color w:val="000000"/>
              </w:rPr>
            </w:pPr>
            <w:r>
              <w:rPr>
                <w:rFonts w:hint="eastAsia"/>
                <w:color w:val="000000"/>
              </w:rPr>
              <w:t>北京孕产死亡率、定点医疗机构数、ICU床位数量、本市基本</w:t>
            </w:r>
            <w:proofErr w:type="gramStart"/>
            <w:r>
              <w:rPr>
                <w:rFonts w:hint="eastAsia"/>
                <w:color w:val="000000"/>
              </w:rPr>
              <w:t>医</w:t>
            </w:r>
            <w:proofErr w:type="gramEnd"/>
            <w:r>
              <w:rPr>
                <w:rFonts w:hint="eastAsia"/>
                <w:color w:val="000000"/>
              </w:rPr>
              <w:t>保本地结算额、突发公共卫生分级事件数量、急救呼叫满足率等。</w:t>
            </w:r>
          </w:p>
        </w:tc>
      </w:tr>
      <w:tr w:rsidR="000829EF" w14:paraId="12EDE1AD"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0BBC1D00"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4AB1338F" w14:textId="77777777" w:rsidR="000829EF" w:rsidRDefault="00000000">
            <w:pPr>
              <w:rPr>
                <w:color w:val="000000"/>
              </w:rPr>
            </w:pPr>
            <w:r>
              <w:rPr>
                <w:rFonts w:hint="eastAsia"/>
                <w:color w:val="000000"/>
              </w:rPr>
              <w:t>民政民生</w:t>
            </w:r>
          </w:p>
        </w:tc>
        <w:tc>
          <w:tcPr>
            <w:tcW w:w="5863" w:type="dxa"/>
            <w:tcBorders>
              <w:top w:val="nil"/>
              <w:left w:val="nil"/>
              <w:bottom w:val="single" w:sz="4" w:space="0" w:color="auto"/>
              <w:right w:val="single" w:sz="4" w:space="0" w:color="auto"/>
            </w:tcBorders>
            <w:shd w:val="clear" w:color="auto" w:fill="auto"/>
            <w:vAlign w:val="center"/>
          </w:tcPr>
          <w:p w14:paraId="0B13D563" w14:textId="77777777" w:rsidR="000829EF" w:rsidRDefault="00000000">
            <w:pPr>
              <w:rPr>
                <w:color w:val="000000"/>
              </w:rPr>
            </w:pPr>
            <w:r>
              <w:rPr>
                <w:rFonts w:hint="eastAsia"/>
                <w:color w:val="000000"/>
              </w:rPr>
              <w:t>民政事业费累计支出、</w:t>
            </w:r>
            <w:proofErr w:type="gramStart"/>
            <w:r>
              <w:rPr>
                <w:rFonts w:hint="eastAsia"/>
                <w:color w:val="000000"/>
              </w:rPr>
              <w:t>京彩时光</w:t>
            </w:r>
            <w:proofErr w:type="gramEnd"/>
            <w:r>
              <w:rPr>
                <w:rFonts w:hint="eastAsia"/>
                <w:color w:val="000000"/>
              </w:rPr>
              <w:t>志愿服务数、社会救助对象人数、享受困难残疾人生活补贴人数、结婚登记数量、社会组织数量等。</w:t>
            </w:r>
          </w:p>
        </w:tc>
      </w:tr>
      <w:tr w:rsidR="000829EF" w14:paraId="6501BDC7"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4AF771DA"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1D7A764" w14:textId="77777777" w:rsidR="000829EF" w:rsidRDefault="00000000">
            <w:pPr>
              <w:rPr>
                <w:color w:val="000000"/>
              </w:rPr>
            </w:pPr>
            <w:r>
              <w:rPr>
                <w:rFonts w:hint="eastAsia"/>
                <w:color w:val="000000"/>
              </w:rPr>
              <w:t>住房保障</w:t>
            </w:r>
          </w:p>
        </w:tc>
        <w:tc>
          <w:tcPr>
            <w:tcW w:w="5863" w:type="dxa"/>
            <w:tcBorders>
              <w:top w:val="nil"/>
              <w:left w:val="nil"/>
              <w:bottom w:val="single" w:sz="4" w:space="0" w:color="auto"/>
              <w:right w:val="single" w:sz="4" w:space="0" w:color="auto"/>
            </w:tcBorders>
            <w:shd w:val="clear" w:color="auto" w:fill="auto"/>
            <w:vAlign w:val="center"/>
          </w:tcPr>
          <w:p w14:paraId="193D7016" w14:textId="77777777" w:rsidR="000829EF" w:rsidRDefault="00000000">
            <w:pPr>
              <w:rPr>
                <w:color w:val="000000"/>
              </w:rPr>
            </w:pPr>
            <w:r>
              <w:rPr>
                <w:rFonts w:hint="eastAsia"/>
                <w:color w:val="000000"/>
              </w:rPr>
              <w:t>房屋待售面积、存量房网上签约套数、政策性住房供应数量、住房公积金</w:t>
            </w:r>
            <w:proofErr w:type="gramStart"/>
            <w:r>
              <w:rPr>
                <w:rFonts w:hint="eastAsia"/>
                <w:color w:val="000000"/>
              </w:rPr>
              <w:t>缴</w:t>
            </w:r>
            <w:proofErr w:type="gramEnd"/>
            <w:r>
              <w:rPr>
                <w:rFonts w:hint="eastAsia"/>
                <w:color w:val="000000"/>
              </w:rPr>
              <w:t>存单位数、住房公积金缴存人数、住房公积金转入和转出人数等。</w:t>
            </w:r>
          </w:p>
        </w:tc>
      </w:tr>
      <w:tr w:rsidR="000829EF" w14:paraId="214E8739"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0EDA6791"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6BC3EB35" w14:textId="77777777" w:rsidR="000829EF" w:rsidRDefault="00000000">
            <w:pPr>
              <w:rPr>
                <w:color w:val="000000"/>
              </w:rPr>
            </w:pPr>
            <w:proofErr w:type="gramStart"/>
            <w:r>
              <w:rPr>
                <w:rFonts w:hint="eastAsia"/>
                <w:color w:val="000000"/>
              </w:rPr>
              <w:t>文旅文娱</w:t>
            </w:r>
            <w:proofErr w:type="gramEnd"/>
          </w:p>
        </w:tc>
        <w:tc>
          <w:tcPr>
            <w:tcW w:w="5863" w:type="dxa"/>
            <w:tcBorders>
              <w:top w:val="nil"/>
              <w:left w:val="nil"/>
              <w:bottom w:val="single" w:sz="4" w:space="0" w:color="auto"/>
              <w:right w:val="single" w:sz="4" w:space="0" w:color="auto"/>
            </w:tcBorders>
            <w:shd w:val="clear" w:color="auto" w:fill="auto"/>
            <w:vAlign w:val="center"/>
          </w:tcPr>
          <w:p w14:paraId="56233FAC" w14:textId="77777777" w:rsidR="000829EF" w:rsidRDefault="00000000">
            <w:pPr>
              <w:rPr>
                <w:color w:val="000000"/>
              </w:rPr>
            </w:pPr>
            <w:r>
              <w:rPr>
                <w:rFonts w:hint="eastAsia"/>
                <w:color w:val="000000"/>
              </w:rPr>
              <w:t>国内旅游收入、等级景区承载量、文旅行政处罚数量、公共图书馆数量、运动场地数量、向市民开放公共体育场馆数量、有线电视实际用户数、网络微短剧拍摄备案数量等。</w:t>
            </w:r>
          </w:p>
        </w:tc>
      </w:tr>
      <w:tr w:rsidR="000829EF" w14:paraId="1CCFA9A6"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5CA65219"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73A8725A" w14:textId="77777777" w:rsidR="000829EF" w:rsidRDefault="00000000">
            <w:pPr>
              <w:rPr>
                <w:color w:val="000000"/>
              </w:rPr>
            </w:pPr>
            <w:r>
              <w:rPr>
                <w:rFonts w:hint="eastAsia"/>
                <w:color w:val="000000"/>
              </w:rPr>
              <w:t>居民生活</w:t>
            </w:r>
          </w:p>
        </w:tc>
        <w:tc>
          <w:tcPr>
            <w:tcW w:w="5863" w:type="dxa"/>
            <w:tcBorders>
              <w:top w:val="nil"/>
              <w:left w:val="nil"/>
              <w:bottom w:val="single" w:sz="4" w:space="0" w:color="auto"/>
              <w:right w:val="single" w:sz="4" w:space="0" w:color="auto"/>
            </w:tcBorders>
            <w:shd w:val="clear" w:color="auto" w:fill="auto"/>
            <w:vAlign w:val="center"/>
          </w:tcPr>
          <w:p w14:paraId="2037EEC4" w14:textId="77777777" w:rsidR="000829EF" w:rsidRDefault="00000000">
            <w:pPr>
              <w:rPr>
                <w:color w:val="000000"/>
              </w:rPr>
            </w:pPr>
            <w:r>
              <w:rPr>
                <w:rFonts w:hint="eastAsia"/>
                <w:color w:val="000000"/>
              </w:rPr>
              <w:t>人均可支配收入、人均消费支出、食品类价格月度环比、蔬菜批发价格、</w:t>
            </w:r>
            <w:r>
              <w:rPr>
                <w:rFonts w:hint="eastAsia"/>
              </w:rPr>
              <w:t>农贸市场猪肉零售价格、</w:t>
            </w:r>
            <w:r>
              <w:rPr>
                <w:rFonts w:hint="eastAsia"/>
                <w:color w:val="000000"/>
              </w:rPr>
              <w:t>恩格尔系数</w:t>
            </w:r>
            <w:r>
              <w:rPr>
                <w:color w:val="000000"/>
              </w:rPr>
              <w:t>等。</w:t>
            </w:r>
          </w:p>
        </w:tc>
      </w:tr>
      <w:tr w:rsidR="000829EF" w14:paraId="46F3111C"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65AC13FA"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5875363" w14:textId="77777777" w:rsidR="000829EF" w:rsidRDefault="00000000">
            <w:pPr>
              <w:rPr>
                <w:color w:val="000000"/>
              </w:rPr>
            </w:pPr>
            <w:r>
              <w:rPr>
                <w:rFonts w:hint="eastAsia"/>
                <w:color w:val="000000"/>
              </w:rPr>
              <w:t>农业农村</w:t>
            </w:r>
          </w:p>
        </w:tc>
        <w:tc>
          <w:tcPr>
            <w:tcW w:w="5863" w:type="dxa"/>
            <w:tcBorders>
              <w:top w:val="nil"/>
              <w:left w:val="nil"/>
              <w:bottom w:val="single" w:sz="4" w:space="0" w:color="auto"/>
              <w:right w:val="single" w:sz="4" w:space="0" w:color="auto"/>
            </w:tcBorders>
            <w:shd w:val="clear" w:color="auto" w:fill="auto"/>
            <w:vAlign w:val="center"/>
          </w:tcPr>
          <w:p w14:paraId="0396B038" w14:textId="77777777" w:rsidR="000829EF" w:rsidRDefault="00000000">
            <w:pPr>
              <w:rPr>
                <w:color w:val="000000"/>
              </w:rPr>
            </w:pPr>
            <w:r>
              <w:rPr>
                <w:rFonts w:hint="eastAsia"/>
                <w:color w:val="000000"/>
              </w:rPr>
              <w:t>农户总收入、主要农业产品产量、农业机械总动力、农业观光经营总收入、农用地面积等。</w:t>
            </w:r>
          </w:p>
        </w:tc>
      </w:tr>
      <w:tr w:rsidR="000829EF" w14:paraId="1E0E60C6" w14:textId="77777777">
        <w:trPr>
          <w:trHeight w:val="576"/>
          <w:jc w:val="center"/>
        </w:trPr>
        <w:tc>
          <w:tcPr>
            <w:tcW w:w="1604" w:type="dxa"/>
            <w:vMerge w:val="restart"/>
            <w:tcBorders>
              <w:top w:val="nil"/>
              <w:left w:val="single" w:sz="4" w:space="0" w:color="auto"/>
              <w:bottom w:val="single" w:sz="4" w:space="0" w:color="auto"/>
              <w:right w:val="single" w:sz="4" w:space="0" w:color="auto"/>
            </w:tcBorders>
            <w:shd w:val="clear" w:color="auto" w:fill="auto"/>
            <w:vAlign w:val="center"/>
          </w:tcPr>
          <w:p w14:paraId="75E444EC" w14:textId="77777777" w:rsidR="000829EF" w:rsidRDefault="00000000">
            <w:pPr>
              <w:jc w:val="center"/>
              <w:rPr>
                <w:color w:val="000000"/>
              </w:rPr>
            </w:pPr>
            <w:r>
              <w:rPr>
                <w:rFonts w:hint="eastAsia"/>
                <w:color w:val="000000"/>
              </w:rPr>
              <w:t>资源环境</w:t>
            </w:r>
          </w:p>
        </w:tc>
        <w:tc>
          <w:tcPr>
            <w:tcW w:w="1605" w:type="dxa"/>
            <w:tcBorders>
              <w:top w:val="nil"/>
              <w:left w:val="nil"/>
              <w:bottom w:val="single" w:sz="4" w:space="0" w:color="auto"/>
              <w:right w:val="single" w:sz="4" w:space="0" w:color="auto"/>
            </w:tcBorders>
            <w:shd w:val="clear" w:color="auto" w:fill="auto"/>
            <w:vAlign w:val="center"/>
          </w:tcPr>
          <w:p w14:paraId="51350533" w14:textId="77777777" w:rsidR="000829EF" w:rsidRDefault="00000000">
            <w:pPr>
              <w:rPr>
                <w:color w:val="000000"/>
              </w:rPr>
            </w:pPr>
            <w:r>
              <w:rPr>
                <w:rFonts w:hint="eastAsia"/>
                <w:color w:val="000000"/>
              </w:rPr>
              <w:t>水资源</w:t>
            </w:r>
          </w:p>
        </w:tc>
        <w:tc>
          <w:tcPr>
            <w:tcW w:w="5863" w:type="dxa"/>
            <w:tcBorders>
              <w:top w:val="nil"/>
              <w:left w:val="nil"/>
              <w:bottom w:val="single" w:sz="4" w:space="0" w:color="auto"/>
              <w:right w:val="single" w:sz="4" w:space="0" w:color="auto"/>
            </w:tcBorders>
            <w:shd w:val="clear" w:color="auto" w:fill="auto"/>
            <w:vAlign w:val="center"/>
          </w:tcPr>
          <w:p w14:paraId="7A154BEB" w14:textId="77777777" w:rsidR="000829EF" w:rsidRDefault="00000000">
            <w:pPr>
              <w:rPr>
                <w:color w:val="000000"/>
              </w:rPr>
            </w:pPr>
            <w:r>
              <w:rPr>
                <w:rFonts w:hint="eastAsia"/>
                <w:color w:val="000000"/>
              </w:rPr>
              <w:t>供水总量、生活污水处理量、生产生活用水量、废水污染物排放量、再生水利用量等。</w:t>
            </w:r>
          </w:p>
        </w:tc>
      </w:tr>
      <w:tr w:rsidR="000829EF" w14:paraId="56E37155"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28A33CB6"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95CCF1D" w14:textId="77777777" w:rsidR="000829EF" w:rsidRDefault="00000000">
            <w:pPr>
              <w:rPr>
                <w:color w:val="000000"/>
              </w:rPr>
            </w:pPr>
            <w:r>
              <w:rPr>
                <w:rFonts w:hint="eastAsia"/>
                <w:color w:val="000000"/>
              </w:rPr>
              <w:t>规划自然资源</w:t>
            </w:r>
          </w:p>
        </w:tc>
        <w:tc>
          <w:tcPr>
            <w:tcW w:w="5863" w:type="dxa"/>
            <w:tcBorders>
              <w:top w:val="nil"/>
              <w:left w:val="nil"/>
              <w:bottom w:val="single" w:sz="4" w:space="0" w:color="auto"/>
              <w:right w:val="single" w:sz="4" w:space="0" w:color="auto"/>
            </w:tcBorders>
            <w:shd w:val="clear" w:color="auto" w:fill="auto"/>
            <w:vAlign w:val="center"/>
          </w:tcPr>
          <w:p w14:paraId="18823978" w14:textId="77777777" w:rsidR="000829EF" w:rsidRDefault="00000000">
            <w:pPr>
              <w:rPr>
                <w:color w:val="000000"/>
              </w:rPr>
            </w:pPr>
            <w:r>
              <w:rPr>
                <w:color w:val="000000"/>
              </w:rPr>
              <w:t>建设工程规划许可核发数量、棚户区改造项目数量、住宅</w:t>
            </w:r>
            <w:proofErr w:type="gramStart"/>
            <w:r>
              <w:rPr>
                <w:color w:val="000000"/>
              </w:rPr>
              <w:t>地价环</w:t>
            </w:r>
            <w:proofErr w:type="gramEnd"/>
            <w:r>
              <w:rPr>
                <w:color w:val="000000"/>
              </w:rPr>
              <w:t>比增长率、不动产转移登记数量、</w:t>
            </w:r>
            <w:r>
              <w:rPr>
                <w:rFonts w:hint="eastAsia"/>
                <w:color w:val="000000"/>
              </w:rPr>
              <w:t>建设项目用地预审用地规模、用地审批规模、国有土地入市交易面积等。</w:t>
            </w:r>
          </w:p>
        </w:tc>
      </w:tr>
      <w:tr w:rsidR="000829EF" w14:paraId="5DB6E772"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6E7FA151"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315C9FA8" w14:textId="77777777" w:rsidR="000829EF" w:rsidRDefault="00000000">
            <w:pPr>
              <w:rPr>
                <w:color w:val="000000"/>
              </w:rPr>
            </w:pPr>
            <w:r>
              <w:rPr>
                <w:rFonts w:hint="eastAsia"/>
                <w:color w:val="000000"/>
              </w:rPr>
              <w:t>园林绿化</w:t>
            </w:r>
          </w:p>
        </w:tc>
        <w:tc>
          <w:tcPr>
            <w:tcW w:w="5863" w:type="dxa"/>
            <w:tcBorders>
              <w:top w:val="nil"/>
              <w:left w:val="nil"/>
              <w:bottom w:val="single" w:sz="4" w:space="0" w:color="auto"/>
              <w:right w:val="single" w:sz="4" w:space="0" w:color="auto"/>
            </w:tcBorders>
            <w:shd w:val="clear" w:color="auto" w:fill="auto"/>
            <w:vAlign w:val="center"/>
          </w:tcPr>
          <w:p w14:paraId="4965B3FE" w14:textId="77777777" w:rsidR="000829EF" w:rsidRDefault="00000000">
            <w:pPr>
              <w:rPr>
                <w:color w:val="000000"/>
              </w:rPr>
            </w:pPr>
            <w:r>
              <w:rPr>
                <w:color w:val="000000"/>
              </w:rPr>
              <w:t>城市绿化覆盖面积、绿化覆盖率、林地和湿地面积、生态服务价值及增速、人工造林面积、</w:t>
            </w:r>
            <w:r>
              <w:rPr>
                <w:rFonts w:hint="eastAsia"/>
                <w:color w:val="000000"/>
              </w:rPr>
              <w:t>城镇附属绿地面积、人均公园绿地面积、古树名木数量等。</w:t>
            </w:r>
          </w:p>
        </w:tc>
      </w:tr>
      <w:tr w:rsidR="000829EF" w14:paraId="50C54BC6"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4CD9E7E4"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5EA1E9BF" w14:textId="77777777" w:rsidR="000829EF" w:rsidRDefault="00000000">
            <w:pPr>
              <w:rPr>
                <w:color w:val="000000"/>
              </w:rPr>
            </w:pPr>
            <w:r>
              <w:rPr>
                <w:rFonts w:hint="eastAsia"/>
                <w:color w:val="000000"/>
              </w:rPr>
              <w:t>生态环境</w:t>
            </w:r>
          </w:p>
        </w:tc>
        <w:tc>
          <w:tcPr>
            <w:tcW w:w="5863" w:type="dxa"/>
            <w:tcBorders>
              <w:top w:val="nil"/>
              <w:left w:val="nil"/>
              <w:bottom w:val="single" w:sz="4" w:space="0" w:color="auto"/>
              <w:right w:val="single" w:sz="4" w:space="0" w:color="auto"/>
            </w:tcBorders>
            <w:shd w:val="clear" w:color="auto" w:fill="auto"/>
            <w:vAlign w:val="center"/>
          </w:tcPr>
          <w:p w14:paraId="04912F03" w14:textId="77777777" w:rsidR="000829EF" w:rsidRDefault="00000000">
            <w:pPr>
              <w:rPr>
                <w:color w:val="000000"/>
              </w:rPr>
            </w:pPr>
            <w:r>
              <w:rPr>
                <w:color w:val="000000"/>
              </w:rPr>
              <w:t>工业废水排放量、危险废物利用处置量、实时空气质量指数、饮用水水源水质达标率、</w:t>
            </w:r>
            <w:r>
              <w:rPr>
                <w:rFonts w:hint="eastAsia"/>
                <w:color w:val="000000"/>
              </w:rPr>
              <w:t>细颗粒物（PM2.5）浓度、</w:t>
            </w:r>
            <w:r>
              <w:rPr>
                <w:color w:val="000000"/>
              </w:rPr>
              <w:t>环境噪声平均等效声级、辐射环境质量测值、生态环境状况指数等</w:t>
            </w:r>
            <w:r>
              <w:rPr>
                <w:rFonts w:hint="eastAsia"/>
                <w:color w:val="000000"/>
              </w:rPr>
              <w:t>。</w:t>
            </w:r>
          </w:p>
        </w:tc>
      </w:tr>
      <w:tr w:rsidR="000829EF" w14:paraId="48CE13BE"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3BF8C1EC"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51345027" w14:textId="77777777" w:rsidR="000829EF" w:rsidRDefault="00000000">
            <w:pPr>
              <w:rPr>
                <w:color w:val="000000"/>
              </w:rPr>
            </w:pPr>
            <w:r>
              <w:rPr>
                <w:rFonts w:hint="eastAsia"/>
                <w:color w:val="000000"/>
              </w:rPr>
              <w:t>气象监测</w:t>
            </w:r>
          </w:p>
        </w:tc>
        <w:tc>
          <w:tcPr>
            <w:tcW w:w="5863" w:type="dxa"/>
            <w:tcBorders>
              <w:top w:val="nil"/>
              <w:left w:val="nil"/>
              <w:bottom w:val="single" w:sz="4" w:space="0" w:color="auto"/>
              <w:right w:val="single" w:sz="4" w:space="0" w:color="auto"/>
            </w:tcBorders>
            <w:shd w:val="clear" w:color="auto" w:fill="auto"/>
            <w:vAlign w:val="center"/>
          </w:tcPr>
          <w:p w14:paraId="5EF3C4B4" w14:textId="77777777" w:rsidR="000829EF" w:rsidRDefault="00000000">
            <w:pPr>
              <w:rPr>
                <w:color w:val="000000"/>
              </w:rPr>
            </w:pPr>
            <w:r>
              <w:rPr>
                <w:color w:val="000000"/>
              </w:rPr>
              <w:t>天气实况、未来一周天气预报</w:t>
            </w:r>
            <w:r>
              <w:rPr>
                <w:rFonts w:hint="eastAsia"/>
                <w:color w:val="000000"/>
              </w:rPr>
              <w:t>、</w:t>
            </w:r>
            <w:r>
              <w:rPr>
                <w:color w:val="000000"/>
              </w:rPr>
              <w:t>实时</w:t>
            </w:r>
            <w:r>
              <w:rPr>
                <w:rFonts w:hint="eastAsia"/>
                <w:color w:val="000000"/>
              </w:rPr>
              <w:t>降雨量、紫外线级别预测天数、灾害天气预警信号等。</w:t>
            </w:r>
          </w:p>
        </w:tc>
      </w:tr>
      <w:tr w:rsidR="000829EF" w14:paraId="553D717D" w14:textId="77777777">
        <w:trPr>
          <w:trHeight w:val="864"/>
          <w:jc w:val="center"/>
        </w:trPr>
        <w:tc>
          <w:tcPr>
            <w:tcW w:w="1604" w:type="dxa"/>
            <w:vMerge w:val="restart"/>
            <w:tcBorders>
              <w:top w:val="nil"/>
              <w:left w:val="single" w:sz="4" w:space="0" w:color="auto"/>
              <w:bottom w:val="single" w:sz="4" w:space="0" w:color="auto"/>
              <w:right w:val="single" w:sz="4" w:space="0" w:color="auto"/>
            </w:tcBorders>
            <w:shd w:val="clear" w:color="auto" w:fill="auto"/>
            <w:vAlign w:val="center"/>
          </w:tcPr>
          <w:p w14:paraId="24D83E83" w14:textId="77777777" w:rsidR="000829EF" w:rsidRDefault="00000000">
            <w:pPr>
              <w:jc w:val="center"/>
              <w:rPr>
                <w:color w:val="000000"/>
              </w:rPr>
            </w:pPr>
            <w:r>
              <w:rPr>
                <w:rFonts w:hint="eastAsia"/>
                <w:color w:val="000000"/>
              </w:rPr>
              <w:lastRenderedPageBreak/>
              <w:t>公共管理</w:t>
            </w:r>
          </w:p>
        </w:tc>
        <w:tc>
          <w:tcPr>
            <w:tcW w:w="1605" w:type="dxa"/>
            <w:tcBorders>
              <w:top w:val="nil"/>
              <w:left w:val="nil"/>
              <w:bottom w:val="single" w:sz="4" w:space="0" w:color="auto"/>
              <w:right w:val="single" w:sz="4" w:space="0" w:color="auto"/>
            </w:tcBorders>
            <w:shd w:val="clear" w:color="auto" w:fill="auto"/>
            <w:vAlign w:val="center"/>
          </w:tcPr>
          <w:p w14:paraId="16E2DCF1" w14:textId="77777777" w:rsidR="000829EF" w:rsidRDefault="00000000">
            <w:pPr>
              <w:rPr>
                <w:color w:val="000000"/>
              </w:rPr>
            </w:pPr>
            <w:r>
              <w:rPr>
                <w:rFonts w:hint="eastAsia"/>
                <w:color w:val="000000"/>
              </w:rPr>
              <w:t>城市管理</w:t>
            </w:r>
          </w:p>
        </w:tc>
        <w:tc>
          <w:tcPr>
            <w:tcW w:w="5863" w:type="dxa"/>
            <w:tcBorders>
              <w:top w:val="nil"/>
              <w:left w:val="nil"/>
              <w:bottom w:val="single" w:sz="4" w:space="0" w:color="auto"/>
              <w:right w:val="single" w:sz="4" w:space="0" w:color="auto"/>
            </w:tcBorders>
            <w:shd w:val="clear" w:color="auto" w:fill="auto"/>
            <w:vAlign w:val="center"/>
          </w:tcPr>
          <w:p w14:paraId="1842C99E" w14:textId="77777777" w:rsidR="000829EF" w:rsidRDefault="00000000">
            <w:pPr>
              <w:rPr>
                <w:color w:val="000000"/>
              </w:rPr>
            </w:pPr>
            <w:r>
              <w:rPr>
                <w:rFonts w:hint="eastAsia"/>
                <w:color w:val="000000"/>
              </w:rPr>
              <w:t>网格</w:t>
            </w:r>
            <w:proofErr w:type="gramStart"/>
            <w:r>
              <w:rPr>
                <w:rFonts w:hint="eastAsia"/>
                <w:color w:val="000000"/>
              </w:rPr>
              <w:t>化案件</w:t>
            </w:r>
            <w:proofErr w:type="gramEnd"/>
            <w:r>
              <w:rPr>
                <w:rFonts w:hint="eastAsia"/>
                <w:color w:val="000000"/>
              </w:rPr>
              <w:t>数量、</w:t>
            </w:r>
            <w:r>
              <w:rPr>
                <w:color w:val="000000"/>
              </w:rPr>
              <w:t>城管执法检查量/发现问题率、生活</w:t>
            </w:r>
            <w:r>
              <w:rPr>
                <w:rFonts w:hint="eastAsia"/>
                <w:color w:val="000000"/>
              </w:rPr>
              <w:t>垃圾产生/清运无害化处理量、</w:t>
            </w:r>
            <w:r>
              <w:rPr>
                <w:color w:val="000000"/>
              </w:rPr>
              <w:t>城市道路尘土残存量、</w:t>
            </w:r>
            <w:r>
              <w:rPr>
                <w:rFonts w:hint="eastAsia"/>
                <w:color w:val="000000"/>
              </w:rPr>
              <w:t>加油站\加气站\加氢站\充电桩数量、</w:t>
            </w:r>
            <w:r>
              <w:rPr>
                <w:color w:val="000000"/>
              </w:rPr>
              <w:t>首都城市环境建设管理社会公众满意度、首都城市环境建设管理考核得分</w:t>
            </w:r>
            <w:r>
              <w:rPr>
                <w:rFonts w:hint="eastAsia"/>
                <w:color w:val="000000"/>
              </w:rPr>
              <w:t>等</w:t>
            </w:r>
            <w:r>
              <w:rPr>
                <w:color w:val="000000"/>
              </w:rPr>
              <w:t>。</w:t>
            </w:r>
          </w:p>
        </w:tc>
      </w:tr>
      <w:tr w:rsidR="000829EF" w14:paraId="1AD400C5"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3137A001"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3E0206CD" w14:textId="77777777" w:rsidR="000829EF" w:rsidRDefault="00000000">
            <w:pPr>
              <w:rPr>
                <w:color w:val="000000"/>
              </w:rPr>
            </w:pPr>
            <w:r>
              <w:rPr>
                <w:rFonts w:hint="eastAsia"/>
                <w:color w:val="000000"/>
              </w:rPr>
              <w:t>交通运输</w:t>
            </w:r>
          </w:p>
        </w:tc>
        <w:tc>
          <w:tcPr>
            <w:tcW w:w="5863" w:type="dxa"/>
            <w:tcBorders>
              <w:top w:val="nil"/>
              <w:left w:val="nil"/>
              <w:bottom w:val="single" w:sz="4" w:space="0" w:color="auto"/>
              <w:right w:val="single" w:sz="4" w:space="0" w:color="auto"/>
            </w:tcBorders>
            <w:shd w:val="clear" w:color="auto" w:fill="auto"/>
            <w:vAlign w:val="center"/>
          </w:tcPr>
          <w:p w14:paraId="6ECBC867" w14:textId="77777777" w:rsidR="000829EF" w:rsidRDefault="00000000">
            <w:pPr>
              <w:rPr>
                <w:color w:val="000000"/>
              </w:rPr>
            </w:pPr>
            <w:r>
              <w:rPr>
                <w:rFonts w:hint="eastAsia"/>
                <w:color w:val="000000"/>
              </w:rPr>
              <w:t>公共电汽车日客运量、城市轨道交通日客运量、民航日客运量、出租汽车运营车辆数、道路货运运输量、货运周转量、收费公路车辆通行信息、行车事故次数及伤亡人数、交通拥堵指数、互联网租赁自行车投放量等</w:t>
            </w:r>
            <w:r>
              <w:rPr>
                <w:color w:val="000000"/>
              </w:rPr>
              <w:t>。</w:t>
            </w:r>
          </w:p>
        </w:tc>
      </w:tr>
      <w:tr w:rsidR="000829EF" w14:paraId="2954995F"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522E4807"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548E12CD" w14:textId="77777777" w:rsidR="000829EF" w:rsidRDefault="00000000">
            <w:pPr>
              <w:rPr>
                <w:color w:val="000000"/>
              </w:rPr>
            </w:pPr>
            <w:r>
              <w:rPr>
                <w:rFonts w:hint="eastAsia"/>
                <w:color w:val="000000"/>
              </w:rPr>
              <w:t>公共安全</w:t>
            </w:r>
          </w:p>
        </w:tc>
        <w:tc>
          <w:tcPr>
            <w:tcW w:w="5863" w:type="dxa"/>
            <w:tcBorders>
              <w:top w:val="nil"/>
              <w:left w:val="nil"/>
              <w:bottom w:val="single" w:sz="4" w:space="0" w:color="auto"/>
              <w:right w:val="single" w:sz="4" w:space="0" w:color="auto"/>
            </w:tcBorders>
            <w:shd w:val="clear" w:color="auto" w:fill="auto"/>
            <w:vAlign w:val="center"/>
          </w:tcPr>
          <w:p w14:paraId="69742FA4" w14:textId="77777777" w:rsidR="000829EF" w:rsidRDefault="00000000">
            <w:pPr>
              <w:rPr>
                <w:color w:val="000000"/>
              </w:rPr>
            </w:pPr>
            <w:r>
              <w:rPr>
                <w:color w:val="000000"/>
              </w:rPr>
              <w:t>各类</w:t>
            </w:r>
            <w:r>
              <w:rPr>
                <w:rFonts w:hint="eastAsia"/>
                <w:color w:val="000000"/>
              </w:rPr>
              <w:t>突发事件数量、专业应急救援人员数量、火灾发生率、生产安全事故数量、工矿商贸事故数量</w:t>
            </w:r>
            <w:r>
              <w:rPr>
                <w:color w:val="000000"/>
              </w:rPr>
              <w:t>/</w:t>
            </w:r>
            <w:r>
              <w:rPr>
                <w:rFonts w:hint="eastAsia"/>
                <w:color w:val="000000"/>
              </w:rPr>
              <w:t>死亡人数、</w:t>
            </w:r>
            <w:r>
              <w:rPr>
                <w:color w:val="000000"/>
              </w:rPr>
              <w:t>企业安全生产检查覆盖率、隐患整改率、</w:t>
            </w:r>
            <w:r>
              <w:rPr>
                <w:rFonts w:hint="eastAsia"/>
                <w:color w:val="000000"/>
              </w:rPr>
              <w:t>应急物资储备总量等</w:t>
            </w:r>
            <w:r>
              <w:rPr>
                <w:color w:val="000000"/>
              </w:rPr>
              <w:t>。</w:t>
            </w:r>
          </w:p>
        </w:tc>
      </w:tr>
      <w:tr w:rsidR="000829EF" w14:paraId="481458EE"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2D8C8F7B"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04691D7B" w14:textId="77777777" w:rsidR="000829EF" w:rsidRDefault="00000000">
            <w:pPr>
              <w:rPr>
                <w:color w:val="000000"/>
              </w:rPr>
            </w:pPr>
            <w:r>
              <w:rPr>
                <w:rFonts w:hint="eastAsia"/>
                <w:color w:val="000000"/>
              </w:rPr>
              <w:t>政务服务</w:t>
            </w:r>
          </w:p>
        </w:tc>
        <w:tc>
          <w:tcPr>
            <w:tcW w:w="5863" w:type="dxa"/>
            <w:tcBorders>
              <w:top w:val="nil"/>
              <w:left w:val="nil"/>
              <w:bottom w:val="single" w:sz="4" w:space="0" w:color="auto"/>
              <w:right w:val="single" w:sz="4" w:space="0" w:color="auto"/>
            </w:tcBorders>
            <w:shd w:val="clear" w:color="auto" w:fill="auto"/>
            <w:vAlign w:val="center"/>
          </w:tcPr>
          <w:p w14:paraId="4F9CA936" w14:textId="77777777" w:rsidR="000829EF" w:rsidRDefault="00000000">
            <w:pPr>
              <w:rPr>
                <w:color w:val="000000"/>
              </w:rPr>
            </w:pPr>
            <w:r>
              <w:rPr>
                <w:color w:val="000000"/>
              </w:rPr>
              <w:t>政务服务中心办件量、网上</w:t>
            </w:r>
            <w:proofErr w:type="gramStart"/>
            <w:r>
              <w:rPr>
                <w:color w:val="000000"/>
              </w:rPr>
              <w:t>受理办</w:t>
            </w:r>
            <w:proofErr w:type="gramEnd"/>
            <w:r>
              <w:rPr>
                <w:color w:val="000000"/>
              </w:rPr>
              <w:t>件占比</w:t>
            </w:r>
            <w:r>
              <w:rPr>
                <w:rFonts w:hint="eastAsia"/>
                <w:color w:val="000000"/>
              </w:rPr>
              <w:t>、</w:t>
            </w:r>
            <w:r>
              <w:rPr>
                <w:color w:val="000000"/>
              </w:rPr>
              <w:t>服务满意度、</w:t>
            </w:r>
            <w:r>
              <w:rPr>
                <w:rFonts w:hint="eastAsia"/>
                <w:color w:val="000000"/>
              </w:rPr>
              <w:t>服务</w:t>
            </w:r>
            <w:r>
              <w:rPr>
                <w:color w:val="000000"/>
              </w:rPr>
              <w:t>大厅</w:t>
            </w:r>
            <w:r>
              <w:rPr>
                <w:rFonts w:hint="eastAsia"/>
                <w:color w:val="000000"/>
              </w:rPr>
              <w:t>部门进驻率、政务服务平台访问量、</w:t>
            </w:r>
            <w:proofErr w:type="gramStart"/>
            <w:r>
              <w:rPr>
                <w:color w:val="000000"/>
              </w:rPr>
              <w:t>最多跑</w:t>
            </w:r>
            <w:proofErr w:type="gramEnd"/>
            <w:r>
              <w:rPr>
                <w:color w:val="000000"/>
              </w:rPr>
              <w:t>一次服务事项数量占比、中介服务网上交易项目公告数量</w:t>
            </w:r>
            <w:r>
              <w:rPr>
                <w:rFonts w:hint="eastAsia"/>
                <w:color w:val="000000"/>
              </w:rPr>
              <w:t>等</w:t>
            </w:r>
            <w:r>
              <w:rPr>
                <w:color w:val="000000"/>
              </w:rPr>
              <w:t>。</w:t>
            </w:r>
          </w:p>
        </w:tc>
      </w:tr>
      <w:tr w:rsidR="000829EF" w14:paraId="0393BA79"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4FA473E8"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72FF7620" w14:textId="77777777" w:rsidR="000829EF" w:rsidRDefault="00000000">
            <w:pPr>
              <w:rPr>
                <w:color w:val="000000"/>
              </w:rPr>
            </w:pPr>
            <w:r>
              <w:rPr>
                <w:rFonts w:hint="eastAsia"/>
                <w:color w:val="000000"/>
              </w:rPr>
              <w:t>数字基础</w:t>
            </w:r>
          </w:p>
        </w:tc>
        <w:tc>
          <w:tcPr>
            <w:tcW w:w="5863" w:type="dxa"/>
            <w:tcBorders>
              <w:top w:val="nil"/>
              <w:left w:val="nil"/>
              <w:bottom w:val="single" w:sz="4" w:space="0" w:color="auto"/>
              <w:right w:val="single" w:sz="4" w:space="0" w:color="auto"/>
            </w:tcBorders>
            <w:shd w:val="clear" w:color="auto" w:fill="auto"/>
            <w:vAlign w:val="center"/>
          </w:tcPr>
          <w:p w14:paraId="4D63AA93" w14:textId="77777777" w:rsidR="000829EF" w:rsidRDefault="00000000">
            <w:pPr>
              <w:rPr>
                <w:color w:val="000000"/>
              </w:rPr>
            </w:pPr>
            <w:r>
              <w:rPr>
                <w:rFonts w:hint="eastAsia"/>
                <w:color w:val="000000"/>
              </w:rPr>
              <w:t>规划管控清单项目数量、</w:t>
            </w:r>
            <w:r>
              <w:rPr>
                <w:color w:val="000000"/>
              </w:rPr>
              <w:t>京</w:t>
            </w:r>
            <w:proofErr w:type="gramStart"/>
            <w:r>
              <w:rPr>
                <w:color w:val="000000"/>
              </w:rPr>
              <w:t>通</w:t>
            </w:r>
            <w:r>
              <w:rPr>
                <w:rFonts w:hint="eastAsia"/>
                <w:color w:val="000000"/>
              </w:rPr>
              <w:t>日活量、京智领导</w:t>
            </w:r>
            <w:proofErr w:type="gramEnd"/>
            <w:r>
              <w:rPr>
                <w:rFonts w:hint="eastAsia"/>
                <w:color w:val="000000"/>
              </w:rPr>
              <w:t>决策贡献度、京办</w:t>
            </w:r>
            <w:proofErr w:type="gramStart"/>
            <w:r>
              <w:rPr>
                <w:rFonts w:hint="eastAsia"/>
                <w:color w:val="000000"/>
              </w:rPr>
              <w:t>月均日活率</w:t>
            </w:r>
            <w:proofErr w:type="gramEnd"/>
            <w:r>
              <w:rPr>
                <w:rFonts w:hint="eastAsia"/>
                <w:color w:val="000000"/>
              </w:rPr>
              <w:t>、政务</w:t>
            </w:r>
            <w:proofErr w:type="gramStart"/>
            <w:r>
              <w:rPr>
                <w:rFonts w:hint="eastAsia"/>
                <w:color w:val="000000"/>
              </w:rPr>
              <w:t>云使用</w:t>
            </w:r>
            <w:proofErr w:type="gramEnd"/>
            <w:r>
              <w:rPr>
                <w:rFonts w:hint="eastAsia"/>
                <w:color w:val="000000"/>
              </w:rPr>
              <w:t>效率、数据汇聚量、数据共享需求通过率、数据开放数量、城市</w:t>
            </w:r>
            <w:proofErr w:type="gramStart"/>
            <w:r>
              <w:rPr>
                <w:rFonts w:hint="eastAsia"/>
                <w:color w:val="000000"/>
              </w:rPr>
              <w:t>码发码量</w:t>
            </w:r>
            <w:proofErr w:type="gramEnd"/>
            <w:r>
              <w:rPr>
                <w:rFonts w:hint="eastAsia"/>
                <w:color w:val="000000"/>
              </w:rPr>
              <w:t>、</w:t>
            </w:r>
            <w:r>
              <w:rPr>
                <w:color w:val="000000"/>
              </w:rPr>
              <w:t>智慧城市建设月报季评指标、</w:t>
            </w:r>
            <w:r>
              <w:rPr>
                <w:rFonts w:hint="eastAsia"/>
                <w:color w:val="000000"/>
              </w:rPr>
              <w:t>网络安全监测攻击数量等。</w:t>
            </w:r>
          </w:p>
        </w:tc>
      </w:tr>
      <w:tr w:rsidR="000829EF" w14:paraId="500F52B4" w14:textId="77777777">
        <w:trPr>
          <w:trHeight w:val="1063"/>
          <w:jc w:val="center"/>
        </w:trPr>
        <w:tc>
          <w:tcPr>
            <w:tcW w:w="1604" w:type="dxa"/>
            <w:vMerge/>
            <w:tcBorders>
              <w:top w:val="nil"/>
              <w:left w:val="single" w:sz="4" w:space="0" w:color="auto"/>
              <w:bottom w:val="single" w:sz="4" w:space="0" w:color="auto"/>
              <w:right w:val="single" w:sz="4" w:space="0" w:color="auto"/>
            </w:tcBorders>
            <w:vAlign w:val="center"/>
          </w:tcPr>
          <w:p w14:paraId="55656B1A"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2ECAB8A9" w14:textId="77777777" w:rsidR="000829EF" w:rsidRDefault="00000000">
            <w:pPr>
              <w:rPr>
                <w:color w:val="000000"/>
              </w:rPr>
            </w:pPr>
            <w:r>
              <w:rPr>
                <w:rFonts w:hint="eastAsia"/>
                <w:color w:val="000000"/>
              </w:rPr>
              <w:t>公用事业</w:t>
            </w:r>
          </w:p>
        </w:tc>
        <w:tc>
          <w:tcPr>
            <w:tcW w:w="5863" w:type="dxa"/>
            <w:tcBorders>
              <w:top w:val="nil"/>
              <w:left w:val="nil"/>
              <w:bottom w:val="single" w:sz="4" w:space="0" w:color="auto"/>
              <w:right w:val="single" w:sz="4" w:space="0" w:color="auto"/>
            </w:tcBorders>
            <w:shd w:val="clear" w:color="auto" w:fill="auto"/>
            <w:vAlign w:val="center"/>
          </w:tcPr>
          <w:p w14:paraId="321AFAAB" w14:textId="77777777" w:rsidR="000829EF" w:rsidRDefault="00000000">
            <w:pPr>
              <w:rPr>
                <w:color w:val="000000"/>
              </w:rPr>
            </w:pPr>
            <w:r>
              <w:rPr>
                <w:rFonts w:hint="eastAsia"/>
                <w:color w:val="000000"/>
              </w:rPr>
              <w:t>本地发电量、</w:t>
            </w:r>
            <w:proofErr w:type="gramStart"/>
            <w:r>
              <w:rPr>
                <w:rFonts w:hint="eastAsia"/>
                <w:color w:val="000000"/>
              </w:rPr>
              <w:t>外调受</w:t>
            </w:r>
            <w:proofErr w:type="gramEnd"/>
            <w:r>
              <w:rPr>
                <w:rFonts w:hint="eastAsia"/>
                <w:color w:val="000000"/>
              </w:rPr>
              <w:t>电量、地区用电负荷、天然气供应量、成品油购进量/销售量/库存量、液化石油气销售量/库存量、城市热网供热量等。</w:t>
            </w:r>
          </w:p>
        </w:tc>
      </w:tr>
      <w:tr w:rsidR="000829EF" w14:paraId="02AFE39E" w14:textId="77777777">
        <w:trPr>
          <w:trHeight w:val="864"/>
          <w:jc w:val="center"/>
        </w:trPr>
        <w:tc>
          <w:tcPr>
            <w:tcW w:w="1604" w:type="dxa"/>
            <w:vMerge w:val="restart"/>
            <w:tcBorders>
              <w:top w:val="nil"/>
              <w:left w:val="single" w:sz="4" w:space="0" w:color="auto"/>
              <w:bottom w:val="single" w:sz="4" w:space="0" w:color="auto"/>
              <w:right w:val="single" w:sz="4" w:space="0" w:color="auto"/>
            </w:tcBorders>
            <w:shd w:val="clear" w:color="auto" w:fill="auto"/>
            <w:vAlign w:val="center"/>
          </w:tcPr>
          <w:p w14:paraId="76E4A266" w14:textId="77777777" w:rsidR="000829EF" w:rsidRDefault="00000000">
            <w:pPr>
              <w:jc w:val="center"/>
              <w:rPr>
                <w:color w:val="000000"/>
              </w:rPr>
            </w:pPr>
            <w:r>
              <w:rPr>
                <w:rFonts w:hint="eastAsia"/>
                <w:color w:val="000000"/>
              </w:rPr>
              <w:t>经济运行</w:t>
            </w:r>
          </w:p>
        </w:tc>
        <w:tc>
          <w:tcPr>
            <w:tcW w:w="1605" w:type="dxa"/>
            <w:tcBorders>
              <w:top w:val="nil"/>
              <w:left w:val="nil"/>
              <w:bottom w:val="single" w:sz="4" w:space="0" w:color="auto"/>
              <w:right w:val="single" w:sz="4" w:space="0" w:color="auto"/>
            </w:tcBorders>
            <w:shd w:val="clear" w:color="auto" w:fill="auto"/>
            <w:vAlign w:val="center"/>
          </w:tcPr>
          <w:p w14:paraId="3C37092F" w14:textId="77777777" w:rsidR="000829EF" w:rsidRDefault="00000000">
            <w:pPr>
              <w:rPr>
                <w:color w:val="000000"/>
              </w:rPr>
            </w:pPr>
            <w:r>
              <w:rPr>
                <w:rFonts w:hint="eastAsia"/>
                <w:color w:val="000000"/>
              </w:rPr>
              <w:t>国民经济</w:t>
            </w:r>
          </w:p>
        </w:tc>
        <w:tc>
          <w:tcPr>
            <w:tcW w:w="5863" w:type="dxa"/>
            <w:tcBorders>
              <w:top w:val="nil"/>
              <w:left w:val="nil"/>
              <w:bottom w:val="single" w:sz="4" w:space="0" w:color="auto"/>
              <w:right w:val="single" w:sz="4" w:space="0" w:color="auto"/>
            </w:tcBorders>
            <w:shd w:val="clear" w:color="auto" w:fill="auto"/>
            <w:vAlign w:val="center"/>
          </w:tcPr>
          <w:p w14:paraId="266819BB" w14:textId="77777777" w:rsidR="000829EF" w:rsidRDefault="00000000">
            <w:pPr>
              <w:rPr>
                <w:color w:val="000000"/>
              </w:rPr>
            </w:pPr>
            <w:r>
              <w:rPr>
                <w:rFonts w:hint="eastAsia"/>
                <w:color w:val="000000"/>
              </w:rPr>
              <w:t>北京市</w:t>
            </w:r>
            <w:r>
              <w:rPr>
                <w:color w:val="000000"/>
              </w:rPr>
              <w:t>地区</w:t>
            </w:r>
            <w:r>
              <w:rPr>
                <w:rFonts w:hint="eastAsia"/>
                <w:color w:val="000000"/>
              </w:rPr>
              <w:t>生产总值、三次产业贡献率、三大需求贡献率、数字经济和部分新兴产业增加值、居民消费水平、社会劳动生产率、最终消费率等。</w:t>
            </w:r>
          </w:p>
        </w:tc>
      </w:tr>
      <w:tr w:rsidR="000829EF" w14:paraId="3EC89F25"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30BBDF38"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326F3160" w14:textId="77777777" w:rsidR="000829EF" w:rsidRDefault="00000000">
            <w:pPr>
              <w:rPr>
                <w:color w:val="000000"/>
              </w:rPr>
            </w:pPr>
            <w:r>
              <w:rPr>
                <w:rFonts w:hint="eastAsia"/>
                <w:color w:val="000000"/>
              </w:rPr>
              <w:t>财政税收</w:t>
            </w:r>
          </w:p>
        </w:tc>
        <w:tc>
          <w:tcPr>
            <w:tcW w:w="5863" w:type="dxa"/>
            <w:tcBorders>
              <w:top w:val="nil"/>
              <w:left w:val="nil"/>
              <w:bottom w:val="single" w:sz="4" w:space="0" w:color="auto"/>
              <w:right w:val="single" w:sz="4" w:space="0" w:color="auto"/>
            </w:tcBorders>
            <w:shd w:val="clear" w:color="auto" w:fill="auto"/>
            <w:vAlign w:val="center"/>
          </w:tcPr>
          <w:p w14:paraId="6EC60C09" w14:textId="77777777" w:rsidR="000829EF" w:rsidRDefault="00000000">
            <w:pPr>
              <w:rPr>
                <w:color w:val="000000"/>
              </w:rPr>
            </w:pPr>
            <w:r>
              <w:rPr>
                <w:rFonts w:hint="eastAsia"/>
                <w:color w:val="000000"/>
              </w:rPr>
              <w:t>财政支出金额增长速度、财政各科目支出金额、一般公共预算收入/支出、分税种税收收入、国有资本经营预算收入/支出、社会保险基金预算收入/支出等。</w:t>
            </w:r>
          </w:p>
        </w:tc>
      </w:tr>
      <w:tr w:rsidR="000829EF" w14:paraId="32E5C1BA"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318E1B3E"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33B7FA55" w14:textId="77777777" w:rsidR="000829EF" w:rsidRDefault="00000000">
            <w:pPr>
              <w:rPr>
                <w:color w:val="000000"/>
              </w:rPr>
            </w:pPr>
            <w:r>
              <w:rPr>
                <w:rFonts w:hint="eastAsia"/>
                <w:color w:val="000000"/>
              </w:rPr>
              <w:t>产业运行</w:t>
            </w:r>
          </w:p>
        </w:tc>
        <w:tc>
          <w:tcPr>
            <w:tcW w:w="5863" w:type="dxa"/>
            <w:tcBorders>
              <w:top w:val="nil"/>
              <w:left w:val="nil"/>
              <w:bottom w:val="single" w:sz="4" w:space="0" w:color="auto"/>
              <w:right w:val="single" w:sz="4" w:space="0" w:color="auto"/>
            </w:tcBorders>
            <w:shd w:val="clear" w:color="auto" w:fill="auto"/>
            <w:vAlign w:val="center"/>
          </w:tcPr>
          <w:p w14:paraId="340B5C6E" w14:textId="77777777" w:rsidR="000829EF" w:rsidRDefault="00000000">
            <w:pPr>
              <w:rPr>
                <w:color w:val="000000"/>
              </w:rPr>
            </w:pPr>
            <w:r>
              <w:rPr>
                <w:rFonts w:hint="eastAsia"/>
                <w:color w:val="000000"/>
              </w:rPr>
              <w:t>规模以上工业总产值、农副产品产量、乡村旅游收入、规模以上第三产业期末用工人数、社会消费品零售总额、建筑业企业生产签订合同额、中小</w:t>
            </w:r>
            <w:proofErr w:type="gramStart"/>
            <w:r>
              <w:rPr>
                <w:rFonts w:hint="eastAsia"/>
                <w:color w:val="000000"/>
              </w:rPr>
              <w:t>微企业</w:t>
            </w:r>
            <w:proofErr w:type="gramEnd"/>
            <w:r>
              <w:rPr>
                <w:rFonts w:hint="eastAsia"/>
                <w:color w:val="000000"/>
              </w:rPr>
              <w:t>营业收入等。</w:t>
            </w:r>
          </w:p>
        </w:tc>
      </w:tr>
      <w:tr w:rsidR="000829EF" w14:paraId="70602AB1"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3345C746"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6FAA5F1" w14:textId="77777777" w:rsidR="000829EF" w:rsidRDefault="00000000">
            <w:pPr>
              <w:rPr>
                <w:color w:val="000000"/>
              </w:rPr>
            </w:pPr>
            <w:r>
              <w:rPr>
                <w:rFonts w:hint="eastAsia"/>
                <w:color w:val="000000"/>
              </w:rPr>
              <w:t>外资外贸</w:t>
            </w:r>
          </w:p>
        </w:tc>
        <w:tc>
          <w:tcPr>
            <w:tcW w:w="5863" w:type="dxa"/>
            <w:tcBorders>
              <w:top w:val="nil"/>
              <w:left w:val="nil"/>
              <w:bottom w:val="single" w:sz="4" w:space="0" w:color="auto"/>
              <w:right w:val="single" w:sz="4" w:space="0" w:color="auto"/>
            </w:tcBorders>
            <w:shd w:val="clear" w:color="auto" w:fill="auto"/>
            <w:vAlign w:val="center"/>
          </w:tcPr>
          <w:p w14:paraId="28BCDC67" w14:textId="77777777" w:rsidR="000829EF" w:rsidRDefault="00000000">
            <w:pPr>
              <w:rPr>
                <w:color w:val="000000"/>
              </w:rPr>
            </w:pPr>
            <w:r>
              <w:rPr>
                <w:rFonts w:hint="eastAsia"/>
                <w:color w:val="000000"/>
              </w:rPr>
              <w:t>货物进出口总值、国有企业进口贸易值、北京地区海关主要商品进口/出口量及金额、海关征收税款净入库税额、首都国际机场空港口岸旅客吞吐量、实际利用外商直接投资额、对外承包工程新签合同额等。</w:t>
            </w:r>
          </w:p>
        </w:tc>
      </w:tr>
      <w:tr w:rsidR="000829EF" w14:paraId="553D2271"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3452A8E2"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6225C52F" w14:textId="77777777" w:rsidR="000829EF" w:rsidRDefault="00000000">
            <w:pPr>
              <w:rPr>
                <w:color w:val="000000"/>
              </w:rPr>
            </w:pPr>
            <w:r>
              <w:rPr>
                <w:rFonts w:hint="eastAsia"/>
                <w:color w:val="000000"/>
              </w:rPr>
              <w:t>金融管理</w:t>
            </w:r>
          </w:p>
        </w:tc>
        <w:tc>
          <w:tcPr>
            <w:tcW w:w="5863" w:type="dxa"/>
            <w:tcBorders>
              <w:top w:val="nil"/>
              <w:left w:val="nil"/>
              <w:bottom w:val="single" w:sz="4" w:space="0" w:color="auto"/>
              <w:right w:val="single" w:sz="4" w:space="0" w:color="auto"/>
            </w:tcBorders>
            <w:shd w:val="clear" w:color="auto" w:fill="auto"/>
            <w:vAlign w:val="center"/>
          </w:tcPr>
          <w:p w14:paraId="5E0A892B" w14:textId="77777777" w:rsidR="000829EF" w:rsidRDefault="00000000">
            <w:pPr>
              <w:rPr>
                <w:color w:val="000000"/>
              </w:rPr>
            </w:pPr>
            <w:r>
              <w:rPr>
                <w:rFonts w:hint="eastAsia"/>
                <w:color w:val="000000"/>
              </w:rPr>
              <w:t>证券市场交易额、金融机构本外币存款/贷款余额、金融机构本外币信贷收支、上市公司数量、上市公司总股本、原保险保费收入/赔付支持、北交所上市公司数量/总市值等。</w:t>
            </w:r>
          </w:p>
        </w:tc>
      </w:tr>
      <w:tr w:rsidR="000829EF" w14:paraId="59582197"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255F3181"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4FFADD48" w14:textId="77777777" w:rsidR="000829EF" w:rsidRDefault="00000000">
            <w:pPr>
              <w:rPr>
                <w:color w:val="000000"/>
              </w:rPr>
            </w:pPr>
            <w:r>
              <w:rPr>
                <w:rFonts w:hint="eastAsia"/>
                <w:color w:val="000000"/>
              </w:rPr>
              <w:t>投资建设</w:t>
            </w:r>
          </w:p>
        </w:tc>
        <w:tc>
          <w:tcPr>
            <w:tcW w:w="5863" w:type="dxa"/>
            <w:tcBorders>
              <w:top w:val="nil"/>
              <w:left w:val="nil"/>
              <w:bottom w:val="single" w:sz="4" w:space="0" w:color="auto"/>
              <w:right w:val="single" w:sz="4" w:space="0" w:color="auto"/>
            </w:tcBorders>
            <w:shd w:val="clear" w:color="auto" w:fill="auto"/>
            <w:vAlign w:val="center"/>
          </w:tcPr>
          <w:p w14:paraId="6607EE91" w14:textId="77777777" w:rsidR="000829EF" w:rsidRDefault="00000000">
            <w:pPr>
              <w:rPr>
                <w:color w:val="000000"/>
              </w:rPr>
            </w:pPr>
            <w:r>
              <w:rPr>
                <w:rFonts w:hint="eastAsia"/>
                <w:color w:val="000000"/>
              </w:rPr>
              <w:t>全社会固定资产投资额/增速、发地产开发投资额/增速、固定资产投资第二产业增速、基础设施投资占固定资产投资比重、房地产开发房屋施工/竣工/销售面积、房地产开发投资额/增速等。</w:t>
            </w:r>
          </w:p>
        </w:tc>
      </w:tr>
      <w:tr w:rsidR="000829EF" w14:paraId="69731E1D"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250D93CB"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4EBA8D7" w14:textId="77777777" w:rsidR="000829EF" w:rsidRDefault="00000000">
            <w:pPr>
              <w:rPr>
                <w:color w:val="000000"/>
              </w:rPr>
            </w:pPr>
            <w:r>
              <w:rPr>
                <w:rFonts w:hint="eastAsia"/>
                <w:color w:val="000000"/>
              </w:rPr>
              <w:t>价格指数</w:t>
            </w:r>
          </w:p>
        </w:tc>
        <w:tc>
          <w:tcPr>
            <w:tcW w:w="5863" w:type="dxa"/>
            <w:tcBorders>
              <w:top w:val="nil"/>
              <w:left w:val="nil"/>
              <w:bottom w:val="single" w:sz="4" w:space="0" w:color="auto"/>
              <w:right w:val="single" w:sz="4" w:space="0" w:color="auto"/>
            </w:tcBorders>
            <w:shd w:val="clear" w:color="auto" w:fill="auto"/>
            <w:vAlign w:val="center"/>
          </w:tcPr>
          <w:p w14:paraId="2FB90EA2" w14:textId="77777777" w:rsidR="000829EF" w:rsidRDefault="00000000">
            <w:pPr>
              <w:rPr>
                <w:color w:val="000000"/>
              </w:rPr>
            </w:pPr>
            <w:r>
              <w:rPr>
                <w:rFonts w:hint="eastAsia"/>
                <w:color w:val="000000"/>
              </w:rPr>
              <w:t>居民消费价格指数、商品零售价格指数、农产品生产者价格指数、工业生产者出厂价格指数、工业生产者购进价格指数、住宅销售价格指数等。</w:t>
            </w:r>
          </w:p>
        </w:tc>
      </w:tr>
      <w:tr w:rsidR="000829EF" w14:paraId="5AF1498E" w14:textId="77777777">
        <w:trPr>
          <w:trHeight w:val="864"/>
          <w:jc w:val="center"/>
        </w:trPr>
        <w:tc>
          <w:tcPr>
            <w:tcW w:w="1604" w:type="dxa"/>
            <w:vMerge w:val="restart"/>
            <w:tcBorders>
              <w:top w:val="nil"/>
              <w:left w:val="single" w:sz="4" w:space="0" w:color="auto"/>
              <w:bottom w:val="single" w:sz="4" w:space="0" w:color="auto"/>
              <w:right w:val="single" w:sz="4" w:space="0" w:color="auto"/>
            </w:tcBorders>
            <w:shd w:val="clear" w:color="auto" w:fill="auto"/>
            <w:vAlign w:val="center"/>
          </w:tcPr>
          <w:p w14:paraId="00572065" w14:textId="77777777" w:rsidR="000829EF" w:rsidRDefault="00000000">
            <w:pPr>
              <w:jc w:val="center"/>
              <w:rPr>
                <w:color w:val="000000"/>
              </w:rPr>
            </w:pPr>
            <w:r>
              <w:rPr>
                <w:rFonts w:hint="eastAsia"/>
                <w:color w:val="000000"/>
              </w:rPr>
              <w:t>市场经营</w:t>
            </w:r>
          </w:p>
        </w:tc>
        <w:tc>
          <w:tcPr>
            <w:tcW w:w="1605" w:type="dxa"/>
            <w:tcBorders>
              <w:top w:val="nil"/>
              <w:left w:val="nil"/>
              <w:bottom w:val="single" w:sz="4" w:space="0" w:color="auto"/>
              <w:right w:val="single" w:sz="4" w:space="0" w:color="auto"/>
            </w:tcBorders>
            <w:shd w:val="clear" w:color="auto" w:fill="auto"/>
            <w:vAlign w:val="center"/>
          </w:tcPr>
          <w:p w14:paraId="29827EB6" w14:textId="77777777" w:rsidR="000829EF" w:rsidRDefault="00000000">
            <w:pPr>
              <w:rPr>
                <w:color w:val="000000"/>
              </w:rPr>
            </w:pPr>
            <w:r>
              <w:rPr>
                <w:rFonts w:hint="eastAsia"/>
                <w:color w:val="000000"/>
              </w:rPr>
              <w:t>市场监管</w:t>
            </w:r>
          </w:p>
        </w:tc>
        <w:tc>
          <w:tcPr>
            <w:tcW w:w="5863" w:type="dxa"/>
            <w:tcBorders>
              <w:top w:val="nil"/>
              <w:left w:val="nil"/>
              <w:bottom w:val="single" w:sz="4" w:space="0" w:color="auto"/>
              <w:right w:val="single" w:sz="4" w:space="0" w:color="auto"/>
            </w:tcBorders>
            <w:shd w:val="clear" w:color="auto" w:fill="auto"/>
            <w:vAlign w:val="center"/>
          </w:tcPr>
          <w:p w14:paraId="0E43D28E" w14:textId="77777777" w:rsidR="000829EF" w:rsidRDefault="00000000">
            <w:pPr>
              <w:rPr>
                <w:color w:val="000000"/>
              </w:rPr>
            </w:pPr>
            <w:r>
              <w:rPr>
                <w:rFonts w:hint="eastAsia"/>
                <w:color w:val="000000"/>
              </w:rPr>
              <w:t>市场经营主体户数、每万人拥有市场主体数量、市场经营主体注册资本总额、迁出企业数量、注销企业数量、各区新设企业增速、数字经济核心产业新设企业户数、新设外资企业数量等、食品经营许可情况、产品质量安全检查合格率、特种设备安全检查合格率等。</w:t>
            </w:r>
          </w:p>
        </w:tc>
      </w:tr>
      <w:tr w:rsidR="000829EF" w14:paraId="29CC7AC6"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759FC0B9"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0CB167E1" w14:textId="77777777" w:rsidR="000829EF" w:rsidRDefault="00000000">
            <w:pPr>
              <w:rPr>
                <w:color w:val="000000"/>
              </w:rPr>
            </w:pPr>
            <w:r>
              <w:rPr>
                <w:rFonts w:hint="eastAsia"/>
                <w:color w:val="000000"/>
              </w:rPr>
              <w:t>社会信用</w:t>
            </w:r>
          </w:p>
        </w:tc>
        <w:tc>
          <w:tcPr>
            <w:tcW w:w="5863" w:type="dxa"/>
            <w:tcBorders>
              <w:top w:val="nil"/>
              <w:left w:val="nil"/>
              <w:bottom w:val="single" w:sz="4" w:space="0" w:color="auto"/>
              <w:right w:val="single" w:sz="4" w:space="0" w:color="auto"/>
            </w:tcBorders>
            <w:shd w:val="clear" w:color="auto" w:fill="auto"/>
            <w:vAlign w:val="center"/>
          </w:tcPr>
          <w:p w14:paraId="0CEAE128" w14:textId="77777777" w:rsidR="000829EF" w:rsidRDefault="00000000">
            <w:pPr>
              <w:rPr>
                <w:color w:val="000000"/>
              </w:rPr>
            </w:pPr>
            <w:r>
              <w:rPr>
                <w:rFonts w:hint="eastAsia"/>
                <w:color w:val="000000"/>
              </w:rPr>
              <w:t>综合信用指数得分/排名、“异常名录”月度统计、“双公示”月度统计、“黑名单”区域统计、企业信用等级分类统计、信用修复成功率、失信惩戒主体数量等。</w:t>
            </w:r>
          </w:p>
        </w:tc>
      </w:tr>
      <w:tr w:rsidR="000829EF" w14:paraId="22C8D244"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248EBD19"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2F92048" w14:textId="77777777" w:rsidR="000829EF" w:rsidRDefault="00000000">
            <w:pPr>
              <w:rPr>
                <w:color w:val="000000"/>
              </w:rPr>
            </w:pPr>
            <w:r>
              <w:rPr>
                <w:rFonts w:hint="eastAsia"/>
                <w:color w:val="000000"/>
              </w:rPr>
              <w:t>科技创新</w:t>
            </w:r>
          </w:p>
        </w:tc>
        <w:tc>
          <w:tcPr>
            <w:tcW w:w="5863" w:type="dxa"/>
            <w:tcBorders>
              <w:top w:val="nil"/>
              <w:left w:val="nil"/>
              <w:bottom w:val="single" w:sz="4" w:space="0" w:color="auto"/>
              <w:right w:val="single" w:sz="4" w:space="0" w:color="auto"/>
            </w:tcBorders>
            <w:shd w:val="clear" w:color="auto" w:fill="auto"/>
            <w:vAlign w:val="center"/>
          </w:tcPr>
          <w:p w14:paraId="7A582678" w14:textId="77777777" w:rsidR="000829EF" w:rsidRDefault="00000000">
            <w:pPr>
              <w:rPr>
                <w:color w:val="000000"/>
              </w:rPr>
            </w:pPr>
            <w:r>
              <w:rPr>
                <w:rFonts w:hint="eastAsia"/>
                <w:color w:val="000000"/>
              </w:rPr>
              <w:t>认定登记技术合同项数/成交额、输出技术开发和技术转让合同项数/成交额、出口技术合同项数/成交额、瞪</w:t>
            </w:r>
            <w:proofErr w:type="gramStart"/>
            <w:r>
              <w:rPr>
                <w:rFonts w:hint="eastAsia"/>
                <w:color w:val="000000"/>
              </w:rPr>
              <w:t>羚</w:t>
            </w:r>
            <w:proofErr w:type="gramEnd"/>
            <w:r>
              <w:rPr>
                <w:rFonts w:hint="eastAsia"/>
                <w:color w:val="000000"/>
              </w:rPr>
              <w:t>企业数量、中关村指数、年度实验动物用量、新技术新产品（服务）认定数量、科研设施与仪器开放数量、国家高新技术企业数量、独角兽企业数量等。</w:t>
            </w:r>
          </w:p>
        </w:tc>
      </w:tr>
      <w:tr w:rsidR="000829EF" w14:paraId="7BF132F0"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0D373A2C"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ABF57B1" w14:textId="77777777" w:rsidR="000829EF" w:rsidRDefault="00000000">
            <w:pPr>
              <w:rPr>
                <w:color w:val="000000"/>
              </w:rPr>
            </w:pPr>
            <w:r>
              <w:rPr>
                <w:rFonts w:hint="eastAsia"/>
                <w:color w:val="000000"/>
              </w:rPr>
              <w:t>营商环境</w:t>
            </w:r>
          </w:p>
        </w:tc>
        <w:tc>
          <w:tcPr>
            <w:tcW w:w="5863" w:type="dxa"/>
            <w:tcBorders>
              <w:top w:val="nil"/>
              <w:left w:val="nil"/>
              <w:bottom w:val="single" w:sz="4" w:space="0" w:color="auto"/>
              <w:right w:val="single" w:sz="4" w:space="0" w:color="auto"/>
            </w:tcBorders>
            <w:shd w:val="clear" w:color="auto" w:fill="auto"/>
            <w:vAlign w:val="center"/>
          </w:tcPr>
          <w:p w14:paraId="3993F37F" w14:textId="77777777" w:rsidR="000829EF" w:rsidRDefault="00000000">
            <w:pPr>
              <w:rPr>
                <w:color w:val="000000"/>
              </w:rPr>
            </w:pPr>
            <w:r>
              <w:rPr>
                <w:rFonts w:hint="eastAsia"/>
                <w:color w:val="000000"/>
              </w:rPr>
              <w:t>全市及各区营商环境指数、营商环境监测得分、企业“服务包”服务企业数量、企业高频诉求TOP10、“服务包”工作考评结果、市级部门任务推进进度、创新推广案例数量等。</w:t>
            </w:r>
          </w:p>
        </w:tc>
      </w:tr>
      <w:tr w:rsidR="000829EF" w14:paraId="43CC86B6" w14:textId="77777777">
        <w:trPr>
          <w:trHeight w:val="576"/>
          <w:jc w:val="center"/>
        </w:trPr>
        <w:tc>
          <w:tcPr>
            <w:tcW w:w="1604" w:type="dxa"/>
            <w:vMerge/>
            <w:tcBorders>
              <w:top w:val="nil"/>
              <w:left w:val="single" w:sz="4" w:space="0" w:color="auto"/>
              <w:bottom w:val="single" w:sz="4" w:space="0" w:color="auto"/>
              <w:right w:val="single" w:sz="4" w:space="0" w:color="auto"/>
            </w:tcBorders>
            <w:vAlign w:val="center"/>
          </w:tcPr>
          <w:p w14:paraId="6F3C1F4A"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70894EB2" w14:textId="77777777" w:rsidR="000829EF" w:rsidRDefault="00000000">
            <w:pPr>
              <w:rPr>
                <w:color w:val="000000"/>
              </w:rPr>
            </w:pPr>
            <w:r>
              <w:rPr>
                <w:rFonts w:hint="eastAsia"/>
                <w:color w:val="000000"/>
              </w:rPr>
              <w:t>知识产权</w:t>
            </w:r>
          </w:p>
        </w:tc>
        <w:tc>
          <w:tcPr>
            <w:tcW w:w="5863" w:type="dxa"/>
            <w:tcBorders>
              <w:top w:val="nil"/>
              <w:left w:val="nil"/>
              <w:bottom w:val="single" w:sz="4" w:space="0" w:color="auto"/>
              <w:right w:val="single" w:sz="4" w:space="0" w:color="auto"/>
            </w:tcBorders>
            <w:shd w:val="clear" w:color="auto" w:fill="auto"/>
            <w:vAlign w:val="center"/>
          </w:tcPr>
          <w:p w14:paraId="5E9CE365" w14:textId="77777777" w:rsidR="000829EF" w:rsidRDefault="00000000">
            <w:pPr>
              <w:rPr>
                <w:color w:val="000000"/>
              </w:rPr>
            </w:pPr>
            <w:r>
              <w:rPr>
                <w:rFonts w:hint="eastAsia"/>
                <w:color w:val="000000"/>
              </w:rPr>
              <w:t>全市专利申请/授权量、全市有效发明专利量、每万人发明专利拥有量、年度注册商标申请数、驰名商标数量、计算机软件登记数量、专利新产品产值、知识产权代理机构代理案件数、法院知识产权案件受理量、查处假冒专利案件数等。</w:t>
            </w:r>
          </w:p>
        </w:tc>
      </w:tr>
      <w:tr w:rsidR="000829EF" w14:paraId="5291B731" w14:textId="77777777">
        <w:trPr>
          <w:trHeight w:val="576"/>
          <w:jc w:val="center"/>
        </w:trPr>
        <w:tc>
          <w:tcPr>
            <w:tcW w:w="1604" w:type="dxa"/>
            <w:vMerge w:val="restart"/>
            <w:tcBorders>
              <w:top w:val="nil"/>
              <w:left w:val="single" w:sz="4" w:space="0" w:color="auto"/>
              <w:bottom w:val="single" w:sz="4" w:space="0" w:color="auto"/>
              <w:right w:val="single" w:sz="4" w:space="0" w:color="auto"/>
            </w:tcBorders>
            <w:shd w:val="clear" w:color="auto" w:fill="auto"/>
            <w:vAlign w:val="center"/>
          </w:tcPr>
          <w:p w14:paraId="1858D8F9" w14:textId="77777777" w:rsidR="000829EF" w:rsidRDefault="00000000">
            <w:pPr>
              <w:jc w:val="center"/>
              <w:rPr>
                <w:color w:val="000000"/>
              </w:rPr>
            </w:pPr>
            <w:r>
              <w:rPr>
                <w:rFonts w:hint="eastAsia"/>
                <w:color w:val="000000"/>
              </w:rPr>
              <w:t>城市治理</w:t>
            </w:r>
          </w:p>
        </w:tc>
        <w:tc>
          <w:tcPr>
            <w:tcW w:w="1605" w:type="dxa"/>
            <w:tcBorders>
              <w:top w:val="nil"/>
              <w:left w:val="nil"/>
              <w:bottom w:val="single" w:sz="4" w:space="0" w:color="auto"/>
              <w:right w:val="single" w:sz="4" w:space="0" w:color="auto"/>
            </w:tcBorders>
            <w:shd w:val="clear" w:color="auto" w:fill="auto"/>
            <w:vAlign w:val="center"/>
          </w:tcPr>
          <w:p w14:paraId="23888EAB" w14:textId="77777777" w:rsidR="000829EF" w:rsidRDefault="00000000">
            <w:pPr>
              <w:rPr>
                <w:color w:val="000000"/>
              </w:rPr>
            </w:pPr>
            <w:r>
              <w:rPr>
                <w:rFonts w:hint="eastAsia"/>
                <w:color w:val="000000"/>
              </w:rPr>
              <w:t>社会治安</w:t>
            </w:r>
          </w:p>
        </w:tc>
        <w:tc>
          <w:tcPr>
            <w:tcW w:w="5863" w:type="dxa"/>
            <w:tcBorders>
              <w:top w:val="nil"/>
              <w:left w:val="nil"/>
              <w:bottom w:val="single" w:sz="4" w:space="0" w:color="auto"/>
              <w:right w:val="single" w:sz="4" w:space="0" w:color="auto"/>
            </w:tcBorders>
            <w:shd w:val="clear" w:color="auto" w:fill="auto"/>
            <w:vAlign w:val="center"/>
          </w:tcPr>
          <w:p w14:paraId="48D5F12A" w14:textId="77777777" w:rsidR="000829EF" w:rsidRDefault="00000000">
            <w:pPr>
              <w:rPr>
                <w:color w:val="000000"/>
              </w:rPr>
            </w:pPr>
            <w:r>
              <w:rPr>
                <w:rFonts w:hint="eastAsia"/>
                <w:color w:val="000000"/>
              </w:rPr>
              <w:t>刑事案件立案数/破案率、治安案件受理数/查处数、交通事故发生数/死亡人数、每万人口治安事故数、青少年犯罪率、外来人口犯罪比重、警情数量、警力配置等。</w:t>
            </w:r>
          </w:p>
        </w:tc>
      </w:tr>
      <w:tr w:rsidR="000829EF" w14:paraId="1247F934"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3B2DB1F6"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6310F811" w14:textId="77777777" w:rsidR="000829EF" w:rsidRDefault="00000000">
            <w:pPr>
              <w:rPr>
                <w:color w:val="000000"/>
              </w:rPr>
            </w:pPr>
            <w:proofErr w:type="gramStart"/>
            <w:r>
              <w:rPr>
                <w:rFonts w:hint="eastAsia"/>
                <w:color w:val="000000"/>
              </w:rPr>
              <w:t>接诉即办</w:t>
            </w:r>
            <w:proofErr w:type="gramEnd"/>
          </w:p>
        </w:tc>
        <w:tc>
          <w:tcPr>
            <w:tcW w:w="5863" w:type="dxa"/>
            <w:tcBorders>
              <w:top w:val="nil"/>
              <w:left w:val="nil"/>
              <w:bottom w:val="single" w:sz="4" w:space="0" w:color="auto"/>
              <w:right w:val="single" w:sz="4" w:space="0" w:color="auto"/>
            </w:tcBorders>
            <w:shd w:val="clear" w:color="auto" w:fill="auto"/>
            <w:vAlign w:val="center"/>
          </w:tcPr>
          <w:p w14:paraId="1D098BE1" w14:textId="77777777" w:rsidR="000829EF" w:rsidRDefault="00000000">
            <w:pPr>
              <w:rPr>
                <w:color w:val="000000"/>
              </w:rPr>
            </w:pPr>
            <w:r>
              <w:rPr>
                <w:rFonts w:hint="eastAsia"/>
                <w:color w:val="000000"/>
              </w:rPr>
              <w:t>受理市民反映量/承办量、各区承办量排名、区/街乡镇接</w:t>
            </w:r>
            <w:proofErr w:type="gramStart"/>
            <w:r>
              <w:rPr>
                <w:rFonts w:hint="eastAsia"/>
                <w:color w:val="000000"/>
              </w:rPr>
              <w:t>诉即办考核</w:t>
            </w:r>
            <w:proofErr w:type="gramEnd"/>
            <w:r>
              <w:rPr>
                <w:rFonts w:hint="eastAsia"/>
                <w:color w:val="000000"/>
              </w:rPr>
              <w:t>综合得分/响应率/解决率/满意率、工</w:t>
            </w:r>
            <w:proofErr w:type="gramStart"/>
            <w:r>
              <w:rPr>
                <w:rFonts w:hint="eastAsia"/>
                <w:color w:val="000000"/>
              </w:rPr>
              <w:t>单问题</w:t>
            </w:r>
            <w:proofErr w:type="gramEnd"/>
            <w:r>
              <w:rPr>
                <w:rFonts w:hint="eastAsia"/>
                <w:color w:val="000000"/>
              </w:rPr>
              <w:t>分类统计、市级部门/国有企业考核情况排名等。</w:t>
            </w:r>
          </w:p>
        </w:tc>
      </w:tr>
      <w:tr w:rsidR="000829EF" w14:paraId="3451C845" w14:textId="77777777">
        <w:trPr>
          <w:trHeight w:val="864"/>
          <w:jc w:val="center"/>
        </w:trPr>
        <w:tc>
          <w:tcPr>
            <w:tcW w:w="1604" w:type="dxa"/>
            <w:vMerge/>
            <w:tcBorders>
              <w:top w:val="nil"/>
              <w:left w:val="single" w:sz="4" w:space="0" w:color="auto"/>
              <w:bottom w:val="single" w:sz="4" w:space="0" w:color="auto"/>
              <w:right w:val="single" w:sz="4" w:space="0" w:color="auto"/>
            </w:tcBorders>
            <w:vAlign w:val="center"/>
          </w:tcPr>
          <w:p w14:paraId="6E2FF7C9"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4141C731" w14:textId="77777777" w:rsidR="000829EF" w:rsidRDefault="00000000">
            <w:pPr>
              <w:rPr>
                <w:color w:val="000000"/>
              </w:rPr>
            </w:pPr>
            <w:r>
              <w:rPr>
                <w:rFonts w:hint="eastAsia"/>
                <w:color w:val="000000"/>
              </w:rPr>
              <w:t>社会治理</w:t>
            </w:r>
          </w:p>
        </w:tc>
        <w:tc>
          <w:tcPr>
            <w:tcW w:w="5863" w:type="dxa"/>
            <w:tcBorders>
              <w:top w:val="nil"/>
              <w:left w:val="nil"/>
              <w:bottom w:val="single" w:sz="4" w:space="0" w:color="auto"/>
              <w:right w:val="single" w:sz="4" w:space="0" w:color="auto"/>
            </w:tcBorders>
            <w:shd w:val="clear" w:color="auto" w:fill="auto"/>
            <w:vAlign w:val="center"/>
          </w:tcPr>
          <w:p w14:paraId="13836F4E" w14:textId="77777777" w:rsidR="000829EF" w:rsidRDefault="00000000">
            <w:pPr>
              <w:rPr>
                <w:color w:val="000000"/>
              </w:rPr>
            </w:pPr>
            <w:r>
              <w:rPr>
                <w:rFonts w:hint="eastAsia"/>
                <w:color w:val="000000"/>
              </w:rPr>
              <w:t>“七有”“五性”监测评价指标、每百户居民社区公共服务配套设施面积</w:t>
            </w:r>
            <w:r>
              <w:rPr>
                <w:color w:val="000000"/>
              </w:rPr>
              <w:t>、社区工作者持证比率</w:t>
            </w:r>
            <w:r>
              <w:rPr>
                <w:rFonts w:hint="eastAsia"/>
                <w:color w:val="000000"/>
              </w:rPr>
              <w:t>、人均公共文化服务设施建筑面积、物业服务覆盖率、业主委员会/物业管理委员会组建率、信访量、突出信访领域等。</w:t>
            </w:r>
          </w:p>
        </w:tc>
      </w:tr>
      <w:tr w:rsidR="000829EF" w14:paraId="01FC437E" w14:textId="77777777">
        <w:trPr>
          <w:trHeight w:val="1152"/>
          <w:jc w:val="center"/>
        </w:trPr>
        <w:tc>
          <w:tcPr>
            <w:tcW w:w="1604" w:type="dxa"/>
            <w:vMerge/>
            <w:tcBorders>
              <w:top w:val="nil"/>
              <w:left w:val="single" w:sz="4" w:space="0" w:color="auto"/>
              <w:bottom w:val="single" w:sz="4" w:space="0" w:color="auto"/>
              <w:right w:val="single" w:sz="4" w:space="0" w:color="auto"/>
            </w:tcBorders>
            <w:vAlign w:val="center"/>
          </w:tcPr>
          <w:p w14:paraId="407CDD1A" w14:textId="77777777" w:rsidR="000829EF" w:rsidRDefault="000829EF">
            <w:pPr>
              <w:rPr>
                <w:color w:val="000000"/>
              </w:rPr>
            </w:pPr>
          </w:p>
        </w:tc>
        <w:tc>
          <w:tcPr>
            <w:tcW w:w="1605" w:type="dxa"/>
            <w:tcBorders>
              <w:top w:val="nil"/>
              <w:left w:val="nil"/>
              <w:bottom w:val="single" w:sz="4" w:space="0" w:color="auto"/>
              <w:right w:val="single" w:sz="4" w:space="0" w:color="auto"/>
            </w:tcBorders>
            <w:shd w:val="clear" w:color="auto" w:fill="auto"/>
            <w:vAlign w:val="center"/>
          </w:tcPr>
          <w:p w14:paraId="113B06B7" w14:textId="77777777" w:rsidR="000829EF" w:rsidRDefault="00000000">
            <w:pPr>
              <w:rPr>
                <w:color w:val="000000"/>
              </w:rPr>
            </w:pPr>
            <w:r>
              <w:rPr>
                <w:rFonts w:hint="eastAsia"/>
                <w:color w:val="000000"/>
              </w:rPr>
              <w:t>法制公正</w:t>
            </w:r>
          </w:p>
        </w:tc>
        <w:tc>
          <w:tcPr>
            <w:tcW w:w="5863" w:type="dxa"/>
            <w:tcBorders>
              <w:top w:val="nil"/>
              <w:left w:val="nil"/>
              <w:bottom w:val="single" w:sz="4" w:space="0" w:color="auto"/>
              <w:right w:val="single" w:sz="4" w:space="0" w:color="auto"/>
            </w:tcBorders>
            <w:shd w:val="clear" w:color="auto" w:fill="auto"/>
            <w:vAlign w:val="center"/>
          </w:tcPr>
          <w:p w14:paraId="207D4CE9" w14:textId="77777777" w:rsidR="000829EF" w:rsidRDefault="00000000">
            <w:pPr>
              <w:rPr>
                <w:color w:val="000000"/>
              </w:rPr>
            </w:pPr>
            <w:r>
              <w:rPr>
                <w:rFonts w:hint="eastAsia"/>
                <w:color w:val="000000"/>
              </w:rPr>
              <w:t>缓刑假释监督合</w:t>
            </w:r>
            <w:proofErr w:type="gramStart"/>
            <w:r>
              <w:rPr>
                <w:rFonts w:hint="eastAsia"/>
                <w:color w:val="000000"/>
              </w:rPr>
              <w:t>规</w:t>
            </w:r>
            <w:proofErr w:type="gramEnd"/>
            <w:r>
              <w:rPr>
                <w:rFonts w:hint="eastAsia"/>
                <w:color w:val="000000"/>
              </w:rPr>
              <w:t>率、监管场所超期羁押数量、检察官数量、律师数量、安置帮教对象数量、法律援助案件数量、法律职业人员数量、法官数量、执行案件数量、执行案件结案率等。</w:t>
            </w:r>
          </w:p>
        </w:tc>
      </w:tr>
    </w:tbl>
    <w:p w14:paraId="45B5D8C5" w14:textId="77777777" w:rsidR="000829EF" w:rsidRDefault="00000000">
      <w:pPr>
        <w:pStyle w:val="affff9"/>
        <w:rPr>
          <w:rFonts w:ascii="Times New Roman" w:hAnsi="Times New Roman"/>
        </w:rPr>
      </w:pPr>
      <w:bookmarkStart w:id="61" w:name="_Toc169081593"/>
      <w:bookmarkStart w:id="62" w:name="BKCKWX"/>
      <w:bookmarkStart w:id="63" w:name="_Toc145434087"/>
      <w:bookmarkStart w:id="64" w:name="_Toc119499898"/>
      <w:bookmarkStart w:id="65" w:name="_Toc17878131"/>
      <w:r>
        <w:rPr>
          <w:rFonts w:ascii="Times New Roman" w:hAnsi="Times New Roman" w:hint="eastAsia"/>
        </w:rPr>
        <w:lastRenderedPageBreak/>
        <w:t>参</w:t>
      </w:r>
      <w:r>
        <w:rPr>
          <w:rFonts w:ascii="Times New Roman" w:hAnsi="Times New Roman"/>
        </w:rPr>
        <w:t> </w:t>
      </w:r>
      <w:r>
        <w:rPr>
          <w:rFonts w:ascii="Times New Roman" w:hAnsi="Times New Roman" w:hint="eastAsia"/>
        </w:rPr>
        <w:t>考</w:t>
      </w:r>
      <w:r>
        <w:rPr>
          <w:rFonts w:ascii="Times New Roman" w:hAnsi="Times New Roman"/>
        </w:rPr>
        <w:t> </w:t>
      </w:r>
      <w:r>
        <w:rPr>
          <w:rFonts w:ascii="Times New Roman" w:hAnsi="Times New Roman" w:hint="eastAsia"/>
        </w:rPr>
        <w:t>文</w:t>
      </w:r>
      <w:r>
        <w:rPr>
          <w:rFonts w:ascii="Times New Roman" w:hAnsi="Times New Roman"/>
        </w:rPr>
        <w:t> </w:t>
      </w:r>
      <w:r>
        <w:rPr>
          <w:rFonts w:ascii="Times New Roman" w:hAnsi="Times New Roman" w:hint="eastAsia"/>
        </w:rPr>
        <w:t>献</w:t>
      </w:r>
      <w:bookmarkEnd w:id="61"/>
      <w:bookmarkEnd w:id="62"/>
      <w:bookmarkEnd w:id="63"/>
      <w:bookmarkEnd w:id="64"/>
      <w:bookmarkEnd w:id="65"/>
    </w:p>
    <w:p w14:paraId="6C49C68C" w14:textId="77777777" w:rsidR="000829EF" w:rsidRDefault="00000000">
      <w:pPr>
        <w:pStyle w:val="affc"/>
        <w:rPr>
          <w:rFonts w:ascii="Times New Roman"/>
        </w:rPr>
      </w:pPr>
      <w:r>
        <w:rPr>
          <w:rFonts w:ascii="Times New Roman" w:hint="eastAsia"/>
        </w:rPr>
        <w:t>[1</w:t>
      </w:r>
      <w:r>
        <w:rPr>
          <w:rFonts w:ascii="Times New Roman"/>
        </w:rPr>
        <w:t>]</w:t>
      </w:r>
      <w:r>
        <w:rPr>
          <w:rFonts w:ascii="Times New Roman" w:hint="eastAsia"/>
        </w:rPr>
        <w:t xml:space="preserve"> </w:t>
      </w:r>
      <w:r>
        <w:rPr>
          <w:rFonts w:ascii="Times New Roman" w:hint="eastAsia"/>
        </w:rPr>
        <w:t>北京市统计年鉴</w:t>
      </w:r>
    </w:p>
    <w:p w14:paraId="6552D68D" w14:textId="77777777" w:rsidR="000829EF" w:rsidRDefault="00000000">
      <w:pPr>
        <w:pStyle w:val="affc"/>
        <w:rPr>
          <w:rFonts w:ascii="Times New Roman"/>
        </w:rPr>
      </w:pPr>
      <w:r>
        <w:rPr>
          <w:rFonts w:ascii="Times New Roman"/>
        </w:rPr>
        <w:t>[</w:t>
      </w:r>
      <w:r>
        <w:rPr>
          <w:rFonts w:ascii="Times New Roman" w:hint="eastAsia"/>
        </w:rPr>
        <w:t>2</w:t>
      </w:r>
      <w:r>
        <w:rPr>
          <w:rFonts w:ascii="Times New Roman"/>
        </w:rPr>
        <w:t>]</w:t>
      </w:r>
      <w:r>
        <w:rPr>
          <w:rFonts w:ascii="Times New Roman" w:hint="eastAsia"/>
        </w:rPr>
        <w:t xml:space="preserve"> GB/T 7027-2002 </w:t>
      </w:r>
      <w:r>
        <w:rPr>
          <w:rFonts w:ascii="Times New Roman" w:hint="eastAsia"/>
        </w:rPr>
        <w:t>信息分类和编码的基本原则与方法</w:t>
      </w:r>
    </w:p>
    <w:p w14:paraId="35FDDC6E" w14:textId="77777777" w:rsidR="000829EF" w:rsidRDefault="00000000">
      <w:pPr>
        <w:pStyle w:val="affc"/>
        <w:rPr>
          <w:rFonts w:ascii="Times New Roman"/>
        </w:rPr>
      </w:pPr>
      <w:r>
        <w:rPr>
          <w:rFonts w:ascii="Times New Roman" w:hint="eastAsia"/>
        </w:rPr>
        <w:t>[3] GB</w:t>
      </w:r>
      <w:r>
        <w:rPr>
          <w:rFonts w:ascii="Times New Roman"/>
        </w:rPr>
        <w:t>/</w:t>
      </w:r>
      <w:r>
        <w:rPr>
          <w:rFonts w:ascii="Times New Roman" w:hint="eastAsia"/>
        </w:rPr>
        <w:t>T 3</w:t>
      </w:r>
      <w:r>
        <w:rPr>
          <w:rFonts w:ascii="Times New Roman"/>
        </w:rPr>
        <w:t>4680.1</w:t>
      </w:r>
      <w:r>
        <w:rPr>
          <w:rFonts w:ascii="Times New Roman" w:hint="eastAsia"/>
        </w:rPr>
        <w:t>-201</w:t>
      </w:r>
      <w:r>
        <w:rPr>
          <w:rFonts w:ascii="Times New Roman"/>
        </w:rPr>
        <w:t>7</w:t>
      </w:r>
      <w:r>
        <w:rPr>
          <w:rFonts w:ascii="Times New Roman" w:hint="eastAsia"/>
        </w:rPr>
        <w:t xml:space="preserve"> </w:t>
      </w:r>
      <w:r>
        <w:rPr>
          <w:rFonts w:ascii="Times New Roman" w:hint="eastAsia"/>
        </w:rPr>
        <w:t>智慧城市评价模型及基础评价指标体系</w:t>
      </w:r>
      <w:r>
        <w:rPr>
          <w:rFonts w:ascii="Times New Roman" w:hint="eastAsia"/>
        </w:rPr>
        <w:t xml:space="preserve"> </w:t>
      </w:r>
      <w:r>
        <w:rPr>
          <w:rFonts w:ascii="Times New Roman" w:hint="eastAsia"/>
        </w:rPr>
        <w:t>第</w:t>
      </w:r>
      <w:r>
        <w:rPr>
          <w:rFonts w:ascii="Times New Roman" w:hint="eastAsia"/>
        </w:rPr>
        <w:t>1</w:t>
      </w:r>
      <w:r>
        <w:rPr>
          <w:rFonts w:ascii="Times New Roman" w:hint="eastAsia"/>
        </w:rPr>
        <w:t>部分：总体框架及分项评价指标制定的要求</w:t>
      </w:r>
    </w:p>
    <w:p w14:paraId="66FE2F71" w14:textId="77777777" w:rsidR="000829EF" w:rsidRDefault="00000000">
      <w:pPr>
        <w:pStyle w:val="affc"/>
        <w:rPr>
          <w:rFonts w:ascii="Times New Roman"/>
        </w:rPr>
      </w:pPr>
      <w:r>
        <w:rPr>
          <w:rFonts w:ascii="Times New Roman" w:hint="eastAsia"/>
        </w:rPr>
        <w:t xml:space="preserve">[4] GB/T 34680.3-2017 </w:t>
      </w:r>
      <w:r>
        <w:rPr>
          <w:rFonts w:ascii="Times New Roman" w:hint="eastAsia"/>
        </w:rPr>
        <w:t>智慧城市评价模型及基础评价指标体系</w:t>
      </w:r>
      <w:r>
        <w:rPr>
          <w:rFonts w:ascii="Times New Roman" w:hint="eastAsia"/>
        </w:rPr>
        <w:t xml:space="preserve"> </w:t>
      </w:r>
      <w:r>
        <w:rPr>
          <w:rFonts w:ascii="Times New Roman" w:hint="eastAsia"/>
        </w:rPr>
        <w:t>第</w:t>
      </w:r>
      <w:r>
        <w:rPr>
          <w:rFonts w:ascii="Times New Roman" w:hint="eastAsia"/>
        </w:rPr>
        <w:t>3</w:t>
      </w:r>
      <w:r>
        <w:rPr>
          <w:rFonts w:ascii="Times New Roman" w:hint="eastAsia"/>
        </w:rPr>
        <w:t>部分：信息资源</w:t>
      </w:r>
    </w:p>
    <w:p w14:paraId="406EE6D4" w14:textId="77777777" w:rsidR="000829EF" w:rsidRDefault="00000000">
      <w:pPr>
        <w:pStyle w:val="affc"/>
        <w:rPr>
          <w:rFonts w:ascii="Times New Roman"/>
        </w:rPr>
      </w:pPr>
      <w:r>
        <w:rPr>
          <w:rFonts w:ascii="Times New Roman" w:hint="eastAsia"/>
        </w:rPr>
        <w:t xml:space="preserve">[5] </w:t>
      </w:r>
      <w:r>
        <w:rPr>
          <w:rFonts w:ascii="Times New Roman"/>
        </w:rPr>
        <w:t>CJ/T552-2023</w:t>
      </w:r>
      <w:r>
        <w:rPr>
          <w:rFonts w:ascii="Times New Roman" w:hint="eastAsia"/>
        </w:rPr>
        <w:t xml:space="preserve"> </w:t>
      </w:r>
      <w:r>
        <w:rPr>
          <w:rFonts w:ascii="Times New Roman"/>
        </w:rPr>
        <w:t>《城市运行管理服务平台管理监督指标及评价标准》</w:t>
      </w:r>
    </w:p>
    <w:p w14:paraId="799A389D" w14:textId="77777777" w:rsidR="000829EF" w:rsidRDefault="00000000">
      <w:pPr>
        <w:pStyle w:val="affc"/>
        <w:rPr>
          <w:rFonts w:ascii="Times New Roman"/>
        </w:rPr>
      </w:pPr>
      <w:r>
        <w:rPr>
          <w:rFonts w:ascii="Times New Roman" w:hint="eastAsia"/>
        </w:rPr>
        <w:t xml:space="preserve">[6] </w:t>
      </w:r>
      <w:r>
        <w:rPr>
          <w:rFonts w:ascii="Times New Roman"/>
        </w:rPr>
        <w:t>CJ/T551-2023</w:t>
      </w:r>
      <w:r>
        <w:rPr>
          <w:rFonts w:ascii="Times New Roman"/>
        </w:rPr>
        <w:t>《</w:t>
      </w:r>
      <w:r>
        <w:rPr>
          <w:rFonts w:ascii="Times New Roman" w:hint="eastAsia"/>
        </w:rPr>
        <w:t xml:space="preserve"> </w:t>
      </w:r>
      <w:r>
        <w:rPr>
          <w:rFonts w:ascii="Times New Roman"/>
        </w:rPr>
        <w:t>城市运行管理服务平台</w:t>
      </w:r>
      <w:r>
        <w:rPr>
          <w:rFonts w:ascii="Times New Roman"/>
        </w:rPr>
        <w:t xml:space="preserve"> </w:t>
      </w:r>
      <w:r>
        <w:rPr>
          <w:rFonts w:ascii="Times New Roman"/>
        </w:rPr>
        <w:t>运行监测指标及评价标准》</w:t>
      </w:r>
    </w:p>
    <w:p w14:paraId="2C7AEAEE" w14:textId="77777777" w:rsidR="000829EF" w:rsidRDefault="00000000">
      <w:pPr>
        <w:pStyle w:val="afffffff0"/>
        <w:framePr w:wrap="around"/>
        <w:rPr>
          <w:rFonts w:ascii="Times New Roman" w:hAnsi="Times New Roman"/>
        </w:rPr>
      </w:pPr>
      <w:r>
        <w:rPr>
          <w:rFonts w:ascii="Times New Roman" w:hAnsi="Times New Roman"/>
        </w:rPr>
        <w:t>_________________________________</w:t>
      </w:r>
    </w:p>
    <w:sectPr w:rsidR="000829EF">
      <w:footerReference w:type="even" r:id="rId22"/>
      <w:footerReference w:type="default" r:id="rId23"/>
      <w:pgSz w:w="11906" w:h="16838"/>
      <w:pgMar w:top="567" w:right="1134" w:bottom="1134" w:left="1417" w:header="1418" w:footer="1134" w:gutter="0"/>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BD17F" w14:textId="77777777" w:rsidR="009823C9" w:rsidRDefault="009823C9">
      <w:r>
        <w:separator/>
      </w:r>
    </w:p>
  </w:endnote>
  <w:endnote w:type="continuationSeparator" w:id="0">
    <w:p w14:paraId="56873994" w14:textId="77777777" w:rsidR="009823C9" w:rsidRDefault="0098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Mono CJK JP Bold">
    <w:altName w:val="Segoe Print"/>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AD7DE" w14:textId="77777777" w:rsidR="000829EF" w:rsidRDefault="00000000">
    <w:pPr>
      <w:pStyle w:val="affff6"/>
      <w:jc w:val="right"/>
    </w:pPr>
    <w:r>
      <w:rPr>
        <w:noProof/>
      </w:rPr>
      <mc:AlternateContent>
        <mc:Choice Requires="wps">
          <w:drawing>
            <wp:anchor distT="0" distB="0" distL="114300" distR="114300" simplePos="0" relativeHeight="251659264" behindDoc="0" locked="0" layoutInCell="1" allowOverlap="1" wp14:anchorId="0B17E13D" wp14:editId="2E289ED4">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15944" w14:textId="77777777" w:rsidR="000829EF" w:rsidRDefault="00000000">
                          <w:pPr>
                            <w:pStyle w:val="affff6"/>
                            <w:jc w:val="right"/>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66829AE">
                    <w:pPr>
                      <w:pStyle w:val="75"/>
                      <w:jc w:val="right"/>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A4944" w14:textId="77777777" w:rsidR="000829EF" w:rsidRDefault="00000000">
    <w:pPr>
      <w:pStyle w:val="aff9"/>
    </w:pPr>
    <w:r>
      <w:rPr>
        <w:noProof/>
      </w:rPr>
      <mc:AlternateContent>
        <mc:Choice Requires="wps">
          <w:drawing>
            <wp:anchor distT="0" distB="0" distL="114300" distR="114300" simplePos="0" relativeHeight="251668480" behindDoc="0" locked="0" layoutInCell="1" allowOverlap="1" wp14:anchorId="1FA3B54A" wp14:editId="666E8D28">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4F6F4" w14:textId="77777777" w:rsidR="000829EF" w:rsidRDefault="00000000">
                          <w:pPr>
                            <w:pStyle w:val="aff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5EB32136">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14954" w14:textId="77777777" w:rsidR="000829EF" w:rsidRDefault="00000000">
    <w:pPr>
      <w:pStyle w:val="aff9"/>
    </w:pPr>
    <w:r>
      <w:rPr>
        <w:noProof/>
      </w:rPr>
      <mc:AlternateContent>
        <mc:Choice Requires="wps">
          <w:drawing>
            <wp:anchor distT="0" distB="0" distL="114300" distR="114300" simplePos="0" relativeHeight="251661312" behindDoc="0" locked="0" layoutInCell="1" allowOverlap="1" wp14:anchorId="6761F14C" wp14:editId="3372D8FC">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A16FE" w14:textId="77777777" w:rsidR="000829EF" w:rsidRDefault="000829EF">
                          <w:pPr>
                            <w:pStyle w:val="aff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660FA06">
                    <w:pPr>
                      <w:pStyle w:val="21"/>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CA3F7" w14:textId="77777777" w:rsidR="000829EF" w:rsidRDefault="00000000">
    <w:pPr>
      <w:pStyle w:val="affff6"/>
      <w:jc w:val="right"/>
    </w:pPr>
    <w:r>
      <w:rPr>
        <w:noProof/>
      </w:rPr>
      <mc:AlternateContent>
        <mc:Choice Requires="wps">
          <w:drawing>
            <wp:anchor distT="0" distB="0" distL="114300" distR="114300" simplePos="0" relativeHeight="251664384" behindDoc="0" locked="0" layoutInCell="1" allowOverlap="1" wp14:anchorId="57FB165C" wp14:editId="5695A6F4">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B361B" w14:textId="77777777" w:rsidR="000829EF" w:rsidRDefault="00000000">
                          <w:pPr>
                            <w:pStyle w:val="affff6"/>
                            <w:jc w:val="right"/>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F4A8FA0">
                    <w:pPr>
                      <w:pStyle w:val="75"/>
                      <w:jc w:val="right"/>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EE417" w14:textId="77777777" w:rsidR="000829EF" w:rsidRDefault="00000000">
    <w:pPr>
      <w:pStyle w:val="afffa"/>
    </w:pPr>
    <w:r>
      <w:rPr>
        <w:noProof/>
      </w:rPr>
      <mc:AlternateContent>
        <mc:Choice Requires="wps">
          <w:drawing>
            <wp:anchor distT="0" distB="0" distL="114300" distR="114300" simplePos="0" relativeHeight="251660288" behindDoc="0" locked="0" layoutInCell="1" allowOverlap="1" wp14:anchorId="4632CF2F" wp14:editId="2643112C">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8CEEE" w14:textId="77777777" w:rsidR="000829EF" w:rsidRDefault="00000000">
                          <w:pPr>
                            <w:pStyle w:val="afffa"/>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8ABA638">
                    <w:pPr>
                      <w:pStyle w:val="50"/>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3304F" w14:textId="77777777" w:rsidR="000829EF" w:rsidRDefault="00000000">
    <w:pPr>
      <w:pStyle w:val="aff9"/>
    </w:pPr>
    <w:r>
      <w:rPr>
        <w:noProof/>
      </w:rPr>
      <mc:AlternateContent>
        <mc:Choice Requires="wps">
          <w:drawing>
            <wp:anchor distT="0" distB="0" distL="114300" distR="114300" simplePos="0" relativeHeight="251666432" behindDoc="0" locked="0" layoutInCell="1" allowOverlap="1" wp14:anchorId="75F68951" wp14:editId="0DFEDB72">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A6B01" w14:textId="77777777" w:rsidR="000829EF" w:rsidRDefault="00000000">
                          <w:pPr>
                            <w:pStyle w:val="aff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3AA71BA">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7146D" w14:textId="77777777" w:rsidR="000829EF" w:rsidRDefault="00000000">
    <w:pPr>
      <w:pStyle w:val="aff9"/>
    </w:pPr>
    <w:r>
      <w:rPr>
        <w:noProof/>
      </w:rPr>
      <mc:AlternateContent>
        <mc:Choice Requires="wps">
          <w:drawing>
            <wp:anchor distT="0" distB="0" distL="114300" distR="114300" simplePos="0" relativeHeight="251665408" behindDoc="0" locked="0" layoutInCell="1" allowOverlap="1" wp14:anchorId="05355100" wp14:editId="69712365">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62C02" w14:textId="77777777" w:rsidR="000829EF" w:rsidRDefault="00000000">
                          <w:pPr>
                            <w:pStyle w:val="aff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1CFBD53F">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84023" w14:textId="77777777" w:rsidR="000829EF" w:rsidRDefault="00000000">
    <w:pPr>
      <w:pStyle w:val="aff9"/>
    </w:pPr>
    <w:r>
      <w:rPr>
        <w:noProof/>
      </w:rPr>
      <mc:AlternateContent>
        <mc:Choice Requires="wps">
          <w:drawing>
            <wp:anchor distT="0" distB="0" distL="114300" distR="114300" simplePos="0" relativeHeight="251671552" behindDoc="0" locked="0" layoutInCell="1" allowOverlap="1" wp14:anchorId="3467D4F3" wp14:editId="0E614067">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AA904" w14:textId="77777777" w:rsidR="000829EF" w:rsidRDefault="00000000">
                          <w:pPr>
                            <w:pStyle w:val="aff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59BC9C89">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F6C9B" w14:textId="77777777" w:rsidR="000829EF" w:rsidRDefault="00000000">
    <w:pPr>
      <w:pStyle w:val="aff9"/>
    </w:pPr>
    <w:r>
      <w:rPr>
        <w:noProof/>
      </w:rPr>
      <mc:AlternateContent>
        <mc:Choice Requires="wps">
          <w:drawing>
            <wp:anchor distT="0" distB="0" distL="114300" distR="114300" simplePos="0" relativeHeight="251670528" behindDoc="0" locked="0" layoutInCell="1" allowOverlap="1" wp14:anchorId="43F065E4" wp14:editId="7881B7B0">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BA8E1" w14:textId="77777777" w:rsidR="000829EF" w:rsidRDefault="00000000">
                          <w:pPr>
                            <w:pStyle w:val="aff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F90FFC8">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C49D9" w14:textId="77777777" w:rsidR="000829EF" w:rsidRDefault="00000000">
    <w:pPr>
      <w:pStyle w:val="aff9"/>
    </w:pPr>
    <w:r>
      <w:rPr>
        <w:noProof/>
      </w:rPr>
      <mc:AlternateContent>
        <mc:Choice Requires="wps">
          <w:drawing>
            <wp:anchor distT="0" distB="0" distL="114300" distR="114300" simplePos="0" relativeHeight="251669504" behindDoc="0" locked="0" layoutInCell="1" allowOverlap="1" wp14:anchorId="2370CF4E" wp14:editId="39CD9A42">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45040" w14:textId="77777777" w:rsidR="000829EF" w:rsidRDefault="00000000">
                          <w:pPr>
                            <w:pStyle w:val="aff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BA83FBD">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5223D" w14:textId="77777777" w:rsidR="009823C9" w:rsidRDefault="009823C9">
      <w:r>
        <w:separator/>
      </w:r>
    </w:p>
  </w:footnote>
  <w:footnote w:type="continuationSeparator" w:id="0">
    <w:p w14:paraId="1796B3D6" w14:textId="77777777" w:rsidR="009823C9" w:rsidRDefault="00982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74EC7" w14:textId="77777777" w:rsidR="000829EF" w:rsidRDefault="00000000">
    <w:pPr>
      <w:pStyle w:val="affff7"/>
      <w:jc w:val="right"/>
    </w:pPr>
    <w:r>
      <w:t xml:space="preserve">DB11/T </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577B0" w14:textId="77777777" w:rsidR="000829EF" w:rsidRDefault="00000000">
    <w:pPr>
      <w:pStyle w:val="affff7"/>
      <w:jc w:val="right"/>
    </w:pPr>
    <w:r>
      <w:t xml:space="preserve">DB11/T </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856F7" w14:textId="77777777" w:rsidR="000829EF" w:rsidRDefault="00000000">
    <w:pPr>
      <w:pStyle w:val="afffb"/>
      <w:rPr>
        <w:rFonts w:ascii="Times New Roman"/>
      </w:rPr>
    </w:pPr>
    <w:r>
      <w:rPr>
        <w:rFonts w:hAnsi="黑体"/>
      </w:rPr>
      <w:t xml:space="preserve">DB11/T </w:t>
    </w:r>
    <w:r>
      <w:rPr>
        <w:rFonts w:ascii="Times New Roman"/>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9CFA7" w14:textId="77777777" w:rsidR="000829EF" w:rsidRDefault="00000000">
    <w:pPr>
      <w:pStyle w:val="affff7"/>
    </w:pPr>
    <w:r>
      <w:t xml:space="preserve">DB11/T </w:t>
    </w: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ADAB3" w14:textId="77777777" w:rsidR="000829EF" w:rsidRDefault="00000000">
    <w:pPr>
      <w:pStyle w:val="afffb"/>
      <w:rPr>
        <w:rFonts w:ascii="Times New Roman"/>
      </w:rPr>
    </w:pPr>
    <w:r>
      <w:rPr>
        <w:rFonts w:hAnsi="黑体"/>
      </w:rPr>
      <w:t xml:space="preserve">DB11/T </w:t>
    </w:r>
    <w:r>
      <w:rPr>
        <w:rFonts w:ascii="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41D45C"/>
    <w:multiLevelType w:val="singleLevel"/>
    <w:tmpl w:val="B641D45C"/>
    <w:lvl w:ilvl="0">
      <w:start w:val="1"/>
      <w:numFmt w:val="lowerLetter"/>
      <w:suff w:val="space"/>
      <w:lvlText w:val="%1)"/>
      <w:lvlJc w:val="left"/>
    </w:lvl>
  </w:abstractNum>
  <w:abstractNum w:abstractNumId="1" w15:restartNumberingAfterBreak="0">
    <w:nsid w:val="0A952887"/>
    <w:multiLevelType w:val="multilevel"/>
    <w:tmpl w:val="0A952887"/>
    <w:lvl w:ilvl="0">
      <w:start w:val="1"/>
      <w:numFmt w:val="decimal"/>
      <w:pStyle w:val="a"/>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 w15:restartNumberingAfterBreak="0">
    <w:nsid w:val="0F805D97"/>
    <w:multiLevelType w:val="multilevel"/>
    <w:tmpl w:val="0F805D97"/>
    <w:lvl w:ilvl="0">
      <w:start w:val="1"/>
      <w:numFmt w:val="none"/>
      <w:pStyle w:val="a0"/>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 w15:restartNumberingAfterBreak="0">
    <w:nsid w:val="1FC91163"/>
    <w:multiLevelType w:val="multilevel"/>
    <w:tmpl w:val="1FC91163"/>
    <w:lvl w:ilvl="0">
      <w:start w:val="1"/>
      <w:numFmt w:val="decimal"/>
      <w:lvlText w:val="%1."/>
      <w:lvlJc w:val="left"/>
      <w:pPr>
        <w:ind w:left="425" w:hanging="425"/>
      </w:pPr>
      <w:rPr>
        <w:rFonts w:hint="eastAsia"/>
        <w:b w:val="0"/>
        <w:i w:val="0"/>
        <w:sz w:val="21"/>
        <w:szCs w:val="21"/>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b w:val="0"/>
        <w:i w:val="0"/>
        <w:sz w:val="21"/>
      </w:rPr>
    </w:lvl>
    <w:lvl w:ilvl="3">
      <w:start w:val="1"/>
      <w:numFmt w:val="decimal"/>
      <w:lvlText w:val="%1.%2.%3.%4."/>
      <w:lvlJc w:val="left"/>
      <w:pPr>
        <w:ind w:left="851" w:hanging="851"/>
      </w:pPr>
      <w:rPr>
        <w:rFonts w:hint="eastAsia"/>
        <w:b w:val="0"/>
        <w:i w:val="0"/>
        <w:sz w:val="21"/>
      </w:rPr>
    </w:lvl>
    <w:lvl w:ilvl="4">
      <w:start w:val="1"/>
      <w:numFmt w:val="decimal"/>
      <w:lvlText w:val="%1.%2.%3.%4.%5."/>
      <w:lvlJc w:val="left"/>
      <w:pPr>
        <w:ind w:left="992" w:hanging="992"/>
      </w:pPr>
      <w:rPr>
        <w:rFonts w:hint="eastAsia"/>
        <w:b w:val="0"/>
        <w:i w:val="0"/>
        <w:sz w:val="21"/>
      </w:rPr>
    </w:lvl>
    <w:lvl w:ilvl="5">
      <w:start w:val="1"/>
      <w:numFmt w:val="decimal"/>
      <w:lvlText w:val="%1.%2.%3.%4.%5.%6."/>
      <w:lvlJc w:val="left"/>
      <w:pPr>
        <w:ind w:left="1134" w:hanging="1134"/>
      </w:pPr>
      <w:rPr>
        <w:rFonts w:hint="eastAsia"/>
        <w:b w:val="0"/>
        <w:i w:val="0"/>
        <w:sz w:val="21"/>
      </w:rPr>
    </w:lvl>
    <w:lvl w:ilvl="6">
      <w:start w:val="1"/>
      <w:numFmt w:val="decimal"/>
      <w:lvlText w:val="%1.%2.%3.%4.%5.%6.%7."/>
      <w:lvlJc w:val="left"/>
      <w:pPr>
        <w:ind w:left="1276" w:hanging="1276"/>
      </w:pPr>
      <w:rPr>
        <w:rFonts w:hint="eastAsia"/>
        <w:b w:val="0"/>
        <w:i w:val="0"/>
        <w:sz w:val="21"/>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4B435DB"/>
    <w:multiLevelType w:val="multilevel"/>
    <w:tmpl w:val="24B435DB"/>
    <w:lvl w:ilvl="0">
      <w:start w:val="1"/>
      <w:numFmt w:val="lowerLetter"/>
      <w:pStyle w:val="a1"/>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5" w15:restartNumberingAfterBreak="0">
    <w:nsid w:val="29707437"/>
    <w:multiLevelType w:val="multilevel"/>
    <w:tmpl w:val="29707437"/>
    <w:lvl w:ilvl="0">
      <w:start w:val="1"/>
      <w:numFmt w:val="none"/>
      <w:pStyle w:val="a2"/>
      <w:suff w:val="nothing"/>
      <w:lvlText w:val="%1注："/>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2A8F7113"/>
    <w:multiLevelType w:val="multilevel"/>
    <w:tmpl w:val="2A8F7113"/>
    <w:lvl w:ilvl="0">
      <w:start w:val="1"/>
      <w:numFmt w:val="upperLetter"/>
      <w:pStyle w:val="a3"/>
      <w:suff w:val="space"/>
      <w:lvlText w:val="%1"/>
      <w:lvlJc w:val="left"/>
      <w:pPr>
        <w:ind w:left="623" w:hanging="425"/>
      </w:pPr>
      <w:rPr>
        <w:rFonts w:hint="eastAsia"/>
      </w:rPr>
    </w:lvl>
    <w:lvl w:ilvl="1">
      <w:start w:val="1"/>
      <w:numFmt w:val="decimal"/>
      <w:pStyle w:val="a4"/>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15:restartNumberingAfterBreak="0">
    <w:nsid w:val="2C5917C3"/>
    <w:multiLevelType w:val="multilevel"/>
    <w:tmpl w:val="2C5917C3"/>
    <w:lvl w:ilvl="0">
      <w:start w:val="1"/>
      <w:numFmt w:val="none"/>
      <w:pStyle w:val="a5"/>
      <w:suff w:val="nothing"/>
      <w:lvlText w:val="%1——"/>
      <w:lvlJc w:val="left"/>
      <w:pPr>
        <w:ind w:left="833" w:hanging="408"/>
      </w:pPr>
      <w:rPr>
        <w:rFonts w:hint="eastAsia"/>
      </w:rPr>
    </w:lvl>
    <w:lvl w:ilvl="1">
      <w:start w:val="1"/>
      <w:numFmt w:val="bullet"/>
      <w:pStyle w:val="a6"/>
      <w:lvlText w:val=""/>
      <w:lvlJc w:val="left"/>
      <w:pPr>
        <w:tabs>
          <w:tab w:val="left" w:pos="760"/>
        </w:tabs>
        <w:ind w:left="1264" w:hanging="413"/>
      </w:pPr>
      <w:rPr>
        <w:rFonts w:ascii="Symbol" w:hAnsi="Symbol" w:hint="default"/>
        <w:color w:val="auto"/>
      </w:rPr>
    </w:lvl>
    <w:lvl w:ilvl="2">
      <w:start w:val="1"/>
      <w:numFmt w:val="bullet"/>
      <w:pStyle w:val="a7"/>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8" w15:restartNumberingAfterBreak="0">
    <w:nsid w:val="3D733618"/>
    <w:multiLevelType w:val="multilevel"/>
    <w:tmpl w:val="3D733618"/>
    <w:lvl w:ilvl="0">
      <w:start w:val="1"/>
      <w:numFmt w:val="decimal"/>
      <w:pStyle w:val="a8"/>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9" w15:restartNumberingAfterBreak="0">
    <w:nsid w:val="44C50F90"/>
    <w:multiLevelType w:val="multilevel"/>
    <w:tmpl w:val="44C50F90"/>
    <w:lvl w:ilvl="0">
      <w:start w:val="1"/>
      <w:numFmt w:val="lowerLetter"/>
      <w:pStyle w:val="a9"/>
      <w:lvlText w:val="%1)"/>
      <w:lvlJc w:val="left"/>
      <w:pPr>
        <w:tabs>
          <w:tab w:val="left" w:pos="840"/>
        </w:tabs>
        <w:ind w:left="839" w:hanging="419"/>
      </w:pPr>
      <w:rPr>
        <w:rFonts w:ascii="宋体" w:eastAsia="宋体" w:hint="eastAsia"/>
        <w:b w:val="0"/>
        <w:i w:val="0"/>
        <w:sz w:val="21"/>
        <w:szCs w:val="21"/>
      </w:rPr>
    </w:lvl>
    <w:lvl w:ilvl="1">
      <w:start w:val="1"/>
      <w:numFmt w:val="decimal"/>
      <w:pStyle w:val="aa"/>
      <w:lvlText w:val="%2)"/>
      <w:lvlJc w:val="left"/>
      <w:pPr>
        <w:tabs>
          <w:tab w:val="left" w:pos="1260"/>
        </w:tabs>
        <w:ind w:left="1259" w:hanging="419"/>
      </w:pPr>
      <w:rPr>
        <w:rFonts w:hint="eastAsia"/>
      </w:rPr>
    </w:lvl>
    <w:lvl w:ilvl="2">
      <w:start w:val="1"/>
      <w:numFmt w:val="decimal"/>
      <w:pStyle w:val="ab"/>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0" w15:restartNumberingAfterBreak="0">
    <w:nsid w:val="520F62E9"/>
    <w:multiLevelType w:val="multilevel"/>
    <w:tmpl w:val="520F62E9"/>
    <w:lvl w:ilvl="0">
      <w:start w:val="1"/>
      <w:numFmt w:val="decimal"/>
      <w:pStyle w:val="ac"/>
      <w:suff w:val="nothing"/>
      <w:lvlText w:val="图%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E63562F"/>
    <w:multiLevelType w:val="multilevel"/>
    <w:tmpl w:val="5E63562F"/>
    <w:lvl w:ilvl="0">
      <w:start w:val="1"/>
      <w:numFmt w:val="decimal"/>
      <w:pStyle w:val="ad"/>
      <w:suff w:val="nothing"/>
      <w:lvlText w:val="注%1："/>
      <w:lvlJc w:val="left"/>
      <w:pPr>
        <w:ind w:left="0" w:firstLine="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2" w15:restartNumberingAfterBreak="0">
    <w:nsid w:val="60B55DC2"/>
    <w:multiLevelType w:val="multilevel"/>
    <w:tmpl w:val="60B55DC2"/>
    <w:lvl w:ilvl="0">
      <w:start w:val="1"/>
      <w:numFmt w:val="upperLetter"/>
      <w:pStyle w:val="ae"/>
      <w:lvlText w:val="%1"/>
      <w:lvlJc w:val="left"/>
      <w:pPr>
        <w:tabs>
          <w:tab w:val="left" w:pos="0"/>
        </w:tabs>
        <w:ind w:left="0" w:hanging="425"/>
      </w:pPr>
      <w:rPr>
        <w:rFonts w:hint="eastAsia"/>
      </w:rPr>
    </w:lvl>
    <w:lvl w:ilvl="1">
      <w:start w:val="1"/>
      <w:numFmt w:val="decimal"/>
      <w:pStyle w:val="af"/>
      <w:suff w:val="nothing"/>
      <w:lvlText w:val="表%1.%2　"/>
      <w:lvlJc w:val="left"/>
      <w:pPr>
        <w:ind w:left="567" w:hanging="567"/>
      </w:pPr>
      <w:rPr>
        <w:rFonts w:hint="eastAsia"/>
        <w:color w:val="auto"/>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3" w15:restartNumberingAfterBreak="0">
    <w:nsid w:val="63404DBE"/>
    <w:multiLevelType w:val="multilevel"/>
    <w:tmpl w:val="63404DBE"/>
    <w:lvl w:ilvl="0">
      <w:start w:val="1"/>
      <w:numFmt w:val="none"/>
      <w:pStyle w:val="af0"/>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4" w15:restartNumberingAfterBreak="0">
    <w:nsid w:val="63AF7EBF"/>
    <w:multiLevelType w:val="multilevel"/>
    <w:tmpl w:val="63AF7EBF"/>
    <w:lvl w:ilvl="0">
      <w:start w:val="1"/>
      <w:numFmt w:val="decimal"/>
      <w:pStyle w:val="af1"/>
      <w:suff w:val="nothing"/>
      <w:lvlText w:val="表%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657D3FBC"/>
    <w:multiLevelType w:val="multilevel"/>
    <w:tmpl w:val="657D3FBC"/>
    <w:lvl w:ilvl="0">
      <w:start w:val="1"/>
      <w:numFmt w:val="upperLetter"/>
      <w:pStyle w:val="af2"/>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3"/>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4"/>
      <w:suff w:val="nothing"/>
      <w:lvlText w:val="%1.%2.%3　"/>
      <w:lvlJc w:val="left"/>
      <w:pPr>
        <w:ind w:left="0" w:firstLine="0"/>
      </w:pPr>
      <w:rPr>
        <w:rFonts w:ascii="黑体" w:eastAsia="黑体" w:hAnsi="Times New Roman" w:hint="eastAsia"/>
        <w:b w:val="0"/>
        <w:i w:val="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pStyle w:val="af8"/>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6" w15:restartNumberingAfterBreak="0">
    <w:nsid w:val="6AB870ED"/>
    <w:multiLevelType w:val="multilevel"/>
    <w:tmpl w:val="6AB870ED"/>
    <w:lvl w:ilvl="0">
      <w:start w:val="1"/>
      <w:numFmt w:val="decimal"/>
      <w:pStyle w:val="af9"/>
      <w:suff w:val="nothing"/>
      <w:lvlText w:val="示例%1："/>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7" w15:restartNumberingAfterBreak="0">
    <w:nsid w:val="6D6C07CD"/>
    <w:multiLevelType w:val="multilevel"/>
    <w:tmpl w:val="6D6C07CD"/>
    <w:lvl w:ilvl="0">
      <w:start w:val="1"/>
      <w:numFmt w:val="lowerLetter"/>
      <w:pStyle w:val="afa"/>
      <w:lvlText w:val="%1)"/>
      <w:lvlJc w:val="left"/>
      <w:pPr>
        <w:tabs>
          <w:tab w:val="left" w:pos="839"/>
        </w:tabs>
        <w:ind w:left="839" w:hanging="419"/>
      </w:pPr>
      <w:rPr>
        <w:rFonts w:ascii="宋体" w:eastAsia="宋体" w:hint="eastAsia"/>
        <w:b w:val="0"/>
        <w:i w:val="0"/>
        <w:sz w:val="21"/>
      </w:rPr>
    </w:lvl>
    <w:lvl w:ilvl="1">
      <w:start w:val="1"/>
      <w:numFmt w:val="decimal"/>
      <w:pStyle w:val="afb"/>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8" w15:restartNumberingAfterBreak="0">
    <w:nsid w:val="7068DD6C"/>
    <w:multiLevelType w:val="singleLevel"/>
    <w:tmpl w:val="7068DD6C"/>
    <w:lvl w:ilvl="0">
      <w:start w:val="1"/>
      <w:numFmt w:val="lowerLetter"/>
      <w:suff w:val="space"/>
      <w:lvlText w:val="%1)"/>
      <w:lvlJc w:val="left"/>
    </w:lvl>
  </w:abstractNum>
  <w:num w:numId="1" w16cid:durableId="1203326873">
    <w:abstractNumId w:val="8"/>
  </w:num>
  <w:num w:numId="2" w16cid:durableId="1806119387">
    <w:abstractNumId w:val="7"/>
  </w:num>
  <w:num w:numId="3" w16cid:durableId="250092159">
    <w:abstractNumId w:val="13"/>
  </w:num>
  <w:num w:numId="4" w16cid:durableId="169563404">
    <w:abstractNumId w:val="9"/>
  </w:num>
  <w:num w:numId="5" w16cid:durableId="1453091825">
    <w:abstractNumId w:val="2"/>
  </w:num>
  <w:num w:numId="6" w16cid:durableId="1901553787">
    <w:abstractNumId w:val="11"/>
  </w:num>
  <w:num w:numId="7" w16cid:durableId="62024067">
    <w:abstractNumId w:val="16"/>
  </w:num>
  <w:num w:numId="8" w16cid:durableId="24447113">
    <w:abstractNumId w:val="5"/>
  </w:num>
  <w:num w:numId="9" w16cid:durableId="1169639529">
    <w:abstractNumId w:val="1"/>
  </w:num>
  <w:num w:numId="10" w16cid:durableId="716592274">
    <w:abstractNumId w:val="15"/>
  </w:num>
  <w:num w:numId="11" w16cid:durableId="589853115">
    <w:abstractNumId w:val="12"/>
  </w:num>
  <w:num w:numId="12" w16cid:durableId="214316317">
    <w:abstractNumId w:val="17"/>
  </w:num>
  <w:num w:numId="13" w16cid:durableId="300304766">
    <w:abstractNumId w:val="6"/>
  </w:num>
  <w:num w:numId="14" w16cid:durableId="606473715">
    <w:abstractNumId w:val="4"/>
  </w:num>
  <w:num w:numId="15" w16cid:durableId="2145343357">
    <w:abstractNumId w:val="14"/>
  </w:num>
  <w:num w:numId="16" w16cid:durableId="285625676">
    <w:abstractNumId w:val="10"/>
  </w:num>
  <w:num w:numId="17" w16cid:durableId="796995828">
    <w:abstractNumId w:val="3"/>
  </w:num>
  <w:num w:numId="18" w16cid:durableId="711416527">
    <w:abstractNumId w:val="3"/>
    <w:lvlOverride w:ilvl="0">
      <w:lvl w:ilvl="0" w:tentative="1">
        <w:start w:val="1"/>
        <w:numFmt w:val="decimal"/>
        <w:lvlText w:val="%1."/>
        <w:lvlJc w:val="left"/>
        <w:pPr>
          <w:ind w:left="425" w:hanging="425"/>
        </w:pPr>
        <w:rPr>
          <w:rFonts w:hint="eastAsia"/>
          <w:b w:val="0"/>
          <w:i w:val="0"/>
          <w:sz w:val="21"/>
          <w:szCs w:val="21"/>
        </w:rPr>
      </w:lvl>
    </w:lvlOverride>
    <w:lvlOverride w:ilvl="1">
      <w:lvl w:ilvl="1">
        <w:start w:val="1"/>
        <w:numFmt w:val="decimal"/>
        <w:lvlText w:val="%1.%2"/>
        <w:lvlJc w:val="left"/>
        <w:pPr>
          <w:ind w:left="0" w:firstLine="0"/>
        </w:pPr>
        <w:rPr>
          <w:rFonts w:hint="eastAsia"/>
        </w:rPr>
      </w:lvl>
    </w:lvlOverride>
    <w:lvlOverride w:ilvl="2">
      <w:lvl w:ilvl="2" w:tentative="1">
        <w:start w:val="1"/>
        <w:numFmt w:val="decimal"/>
        <w:lvlText w:val="%1.%2.%3."/>
        <w:lvlJc w:val="left"/>
        <w:pPr>
          <w:ind w:left="709" w:hanging="709"/>
        </w:pPr>
        <w:rPr>
          <w:rFonts w:hint="eastAsia"/>
          <w:b w:val="0"/>
          <w:i w:val="0"/>
          <w:sz w:val="21"/>
        </w:rPr>
      </w:lvl>
    </w:lvlOverride>
    <w:lvlOverride w:ilvl="3">
      <w:lvl w:ilvl="3" w:tentative="1">
        <w:start w:val="1"/>
        <w:numFmt w:val="decimal"/>
        <w:lvlText w:val="%1.%2.%3.%4."/>
        <w:lvlJc w:val="left"/>
        <w:pPr>
          <w:ind w:left="851" w:hanging="851"/>
        </w:pPr>
        <w:rPr>
          <w:rFonts w:hint="eastAsia"/>
          <w:b w:val="0"/>
          <w:i w:val="0"/>
          <w:sz w:val="21"/>
        </w:rPr>
      </w:lvl>
    </w:lvlOverride>
    <w:lvlOverride w:ilvl="4">
      <w:lvl w:ilvl="4" w:tentative="1">
        <w:start w:val="1"/>
        <w:numFmt w:val="decimal"/>
        <w:lvlText w:val="%1.%2.%3.%4.%5."/>
        <w:lvlJc w:val="left"/>
        <w:pPr>
          <w:ind w:left="992" w:hanging="992"/>
        </w:pPr>
        <w:rPr>
          <w:rFonts w:hint="eastAsia"/>
          <w:b w:val="0"/>
          <w:i w:val="0"/>
          <w:sz w:val="21"/>
        </w:rPr>
      </w:lvl>
    </w:lvlOverride>
    <w:lvlOverride w:ilvl="5">
      <w:lvl w:ilvl="5" w:tentative="1">
        <w:start w:val="1"/>
        <w:numFmt w:val="decimal"/>
        <w:lvlText w:val="%1.%2.%3.%4.%5.%6."/>
        <w:lvlJc w:val="left"/>
        <w:pPr>
          <w:ind w:left="1134" w:hanging="1134"/>
        </w:pPr>
        <w:rPr>
          <w:rFonts w:hint="eastAsia"/>
          <w:b w:val="0"/>
          <w:i w:val="0"/>
          <w:sz w:val="21"/>
        </w:rPr>
      </w:lvl>
    </w:lvlOverride>
    <w:lvlOverride w:ilvl="6">
      <w:lvl w:ilvl="6" w:tentative="1">
        <w:start w:val="1"/>
        <w:numFmt w:val="decimal"/>
        <w:lvlText w:val="%1.%2.%3.%4.%5.%6.%7."/>
        <w:lvlJc w:val="left"/>
        <w:pPr>
          <w:ind w:left="1276" w:hanging="1276"/>
        </w:pPr>
        <w:rPr>
          <w:rFonts w:hint="eastAsia"/>
          <w:b w:val="0"/>
          <w:i w:val="0"/>
          <w:sz w:val="21"/>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19" w16cid:durableId="590235808">
    <w:abstractNumId w:val="18"/>
  </w:num>
  <w:num w:numId="20" w16cid:durableId="943616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liMDkzOTc3MzM2Nzk1ZGQyNzc1N2M2MDIyYTIyZmUifQ=="/>
  </w:docVars>
  <w:rsids>
    <w:rsidRoot w:val="00035925"/>
    <w:rsid w:val="9D67114B"/>
    <w:rsid w:val="BF7B409A"/>
    <w:rsid w:val="CFC6EB1F"/>
    <w:rsid w:val="D08F775E"/>
    <w:rsid w:val="EFB6413A"/>
    <w:rsid w:val="F7FEFBA9"/>
    <w:rsid w:val="F8D848FC"/>
    <w:rsid w:val="FB3F39A1"/>
    <w:rsid w:val="FFFD177A"/>
    <w:rsid w:val="00000244"/>
    <w:rsid w:val="00000AAF"/>
    <w:rsid w:val="00000BB3"/>
    <w:rsid w:val="000017AA"/>
    <w:rsid w:val="0000185F"/>
    <w:rsid w:val="00004912"/>
    <w:rsid w:val="00004B91"/>
    <w:rsid w:val="00004E32"/>
    <w:rsid w:val="0000586F"/>
    <w:rsid w:val="00005DF1"/>
    <w:rsid w:val="000075E5"/>
    <w:rsid w:val="00007729"/>
    <w:rsid w:val="000109EC"/>
    <w:rsid w:val="00010AEB"/>
    <w:rsid w:val="00011722"/>
    <w:rsid w:val="00011BC5"/>
    <w:rsid w:val="00012EE5"/>
    <w:rsid w:val="00013330"/>
    <w:rsid w:val="00013D86"/>
    <w:rsid w:val="00013E02"/>
    <w:rsid w:val="0001554C"/>
    <w:rsid w:val="0001778E"/>
    <w:rsid w:val="00017F8A"/>
    <w:rsid w:val="00020467"/>
    <w:rsid w:val="00020B2E"/>
    <w:rsid w:val="0002143C"/>
    <w:rsid w:val="00022276"/>
    <w:rsid w:val="00022EEF"/>
    <w:rsid w:val="00025A65"/>
    <w:rsid w:val="00025F79"/>
    <w:rsid w:val="00026C31"/>
    <w:rsid w:val="00027280"/>
    <w:rsid w:val="00027B5E"/>
    <w:rsid w:val="000320A7"/>
    <w:rsid w:val="000325EA"/>
    <w:rsid w:val="0003557E"/>
    <w:rsid w:val="00035925"/>
    <w:rsid w:val="00035FF0"/>
    <w:rsid w:val="00036C2C"/>
    <w:rsid w:val="0004196F"/>
    <w:rsid w:val="00044D1D"/>
    <w:rsid w:val="00045A7C"/>
    <w:rsid w:val="00045F53"/>
    <w:rsid w:val="00050112"/>
    <w:rsid w:val="000544DC"/>
    <w:rsid w:val="00054AED"/>
    <w:rsid w:val="00055371"/>
    <w:rsid w:val="00056846"/>
    <w:rsid w:val="00056A24"/>
    <w:rsid w:val="00056AA1"/>
    <w:rsid w:val="000579CE"/>
    <w:rsid w:val="00057CE5"/>
    <w:rsid w:val="000607A3"/>
    <w:rsid w:val="00061A69"/>
    <w:rsid w:val="000643B8"/>
    <w:rsid w:val="000657F7"/>
    <w:rsid w:val="000667B0"/>
    <w:rsid w:val="000670AF"/>
    <w:rsid w:val="00067CDF"/>
    <w:rsid w:val="0007079F"/>
    <w:rsid w:val="00071430"/>
    <w:rsid w:val="00071D5F"/>
    <w:rsid w:val="00073A5F"/>
    <w:rsid w:val="00074FBE"/>
    <w:rsid w:val="00075833"/>
    <w:rsid w:val="0007762A"/>
    <w:rsid w:val="000818FF"/>
    <w:rsid w:val="00081F6E"/>
    <w:rsid w:val="000828D2"/>
    <w:rsid w:val="000829EF"/>
    <w:rsid w:val="00083A09"/>
    <w:rsid w:val="00083E15"/>
    <w:rsid w:val="00084AD8"/>
    <w:rsid w:val="000865C6"/>
    <w:rsid w:val="00087609"/>
    <w:rsid w:val="00087E05"/>
    <w:rsid w:val="0009005E"/>
    <w:rsid w:val="00090F11"/>
    <w:rsid w:val="000918A9"/>
    <w:rsid w:val="00092001"/>
    <w:rsid w:val="00092618"/>
    <w:rsid w:val="00092857"/>
    <w:rsid w:val="00092BD8"/>
    <w:rsid w:val="00093198"/>
    <w:rsid w:val="0009372F"/>
    <w:rsid w:val="00094DFB"/>
    <w:rsid w:val="000964C7"/>
    <w:rsid w:val="00097868"/>
    <w:rsid w:val="000979D9"/>
    <w:rsid w:val="000A20A9"/>
    <w:rsid w:val="000A2741"/>
    <w:rsid w:val="000A2B30"/>
    <w:rsid w:val="000A2B86"/>
    <w:rsid w:val="000A48B1"/>
    <w:rsid w:val="000A5890"/>
    <w:rsid w:val="000A63B7"/>
    <w:rsid w:val="000A7BFF"/>
    <w:rsid w:val="000B0B3A"/>
    <w:rsid w:val="000B2C6A"/>
    <w:rsid w:val="000B2F0E"/>
    <w:rsid w:val="000B3143"/>
    <w:rsid w:val="000B405D"/>
    <w:rsid w:val="000B7C78"/>
    <w:rsid w:val="000C0249"/>
    <w:rsid w:val="000C09ED"/>
    <w:rsid w:val="000C2BE6"/>
    <w:rsid w:val="000C5E4F"/>
    <w:rsid w:val="000C5EF3"/>
    <w:rsid w:val="000C6A40"/>
    <w:rsid w:val="000C6B05"/>
    <w:rsid w:val="000C6DD6"/>
    <w:rsid w:val="000C73D4"/>
    <w:rsid w:val="000D0589"/>
    <w:rsid w:val="000D1D99"/>
    <w:rsid w:val="000D3D4C"/>
    <w:rsid w:val="000D42E4"/>
    <w:rsid w:val="000D4F51"/>
    <w:rsid w:val="000D67A6"/>
    <w:rsid w:val="000D718B"/>
    <w:rsid w:val="000E0C46"/>
    <w:rsid w:val="000E15EE"/>
    <w:rsid w:val="000E2C00"/>
    <w:rsid w:val="000E4D24"/>
    <w:rsid w:val="000E740F"/>
    <w:rsid w:val="000F030C"/>
    <w:rsid w:val="000F129C"/>
    <w:rsid w:val="000F174F"/>
    <w:rsid w:val="000F18C2"/>
    <w:rsid w:val="000F236A"/>
    <w:rsid w:val="000F4666"/>
    <w:rsid w:val="000F7892"/>
    <w:rsid w:val="00100F00"/>
    <w:rsid w:val="00104E29"/>
    <w:rsid w:val="0010517C"/>
    <w:rsid w:val="001056DE"/>
    <w:rsid w:val="001064EE"/>
    <w:rsid w:val="001100DC"/>
    <w:rsid w:val="001106FA"/>
    <w:rsid w:val="0011090E"/>
    <w:rsid w:val="00110F46"/>
    <w:rsid w:val="00110FB6"/>
    <w:rsid w:val="00111F51"/>
    <w:rsid w:val="001124C0"/>
    <w:rsid w:val="00112C03"/>
    <w:rsid w:val="001130BB"/>
    <w:rsid w:val="00114E9C"/>
    <w:rsid w:val="0011726A"/>
    <w:rsid w:val="00117A25"/>
    <w:rsid w:val="00117D06"/>
    <w:rsid w:val="0012053B"/>
    <w:rsid w:val="00121293"/>
    <w:rsid w:val="0012186A"/>
    <w:rsid w:val="00122681"/>
    <w:rsid w:val="001227EF"/>
    <w:rsid w:val="001246C4"/>
    <w:rsid w:val="00125111"/>
    <w:rsid w:val="00126EF7"/>
    <w:rsid w:val="0012716A"/>
    <w:rsid w:val="0013175F"/>
    <w:rsid w:val="00132283"/>
    <w:rsid w:val="0013364D"/>
    <w:rsid w:val="001343BB"/>
    <w:rsid w:val="00134596"/>
    <w:rsid w:val="00135E72"/>
    <w:rsid w:val="00135EF5"/>
    <w:rsid w:val="00137CD1"/>
    <w:rsid w:val="00137CFE"/>
    <w:rsid w:val="00143E03"/>
    <w:rsid w:val="00145229"/>
    <w:rsid w:val="00145CA3"/>
    <w:rsid w:val="001512B4"/>
    <w:rsid w:val="00153A26"/>
    <w:rsid w:val="00154458"/>
    <w:rsid w:val="00154539"/>
    <w:rsid w:val="0015471A"/>
    <w:rsid w:val="00154A00"/>
    <w:rsid w:val="0015532F"/>
    <w:rsid w:val="00155C90"/>
    <w:rsid w:val="00155EF9"/>
    <w:rsid w:val="00160358"/>
    <w:rsid w:val="001620A5"/>
    <w:rsid w:val="001644DF"/>
    <w:rsid w:val="001646B2"/>
    <w:rsid w:val="00164E53"/>
    <w:rsid w:val="00165D35"/>
    <w:rsid w:val="00166264"/>
    <w:rsid w:val="001664B0"/>
    <w:rsid w:val="0016699D"/>
    <w:rsid w:val="001670D9"/>
    <w:rsid w:val="00167A97"/>
    <w:rsid w:val="0017281A"/>
    <w:rsid w:val="00175159"/>
    <w:rsid w:val="00175584"/>
    <w:rsid w:val="00175AD7"/>
    <w:rsid w:val="00176208"/>
    <w:rsid w:val="0017643A"/>
    <w:rsid w:val="0017780C"/>
    <w:rsid w:val="00177BE5"/>
    <w:rsid w:val="00180B69"/>
    <w:rsid w:val="00180F6E"/>
    <w:rsid w:val="001813B2"/>
    <w:rsid w:val="001819AA"/>
    <w:rsid w:val="00181F4A"/>
    <w:rsid w:val="0018211B"/>
    <w:rsid w:val="001825EE"/>
    <w:rsid w:val="00183840"/>
    <w:rsid w:val="00183FE1"/>
    <w:rsid w:val="001840D3"/>
    <w:rsid w:val="0018425E"/>
    <w:rsid w:val="00184704"/>
    <w:rsid w:val="00184782"/>
    <w:rsid w:val="00185B39"/>
    <w:rsid w:val="00185CEE"/>
    <w:rsid w:val="00187A8A"/>
    <w:rsid w:val="001900F8"/>
    <w:rsid w:val="00190F0C"/>
    <w:rsid w:val="001910BF"/>
    <w:rsid w:val="00191258"/>
    <w:rsid w:val="00192680"/>
    <w:rsid w:val="00192C2A"/>
    <w:rsid w:val="00193037"/>
    <w:rsid w:val="00193375"/>
    <w:rsid w:val="00193A2C"/>
    <w:rsid w:val="00194361"/>
    <w:rsid w:val="001949B3"/>
    <w:rsid w:val="00195171"/>
    <w:rsid w:val="00197607"/>
    <w:rsid w:val="00197EBA"/>
    <w:rsid w:val="001A288E"/>
    <w:rsid w:val="001A4B0E"/>
    <w:rsid w:val="001A5C69"/>
    <w:rsid w:val="001A675A"/>
    <w:rsid w:val="001A692E"/>
    <w:rsid w:val="001A7FA4"/>
    <w:rsid w:val="001B09DF"/>
    <w:rsid w:val="001B36ED"/>
    <w:rsid w:val="001B442B"/>
    <w:rsid w:val="001B4613"/>
    <w:rsid w:val="001B6DC2"/>
    <w:rsid w:val="001B72F2"/>
    <w:rsid w:val="001B754B"/>
    <w:rsid w:val="001C0393"/>
    <w:rsid w:val="001C149C"/>
    <w:rsid w:val="001C21AC"/>
    <w:rsid w:val="001C26A9"/>
    <w:rsid w:val="001C2B9C"/>
    <w:rsid w:val="001C2FA4"/>
    <w:rsid w:val="001C3689"/>
    <w:rsid w:val="001C47BA"/>
    <w:rsid w:val="001C4A51"/>
    <w:rsid w:val="001C59EA"/>
    <w:rsid w:val="001D14C1"/>
    <w:rsid w:val="001D1DA8"/>
    <w:rsid w:val="001D26DF"/>
    <w:rsid w:val="001D3556"/>
    <w:rsid w:val="001D406C"/>
    <w:rsid w:val="001D41EE"/>
    <w:rsid w:val="001D4BEB"/>
    <w:rsid w:val="001D71E6"/>
    <w:rsid w:val="001D7315"/>
    <w:rsid w:val="001D74E0"/>
    <w:rsid w:val="001E02B5"/>
    <w:rsid w:val="001E0380"/>
    <w:rsid w:val="001E0B1B"/>
    <w:rsid w:val="001E13B1"/>
    <w:rsid w:val="001E1E6E"/>
    <w:rsid w:val="001E2153"/>
    <w:rsid w:val="001E24FB"/>
    <w:rsid w:val="001E64D9"/>
    <w:rsid w:val="001E7895"/>
    <w:rsid w:val="001E7BAA"/>
    <w:rsid w:val="001F1104"/>
    <w:rsid w:val="001F384A"/>
    <w:rsid w:val="001F389D"/>
    <w:rsid w:val="001F3A19"/>
    <w:rsid w:val="001F3E63"/>
    <w:rsid w:val="001F7669"/>
    <w:rsid w:val="002002DD"/>
    <w:rsid w:val="002009E4"/>
    <w:rsid w:val="00201053"/>
    <w:rsid w:val="00201909"/>
    <w:rsid w:val="0020251B"/>
    <w:rsid w:val="00204B68"/>
    <w:rsid w:val="00207124"/>
    <w:rsid w:val="002072C6"/>
    <w:rsid w:val="002073D3"/>
    <w:rsid w:val="00207D1A"/>
    <w:rsid w:val="00211974"/>
    <w:rsid w:val="00211E1E"/>
    <w:rsid w:val="00215D48"/>
    <w:rsid w:val="0021624B"/>
    <w:rsid w:val="0021796B"/>
    <w:rsid w:val="0022185E"/>
    <w:rsid w:val="0022376D"/>
    <w:rsid w:val="00224EAB"/>
    <w:rsid w:val="00225CA6"/>
    <w:rsid w:val="002268CC"/>
    <w:rsid w:val="00226D98"/>
    <w:rsid w:val="00227FED"/>
    <w:rsid w:val="0023030A"/>
    <w:rsid w:val="00230F08"/>
    <w:rsid w:val="002323C4"/>
    <w:rsid w:val="00234467"/>
    <w:rsid w:val="00235BE6"/>
    <w:rsid w:val="00237D8D"/>
    <w:rsid w:val="00241DA2"/>
    <w:rsid w:val="0024362F"/>
    <w:rsid w:val="0024564F"/>
    <w:rsid w:val="0024591F"/>
    <w:rsid w:val="002477C6"/>
    <w:rsid w:val="00247942"/>
    <w:rsid w:val="00247FEE"/>
    <w:rsid w:val="002503C2"/>
    <w:rsid w:val="00250520"/>
    <w:rsid w:val="00250B25"/>
    <w:rsid w:val="00250E7D"/>
    <w:rsid w:val="00251722"/>
    <w:rsid w:val="00251892"/>
    <w:rsid w:val="002523DB"/>
    <w:rsid w:val="002527DD"/>
    <w:rsid w:val="00252DAA"/>
    <w:rsid w:val="002565D5"/>
    <w:rsid w:val="00256E89"/>
    <w:rsid w:val="00260054"/>
    <w:rsid w:val="00260E8A"/>
    <w:rsid w:val="00262274"/>
    <w:rsid w:val="002622C0"/>
    <w:rsid w:val="0026248E"/>
    <w:rsid w:val="002640B2"/>
    <w:rsid w:val="0026482F"/>
    <w:rsid w:val="00265824"/>
    <w:rsid w:val="00266DE9"/>
    <w:rsid w:val="002716A2"/>
    <w:rsid w:val="00274C23"/>
    <w:rsid w:val="00276383"/>
    <w:rsid w:val="002778AE"/>
    <w:rsid w:val="002805B0"/>
    <w:rsid w:val="0028269A"/>
    <w:rsid w:val="0028281B"/>
    <w:rsid w:val="00283080"/>
    <w:rsid w:val="00283590"/>
    <w:rsid w:val="0028379D"/>
    <w:rsid w:val="00283C8D"/>
    <w:rsid w:val="0028488E"/>
    <w:rsid w:val="00284CAE"/>
    <w:rsid w:val="00284D90"/>
    <w:rsid w:val="0028604A"/>
    <w:rsid w:val="00286973"/>
    <w:rsid w:val="00287674"/>
    <w:rsid w:val="00287A79"/>
    <w:rsid w:val="00290F6A"/>
    <w:rsid w:val="002938A4"/>
    <w:rsid w:val="002938C1"/>
    <w:rsid w:val="00294E70"/>
    <w:rsid w:val="002954B8"/>
    <w:rsid w:val="002967B2"/>
    <w:rsid w:val="00296981"/>
    <w:rsid w:val="002979EA"/>
    <w:rsid w:val="002A061F"/>
    <w:rsid w:val="002A0A92"/>
    <w:rsid w:val="002A1924"/>
    <w:rsid w:val="002A37E0"/>
    <w:rsid w:val="002A381E"/>
    <w:rsid w:val="002A5AEE"/>
    <w:rsid w:val="002A5E37"/>
    <w:rsid w:val="002A63C7"/>
    <w:rsid w:val="002A7409"/>
    <w:rsid w:val="002A7420"/>
    <w:rsid w:val="002A7A7E"/>
    <w:rsid w:val="002B045B"/>
    <w:rsid w:val="002B0F12"/>
    <w:rsid w:val="002B1308"/>
    <w:rsid w:val="002B13BD"/>
    <w:rsid w:val="002B44DB"/>
    <w:rsid w:val="002B4554"/>
    <w:rsid w:val="002B5A4A"/>
    <w:rsid w:val="002B5F0C"/>
    <w:rsid w:val="002B707C"/>
    <w:rsid w:val="002C04BE"/>
    <w:rsid w:val="002C0D46"/>
    <w:rsid w:val="002C124B"/>
    <w:rsid w:val="002C182F"/>
    <w:rsid w:val="002C6555"/>
    <w:rsid w:val="002C72D8"/>
    <w:rsid w:val="002D11FA"/>
    <w:rsid w:val="002D17BC"/>
    <w:rsid w:val="002D19A4"/>
    <w:rsid w:val="002D22AD"/>
    <w:rsid w:val="002D2643"/>
    <w:rsid w:val="002D28CF"/>
    <w:rsid w:val="002D29AC"/>
    <w:rsid w:val="002D3040"/>
    <w:rsid w:val="002D4FB2"/>
    <w:rsid w:val="002D6352"/>
    <w:rsid w:val="002D662B"/>
    <w:rsid w:val="002D70DA"/>
    <w:rsid w:val="002D7160"/>
    <w:rsid w:val="002E0DDF"/>
    <w:rsid w:val="002E2906"/>
    <w:rsid w:val="002E5635"/>
    <w:rsid w:val="002E5D97"/>
    <w:rsid w:val="002E64C3"/>
    <w:rsid w:val="002E64D8"/>
    <w:rsid w:val="002E6A2C"/>
    <w:rsid w:val="002E7A4E"/>
    <w:rsid w:val="002E7E21"/>
    <w:rsid w:val="002E7FE1"/>
    <w:rsid w:val="002F035E"/>
    <w:rsid w:val="002F0FE8"/>
    <w:rsid w:val="002F1D8C"/>
    <w:rsid w:val="002F21DA"/>
    <w:rsid w:val="002F33F6"/>
    <w:rsid w:val="002F34B8"/>
    <w:rsid w:val="002F372E"/>
    <w:rsid w:val="002F3936"/>
    <w:rsid w:val="002F754B"/>
    <w:rsid w:val="00301F39"/>
    <w:rsid w:val="00302455"/>
    <w:rsid w:val="00302A3F"/>
    <w:rsid w:val="00302A7C"/>
    <w:rsid w:val="00303A0B"/>
    <w:rsid w:val="00303D27"/>
    <w:rsid w:val="00305B18"/>
    <w:rsid w:val="00305BEE"/>
    <w:rsid w:val="003066A4"/>
    <w:rsid w:val="00307B66"/>
    <w:rsid w:val="0031054C"/>
    <w:rsid w:val="0031242C"/>
    <w:rsid w:val="00313962"/>
    <w:rsid w:val="00313D13"/>
    <w:rsid w:val="00316240"/>
    <w:rsid w:val="00316ACB"/>
    <w:rsid w:val="003175AF"/>
    <w:rsid w:val="003211D4"/>
    <w:rsid w:val="00321A69"/>
    <w:rsid w:val="00322005"/>
    <w:rsid w:val="003221D9"/>
    <w:rsid w:val="003228B2"/>
    <w:rsid w:val="00322E45"/>
    <w:rsid w:val="0032322B"/>
    <w:rsid w:val="003234E0"/>
    <w:rsid w:val="00324C71"/>
    <w:rsid w:val="00324C99"/>
    <w:rsid w:val="00325926"/>
    <w:rsid w:val="003262BE"/>
    <w:rsid w:val="0032693C"/>
    <w:rsid w:val="00327A8A"/>
    <w:rsid w:val="00330810"/>
    <w:rsid w:val="0033101E"/>
    <w:rsid w:val="003314BA"/>
    <w:rsid w:val="00332D69"/>
    <w:rsid w:val="003339A3"/>
    <w:rsid w:val="00333C6A"/>
    <w:rsid w:val="003360B1"/>
    <w:rsid w:val="00336610"/>
    <w:rsid w:val="003371B8"/>
    <w:rsid w:val="00337E8E"/>
    <w:rsid w:val="003405F0"/>
    <w:rsid w:val="00341F5C"/>
    <w:rsid w:val="00342B10"/>
    <w:rsid w:val="00343D23"/>
    <w:rsid w:val="00343F73"/>
    <w:rsid w:val="0034419F"/>
    <w:rsid w:val="00344591"/>
    <w:rsid w:val="00345060"/>
    <w:rsid w:val="003451FB"/>
    <w:rsid w:val="00347BA6"/>
    <w:rsid w:val="00350DE7"/>
    <w:rsid w:val="00350F5C"/>
    <w:rsid w:val="00351974"/>
    <w:rsid w:val="00352629"/>
    <w:rsid w:val="0035323B"/>
    <w:rsid w:val="00353D19"/>
    <w:rsid w:val="00355CE5"/>
    <w:rsid w:val="00357038"/>
    <w:rsid w:val="0035725E"/>
    <w:rsid w:val="0035758C"/>
    <w:rsid w:val="0035785A"/>
    <w:rsid w:val="003578FA"/>
    <w:rsid w:val="003609D2"/>
    <w:rsid w:val="00360DF5"/>
    <w:rsid w:val="003611FF"/>
    <w:rsid w:val="00363F22"/>
    <w:rsid w:val="00364813"/>
    <w:rsid w:val="00364940"/>
    <w:rsid w:val="00364C73"/>
    <w:rsid w:val="003667B2"/>
    <w:rsid w:val="00371A22"/>
    <w:rsid w:val="00375564"/>
    <w:rsid w:val="00376489"/>
    <w:rsid w:val="003767BA"/>
    <w:rsid w:val="003768D4"/>
    <w:rsid w:val="00376BCC"/>
    <w:rsid w:val="003806F6"/>
    <w:rsid w:val="00383191"/>
    <w:rsid w:val="00384BE7"/>
    <w:rsid w:val="00385B34"/>
    <w:rsid w:val="003866F0"/>
    <w:rsid w:val="00386DED"/>
    <w:rsid w:val="0039074A"/>
    <w:rsid w:val="003912E7"/>
    <w:rsid w:val="0039296F"/>
    <w:rsid w:val="00393947"/>
    <w:rsid w:val="00395141"/>
    <w:rsid w:val="003A0E27"/>
    <w:rsid w:val="003A2117"/>
    <w:rsid w:val="003A2275"/>
    <w:rsid w:val="003A2308"/>
    <w:rsid w:val="003A4469"/>
    <w:rsid w:val="003A6A4F"/>
    <w:rsid w:val="003A7088"/>
    <w:rsid w:val="003B00DF"/>
    <w:rsid w:val="003B072E"/>
    <w:rsid w:val="003B1275"/>
    <w:rsid w:val="003B1778"/>
    <w:rsid w:val="003B18C3"/>
    <w:rsid w:val="003B19C2"/>
    <w:rsid w:val="003B1E8E"/>
    <w:rsid w:val="003B2EF4"/>
    <w:rsid w:val="003B5E15"/>
    <w:rsid w:val="003B7DE7"/>
    <w:rsid w:val="003C11CB"/>
    <w:rsid w:val="003C1591"/>
    <w:rsid w:val="003C3017"/>
    <w:rsid w:val="003C31E0"/>
    <w:rsid w:val="003C3968"/>
    <w:rsid w:val="003C6A77"/>
    <w:rsid w:val="003C75F3"/>
    <w:rsid w:val="003C78A3"/>
    <w:rsid w:val="003D0978"/>
    <w:rsid w:val="003D1BE6"/>
    <w:rsid w:val="003D36AB"/>
    <w:rsid w:val="003D3E71"/>
    <w:rsid w:val="003D59E5"/>
    <w:rsid w:val="003D7326"/>
    <w:rsid w:val="003E01F2"/>
    <w:rsid w:val="003E05B0"/>
    <w:rsid w:val="003E1447"/>
    <w:rsid w:val="003E1867"/>
    <w:rsid w:val="003E22B4"/>
    <w:rsid w:val="003E495A"/>
    <w:rsid w:val="003E55F5"/>
    <w:rsid w:val="003E569F"/>
    <w:rsid w:val="003E5729"/>
    <w:rsid w:val="003E5C28"/>
    <w:rsid w:val="003E724E"/>
    <w:rsid w:val="003E7F8C"/>
    <w:rsid w:val="003F1D40"/>
    <w:rsid w:val="003F22BB"/>
    <w:rsid w:val="003F2A5B"/>
    <w:rsid w:val="003F4EE0"/>
    <w:rsid w:val="003F5559"/>
    <w:rsid w:val="00400473"/>
    <w:rsid w:val="00400DB5"/>
    <w:rsid w:val="00400FC6"/>
    <w:rsid w:val="00402153"/>
    <w:rsid w:val="00402E26"/>
    <w:rsid w:val="00402FC1"/>
    <w:rsid w:val="0040352E"/>
    <w:rsid w:val="00403B71"/>
    <w:rsid w:val="00404BCC"/>
    <w:rsid w:val="00405926"/>
    <w:rsid w:val="00405FE8"/>
    <w:rsid w:val="0040603F"/>
    <w:rsid w:val="004075F3"/>
    <w:rsid w:val="00410011"/>
    <w:rsid w:val="004125AA"/>
    <w:rsid w:val="00415413"/>
    <w:rsid w:val="00415681"/>
    <w:rsid w:val="00415BCC"/>
    <w:rsid w:val="0041603E"/>
    <w:rsid w:val="004200D9"/>
    <w:rsid w:val="0042017D"/>
    <w:rsid w:val="0042060C"/>
    <w:rsid w:val="004237F1"/>
    <w:rsid w:val="00423BCF"/>
    <w:rsid w:val="00424E56"/>
    <w:rsid w:val="00425082"/>
    <w:rsid w:val="00425339"/>
    <w:rsid w:val="00431730"/>
    <w:rsid w:val="00431847"/>
    <w:rsid w:val="00431DEB"/>
    <w:rsid w:val="004328B6"/>
    <w:rsid w:val="00432C18"/>
    <w:rsid w:val="00433F4E"/>
    <w:rsid w:val="00434AFB"/>
    <w:rsid w:val="00434EC7"/>
    <w:rsid w:val="0043585F"/>
    <w:rsid w:val="0044259D"/>
    <w:rsid w:val="0044282A"/>
    <w:rsid w:val="00442966"/>
    <w:rsid w:val="004439D9"/>
    <w:rsid w:val="004444E6"/>
    <w:rsid w:val="004450C6"/>
    <w:rsid w:val="00446B29"/>
    <w:rsid w:val="004475AA"/>
    <w:rsid w:val="004504E4"/>
    <w:rsid w:val="004508DF"/>
    <w:rsid w:val="004522AE"/>
    <w:rsid w:val="004524BE"/>
    <w:rsid w:val="00453F9A"/>
    <w:rsid w:val="0045434E"/>
    <w:rsid w:val="00454794"/>
    <w:rsid w:val="00454A44"/>
    <w:rsid w:val="00454CC3"/>
    <w:rsid w:val="00455965"/>
    <w:rsid w:val="00456E14"/>
    <w:rsid w:val="00461A02"/>
    <w:rsid w:val="0046389C"/>
    <w:rsid w:val="00464903"/>
    <w:rsid w:val="004652B2"/>
    <w:rsid w:val="004665C4"/>
    <w:rsid w:val="00467075"/>
    <w:rsid w:val="004670D1"/>
    <w:rsid w:val="00470069"/>
    <w:rsid w:val="00471E91"/>
    <w:rsid w:val="00472DE3"/>
    <w:rsid w:val="00474079"/>
    <w:rsid w:val="00474675"/>
    <w:rsid w:val="0047470C"/>
    <w:rsid w:val="00476FB6"/>
    <w:rsid w:val="00477F27"/>
    <w:rsid w:val="0048058D"/>
    <w:rsid w:val="004826C0"/>
    <w:rsid w:val="00484C88"/>
    <w:rsid w:val="00485A79"/>
    <w:rsid w:val="00486357"/>
    <w:rsid w:val="00487199"/>
    <w:rsid w:val="00490779"/>
    <w:rsid w:val="004928BA"/>
    <w:rsid w:val="0049497D"/>
    <w:rsid w:val="0049562A"/>
    <w:rsid w:val="00495B25"/>
    <w:rsid w:val="0049678C"/>
    <w:rsid w:val="0049689E"/>
    <w:rsid w:val="004970F1"/>
    <w:rsid w:val="004A04BF"/>
    <w:rsid w:val="004A157B"/>
    <w:rsid w:val="004A203E"/>
    <w:rsid w:val="004A26D7"/>
    <w:rsid w:val="004A293D"/>
    <w:rsid w:val="004A3293"/>
    <w:rsid w:val="004A35F9"/>
    <w:rsid w:val="004A3AF2"/>
    <w:rsid w:val="004A4324"/>
    <w:rsid w:val="004A444F"/>
    <w:rsid w:val="004A4662"/>
    <w:rsid w:val="004A63B4"/>
    <w:rsid w:val="004A6537"/>
    <w:rsid w:val="004A7E02"/>
    <w:rsid w:val="004B04DE"/>
    <w:rsid w:val="004B05F5"/>
    <w:rsid w:val="004B157A"/>
    <w:rsid w:val="004B1E4A"/>
    <w:rsid w:val="004B2032"/>
    <w:rsid w:val="004B24C1"/>
    <w:rsid w:val="004B3092"/>
    <w:rsid w:val="004B4779"/>
    <w:rsid w:val="004B49B1"/>
    <w:rsid w:val="004B557C"/>
    <w:rsid w:val="004B5C36"/>
    <w:rsid w:val="004B6141"/>
    <w:rsid w:val="004C292F"/>
    <w:rsid w:val="004C657F"/>
    <w:rsid w:val="004C7A62"/>
    <w:rsid w:val="004D306F"/>
    <w:rsid w:val="004D3954"/>
    <w:rsid w:val="004D3A66"/>
    <w:rsid w:val="004D416A"/>
    <w:rsid w:val="004D48BC"/>
    <w:rsid w:val="004D4B02"/>
    <w:rsid w:val="004D4F76"/>
    <w:rsid w:val="004E05F4"/>
    <w:rsid w:val="004E1C49"/>
    <w:rsid w:val="004E29E7"/>
    <w:rsid w:val="004E480B"/>
    <w:rsid w:val="004E4B13"/>
    <w:rsid w:val="004E4B8C"/>
    <w:rsid w:val="004E5A47"/>
    <w:rsid w:val="004E5EEC"/>
    <w:rsid w:val="004E7246"/>
    <w:rsid w:val="004F0F75"/>
    <w:rsid w:val="004F1458"/>
    <w:rsid w:val="004F1596"/>
    <w:rsid w:val="004F2EF3"/>
    <w:rsid w:val="004F50C5"/>
    <w:rsid w:val="004F6ED2"/>
    <w:rsid w:val="004F733E"/>
    <w:rsid w:val="005036E2"/>
    <w:rsid w:val="00503892"/>
    <w:rsid w:val="00504591"/>
    <w:rsid w:val="00505981"/>
    <w:rsid w:val="0050598D"/>
    <w:rsid w:val="00510280"/>
    <w:rsid w:val="00510AAE"/>
    <w:rsid w:val="00511F43"/>
    <w:rsid w:val="00513D73"/>
    <w:rsid w:val="00514036"/>
    <w:rsid w:val="0051449A"/>
    <w:rsid w:val="005148B3"/>
    <w:rsid w:val="00514A43"/>
    <w:rsid w:val="005156B8"/>
    <w:rsid w:val="00515E9C"/>
    <w:rsid w:val="005174E5"/>
    <w:rsid w:val="00520898"/>
    <w:rsid w:val="005211A3"/>
    <w:rsid w:val="005211E6"/>
    <w:rsid w:val="00522393"/>
    <w:rsid w:val="00522620"/>
    <w:rsid w:val="00522B90"/>
    <w:rsid w:val="00522ED8"/>
    <w:rsid w:val="00525656"/>
    <w:rsid w:val="00525BF3"/>
    <w:rsid w:val="00526F38"/>
    <w:rsid w:val="00527A15"/>
    <w:rsid w:val="005332ED"/>
    <w:rsid w:val="0053390D"/>
    <w:rsid w:val="00534C02"/>
    <w:rsid w:val="005362B4"/>
    <w:rsid w:val="00536942"/>
    <w:rsid w:val="0054002F"/>
    <w:rsid w:val="0054044C"/>
    <w:rsid w:val="0054134C"/>
    <w:rsid w:val="0054264B"/>
    <w:rsid w:val="00543786"/>
    <w:rsid w:val="00543EC5"/>
    <w:rsid w:val="00545A49"/>
    <w:rsid w:val="00545B07"/>
    <w:rsid w:val="005463CB"/>
    <w:rsid w:val="005463CC"/>
    <w:rsid w:val="00546D0D"/>
    <w:rsid w:val="005500D7"/>
    <w:rsid w:val="00550260"/>
    <w:rsid w:val="005507FB"/>
    <w:rsid w:val="0055099B"/>
    <w:rsid w:val="0055153A"/>
    <w:rsid w:val="00553223"/>
    <w:rsid w:val="005533D7"/>
    <w:rsid w:val="00554B63"/>
    <w:rsid w:val="0055628F"/>
    <w:rsid w:val="005604B1"/>
    <w:rsid w:val="005606EE"/>
    <w:rsid w:val="00561651"/>
    <w:rsid w:val="00562CF6"/>
    <w:rsid w:val="00562E09"/>
    <w:rsid w:val="0056544B"/>
    <w:rsid w:val="00565A1E"/>
    <w:rsid w:val="00567177"/>
    <w:rsid w:val="005678DE"/>
    <w:rsid w:val="00567C21"/>
    <w:rsid w:val="005703DE"/>
    <w:rsid w:val="00570E8F"/>
    <w:rsid w:val="005710BC"/>
    <w:rsid w:val="005727A7"/>
    <w:rsid w:val="00573364"/>
    <w:rsid w:val="005752E0"/>
    <w:rsid w:val="005755F1"/>
    <w:rsid w:val="00575B0F"/>
    <w:rsid w:val="00576AD5"/>
    <w:rsid w:val="0057754D"/>
    <w:rsid w:val="00577AE9"/>
    <w:rsid w:val="005812DC"/>
    <w:rsid w:val="00582BBE"/>
    <w:rsid w:val="0058464E"/>
    <w:rsid w:val="0058650E"/>
    <w:rsid w:val="005866EF"/>
    <w:rsid w:val="005878CA"/>
    <w:rsid w:val="005927D7"/>
    <w:rsid w:val="00593B6C"/>
    <w:rsid w:val="00593CF4"/>
    <w:rsid w:val="00593D11"/>
    <w:rsid w:val="0059405E"/>
    <w:rsid w:val="005975F1"/>
    <w:rsid w:val="00597601"/>
    <w:rsid w:val="005A002D"/>
    <w:rsid w:val="005A01CB"/>
    <w:rsid w:val="005A1072"/>
    <w:rsid w:val="005A19A9"/>
    <w:rsid w:val="005A50D6"/>
    <w:rsid w:val="005A58FF"/>
    <w:rsid w:val="005A5EAF"/>
    <w:rsid w:val="005A6491"/>
    <w:rsid w:val="005A64C0"/>
    <w:rsid w:val="005A69C5"/>
    <w:rsid w:val="005A75E8"/>
    <w:rsid w:val="005A78E3"/>
    <w:rsid w:val="005B1304"/>
    <w:rsid w:val="005B1985"/>
    <w:rsid w:val="005B1A1B"/>
    <w:rsid w:val="005B20E0"/>
    <w:rsid w:val="005B382A"/>
    <w:rsid w:val="005B3C11"/>
    <w:rsid w:val="005B537D"/>
    <w:rsid w:val="005B6B97"/>
    <w:rsid w:val="005C14B3"/>
    <w:rsid w:val="005C1B7E"/>
    <w:rsid w:val="005C1C28"/>
    <w:rsid w:val="005C23F3"/>
    <w:rsid w:val="005C36B8"/>
    <w:rsid w:val="005C43D0"/>
    <w:rsid w:val="005C4488"/>
    <w:rsid w:val="005C6DB5"/>
    <w:rsid w:val="005D21C5"/>
    <w:rsid w:val="005D3077"/>
    <w:rsid w:val="005D3842"/>
    <w:rsid w:val="005D3E7C"/>
    <w:rsid w:val="005D6B8B"/>
    <w:rsid w:val="005D787A"/>
    <w:rsid w:val="005E0F28"/>
    <w:rsid w:val="005E140F"/>
    <w:rsid w:val="005E16F2"/>
    <w:rsid w:val="005E19E7"/>
    <w:rsid w:val="005E1D8E"/>
    <w:rsid w:val="005E1E52"/>
    <w:rsid w:val="005E2392"/>
    <w:rsid w:val="005E416E"/>
    <w:rsid w:val="005E6424"/>
    <w:rsid w:val="005F15EC"/>
    <w:rsid w:val="005F1A1D"/>
    <w:rsid w:val="005F2486"/>
    <w:rsid w:val="005F3188"/>
    <w:rsid w:val="005F3CD8"/>
    <w:rsid w:val="005F4CF0"/>
    <w:rsid w:val="005F55C4"/>
    <w:rsid w:val="005F6345"/>
    <w:rsid w:val="005F6B6E"/>
    <w:rsid w:val="005F77EF"/>
    <w:rsid w:val="0060073E"/>
    <w:rsid w:val="00601622"/>
    <w:rsid w:val="0060195D"/>
    <w:rsid w:val="00604A23"/>
    <w:rsid w:val="00604B52"/>
    <w:rsid w:val="00606149"/>
    <w:rsid w:val="00606DBC"/>
    <w:rsid w:val="00607000"/>
    <w:rsid w:val="0060789B"/>
    <w:rsid w:val="00607D7E"/>
    <w:rsid w:val="0061037E"/>
    <w:rsid w:val="00612C43"/>
    <w:rsid w:val="00613FAA"/>
    <w:rsid w:val="006148A0"/>
    <w:rsid w:val="006162B7"/>
    <w:rsid w:val="006168BE"/>
    <w:rsid w:val="00616C36"/>
    <w:rsid w:val="0061716C"/>
    <w:rsid w:val="006171AF"/>
    <w:rsid w:val="00617868"/>
    <w:rsid w:val="00623826"/>
    <w:rsid w:val="00623C8D"/>
    <w:rsid w:val="006243A1"/>
    <w:rsid w:val="00625B11"/>
    <w:rsid w:val="00626005"/>
    <w:rsid w:val="00632D7C"/>
    <w:rsid w:val="00632E56"/>
    <w:rsid w:val="0063451B"/>
    <w:rsid w:val="00634E27"/>
    <w:rsid w:val="00635CBA"/>
    <w:rsid w:val="00636EFC"/>
    <w:rsid w:val="00637B9A"/>
    <w:rsid w:val="00640587"/>
    <w:rsid w:val="006411AF"/>
    <w:rsid w:val="006427C7"/>
    <w:rsid w:val="0064338B"/>
    <w:rsid w:val="006451E2"/>
    <w:rsid w:val="00645CED"/>
    <w:rsid w:val="00646542"/>
    <w:rsid w:val="006502C2"/>
    <w:rsid w:val="006504F4"/>
    <w:rsid w:val="00651628"/>
    <w:rsid w:val="00652774"/>
    <w:rsid w:val="006527D8"/>
    <w:rsid w:val="0065366F"/>
    <w:rsid w:val="006544B4"/>
    <w:rsid w:val="00654BC9"/>
    <w:rsid w:val="006552FD"/>
    <w:rsid w:val="00656BBF"/>
    <w:rsid w:val="00656ED8"/>
    <w:rsid w:val="00656F0B"/>
    <w:rsid w:val="006574CF"/>
    <w:rsid w:val="0066199F"/>
    <w:rsid w:val="00663071"/>
    <w:rsid w:val="00663733"/>
    <w:rsid w:val="00663AF3"/>
    <w:rsid w:val="00663B33"/>
    <w:rsid w:val="00663C47"/>
    <w:rsid w:val="00664C01"/>
    <w:rsid w:val="00666B6C"/>
    <w:rsid w:val="00667B39"/>
    <w:rsid w:val="00671D34"/>
    <w:rsid w:val="00671FB0"/>
    <w:rsid w:val="0067302A"/>
    <w:rsid w:val="0067379B"/>
    <w:rsid w:val="00674E9D"/>
    <w:rsid w:val="006758AF"/>
    <w:rsid w:val="00675FE0"/>
    <w:rsid w:val="006760A4"/>
    <w:rsid w:val="00677B54"/>
    <w:rsid w:val="00682682"/>
    <w:rsid w:val="00682702"/>
    <w:rsid w:val="00685759"/>
    <w:rsid w:val="00687856"/>
    <w:rsid w:val="006922B0"/>
    <w:rsid w:val="00692368"/>
    <w:rsid w:val="0069482E"/>
    <w:rsid w:val="00695192"/>
    <w:rsid w:val="006A0ABA"/>
    <w:rsid w:val="006A2EBC"/>
    <w:rsid w:val="006A451C"/>
    <w:rsid w:val="006A470D"/>
    <w:rsid w:val="006A5EA0"/>
    <w:rsid w:val="006A783B"/>
    <w:rsid w:val="006A7B33"/>
    <w:rsid w:val="006B1C41"/>
    <w:rsid w:val="006B4450"/>
    <w:rsid w:val="006B497F"/>
    <w:rsid w:val="006B4E13"/>
    <w:rsid w:val="006B75DD"/>
    <w:rsid w:val="006B7821"/>
    <w:rsid w:val="006C047C"/>
    <w:rsid w:val="006C3D8B"/>
    <w:rsid w:val="006C5355"/>
    <w:rsid w:val="006C60CD"/>
    <w:rsid w:val="006C67E0"/>
    <w:rsid w:val="006C7ABA"/>
    <w:rsid w:val="006C7E9B"/>
    <w:rsid w:val="006D0135"/>
    <w:rsid w:val="006D02C9"/>
    <w:rsid w:val="006D03A1"/>
    <w:rsid w:val="006D0797"/>
    <w:rsid w:val="006D0A13"/>
    <w:rsid w:val="006D0D60"/>
    <w:rsid w:val="006D1122"/>
    <w:rsid w:val="006D317E"/>
    <w:rsid w:val="006D3B1E"/>
    <w:rsid w:val="006D3C00"/>
    <w:rsid w:val="006D749D"/>
    <w:rsid w:val="006E0544"/>
    <w:rsid w:val="006E06AD"/>
    <w:rsid w:val="006E0BE5"/>
    <w:rsid w:val="006E3675"/>
    <w:rsid w:val="006E4A7F"/>
    <w:rsid w:val="006E5513"/>
    <w:rsid w:val="006E6843"/>
    <w:rsid w:val="006E6D31"/>
    <w:rsid w:val="006E7089"/>
    <w:rsid w:val="006F01B7"/>
    <w:rsid w:val="006F0967"/>
    <w:rsid w:val="006F2274"/>
    <w:rsid w:val="006F3816"/>
    <w:rsid w:val="006F49CB"/>
    <w:rsid w:val="006F5FB9"/>
    <w:rsid w:val="006F64A0"/>
    <w:rsid w:val="006F7395"/>
    <w:rsid w:val="007001F7"/>
    <w:rsid w:val="0070038F"/>
    <w:rsid w:val="0070112D"/>
    <w:rsid w:val="007017BE"/>
    <w:rsid w:val="007027B1"/>
    <w:rsid w:val="0070286C"/>
    <w:rsid w:val="00704DF6"/>
    <w:rsid w:val="00706222"/>
    <w:rsid w:val="0070641D"/>
    <w:rsid w:val="0070651C"/>
    <w:rsid w:val="00706AE5"/>
    <w:rsid w:val="00707224"/>
    <w:rsid w:val="0070794F"/>
    <w:rsid w:val="007132A3"/>
    <w:rsid w:val="00714831"/>
    <w:rsid w:val="00714CE7"/>
    <w:rsid w:val="00715726"/>
    <w:rsid w:val="007157FD"/>
    <w:rsid w:val="00716421"/>
    <w:rsid w:val="0072099F"/>
    <w:rsid w:val="00721419"/>
    <w:rsid w:val="0072307C"/>
    <w:rsid w:val="00724EFB"/>
    <w:rsid w:val="00726575"/>
    <w:rsid w:val="00727D07"/>
    <w:rsid w:val="00730310"/>
    <w:rsid w:val="00730CEF"/>
    <w:rsid w:val="00730F20"/>
    <w:rsid w:val="007315C2"/>
    <w:rsid w:val="007324A3"/>
    <w:rsid w:val="007328B0"/>
    <w:rsid w:val="0073477B"/>
    <w:rsid w:val="00734A7E"/>
    <w:rsid w:val="007355F0"/>
    <w:rsid w:val="0073671C"/>
    <w:rsid w:val="0073722D"/>
    <w:rsid w:val="0073791E"/>
    <w:rsid w:val="00740A49"/>
    <w:rsid w:val="007419C3"/>
    <w:rsid w:val="00746559"/>
    <w:rsid w:val="007467A7"/>
    <w:rsid w:val="007469DD"/>
    <w:rsid w:val="00746B32"/>
    <w:rsid w:val="0074720C"/>
    <w:rsid w:val="0074741A"/>
    <w:rsid w:val="0074741B"/>
    <w:rsid w:val="0074759E"/>
    <w:rsid w:val="007478EA"/>
    <w:rsid w:val="00752155"/>
    <w:rsid w:val="00752CA2"/>
    <w:rsid w:val="00752DD0"/>
    <w:rsid w:val="0075415C"/>
    <w:rsid w:val="00754DC5"/>
    <w:rsid w:val="007551B5"/>
    <w:rsid w:val="00755695"/>
    <w:rsid w:val="00756C1E"/>
    <w:rsid w:val="00757097"/>
    <w:rsid w:val="00757790"/>
    <w:rsid w:val="007606CB"/>
    <w:rsid w:val="00760D25"/>
    <w:rsid w:val="00761E8B"/>
    <w:rsid w:val="00763502"/>
    <w:rsid w:val="00764B6D"/>
    <w:rsid w:val="0076505B"/>
    <w:rsid w:val="00765304"/>
    <w:rsid w:val="00765A48"/>
    <w:rsid w:val="00767117"/>
    <w:rsid w:val="0077017D"/>
    <w:rsid w:val="00770DF3"/>
    <w:rsid w:val="00773DA7"/>
    <w:rsid w:val="00780DE2"/>
    <w:rsid w:val="0078538A"/>
    <w:rsid w:val="00790106"/>
    <w:rsid w:val="007913AB"/>
    <w:rsid w:val="007914F7"/>
    <w:rsid w:val="007917F2"/>
    <w:rsid w:val="00792FFF"/>
    <w:rsid w:val="00795C73"/>
    <w:rsid w:val="00796587"/>
    <w:rsid w:val="007A01B8"/>
    <w:rsid w:val="007A3782"/>
    <w:rsid w:val="007A3816"/>
    <w:rsid w:val="007A42EA"/>
    <w:rsid w:val="007A4809"/>
    <w:rsid w:val="007A5975"/>
    <w:rsid w:val="007A7358"/>
    <w:rsid w:val="007B1625"/>
    <w:rsid w:val="007B1D00"/>
    <w:rsid w:val="007B1F5E"/>
    <w:rsid w:val="007B20B9"/>
    <w:rsid w:val="007B2514"/>
    <w:rsid w:val="007B4055"/>
    <w:rsid w:val="007B5223"/>
    <w:rsid w:val="007B59C7"/>
    <w:rsid w:val="007B699E"/>
    <w:rsid w:val="007B706E"/>
    <w:rsid w:val="007B7173"/>
    <w:rsid w:val="007B71EB"/>
    <w:rsid w:val="007B73BB"/>
    <w:rsid w:val="007C0748"/>
    <w:rsid w:val="007C192A"/>
    <w:rsid w:val="007C1C9B"/>
    <w:rsid w:val="007C2225"/>
    <w:rsid w:val="007C4269"/>
    <w:rsid w:val="007C48E9"/>
    <w:rsid w:val="007C4EB1"/>
    <w:rsid w:val="007C61D4"/>
    <w:rsid w:val="007C6205"/>
    <w:rsid w:val="007C686A"/>
    <w:rsid w:val="007C728E"/>
    <w:rsid w:val="007D0BE0"/>
    <w:rsid w:val="007D204F"/>
    <w:rsid w:val="007D23F1"/>
    <w:rsid w:val="007D2C53"/>
    <w:rsid w:val="007D3D60"/>
    <w:rsid w:val="007D3DAF"/>
    <w:rsid w:val="007D6DA7"/>
    <w:rsid w:val="007E1980"/>
    <w:rsid w:val="007E2676"/>
    <w:rsid w:val="007E33B1"/>
    <w:rsid w:val="007E4B76"/>
    <w:rsid w:val="007E4C44"/>
    <w:rsid w:val="007E5043"/>
    <w:rsid w:val="007E506C"/>
    <w:rsid w:val="007E5EA8"/>
    <w:rsid w:val="007F0CF1"/>
    <w:rsid w:val="007F12A5"/>
    <w:rsid w:val="007F2BD5"/>
    <w:rsid w:val="007F2D74"/>
    <w:rsid w:val="007F3FB7"/>
    <w:rsid w:val="007F4A4F"/>
    <w:rsid w:val="007F4CF1"/>
    <w:rsid w:val="007F666E"/>
    <w:rsid w:val="007F6744"/>
    <w:rsid w:val="007F758D"/>
    <w:rsid w:val="007F7D52"/>
    <w:rsid w:val="007F7DCA"/>
    <w:rsid w:val="00802412"/>
    <w:rsid w:val="00803604"/>
    <w:rsid w:val="0080484A"/>
    <w:rsid w:val="00805589"/>
    <w:rsid w:val="008057A5"/>
    <w:rsid w:val="00805A6C"/>
    <w:rsid w:val="00805E2F"/>
    <w:rsid w:val="0080654C"/>
    <w:rsid w:val="008071C6"/>
    <w:rsid w:val="00810876"/>
    <w:rsid w:val="00810C24"/>
    <w:rsid w:val="00813972"/>
    <w:rsid w:val="00813B9F"/>
    <w:rsid w:val="008140E7"/>
    <w:rsid w:val="008162CD"/>
    <w:rsid w:val="00817A00"/>
    <w:rsid w:val="00820B8A"/>
    <w:rsid w:val="00820B95"/>
    <w:rsid w:val="0082364E"/>
    <w:rsid w:val="00825719"/>
    <w:rsid w:val="00825849"/>
    <w:rsid w:val="00825891"/>
    <w:rsid w:val="00827C91"/>
    <w:rsid w:val="008303BB"/>
    <w:rsid w:val="00830955"/>
    <w:rsid w:val="0083143F"/>
    <w:rsid w:val="00831631"/>
    <w:rsid w:val="0083228D"/>
    <w:rsid w:val="00833D07"/>
    <w:rsid w:val="00833E3E"/>
    <w:rsid w:val="00834166"/>
    <w:rsid w:val="00835DB3"/>
    <w:rsid w:val="0083617B"/>
    <w:rsid w:val="00836342"/>
    <w:rsid w:val="00836A2D"/>
    <w:rsid w:val="00836B86"/>
    <w:rsid w:val="008371BD"/>
    <w:rsid w:val="00840EBF"/>
    <w:rsid w:val="00840F24"/>
    <w:rsid w:val="00841C63"/>
    <w:rsid w:val="00841D61"/>
    <w:rsid w:val="00842141"/>
    <w:rsid w:val="008422EF"/>
    <w:rsid w:val="00842567"/>
    <w:rsid w:val="00845B82"/>
    <w:rsid w:val="008504A8"/>
    <w:rsid w:val="008508A5"/>
    <w:rsid w:val="008518FA"/>
    <w:rsid w:val="00851B58"/>
    <w:rsid w:val="0085282E"/>
    <w:rsid w:val="00854C36"/>
    <w:rsid w:val="00855D1F"/>
    <w:rsid w:val="00856FCC"/>
    <w:rsid w:val="008579BA"/>
    <w:rsid w:val="00857B6C"/>
    <w:rsid w:val="0086350F"/>
    <w:rsid w:val="00863FF7"/>
    <w:rsid w:val="00864613"/>
    <w:rsid w:val="00864E09"/>
    <w:rsid w:val="00865C98"/>
    <w:rsid w:val="00867088"/>
    <w:rsid w:val="00870207"/>
    <w:rsid w:val="0087198C"/>
    <w:rsid w:val="00872C1F"/>
    <w:rsid w:val="00872D88"/>
    <w:rsid w:val="00873B42"/>
    <w:rsid w:val="00877CB0"/>
    <w:rsid w:val="008805AC"/>
    <w:rsid w:val="00880D1A"/>
    <w:rsid w:val="008816BF"/>
    <w:rsid w:val="00882747"/>
    <w:rsid w:val="00882C34"/>
    <w:rsid w:val="008833B6"/>
    <w:rsid w:val="00884468"/>
    <w:rsid w:val="00884B08"/>
    <w:rsid w:val="008855D3"/>
    <w:rsid w:val="008856D8"/>
    <w:rsid w:val="00885DC5"/>
    <w:rsid w:val="00887EFA"/>
    <w:rsid w:val="00892E82"/>
    <w:rsid w:val="00893277"/>
    <w:rsid w:val="008953B0"/>
    <w:rsid w:val="00895508"/>
    <w:rsid w:val="008956D5"/>
    <w:rsid w:val="00895FA9"/>
    <w:rsid w:val="00896BC5"/>
    <w:rsid w:val="00896DB9"/>
    <w:rsid w:val="00897513"/>
    <w:rsid w:val="00897752"/>
    <w:rsid w:val="008A1035"/>
    <w:rsid w:val="008A2A0E"/>
    <w:rsid w:val="008A3475"/>
    <w:rsid w:val="008A4A08"/>
    <w:rsid w:val="008A5EB5"/>
    <w:rsid w:val="008A6E08"/>
    <w:rsid w:val="008B1A68"/>
    <w:rsid w:val="008B1D00"/>
    <w:rsid w:val="008B2B1D"/>
    <w:rsid w:val="008B4B85"/>
    <w:rsid w:val="008B5427"/>
    <w:rsid w:val="008B6AB5"/>
    <w:rsid w:val="008B6BE1"/>
    <w:rsid w:val="008B70BD"/>
    <w:rsid w:val="008B79E0"/>
    <w:rsid w:val="008C0BE9"/>
    <w:rsid w:val="008C199E"/>
    <w:rsid w:val="008C1B58"/>
    <w:rsid w:val="008C2CDF"/>
    <w:rsid w:val="008C2D50"/>
    <w:rsid w:val="008C39AE"/>
    <w:rsid w:val="008C40DF"/>
    <w:rsid w:val="008C590D"/>
    <w:rsid w:val="008C5CBB"/>
    <w:rsid w:val="008C6460"/>
    <w:rsid w:val="008D0620"/>
    <w:rsid w:val="008D0815"/>
    <w:rsid w:val="008D317B"/>
    <w:rsid w:val="008D3262"/>
    <w:rsid w:val="008D447E"/>
    <w:rsid w:val="008D6105"/>
    <w:rsid w:val="008D612E"/>
    <w:rsid w:val="008D7012"/>
    <w:rsid w:val="008D7566"/>
    <w:rsid w:val="008E031B"/>
    <w:rsid w:val="008E0498"/>
    <w:rsid w:val="008E0560"/>
    <w:rsid w:val="008E1EEE"/>
    <w:rsid w:val="008E2D8C"/>
    <w:rsid w:val="008E309C"/>
    <w:rsid w:val="008E62AE"/>
    <w:rsid w:val="008E7029"/>
    <w:rsid w:val="008E7EF6"/>
    <w:rsid w:val="008F1F98"/>
    <w:rsid w:val="008F2340"/>
    <w:rsid w:val="008F2790"/>
    <w:rsid w:val="008F296C"/>
    <w:rsid w:val="008F5B80"/>
    <w:rsid w:val="008F6172"/>
    <w:rsid w:val="008F6501"/>
    <w:rsid w:val="008F6758"/>
    <w:rsid w:val="008F7F32"/>
    <w:rsid w:val="00904075"/>
    <w:rsid w:val="009040DD"/>
    <w:rsid w:val="0090430C"/>
    <w:rsid w:val="00905B47"/>
    <w:rsid w:val="0090647A"/>
    <w:rsid w:val="0090690F"/>
    <w:rsid w:val="00907506"/>
    <w:rsid w:val="0090782A"/>
    <w:rsid w:val="00910CE9"/>
    <w:rsid w:val="00911391"/>
    <w:rsid w:val="0091331C"/>
    <w:rsid w:val="009137BD"/>
    <w:rsid w:val="009149E8"/>
    <w:rsid w:val="0091503D"/>
    <w:rsid w:val="00915DA9"/>
    <w:rsid w:val="009175DD"/>
    <w:rsid w:val="00920696"/>
    <w:rsid w:val="00920839"/>
    <w:rsid w:val="00923BEB"/>
    <w:rsid w:val="00923CAF"/>
    <w:rsid w:val="00925D64"/>
    <w:rsid w:val="00925DA5"/>
    <w:rsid w:val="009279DE"/>
    <w:rsid w:val="00927AB9"/>
    <w:rsid w:val="00927B37"/>
    <w:rsid w:val="00930116"/>
    <w:rsid w:val="00930625"/>
    <w:rsid w:val="00932491"/>
    <w:rsid w:val="009334EE"/>
    <w:rsid w:val="0093617D"/>
    <w:rsid w:val="00941082"/>
    <w:rsid w:val="00941D14"/>
    <w:rsid w:val="0094212C"/>
    <w:rsid w:val="00942986"/>
    <w:rsid w:val="00944044"/>
    <w:rsid w:val="0094450C"/>
    <w:rsid w:val="00944853"/>
    <w:rsid w:val="0094609D"/>
    <w:rsid w:val="009460F4"/>
    <w:rsid w:val="00947C78"/>
    <w:rsid w:val="00950CBE"/>
    <w:rsid w:val="00950FBE"/>
    <w:rsid w:val="009510AC"/>
    <w:rsid w:val="009514BB"/>
    <w:rsid w:val="00952611"/>
    <w:rsid w:val="0095378C"/>
    <w:rsid w:val="00954689"/>
    <w:rsid w:val="0095472A"/>
    <w:rsid w:val="00954B75"/>
    <w:rsid w:val="009556AC"/>
    <w:rsid w:val="00955772"/>
    <w:rsid w:val="0096085A"/>
    <w:rsid w:val="009617C9"/>
    <w:rsid w:val="00961C93"/>
    <w:rsid w:val="009629D5"/>
    <w:rsid w:val="00962B4E"/>
    <w:rsid w:val="009643B4"/>
    <w:rsid w:val="00964C08"/>
    <w:rsid w:val="00965324"/>
    <w:rsid w:val="00966C5A"/>
    <w:rsid w:val="00966CAA"/>
    <w:rsid w:val="0097091E"/>
    <w:rsid w:val="00971736"/>
    <w:rsid w:val="00972610"/>
    <w:rsid w:val="00972F2C"/>
    <w:rsid w:val="009760D3"/>
    <w:rsid w:val="0097633D"/>
    <w:rsid w:val="00977132"/>
    <w:rsid w:val="00981A4B"/>
    <w:rsid w:val="00982250"/>
    <w:rsid w:val="009823C9"/>
    <w:rsid w:val="00982501"/>
    <w:rsid w:val="00983D33"/>
    <w:rsid w:val="00984358"/>
    <w:rsid w:val="009843A1"/>
    <w:rsid w:val="00984F83"/>
    <w:rsid w:val="009851B4"/>
    <w:rsid w:val="0098539D"/>
    <w:rsid w:val="0098753E"/>
    <w:rsid w:val="009877D3"/>
    <w:rsid w:val="00987E80"/>
    <w:rsid w:val="00990B6A"/>
    <w:rsid w:val="00992534"/>
    <w:rsid w:val="00994E8F"/>
    <w:rsid w:val="009951DC"/>
    <w:rsid w:val="009959BB"/>
    <w:rsid w:val="00997158"/>
    <w:rsid w:val="009A0827"/>
    <w:rsid w:val="009A3A7C"/>
    <w:rsid w:val="009A5D33"/>
    <w:rsid w:val="009A7D84"/>
    <w:rsid w:val="009A7E52"/>
    <w:rsid w:val="009A7F16"/>
    <w:rsid w:val="009B0361"/>
    <w:rsid w:val="009B21F5"/>
    <w:rsid w:val="009B2323"/>
    <w:rsid w:val="009B2ADB"/>
    <w:rsid w:val="009B2C25"/>
    <w:rsid w:val="009B603A"/>
    <w:rsid w:val="009B6536"/>
    <w:rsid w:val="009B6637"/>
    <w:rsid w:val="009B7EE4"/>
    <w:rsid w:val="009C07E8"/>
    <w:rsid w:val="009C2D0E"/>
    <w:rsid w:val="009C3018"/>
    <w:rsid w:val="009C3DAC"/>
    <w:rsid w:val="009C42E0"/>
    <w:rsid w:val="009C4784"/>
    <w:rsid w:val="009C4D21"/>
    <w:rsid w:val="009C4F64"/>
    <w:rsid w:val="009D246D"/>
    <w:rsid w:val="009D3230"/>
    <w:rsid w:val="009D3244"/>
    <w:rsid w:val="009D3506"/>
    <w:rsid w:val="009D40A4"/>
    <w:rsid w:val="009D494F"/>
    <w:rsid w:val="009D5362"/>
    <w:rsid w:val="009D6543"/>
    <w:rsid w:val="009E1415"/>
    <w:rsid w:val="009E2123"/>
    <w:rsid w:val="009E2142"/>
    <w:rsid w:val="009E3EDD"/>
    <w:rsid w:val="009E6116"/>
    <w:rsid w:val="009E67F4"/>
    <w:rsid w:val="009E7E25"/>
    <w:rsid w:val="009F4A55"/>
    <w:rsid w:val="009F4C3D"/>
    <w:rsid w:val="009F5D17"/>
    <w:rsid w:val="009F6B4F"/>
    <w:rsid w:val="009F6EE6"/>
    <w:rsid w:val="009F7889"/>
    <w:rsid w:val="00A00B26"/>
    <w:rsid w:val="00A01331"/>
    <w:rsid w:val="00A02B5D"/>
    <w:rsid w:val="00A02E43"/>
    <w:rsid w:val="00A0318B"/>
    <w:rsid w:val="00A0414A"/>
    <w:rsid w:val="00A05368"/>
    <w:rsid w:val="00A0640D"/>
    <w:rsid w:val="00A065F9"/>
    <w:rsid w:val="00A07011"/>
    <w:rsid w:val="00A0708B"/>
    <w:rsid w:val="00A07F34"/>
    <w:rsid w:val="00A12AF1"/>
    <w:rsid w:val="00A12D6D"/>
    <w:rsid w:val="00A13F73"/>
    <w:rsid w:val="00A16469"/>
    <w:rsid w:val="00A210C6"/>
    <w:rsid w:val="00A22154"/>
    <w:rsid w:val="00A238B3"/>
    <w:rsid w:val="00A24058"/>
    <w:rsid w:val="00A2503B"/>
    <w:rsid w:val="00A25C38"/>
    <w:rsid w:val="00A26108"/>
    <w:rsid w:val="00A32975"/>
    <w:rsid w:val="00A35824"/>
    <w:rsid w:val="00A36663"/>
    <w:rsid w:val="00A36BBE"/>
    <w:rsid w:val="00A37C20"/>
    <w:rsid w:val="00A40D9E"/>
    <w:rsid w:val="00A41DF7"/>
    <w:rsid w:val="00A41EEC"/>
    <w:rsid w:val="00A420B1"/>
    <w:rsid w:val="00A421F7"/>
    <w:rsid w:val="00A4244A"/>
    <w:rsid w:val="00A42ECA"/>
    <w:rsid w:val="00A4307A"/>
    <w:rsid w:val="00A46DEF"/>
    <w:rsid w:val="00A47EBB"/>
    <w:rsid w:val="00A51CDD"/>
    <w:rsid w:val="00A53665"/>
    <w:rsid w:val="00A5567B"/>
    <w:rsid w:val="00A55EB6"/>
    <w:rsid w:val="00A563F8"/>
    <w:rsid w:val="00A56BBA"/>
    <w:rsid w:val="00A57635"/>
    <w:rsid w:val="00A57756"/>
    <w:rsid w:val="00A619D3"/>
    <w:rsid w:val="00A630BA"/>
    <w:rsid w:val="00A6596C"/>
    <w:rsid w:val="00A66C04"/>
    <w:rsid w:val="00A6730D"/>
    <w:rsid w:val="00A67F66"/>
    <w:rsid w:val="00A702A3"/>
    <w:rsid w:val="00A7107C"/>
    <w:rsid w:val="00A71625"/>
    <w:rsid w:val="00A71B9B"/>
    <w:rsid w:val="00A738A1"/>
    <w:rsid w:val="00A73941"/>
    <w:rsid w:val="00A74841"/>
    <w:rsid w:val="00A751C7"/>
    <w:rsid w:val="00A76FB7"/>
    <w:rsid w:val="00A80008"/>
    <w:rsid w:val="00A83AEE"/>
    <w:rsid w:val="00A84CE5"/>
    <w:rsid w:val="00A8578F"/>
    <w:rsid w:val="00A862CD"/>
    <w:rsid w:val="00A87844"/>
    <w:rsid w:val="00A9227B"/>
    <w:rsid w:val="00A92EB0"/>
    <w:rsid w:val="00A94046"/>
    <w:rsid w:val="00A95B5B"/>
    <w:rsid w:val="00A9614E"/>
    <w:rsid w:val="00A97583"/>
    <w:rsid w:val="00A97A55"/>
    <w:rsid w:val="00A97E4C"/>
    <w:rsid w:val="00AA038C"/>
    <w:rsid w:val="00AA0A8A"/>
    <w:rsid w:val="00AA0BB9"/>
    <w:rsid w:val="00AA1713"/>
    <w:rsid w:val="00AA2A12"/>
    <w:rsid w:val="00AA5328"/>
    <w:rsid w:val="00AA65EC"/>
    <w:rsid w:val="00AA69AF"/>
    <w:rsid w:val="00AA69FC"/>
    <w:rsid w:val="00AA7530"/>
    <w:rsid w:val="00AA75E8"/>
    <w:rsid w:val="00AA7A09"/>
    <w:rsid w:val="00AB0799"/>
    <w:rsid w:val="00AB17D2"/>
    <w:rsid w:val="00AB3B50"/>
    <w:rsid w:val="00AB42C6"/>
    <w:rsid w:val="00AB5516"/>
    <w:rsid w:val="00AB5841"/>
    <w:rsid w:val="00AB6145"/>
    <w:rsid w:val="00AC01E9"/>
    <w:rsid w:val="00AC05B1"/>
    <w:rsid w:val="00AC1628"/>
    <w:rsid w:val="00AC1BD6"/>
    <w:rsid w:val="00AC3794"/>
    <w:rsid w:val="00AC437B"/>
    <w:rsid w:val="00AC450C"/>
    <w:rsid w:val="00AC5025"/>
    <w:rsid w:val="00AC6C1D"/>
    <w:rsid w:val="00AD1CAB"/>
    <w:rsid w:val="00AD340B"/>
    <w:rsid w:val="00AD356C"/>
    <w:rsid w:val="00AD3C89"/>
    <w:rsid w:val="00AD5523"/>
    <w:rsid w:val="00AE062F"/>
    <w:rsid w:val="00AE27B2"/>
    <w:rsid w:val="00AE2914"/>
    <w:rsid w:val="00AE2C40"/>
    <w:rsid w:val="00AE3E88"/>
    <w:rsid w:val="00AE4135"/>
    <w:rsid w:val="00AE6D15"/>
    <w:rsid w:val="00AE7023"/>
    <w:rsid w:val="00AE7198"/>
    <w:rsid w:val="00AE78AA"/>
    <w:rsid w:val="00AF0B8B"/>
    <w:rsid w:val="00AF0EF3"/>
    <w:rsid w:val="00AF1F49"/>
    <w:rsid w:val="00AF2D81"/>
    <w:rsid w:val="00AF4947"/>
    <w:rsid w:val="00AF52BE"/>
    <w:rsid w:val="00B0161B"/>
    <w:rsid w:val="00B016EB"/>
    <w:rsid w:val="00B0295A"/>
    <w:rsid w:val="00B03619"/>
    <w:rsid w:val="00B0386F"/>
    <w:rsid w:val="00B038C2"/>
    <w:rsid w:val="00B03EC3"/>
    <w:rsid w:val="00B04182"/>
    <w:rsid w:val="00B0572A"/>
    <w:rsid w:val="00B05ECF"/>
    <w:rsid w:val="00B07AE3"/>
    <w:rsid w:val="00B102E4"/>
    <w:rsid w:val="00B10A3A"/>
    <w:rsid w:val="00B11430"/>
    <w:rsid w:val="00B12A5D"/>
    <w:rsid w:val="00B141F2"/>
    <w:rsid w:val="00B15AC6"/>
    <w:rsid w:val="00B212C1"/>
    <w:rsid w:val="00B21FE6"/>
    <w:rsid w:val="00B23A02"/>
    <w:rsid w:val="00B242F4"/>
    <w:rsid w:val="00B2477A"/>
    <w:rsid w:val="00B24D1C"/>
    <w:rsid w:val="00B25BFE"/>
    <w:rsid w:val="00B25C6D"/>
    <w:rsid w:val="00B30072"/>
    <w:rsid w:val="00B30356"/>
    <w:rsid w:val="00B30481"/>
    <w:rsid w:val="00B304AC"/>
    <w:rsid w:val="00B3312F"/>
    <w:rsid w:val="00B3320E"/>
    <w:rsid w:val="00B352AE"/>
    <w:rsid w:val="00B353EB"/>
    <w:rsid w:val="00B35CAF"/>
    <w:rsid w:val="00B4016F"/>
    <w:rsid w:val="00B407AC"/>
    <w:rsid w:val="00B4103B"/>
    <w:rsid w:val="00B41CBA"/>
    <w:rsid w:val="00B4307F"/>
    <w:rsid w:val="00B439C4"/>
    <w:rsid w:val="00B44C68"/>
    <w:rsid w:val="00B4535E"/>
    <w:rsid w:val="00B473BD"/>
    <w:rsid w:val="00B473C6"/>
    <w:rsid w:val="00B509F2"/>
    <w:rsid w:val="00B52093"/>
    <w:rsid w:val="00B529AE"/>
    <w:rsid w:val="00B52A8C"/>
    <w:rsid w:val="00B54707"/>
    <w:rsid w:val="00B54986"/>
    <w:rsid w:val="00B55EFB"/>
    <w:rsid w:val="00B56155"/>
    <w:rsid w:val="00B626E8"/>
    <w:rsid w:val="00B62F11"/>
    <w:rsid w:val="00B63042"/>
    <w:rsid w:val="00B636A8"/>
    <w:rsid w:val="00B665C6"/>
    <w:rsid w:val="00B7006F"/>
    <w:rsid w:val="00B705A6"/>
    <w:rsid w:val="00B70941"/>
    <w:rsid w:val="00B715C6"/>
    <w:rsid w:val="00B720A9"/>
    <w:rsid w:val="00B72AD8"/>
    <w:rsid w:val="00B72F45"/>
    <w:rsid w:val="00B73142"/>
    <w:rsid w:val="00B74441"/>
    <w:rsid w:val="00B758A5"/>
    <w:rsid w:val="00B75B35"/>
    <w:rsid w:val="00B805AF"/>
    <w:rsid w:val="00B812CD"/>
    <w:rsid w:val="00B82BD5"/>
    <w:rsid w:val="00B82C89"/>
    <w:rsid w:val="00B83EB3"/>
    <w:rsid w:val="00B86915"/>
    <w:rsid w:val="00B869EC"/>
    <w:rsid w:val="00B86FCC"/>
    <w:rsid w:val="00B916F7"/>
    <w:rsid w:val="00B92383"/>
    <w:rsid w:val="00B9261C"/>
    <w:rsid w:val="00B9276C"/>
    <w:rsid w:val="00B9397A"/>
    <w:rsid w:val="00B94307"/>
    <w:rsid w:val="00B9633D"/>
    <w:rsid w:val="00B967D5"/>
    <w:rsid w:val="00BA166B"/>
    <w:rsid w:val="00BA2EBE"/>
    <w:rsid w:val="00BA362E"/>
    <w:rsid w:val="00BA47D0"/>
    <w:rsid w:val="00BA4A21"/>
    <w:rsid w:val="00BA6449"/>
    <w:rsid w:val="00BA711C"/>
    <w:rsid w:val="00BA76B5"/>
    <w:rsid w:val="00BA7AA3"/>
    <w:rsid w:val="00BA7C10"/>
    <w:rsid w:val="00BB0F28"/>
    <w:rsid w:val="00BB458A"/>
    <w:rsid w:val="00BB5AC2"/>
    <w:rsid w:val="00BB693F"/>
    <w:rsid w:val="00BB6C11"/>
    <w:rsid w:val="00BC04D8"/>
    <w:rsid w:val="00BC2729"/>
    <w:rsid w:val="00BC445F"/>
    <w:rsid w:val="00BC5953"/>
    <w:rsid w:val="00BC5B8D"/>
    <w:rsid w:val="00BC6598"/>
    <w:rsid w:val="00BC7801"/>
    <w:rsid w:val="00BD00D3"/>
    <w:rsid w:val="00BD0C9D"/>
    <w:rsid w:val="00BD0E3A"/>
    <w:rsid w:val="00BD1659"/>
    <w:rsid w:val="00BD2E1D"/>
    <w:rsid w:val="00BD3AA9"/>
    <w:rsid w:val="00BD4A18"/>
    <w:rsid w:val="00BD5D78"/>
    <w:rsid w:val="00BD5F89"/>
    <w:rsid w:val="00BD6DB2"/>
    <w:rsid w:val="00BD73A1"/>
    <w:rsid w:val="00BE11CF"/>
    <w:rsid w:val="00BE1577"/>
    <w:rsid w:val="00BE21AB"/>
    <w:rsid w:val="00BE2E2B"/>
    <w:rsid w:val="00BE33F0"/>
    <w:rsid w:val="00BE55CB"/>
    <w:rsid w:val="00BE55F1"/>
    <w:rsid w:val="00BE5927"/>
    <w:rsid w:val="00BE5BDD"/>
    <w:rsid w:val="00BE69FE"/>
    <w:rsid w:val="00BE7067"/>
    <w:rsid w:val="00BE7A50"/>
    <w:rsid w:val="00BF059E"/>
    <w:rsid w:val="00BF0A1B"/>
    <w:rsid w:val="00BF3BB2"/>
    <w:rsid w:val="00BF56A6"/>
    <w:rsid w:val="00BF617A"/>
    <w:rsid w:val="00C00F9E"/>
    <w:rsid w:val="00C021DE"/>
    <w:rsid w:val="00C0379D"/>
    <w:rsid w:val="00C03931"/>
    <w:rsid w:val="00C039EC"/>
    <w:rsid w:val="00C03BA3"/>
    <w:rsid w:val="00C05456"/>
    <w:rsid w:val="00C05FE3"/>
    <w:rsid w:val="00C110AB"/>
    <w:rsid w:val="00C1136E"/>
    <w:rsid w:val="00C11DA9"/>
    <w:rsid w:val="00C12BB3"/>
    <w:rsid w:val="00C13C59"/>
    <w:rsid w:val="00C15DD6"/>
    <w:rsid w:val="00C20107"/>
    <w:rsid w:val="00C2136D"/>
    <w:rsid w:val="00C214EE"/>
    <w:rsid w:val="00C2226F"/>
    <w:rsid w:val="00C2314B"/>
    <w:rsid w:val="00C244A0"/>
    <w:rsid w:val="00C24971"/>
    <w:rsid w:val="00C25355"/>
    <w:rsid w:val="00C261D0"/>
    <w:rsid w:val="00C26BE5"/>
    <w:rsid w:val="00C26E4D"/>
    <w:rsid w:val="00C27909"/>
    <w:rsid w:val="00C27B03"/>
    <w:rsid w:val="00C30B6D"/>
    <w:rsid w:val="00C314E1"/>
    <w:rsid w:val="00C31534"/>
    <w:rsid w:val="00C34397"/>
    <w:rsid w:val="00C37743"/>
    <w:rsid w:val="00C37E24"/>
    <w:rsid w:val="00C40503"/>
    <w:rsid w:val="00C4095D"/>
    <w:rsid w:val="00C42A7F"/>
    <w:rsid w:val="00C43EBB"/>
    <w:rsid w:val="00C459C5"/>
    <w:rsid w:val="00C51AF8"/>
    <w:rsid w:val="00C51EB6"/>
    <w:rsid w:val="00C52CD9"/>
    <w:rsid w:val="00C52EF5"/>
    <w:rsid w:val="00C54306"/>
    <w:rsid w:val="00C54C09"/>
    <w:rsid w:val="00C557EA"/>
    <w:rsid w:val="00C57A9C"/>
    <w:rsid w:val="00C601D2"/>
    <w:rsid w:val="00C613C3"/>
    <w:rsid w:val="00C6166B"/>
    <w:rsid w:val="00C6440C"/>
    <w:rsid w:val="00C64C33"/>
    <w:rsid w:val="00C65BCC"/>
    <w:rsid w:val="00C66970"/>
    <w:rsid w:val="00C66CF6"/>
    <w:rsid w:val="00C66D8B"/>
    <w:rsid w:val="00C7188C"/>
    <w:rsid w:val="00C71F4D"/>
    <w:rsid w:val="00C733F4"/>
    <w:rsid w:val="00C737C4"/>
    <w:rsid w:val="00C73BF2"/>
    <w:rsid w:val="00C744FD"/>
    <w:rsid w:val="00C752D3"/>
    <w:rsid w:val="00C756B1"/>
    <w:rsid w:val="00C76211"/>
    <w:rsid w:val="00C765A0"/>
    <w:rsid w:val="00C76B7E"/>
    <w:rsid w:val="00C76BFD"/>
    <w:rsid w:val="00C773D1"/>
    <w:rsid w:val="00C77588"/>
    <w:rsid w:val="00C80382"/>
    <w:rsid w:val="00C826C5"/>
    <w:rsid w:val="00C8359A"/>
    <w:rsid w:val="00C85D26"/>
    <w:rsid w:val="00C8691C"/>
    <w:rsid w:val="00C86CB4"/>
    <w:rsid w:val="00C8745E"/>
    <w:rsid w:val="00C87F0B"/>
    <w:rsid w:val="00C901BF"/>
    <w:rsid w:val="00C90730"/>
    <w:rsid w:val="00C9123C"/>
    <w:rsid w:val="00C918A8"/>
    <w:rsid w:val="00C919D8"/>
    <w:rsid w:val="00C93D03"/>
    <w:rsid w:val="00C94CA6"/>
    <w:rsid w:val="00C96295"/>
    <w:rsid w:val="00C96364"/>
    <w:rsid w:val="00C966F4"/>
    <w:rsid w:val="00CA03DF"/>
    <w:rsid w:val="00CA0DD1"/>
    <w:rsid w:val="00CA13A1"/>
    <w:rsid w:val="00CA168A"/>
    <w:rsid w:val="00CA1D68"/>
    <w:rsid w:val="00CA2097"/>
    <w:rsid w:val="00CA3038"/>
    <w:rsid w:val="00CA357E"/>
    <w:rsid w:val="00CA44F9"/>
    <w:rsid w:val="00CA4A69"/>
    <w:rsid w:val="00CA5452"/>
    <w:rsid w:val="00CA6D6E"/>
    <w:rsid w:val="00CA7D55"/>
    <w:rsid w:val="00CB1B43"/>
    <w:rsid w:val="00CB3385"/>
    <w:rsid w:val="00CB35CA"/>
    <w:rsid w:val="00CB4372"/>
    <w:rsid w:val="00CB6F36"/>
    <w:rsid w:val="00CB722E"/>
    <w:rsid w:val="00CC003A"/>
    <w:rsid w:val="00CC0C77"/>
    <w:rsid w:val="00CC2B30"/>
    <w:rsid w:val="00CC3056"/>
    <w:rsid w:val="00CC3E0C"/>
    <w:rsid w:val="00CC40DA"/>
    <w:rsid w:val="00CC47F3"/>
    <w:rsid w:val="00CC4CD2"/>
    <w:rsid w:val="00CC58D3"/>
    <w:rsid w:val="00CC6AB4"/>
    <w:rsid w:val="00CC784D"/>
    <w:rsid w:val="00CD18C0"/>
    <w:rsid w:val="00CD20EE"/>
    <w:rsid w:val="00CD2D26"/>
    <w:rsid w:val="00CD3F55"/>
    <w:rsid w:val="00CD3FDB"/>
    <w:rsid w:val="00CD4D57"/>
    <w:rsid w:val="00CD585E"/>
    <w:rsid w:val="00CD5A37"/>
    <w:rsid w:val="00CD6AA3"/>
    <w:rsid w:val="00CD76B1"/>
    <w:rsid w:val="00CE14C4"/>
    <w:rsid w:val="00CE695A"/>
    <w:rsid w:val="00CE6DA1"/>
    <w:rsid w:val="00CE753C"/>
    <w:rsid w:val="00CE777F"/>
    <w:rsid w:val="00CF039C"/>
    <w:rsid w:val="00CF0BC6"/>
    <w:rsid w:val="00CF15DE"/>
    <w:rsid w:val="00CF1E15"/>
    <w:rsid w:val="00CF1FBA"/>
    <w:rsid w:val="00CF24B5"/>
    <w:rsid w:val="00CF25ED"/>
    <w:rsid w:val="00CF65C0"/>
    <w:rsid w:val="00CF7725"/>
    <w:rsid w:val="00CF7E63"/>
    <w:rsid w:val="00D00A8D"/>
    <w:rsid w:val="00D02AF7"/>
    <w:rsid w:val="00D03268"/>
    <w:rsid w:val="00D0337B"/>
    <w:rsid w:val="00D063FE"/>
    <w:rsid w:val="00D068F1"/>
    <w:rsid w:val="00D07777"/>
    <w:rsid w:val="00D079B2"/>
    <w:rsid w:val="00D07D26"/>
    <w:rsid w:val="00D10FE1"/>
    <w:rsid w:val="00D114E9"/>
    <w:rsid w:val="00D11FE9"/>
    <w:rsid w:val="00D132F0"/>
    <w:rsid w:val="00D1370E"/>
    <w:rsid w:val="00D14621"/>
    <w:rsid w:val="00D15D35"/>
    <w:rsid w:val="00D165E5"/>
    <w:rsid w:val="00D17CD8"/>
    <w:rsid w:val="00D21FAF"/>
    <w:rsid w:val="00D22BF0"/>
    <w:rsid w:val="00D23372"/>
    <w:rsid w:val="00D235B0"/>
    <w:rsid w:val="00D2527C"/>
    <w:rsid w:val="00D272B7"/>
    <w:rsid w:val="00D313B3"/>
    <w:rsid w:val="00D321DF"/>
    <w:rsid w:val="00D3379C"/>
    <w:rsid w:val="00D35B8E"/>
    <w:rsid w:val="00D37221"/>
    <w:rsid w:val="00D406A4"/>
    <w:rsid w:val="00D40F07"/>
    <w:rsid w:val="00D429C6"/>
    <w:rsid w:val="00D42CA8"/>
    <w:rsid w:val="00D42E02"/>
    <w:rsid w:val="00D431C2"/>
    <w:rsid w:val="00D43248"/>
    <w:rsid w:val="00D44BA4"/>
    <w:rsid w:val="00D46A51"/>
    <w:rsid w:val="00D47748"/>
    <w:rsid w:val="00D5067C"/>
    <w:rsid w:val="00D5178F"/>
    <w:rsid w:val="00D518DF"/>
    <w:rsid w:val="00D5356E"/>
    <w:rsid w:val="00D54CC3"/>
    <w:rsid w:val="00D55290"/>
    <w:rsid w:val="00D55CCC"/>
    <w:rsid w:val="00D56B89"/>
    <w:rsid w:val="00D56F85"/>
    <w:rsid w:val="00D6041A"/>
    <w:rsid w:val="00D61258"/>
    <w:rsid w:val="00D633EB"/>
    <w:rsid w:val="00D64F79"/>
    <w:rsid w:val="00D66342"/>
    <w:rsid w:val="00D67DB9"/>
    <w:rsid w:val="00D70AC0"/>
    <w:rsid w:val="00D71E3A"/>
    <w:rsid w:val="00D736AC"/>
    <w:rsid w:val="00D744FD"/>
    <w:rsid w:val="00D747AA"/>
    <w:rsid w:val="00D74C58"/>
    <w:rsid w:val="00D75A7E"/>
    <w:rsid w:val="00D75B7B"/>
    <w:rsid w:val="00D7794B"/>
    <w:rsid w:val="00D82031"/>
    <w:rsid w:val="00D82D34"/>
    <w:rsid w:val="00D82FF7"/>
    <w:rsid w:val="00D83C6F"/>
    <w:rsid w:val="00D84271"/>
    <w:rsid w:val="00D84565"/>
    <w:rsid w:val="00D847FE"/>
    <w:rsid w:val="00D86B9C"/>
    <w:rsid w:val="00D86CDA"/>
    <w:rsid w:val="00D900CD"/>
    <w:rsid w:val="00D90A39"/>
    <w:rsid w:val="00D90CB9"/>
    <w:rsid w:val="00D91007"/>
    <w:rsid w:val="00D91227"/>
    <w:rsid w:val="00D91872"/>
    <w:rsid w:val="00D93E9F"/>
    <w:rsid w:val="00D964EA"/>
    <w:rsid w:val="00D966D0"/>
    <w:rsid w:val="00DA0C59"/>
    <w:rsid w:val="00DA3863"/>
    <w:rsid w:val="00DA3991"/>
    <w:rsid w:val="00DA725E"/>
    <w:rsid w:val="00DA72A1"/>
    <w:rsid w:val="00DA7314"/>
    <w:rsid w:val="00DA7F95"/>
    <w:rsid w:val="00DB01F1"/>
    <w:rsid w:val="00DB0D3C"/>
    <w:rsid w:val="00DB2778"/>
    <w:rsid w:val="00DB2A7A"/>
    <w:rsid w:val="00DB3222"/>
    <w:rsid w:val="00DB3A96"/>
    <w:rsid w:val="00DB5B13"/>
    <w:rsid w:val="00DB5FDB"/>
    <w:rsid w:val="00DB690D"/>
    <w:rsid w:val="00DB7E6C"/>
    <w:rsid w:val="00DC0295"/>
    <w:rsid w:val="00DC324F"/>
    <w:rsid w:val="00DC4F68"/>
    <w:rsid w:val="00DC5298"/>
    <w:rsid w:val="00DC552D"/>
    <w:rsid w:val="00DC5E64"/>
    <w:rsid w:val="00DC64B0"/>
    <w:rsid w:val="00DC6B1E"/>
    <w:rsid w:val="00DD1D18"/>
    <w:rsid w:val="00DD252A"/>
    <w:rsid w:val="00DD2ED9"/>
    <w:rsid w:val="00DD3B95"/>
    <w:rsid w:val="00DD3D00"/>
    <w:rsid w:val="00DD3F10"/>
    <w:rsid w:val="00DD4881"/>
    <w:rsid w:val="00DD5653"/>
    <w:rsid w:val="00DD5949"/>
    <w:rsid w:val="00DD5A29"/>
    <w:rsid w:val="00DD5D9D"/>
    <w:rsid w:val="00DD63F6"/>
    <w:rsid w:val="00DE0B9A"/>
    <w:rsid w:val="00DE35CB"/>
    <w:rsid w:val="00DE6081"/>
    <w:rsid w:val="00DE617A"/>
    <w:rsid w:val="00DF0EF0"/>
    <w:rsid w:val="00DF21E9"/>
    <w:rsid w:val="00DF22AA"/>
    <w:rsid w:val="00DF22C7"/>
    <w:rsid w:val="00DF27BD"/>
    <w:rsid w:val="00DF2F99"/>
    <w:rsid w:val="00DF33AC"/>
    <w:rsid w:val="00DF3DE2"/>
    <w:rsid w:val="00DF4C2C"/>
    <w:rsid w:val="00DF5588"/>
    <w:rsid w:val="00DF5CC9"/>
    <w:rsid w:val="00DF6252"/>
    <w:rsid w:val="00DF6A10"/>
    <w:rsid w:val="00E005D3"/>
    <w:rsid w:val="00E00F14"/>
    <w:rsid w:val="00E013C3"/>
    <w:rsid w:val="00E01CB8"/>
    <w:rsid w:val="00E02E84"/>
    <w:rsid w:val="00E03A4E"/>
    <w:rsid w:val="00E04FD6"/>
    <w:rsid w:val="00E0546E"/>
    <w:rsid w:val="00E0625B"/>
    <w:rsid w:val="00E06386"/>
    <w:rsid w:val="00E075C5"/>
    <w:rsid w:val="00E1051A"/>
    <w:rsid w:val="00E106AB"/>
    <w:rsid w:val="00E111F3"/>
    <w:rsid w:val="00E11668"/>
    <w:rsid w:val="00E118E7"/>
    <w:rsid w:val="00E122B7"/>
    <w:rsid w:val="00E150DF"/>
    <w:rsid w:val="00E15689"/>
    <w:rsid w:val="00E15AA2"/>
    <w:rsid w:val="00E15B62"/>
    <w:rsid w:val="00E161BA"/>
    <w:rsid w:val="00E165AE"/>
    <w:rsid w:val="00E21A65"/>
    <w:rsid w:val="00E21B55"/>
    <w:rsid w:val="00E221D3"/>
    <w:rsid w:val="00E221F0"/>
    <w:rsid w:val="00E226B0"/>
    <w:rsid w:val="00E24EB4"/>
    <w:rsid w:val="00E24EE4"/>
    <w:rsid w:val="00E30635"/>
    <w:rsid w:val="00E30C90"/>
    <w:rsid w:val="00E320ED"/>
    <w:rsid w:val="00E332C2"/>
    <w:rsid w:val="00E33AFB"/>
    <w:rsid w:val="00E34218"/>
    <w:rsid w:val="00E353DF"/>
    <w:rsid w:val="00E4008C"/>
    <w:rsid w:val="00E42537"/>
    <w:rsid w:val="00E434AE"/>
    <w:rsid w:val="00E43CD3"/>
    <w:rsid w:val="00E4475E"/>
    <w:rsid w:val="00E4555B"/>
    <w:rsid w:val="00E45D6B"/>
    <w:rsid w:val="00E46282"/>
    <w:rsid w:val="00E47D85"/>
    <w:rsid w:val="00E514AE"/>
    <w:rsid w:val="00E51C69"/>
    <w:rsid w:val="00E52045"/>
    <w:rsid w:val="00E5216E"/>
    <w:rsid w:val="00E52C55"/>
    <w:rsid w:val="00E544E8"/>
    <w:rsid w:val="00E5529C"/>
    <w:rsid w:val="00E6284E"/>
    <w:rsid w:val="00E657C6"/>
    <w:rsid w:val="00E658CF"/>
    <w:rsid w:val="00E66C62"/>
    <w:rsid w:val="00E6777D"/>
    <w:rsid w:val="00E729B1"/>
    <w:rsid w:val="00E73085"/>
    <w:rsid w:val="00E7578B"/>
    <w:rsid w:val="00E75D40"/>
    <w:rsid w:val="00E77846"/>
    <w:rsid w:val="00E81965"/>
    <w:rsid w:val="00E81A88"/>
    <w:rsid w:val="00E82344"/>
    <w:rsid w:val="00E825E7"/>
    <w:rsid w:val="00E82750"/>
    <w:rsid w:val="00E84C82"/>
    <w:rsid w:val="00E84D64"/>
    <w:rsid w:val="00E856C8"/>
    <w:rsid w:val="00E85AFC"/>
    <w:rsid w:val="00E87408"/>
    <w:rsid w:val="00E914C4"/>
    <w:rsid w:val="00E91DD2"/>
    <w:rsid w:val="00E934F5"/>
    <w:rsid w:val="00E9551F"/>
    <w:rsid w:val="00E96961"/>
    <w:rsid w:val="00E96C95"/>
    <w:rsid w:val="00E97603"/>
    <w:rsid w:val="00E97771"/>
    <w:rsid w:val="00EA2E18"/>
    <w:rsid w:val="00EA72EC"/>
    <w:rsid w:val="00EA76D3"/>
    <w:rsid w:val="00EB0A5B"/>
    <w:rsid w:val="00EB11CB"/>
    <w:rsid w:val="00EB1586"/>
    <w:rsid w:val="00EB1B2A"/>
    <w:rsid w:val="00EB1C71"/>
    <w:rsid w:val="00EB275A"/>
    <w:rsid w:val="00EB2C7A"/>
    <w:rsid w:val="00EB4F6C"/>
    <w:rsid w:val="00EB551A"/>
    <w:rsid w:val="00EB57CA"/>
    <w:rsid w:val="00EB5C44"/>
    <w:rsid w:val="00EB786A"/>
    <w:rsid w:val="00EC1578"/>
    <w:rsid w:val="00EC1BFC"/>
    <w:rsid w:val="00EC1C72"/>
    <w:rsid w:val="00EC1DA5"/>
    <w:rsid w:val="00EC3356"/>
    <w:rsid w:val="00EC3CC9"/>
    <w:rsid w:val="00EC4784"/>
    <w:rsid w:val="00EC4886"/>
    <w:rsid w:val="00EC4D3C"/>
    <w:rsid w:val="00EC4F8F"/>
    <w:rsid w:val="00EC577A"/>
    <w:rsid w:val="00EC5D85"/>
    <w:rsid w:val="00EC61BA"/>
    <w:rsid w:val="00EC680A"/>
    <w:rsid w:val="00ED1D11"/>
    <w:rsid w:val="00ED419A"/>
    <w:rsid w:val="00ED4491"/>
    <w:rsid w:val="00ED46D2"/>
    <w:rsid w:val="00ED4DA3"/>
    <w:rsid w:val="00ED4ED7"/>
    <w:rsid w:val="00ED511C"/>
    <w:rsid w:val="00ED6B0B"/>
    <w:rsid w:val="00ED7229"/>
    <w:rsid w:val="00ED7BC4"/>
    <w:rsid w:val="00EE098B"/>
    <w:rsid w:val="00EE111F"/>
    <w:rsid w:val="00EE1176"/>
    <w:rsid w:val="00EE25CB"/>
    <w:rsid w:val="00EE2BED"/>
    <w:rsid w:val="00EE374B"/>
    <w:rsid w:val="00EE3EDB"/>
    <w:rsid w:val="00EE4A87"/>
    <w:rsid w:val="00EE69D1"/>
    <w:rsid w:val="00EE755A"/>
    <w:rsid w:val="00EF12A4"/>
    <w:rsid w:val="00EF17C2"/>
    <w:rsid w:val="00EF2869"/>
    <w:rsid w:val="00EF41D0"/>
    <w:rsid w:val="00EF6A33"/>
    <w:rsid w:val="00EF6DC8"/>
    <w:rsid w:val="00F0007D"/>
    <w:rsid w:val="00F00EEF"/>
    <w:rsid w:val="00F0229D"/>
    <w:rsid w:val="00F0465F"/>
    <w:rsid w:val="00F05D60"/>
    <w:rsid w:val="00F05EA1"/>
    <w:rsid w:val="00F0688F"/>
    <w:rsid w:val="00F07224"/>
    <w:rsid w:val="00F07FD3"/>
    <w:rsid w:val="00F1050F"/>
    <w:rsid w:val="00F11991"/>
    <w:rsid w:val="00F11BB5"/>
    <w:rsid w:val="00F11EBD"/>
    <w:rsid w:val="00F1296C"/>
    <w:rsid w:val="00F1417B"/>
    <w:rsid w:val="00F1446D"/>
    <w:rsid w:val="00F146F2"/>
    <w:rsid w:val="00F14A99"/>
    <w:rsid w:val="00F15E5D"/>
    <w:rsid w:val="00F1672A"/>
    <w:rsid w:val="00F167B0"/>
    <w:rsid w:val="00F1712D"/>
    <w:rsid w:val="00F17A17"/>
    <w:rsid w:val="00F208A0"/>
    <w:rsid w:val="00F2115E"/>
    <w:rsid w:val="00F24914"/>
    <w:rsid w:val="00F257B1"/>
    <w:rsid w:val="00F25B88"/>
    <w:rsid w:val="00F25DD8"/>
    <w:rsid w:val="00F26211"/>
    <w:rsid w:val="00F267AF"/>
    <w:rsid w:val="00F26B7F"/>
    <w:rsid w:val="00F2769C"/>
    <w:rsid w:val="00F27B3D"/>
    <w:rsid w:val="00F30390"/>
    <w:rsid w:val="00F3044C"/>
    <w:rsid w:val="00F30ABD"/>
    <w:rsid w:val="00F3202A"/>
    <w:rsid w:val="00F34B99"/>
    <w:rsid w:val="00F358CB"/>
    <w:rsid w:val="00F40B02"/>
    <w:rsid w:val="00F41E81"/>
    <w:rsid w:val="00F448CC"/>
    <w:rsid w:val="00F473BF"/>
    <w:rsid w:val="00F508D5"/>
    <w:rsid w:val="00F51720"/>
    <w:rsid w:val="00F51CF2"/>
    <w:rsid w:val="00F52DAB"/>
    <w:rsid w:val="00F53C05"/>
    <w:rsid w:val="00F53D2E"/>
    <w:rsid w:val="00F543F0"/>
    <w:rsid w:val="00F54DBE"/>
    <w:rsid w:val="00F553E1"/>
    <w:rsid w:val="00F55E3E"/>
    <w:rsid w:val="00F57601"/>
    <w:rsid w:val="00F60654"/>
    <w:rsid w:val="00F65A8C"/>
    <w:rsid w:val="00F660EA"/>
    <w:rsid w:val="00F6679C"/>
    <w:rsid w:val="00F66831"/>
    <w:rsid w:val="00F66940"/>
    <w:rsid w:val="00F67A50"/>
    <w:rsid w:val="00F7028B"/>
    <w:rsid w:val="00F7063B"/>
    <w:rsid w:val="00F70B6F"/>
    <w:rsid w:val="00F735B4"/>
    <w:rsid w:val="00F73919"/>
    <w:rsid w:val="00F73EBA"/>
    <w:rsid w:val="00F73F99"/>
    <w:rsid w:val="00F74615"/>
    <w:rsid w:val="00F754F9"/>
    <w:rsid w:val="00F75C3A"/>
    <w:rsid w:val="00F75F80"/>
    <w:rsid w:val="00F81D29"/>
    <w:rsid w:val="00F855CE"/>
    <w:rsid w:val="00F863C8"/>
    <w:rsid w:val="00F86EE8"/>
    <w:rsid w:val="00F874E2"/>
    <w:rsid w:val="00F90BE5"/>
    <w:rsid w:val="00F91C4D"/>
    <w:rsid w:val="00F92FD9"/>
    <w:rsid w:val="00F93B24"/>
    <w:rsid w:val="00F9761B"/>
    <w:rsid w:val="00F97A97"/>
    <w:rsid w:val="00FA0D9A"/>
    <w:rsid w:val="00FA2BCC"/>
    <w:rsid w:val="00FA37B1"/>
    <w:rsid w:val="00FA3E0B"/>
    <w:rsid w:val="00FA5074"/>
    <w:rsid w:val="00FA5909"/>
    <w:rsid w:val="00FA5C60"/>
    <w:rsid w:val="00FA5EF7"/>
    <w:rsid w:val="00FA6684"/>
    <w:rsid w:val="00FA731E"/>
    <w:rsid w:val="00FA7BD0"/>
    <w:rsid w:val="00FB0E6D"/>
    <w:rsid w:val="00FB1124"/>
    <w:rsid w:val="00FB1238"/>
    <w:rsid w:val="00FB1DCF"/>
    <w:rsid w:val="00FB2B38"/>
    <w:rsid w:val="00FB61CE"/>
    <w:rsid w:val="00FB7A07"/>
    <w:rsid w:val="00FC0227"/>
    <w:rsid w:val="00FC04CC"/>
    <w:rsid w:val="00FC1867"/>
    <w:rsid w:val="00FC1C08"/>
    <w:rsid w:val="00FC2066"/>
    <w:rsid w:val="00FC6358"/>
    <w:rsid w:val="00FD1381"/>
    <w:rsid w:val="00FD24F9"/>
    <w:rsid w:val="00FD320D"/>
    <w:rsid w:val="00FD4C22"/>
    <w:rsid w:val="00FD62D7"/>
    <w:rsid w:val="00FE1B98"/>
    <w:rsid w:val="00FE23DE"/>
    <w:rsid w:val="00FE2D94"/>
    <w:rsid w:val="00FE50F9"/>
    <w:rsid w:val="00FE5450"/>
    <w:rsid w:val="00FF103F"/>
    <w:rsid w:val="00FF1801"/>
    <w:rsid w:val="00FF1A0A"/>
    <w:rsid w:val="00FF3F1E"/>
    <w:rsid w:val="00FF591B"/>
    <w:rsid w:val="00FF6086"/>
    <w:rsid w:val="00FF6842"/>
    <w:rsid w:val="00FF6934"/>
    <w:rsid w:val="00FF73C1"/>
    <w:rsid w:val="0176597C"/>
    <w:rsid w:val="02031133"/>
    <w:rsid w:val="02053D6B"/>
    <w:rsid w:val="03773C2D"/>
    <w:rsid w:val="03B62263"/>
    <w:rsid w:val="04363AE8"/>
    <w:rsid w:val="09C55DBB"/>
    <w:rsid w:val="0A9468D7"/>
    <w:rsid w:val="0BBF7AED"/>
    <w:rsid w:val="0DA61F45"/>
    <w:rsid w:val="0E58506B"/>
    <w:rsid w:val="0ECF6D1C"/>
    <w:rsid w:val="0F121BF0"/>
    <w:rsid w:val="0FA724BA"/>
    <w:rsid w:val="109C3550"/>
    <w:rsid w:val="10F55D55"/>
    <w:rsid w:val="11952177"/>
    <w:rsid w:val="130B3A89"/>
    <w:rsid w:val="14EE3141"/>
    <w:rsid w:val="19F7750D"/>
    <w:rsid w:val="1A8F7D10"/>
    <w:rsid w:val="1DBE2387"/>
    <w:rsid w:val="1ECB6D7B"/>
    <w:rsid w:val="1EDF7C51"/>
    <w:rsid w:val="1F513014"/>
    <w:rsid w:val="1F856617"/>
    <w:rsid w:val="223E6BE7"/>
    <w:rsid w:val="2316152C"/>
    <w:rsid w:val="257D0110"/>
    <w:rsid w:val="280D6D9F"/>
    <w:rsid w:val="2C3016A0"/>
    <w:rsid w:val="2C6E17C2"/>
    <w:rsid w:val="2D3F1F71"/>
    <w:rsid w:val="2FF30C0D"/>
    <w:rsid w:val="310A02CF"/>
    <w:rsid w:val="31F8702C"/>
    <w:rsid w:val="32883196"/>
    <w:rsid w:val="33AC2E43"/>
    <w:rsid w:val="34A1215A"/>
    <w:rsid w:val="35C26B65"/>
    <w:rsid w:val="36514D4A"/>
    <w:rsid w:val="37976854"/>
    <w:rsid w:val="393314F6"/>
    <w:rsid w:val="3B60677A"/>
    <w:rsid w:val="3BEFDC05"/>
    <w:rsid w:val="411F78B8"/>
    <w:rsid w:val="42E817C6"/>
    <w:rsid w:val="440D2991"/>
    <w:rsid w:val="44D858B4"/>
    <w:rsid w:val="4A824D6E"/>
    <w:rsid w:val="4D0A1AB9"/>
    <w:rsid w:val="4F2A784B"/>
    <w:rsid w:val="4F4FFFCF"/>
    <w:rsid w:val="4F807463"/>
    <w:rsid w:val="50D01621"/>
    <w:rsid w:val="50D61560"/>
    <w:rsid w:val="50F23CDB"/>
    <w:rsid w:val="53FA7313"/>
    <w:rsid w:val="549B7195"/>
    <w:rsid w:val="566B7377"/>
    <w:rsid w:val="57792C45"/>
    <w:rsid w:val="59D24FE0"/>
    <w:rsid w:val="5AF15424"/>
    <w:rsid w:val="5B740785"/>
    <w:rsid w:val="5B7B9282"/>
    <w:rsid w:val="5C1A4820"/>
    <w:rsid w:val="5C7A2F45"/>
    <w:rsid w:val="5F775171"/>
    <w:rsid w:val="5FF4555F"/>
    <w:rsid w:val="616B5BDA"/>
    <w:rsid w:val="61B12574"/>
    <w:rsid w:val="61C627DC"/>
    <w:rsid w:val="623B1FA2"/>
    <w:rsid w:val="65AD24DB"/>
    <w:rsid w:val="66F216A1"/>
    <w:rsid w:val="67E85689"/>
    <w:rsid w:val="68CC52CB"/>
    <w:rsid w:val="6A2931E3"/>
    <w:rsid w:val="6A713F4E"/>
    <w:rsid w:val="6AAC038F"/>
    <w:rsid w:val="6BF90031"/>
    <w:rsid w:val="6DA30EDC"/>
    <w:rsid w:val="6FF81B93"/>
    <w:rsid w:val="71050DDF"/>
    <w:rsid w:val="718E1B44"/>
    <w:rsid w:val="73B77E13"/>
    <w:rsid w:val="74FF2EC2"/>
    <w:rsid w:val="758B00A9"/>
    <w:rsid w:val="77EFEDBD"/>
    <w:rsid w:val="78196573"/>
    <w:rsid w:val="78563879"/>
    <w:rsid w:val="79E21091"/>
    <w:rsid w:val="79E74ABF"/>
    <w:rsid w:val="7AAEC30C"/>
    <w:rsid w:val="7B7BCF52"/>
    <w:rsid w:val="7B8779ED"/>
    <w:rsid w:val="7C502B1E"/>
    <w:rsid w:val="7CEF7382"/>
    <w:rsid w:val="7F6B5934"/>
    <w:rsid w:val="7F714A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E529542"/>
  <w15:docId w15:val="{5588C358-5616-4FC2-B282-633B0CE3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unhideWhenUsed="1"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uiPriority="22"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c">
    <w:name w:val="Normal"/>
    <w:qFormat/>
    <w:rPr>
      <w:rFonts w:ascii="宋体" w:hAnsi="宋体" w:cs="宋体"/>
      <w:sz w:val="22"/>
      <w:szCs w:val="22"/>
    </w:rPr>
  </w:style>
  <w:style w:type="paragraph" w:styleId="1">
    <w:name w:val="heading 1"/>
    <w:basedOn w:val="afc"/>
    <w:next w:val="afc"/>
    <w:link w:val="10"/>
    <w:qFormat/>
    <w:pPr>
      <w:keepNext/>
      <w:keepLines/>
      <w:spacing w:before="340" w:after="330" w:line="578" w:lineRule="auto"/>
      <w:outlineLvl w:val="0"/>
    </w:pPr>
    <w:rPr>
      <w:b/>
      <w:bCs/>
      <w:kern w:val="44"/>
      <w:sz w:val="44"/>
      <w:szCs w:val="44"/>
    </w:rPr>
  </w:style>
  <w:style w:type="paragraph" w:styleId="2">
    <w:name w:val="heading 2"/>
    <w:basedOn w:val="afc"/>
    <w:next w:val="afc"/>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fc"/>
    <w:next w:val="afc"/>
    <w:link w:val="30"/>
    <w:semiHidden/>
    <w:unhideWhenUsed/>
    <w:qFormat/>
    <w:pPr>
      <w:keepNext/>
      <w:keepLines/>
      <w:spacing w:before="260" w:after="260" w:line="416" w:lineRule="auto"/>
      <w:outlineLvl w:val="2"/>
    </w:pPr>
    <w:rPr>
      <w:b/>
      <w:bCs/>
      <w:sz w:val="32"/>
      <w:szCs w:val="32"/>
    </w:rPr>
  </w:style>
  <w:style w:type="paragraph" w:styleId="4">
    <w:name w:val="heading 4"/>
    <w:basedOn w:val="afc"/>
    <w:next w:val="afc"/>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fd">
    <w:name w:val="Default Paragraph Font"/>
    <w:uiPriority w:val="1"/>
    <w:semiHidden/>
    <w:unhideWhenUsed/>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style>
  <w:style w:type="paragraph" w:styleId="TOC7">
    <w:name w:val="toc 7"/>
    <w:basedOn w:val="afc"/>
    <w:next w:val="afc"/>
    <w:semiHidden/>
    <w:qFormat/>
    <w:pPr>
      <w:tabs>
        <w:tab w:val="right" w:leader="dot" w:pos="9241"/>
      </w:tabs>
      <w:ind w:firstLineChars="500" w:firstLine="505"/>
    </w:pPr>
    <w:rPr>
      <w:szCs w:val="21"/>
    </w:rPr>
  </w:style>
  <w:style w:type="paragraph" w:styleId="8">
    <w:name w:val="index 8"/>
    <w:basedOn w:val="afc"/>
    <w:next w:val="afc"/>
    <w:qFormat/>
    <w:pPr>
      <w:ind w:left="1680" w:hanging="210"/>
    </w:pPr>
    <w:rPr>
      <w:rFonts w:ascii="Calibri" w:hAnsi="Calibri"/>
      <w:sz w:val="20"/>
      <w:szCs w:val="20"/>
    </w:rPr>
  </w:style>
  <w:style w:type="paragraph" w:styleId="aff0">
    <w:name w:val="caption"/>
    <w:basedOn w:val="afc"/>
    <w:next w:val="afc"/>
    <w:qFormat/>
    <w:pPr>
      <w:spacing w:before="152" w:after="160"/>
      <w:jc w:val="center"/>
    </w:pPr>
    <w:rPr>
      <w:rFonts w:ascii="Arial" w:eastAsia="黑体" w:hAnsi="Arial" w:cs="Arial"/>
      <w:sz w:val="20"/>
      <w:szCs w:val="20"/>
    </w:rPr>
  </w:style>
  <w:style w:type="paragraph" w:styleId="5">
    <w:name w:val="index 5"/>
    <w:basedOn w:val="afc"/>
    <w:next w:val="afc"/>
    <w:qFormat/>
    <w:pPr>
      <w:ind w:left="1050" w:hanging="210"/>
    </w:pPr>
    <w:rPr>
      <w:rFonts w:ascii="Calibri" w:hAnsi="Calibri"/>
      <w:sz w:val="20"/>
      <w:szCs w:val="20"/>
    </w:rPr>
  </w:style>
  <w:style w:type="paragraph" w:styleId="aff1">
    <w:name w:val="Document Map"/>
    <w:basedOn w:val="afc"/>
    <w:semiHidden/>
    <w:qFormat/>
    <w:pPr>
      <w:shd w:val="clear" w:color="auto" w:fill="000080"/>
    </w:pPr>
  </w:style>
  <w:style w:type="paragraph" w:styleId="aff2">
    <w:name w:val="annotation text"/>
    <w:basedOn w:val="afc"/>
    <w:link w:val="aff3"/>
    <w:unhideWhenUsed/>
    <w:qFormat/>
  </w:style>
  <w:style w:type="paragraph" w:styleId="6">
    <w:name w:val="index 6"/>
    <w:basedOn w:val="afc"/>
    <w:next w:val="afc"/>
    <w:qFormat/>
    <w:pPr>
      <w:ind w:left="1260" w:hanging="210"/>
    </w:pPr>
    <w:rPr>
      <w:rFonts w:ascii="Calibri" w:hAnsi="Calibri"/>
      <w:sz w:val="20"/>
      <w:szCs w:val="20"/>
    </w:rPr>
  </w:style>
  <w:style w:type="paragraph" w:styleId="aff4">
    <w:name w:val="Body Text"/>
    <w:basedOn w:val="afc"/>
    <w:link w:val="aff5"/>
    <w:uiPriority w:val="1"/>
    <w:qFormat/>
    <w:pPr>
      <w:autoSpaceDE w:val="0"/>
      <w:autoSpaceDN w:val="0"/>
    </w:pPr>
    <w:rPr>
      <w:rFonts w:ascii="Noto Sans Mono CJK JP Bold" w:eastAsia="Noto Sans Mono CJK JP Bold" w:hAnsi="Noto Sans Mono CJK JP Bold" w:cs="Noto Sans Mono CJK JP Bold"/>
      <w:szCs w:val="21"/>
      <w:lang w:eastAsia="en-US"/>
    </w:rPr>
  </w:style>
  <w:style w:type="paragraph" w:styleId="41">
    <w:name w:val="index 4"/>
    <w:basedOn w:val="afc"/>
    <w:next w:val="afc"/>
    <w:qFormat/>
    <w:pPr>
      <w:ind w:left="840" w:hanging="210"/>
    </w:pPr>
    <w:rPr>
      <w:rFonts w:ascii="Calibri" w:hAnsi="Calibri"/>
      <w:sz w:val="20"/>
      <w:szCs w:val="20"/>
    </w:rPr>
  </w:style>
  <w:style w:type="paragraph" w:styleId="TOC5">
    <w:name w:val="toc 5"/>
    <w:basedOn w:val="afc"/>
    <w:next w:val="afc"/>
    <w:semiHidden/>
    <w:qFormat/>
    <w:pPr>
      <w:tabs>
        <w:tab w:val="right" w:leader="dot" w:pos="9241"/>
      </w:tabs>
      <w:ind w:firstLineChars="300" w:firstLine="300"/>
    </w:pPr>
    <w:rPr>
      <w:szCs w:val="21"/>
    </w:rPr>
  </w:style>
  <w:style w:type="paragraph" w:styleId="TOC3">
    <w:name w:val="toc 3"/>
    <w:basedOn w:val="afc"/>
    <w:next w:val="afc"/>
    <w:uiPriority w:val="39"/>
    <w:qFormat/>
    <w:pPr>
      <w:tabs>
        <w:tab w:val="right" w:leader="dot" w:pos="9241"/>
      </w:tabs>
      <w:ind w:firstLineChars="100" w:firstLine="102"/>
    </w:pPr>
    <w:rPr>
      <w:szCs w:val="21"/>
    </w:rPr>
  </w:style>
  <w:style w:type="paragraph" w:styleId="TOC8">
    <w:name w:val="toc 8"/>
    <w:basedOn w:val="afc"/>
    <w:next w:val="afc"/>
    <w:semiHidden/>
    <w:qFormat/>
    <w:pPr>
      <w:tabs>
        <w:tab w:val="right" w:leader="dot" w:pos="9241"/>
      </w:tabs>
      <w:ind w:firstLineChars="600" w:firstLine="607"/>
    </w:pPr>
    <w:rPr>
      <w:szCs w:val="21"/>
    </w:rPr>
  </w:style>
  <w:style w:type="paragraph" w:styleId="31">
    <w:name w:val="index 3"/>
    <w:basedOn w:val="afc"/>
    <w:next w:val="afc"/>
    <w:qFormat/>
    <w:pPr>
      <w:ind w:left="630" w:hanging="210"/>
    </w:pPr>
    <w:rPr>
      <w:rFonts w:ascii="Calibri" w:hAnsi="Calibri"/>
      <w:sz w:val="20"/>
      <w:szCs w:val="20"/>
    </w:rPr>
  </w:style>
  <w:style w:type="paragraph" w:styleId="aff6">
    <w:name w:val="endnote text"/>
    <w:basedOn w:val="afc"/>
    <w:semiHidden/>
    <w:qFormat/>
    <w:pPr>
      <w:snapToGrid w:val="0"/>
    </w:pPr>
  </w:style>
  <w:style w:type="paragraph" w:styleId="aff7">
    <w:name w:val="Balloon Text"/>
    <w:basedOn w:val="afc"/>
    <w:link w:val="aff8"/>
    <w:qFormat/>
    <w:rPr>
      <w:sz w:val="18"/>
      <w:szCs w:val="18"/>
    </w:rPr>
  </w:style>
  <w:style w:type="paragraph" w:styleId="aff9">
    <w:name w:val="footer"/>
    <w:basedOn w:val="afc"/>
    <w:qFormat/>
    <w:pPr>
      <w:snapToGrid w:val="0"/>
      <w:ind w:rightChars="100" w:right="220"/>
    </w:pPr>
    <w:rPr>
      <w:sz w:val="18"/>
      <w:szCs w:val="18"/>
    </w:rPr>
  </w:style>
  <w:style w:type="paragraph" w:styleId="affa">
    <w:name w:val="header"/>
    <w:basedOn w:val="afc"/>
    <w:qFormat/>
    <w:pPr>
      <w:snapToGrid w:val="0"/>
    </w:pPr>
    <w:rPr>
      <w:sz w:val="18"/>
      <w:szCs w:val="18"/>
    </w:rPr>
  </w:style>
  <w:style w:type="paragraph" w:styleId="TOC1">
    <w:name w:val="toc 1"/>
    <w:basedOn w:val="afc"/>
    <w:next w:val="afc"/>
    <w:uiPriority w:val="39"/>
    <w:qFormat/>
    <w:pPr>
      <w:tabs>
        <w:tab w:val="right" w:leader="dot" w:pos="9241"/>
      </w:tabs>
      <w:spacing w:beforeLines="25" w:before="78" w:afterLines="25" w:after="78"/>
    </w:pPr>
    <w:rPr>
      <w:rFonts w:asciiTheme="minorEastAsia" w:eastAsiaTheme="minorEastAsia" w:hAnsiTheme="minorEastAsia"/>
      <w:sz w:val="20"/>
      <w:szCs w:val="20"/>
    </w:rPr>
  </w:style>
  <w:style w:type="paragraph" w:styleId="TOC4">
    <w:name w:val="toc 4"/>
    <w:basedOn w:val="afc"/>
    <w:next w:val="afc"/>
    <w:semiHidden/>
    <w:qFormat/>
    <w:pPr>
      <w:tabs>
        <w:tab w:val="right" w:leader="dot" w:pos="9241"/>
      </w:tabs>
      <w:ind w:firstLineChars="200" w:firstLine="198"/>
    </w:pPr>
    <w:rPr>
      <w:szCs w:val="21"/>
    </w:rPr>
  </w:style>
  <w:style w:type="paragraph" w:styleId="affb">
    <w:name w:val="index heading"/>
    <w:basedOn w:val="afc"/>
    <w:next w:val="11"/>
    <w:qFormat/>
    <w:pPr>
      <w:spacing w:before="120" w:after="120"/>
      <w:jc w:val="center"/>
    </w:pPr>
    <w:rPr>
      <w:rFonts w:ascii="Calibri" w:hAnsi="Calibri"/>
      <w:b/>
      <w:bCs/>
      <w:iCs/>
      <w:szCs w:val="20"/>
    </w:rPr>
  </w:style>
  <w:style w:type="paragraph" w:styleId="11">
    <w:name w:val="index 1"/>
    <w:basedOn w:val="afc"/>
    <w:next w:val="affc"/>
    <w:qFormat/>
    <w:pPr>
      <w:tabs>
        <w:tab w:val="right" w:leader="dot" w:pos="9299"/>
      </w:tabs>
    </w:pPr>
    <w:rPr>
      <w:szCs w:val="21"/>
    </w:rPr>
  </w:style>
  <w:style w:type="paragraph" w:customStyle="1" w:styleId="affc">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8">
    <w:name w:val="footnote text"/>
    <w:basedOn w:val="afc"/>
    <w:qFormat/>
    <w:pPr>
      <w:numPr>
        <w:numId w:val="1"/>
      </w:numPr>
      <w:snapToGrid w:val="0"/>
    </w:pPr>
    <w:rPr>
      <w:sz w:val="18"/>
      <w:szCs w:val="18"/>
    </w:rPr>
  </w:style>
  <w:style w:type="paragraph" w:styleId="TOC6">
    <w:name w:val="toc 6"/>
    <w:basedOn w:val="afc"/>
    <w:next w:val="afc"/>
    <w:semiHidden/>
    <w:qFormat/>
    <w:pPr>
      <w:tabs>
        <w:tab w:val="right" w:leader="dot" w:pos="9241"/>
      </w:tabs>
      <w:ind w:firstLineChars="400" w:firstLine="403"/>
    </w:pPr>
    <w:rPr>
      <w:szCs w:val="21"/>
    </w:rPr>
  </w:style>
  <w:style w:type="paragraph" w:styleId="7">
    <w:name w:val="index 7"/>
    <w:basedOn w:val="afc"/>
    <w:next w:val="afc"/>
    <w:qFormat/>
    <w:pPr>
      <w:ind w:left="1470" w:hanging="210"/>
    </w:pPr>
    <w:rPr>
      <w:rFonts w:ascii="Calibri" w:hAnsi="Calibri"/>
      <w:sz w:val="20"/>
      <w:szCs w:val="20"/>
    </w:rPr>
  </w:style>
  <w:style w:type="paragraph" w:styleId="9">
    <w:name w:val="index 9"/>
    <w:basedOn w:val="afc"/>
    <w:next w:val="afc"/>
    <w:qFormat/>
    <w:pPr>
      <w:ind w:left="1890" w:hanging="210"/>
    </w:pPr>
    <w:rPr>
      <w:rFonts w:ascii="Calibri" w:hAnsi="Calibri"/>
      <w:sz w:val="20"/>
      <w:szCs w:val="20"/>
    </w:rPr>
  </w:style>
  <w:style w:type="paragraph" w:styleId="TOC2">
    <w:name w:val="toc 2"/>
    <w:basedOn w:val="afc"/>
    <w:next w:val="afc"/>
    <w:uiPriority w:val="39"/>
    <w:qFormat/>
    <w:pPr>
      <w:tabs>
        <w:tab w:val="right" w:leader="dot" w:pos="9241"/>
      </w:tabs>
    </w:pPr>
    <w:rPr>
      <w:szCs w:val="21"/>
    </w:rPr>
  </w:style>
  <w:style w:type="paragraph" w:styleId="TOC9">
    <w:name w:val="toc 9"/>
    <w:basedOn w:val="afc"/>
    <w:next w:val="afc"/>
    <w:semiHidden/>
    <w:qFormat/>
    <w:pPr>
      <w:ind w:left="1470"/>
    </w:pPr>
    <w:rPr>
      <w:sz w:val="20"/>
      <w:szCs w:val="20"/>
    </w:rPr>
  </w:style>
  <w:style w:type="paragraph" w:styleId="affd">
    <w:name w:val="Normal (Web)"/>
    <w:basedOn w:val="afc"/>
    <w:semiHidden/>
    <w:unhideWhenUsed/>
    <w:qFormat/>
    <w:pPr>
      <w:spacing w:beforeAutospacing="1" w:afterAutospacing="1"/>
    </w:pPr>
    <w:rPr>
      <w:sz w:val="24"/>
    </w:rPr>
  </w:style>
  <w:style w:type="paragraph" w:styleId="21">
    <w:name w:val="index 2"/>
    <w:basedOn w:val="afc"/>
    <w:next w:val="afc"/>
    <w:qFormat/>
    <w:pPr>
      <w:ind w:left="420" w:hanging="210"/>
    </w:pPr>
    <w:rPr>
      <w:rFonts w:ascii="Calibri" w:hAnsi="Calibri"/>
      <w:sz w:val="20"/>
      <w:szCs w:val="20"/>
    </w:rPr>
  </w:style>
  <w:style w:type="paragraph" w:styleId="affe">
    <w:name w:val="annotation subject"/>
    <w:basedOn w:val="aff2"/>
    <w:next w:val="aff2"/>
    <w:link w:val="afff"/>
    <w:semiHidden/>
    <w:unhideWhenUsed/>
    <w:qFormat/>
    <w:rPr>
      <w:b/>
      <w:bCs/>
    </w:rPr>
  </w:style>
  <w:style w:type="table" w:styleId="afff0">
    <w:name w:val="Table Grid"/>
    <w:basedOn w:val="afe"/>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trong"/>
    <w:basedOn w:val="afd"/>
    <w:uiPriority w:val="22"/>
    <w:qFormat/>
    <w:rPr>
      <w:b/>
      <w:bCs/>
    </w:rPr>
  </w:style>
  <w:style w:type="character" w:styleId="afff2">
    <w:name w:val="endnote reference"/>
    <w:semiHidden/>
    <w:qFormat/>
    <w:rPr>
      <w:vertAlign w:val="superscript"/>
    </w:rPr>
  </w:style>
  <w:style w:type="character" w:styleId="afff3">
    <w:name w:val="page number"/>
    <w:qFormat/>
    <w:rPr>
      <w:rFonts w:ascii="Times New Roman" w:eastAsia="宋体" w:hAnsi="Times New Roman"/>
      <w:sz w:val="18"/>
    </w:rPr>
  </w:style>
  <w:style w:type="character" w:styleId="afff4">
    <w:name w:val="FollowedHyperlink"/>
    <w:qFormat/>
    <w:rPr>
      <w:color w:val="800080"/>
      <w:u w:val="single"/>
    </w:rPr>
  </w:style>
  <w:style w:type="character" w:styleId="afff5">
    <w:name w:val="Emphasis"/>
    <w:basedOn w:val="afd"/>
    <w:qFormat/>
    <w:rPr>
      <w:i/>
    </w:rPr>
  </w:style>
  <w:style w:type="character" w:styleId="afff6">
    <w:name w:val="Hyperlink"/>
    <w:uiPriority w:val="99"/>
    <w:qFormat/>
    <w:rPr>
      <w:color w:val="0000FF"/>
      <w:spacing w:val="0"/>
      <w:w w:val="100"/>
      <w:szCs w:val="21"/>
      <w:u w:val="single"/>
    </w:rPr>
  </w:style>
  <w:style w:type="character" w:styleId="afff7">
    <w:name w:val="annotation reference"/>
    <w:basedOn w:val="afd"/>
    <w:semiHidden/>
    <w:unhideWhenUsed/>
    <w:qFormat/>
    <w:rPr>
      <w:sz w:val="21"/>
      <w:szCs w:val="21"/>
    </w:rPr>
  </w:style>
  <w:style w:type="character" w:styleId="afff8">
    <w:name w:val="footnote reference"/>
    <w:semiHidden/>
    <w:qFormat/>
    <w:rPr>
      <w:vertAlign w:val="superscript"/>
    </w:rPr>
  </w:style>
  <w:style w:type="character" w:customStyle="1" w:styleId="Char">
    <w:name w:val="段 Char"/>
    <w:link w:val="affc"/>
    <w:qFormat/>
    <w:rPr>
      <w:rFonts w:ascii="宋体"/>
      <w:sz w:val="21"/>
    </w:rPr>
  </w:style>
  <w:style w:type="paragraph" w:customStyle="1" w:styleId="afff9">
    <w:name w:val="一级条标题"/>
    <w:next w:val="affc"/>
    <w:qFormat/>
    <w:pPr>
      <w:spacing w:beforeLines="50" w:afterLines="50"/>
      <w:outlineLvl w:val="2"/>
    </w:pPr>
    <w:rPr>
      <w:rFonts w:ascii="黑体" w:eastAsia="黑体"/>
      <w:sz w:val="21"/>
      <w:szCs w:val="21"/>
    </w:rPr>
  </w:style>
  <w:style w:type="paragraph" w:customStyle="1" w:styleId="afffa">
    <w:name w:val="标准书脚_奇数页"/>
    <w:qFormat/>
    <w:pPr>
      <w:spacing w:before="120"/>
      <w:ind w:right="198"/>
      <w:jc w:val="right"/>
    </w:pPr>
    <w:rPr>
      <w:rFonts w:ascii="宋体"/>
      <w:sz w:val="18"/>
      <w:szCs w:val="18"/>
    </w:rPr>
  </w:style>
  <w:style w:type="paragraph" w:customStyle="1" w:styleId="afffb">
    <w:name w:val="标准书眉_奇数页"/>
    <w:next w:val="afc"/>
    <w:qFormat/>
    <w:pPr>
      <w:tabs>
        <w:tab w:val="center" w:pos="4154"/>
        <w:tab w:val="right" w:pos="8306"/>
      </w:tabs>
      <w:spacing w:after="220"/>
      <w:jc w:val="right"/>
    </w:pPr>
    <w:rPr>
      <w:rFonts w:ascii="黑体" w:eastAsia="黑体"/>
      <w:sz w:val="21"/>
      <w:szCs w:val="21"/>
    </w:rPr>
  </w:style>
  <w:style w:type="paragraph" w:customStyle="1" w:styleId="afffc">
    <w:name w:val="章标题"/>
    <w:next w:val="affc"/>
    <w:qFormat/>
    <w:pPr>
      <w:spacing w:beforeLines="100" w:afterLines="100"/>
      <w:jc w:val="both"/>
      <w:outlineLvl w:val="1"/>
    </w:pPr>
    <w:rPr>
      <w:rFonts w:ascii="黑体" w:eastAsia="黑体"/>
      <w:sz w:val="21"/>
    </w:rPr>
  </w:style>
  <w:style w:type="paragraph" w:customStyle="1" w:styleId="afffd">
    <w:name w:val="二级条标题"/>
    <w:basedOn w:val="afff9"/>
    <w:next w:val="affc"/>
    <w:qFormat/>
    <w:pPr>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5">
    <w:name w:val="列项——（一级）"/>
    <w:qFormat/>
    <w:pPr>
      <w:widowControl w:val="0"/>
      <w:numPr>
        <w:numId w:val="2"/>
      </w:numPr>
      <w:jc w:val="both"/>
    </w:pPr>
    <w:rPr>
      <w:rFonts w:ascii="宋体"/>
      <w:sz w:val="21"/>
    </w:rPr>
  </w:style>
  <w:style w:type="paragraph" w:customStyle="1" w:styleId="a6">
    <w:name w:val="列项●（二级）"/>
    <w:qFormat/>
    <w:pPr>
      <w:numPr>
        <w:ilvl w:val="1"/>
        <w:numId w:val="2"/>
      </w:numPr>
      <w:tabs>
        <w:tab w:val="left" w:pos="840"/>
      </w:tabs>
      <w:jc w:val="both"/>
    </w:pPr>
    <w:rPr>
      <w:rFonts w:ascii="宋体"/>
      <w:sz w:val="21"/>
    </w:rPr>
  </w:style>
  <w:style w:type="paragraph" w:customStyle="1" w:styleId="afffe">
    <w:name w:val="目次、标准名称标题"/>
    <w:basedOn w:val="afc"/>
    <w:next w:val="affc"/>
    <w:link w:val="Char0"/>
    <w:qFormat/>
    <w:pPr>
      <w:keepNext/>
      <w:pageBreakBefore/>
      <w:shd w:val="clear" w:color="FFFFFF" w:fill="FFFFFF"/>
      <w:spacing w:before="640" w:after="560" w:line="460" w:lineRule="exact"/>
      <w:jc w:val="center"/>
      <w:outlineLvl w:val="0"/>
    </w:pPr>
    <w:rPr>
      <w:rFonts w:ascii="黑体" w:eastAsia="黑体"/>
      <w:sz w:val="32"/>
      <w:szCs w:val="20"/>
    </w:rPr>
  </w:style>
  <w:style w:type="paragraph" w:customStyle="1" w:styleId="affff">
    <w:name w:val="三级条标题"/>
    <w:basedOn w:val="afffd"/>
    <w:next w:val="affc"/>
    <w:qFormat/>
    <w:pPr>
      <w:outlineLvl w:val="4"/>
    </w:pPr>
  </w:style>
  <w:style w:type="paragraph" w:customStyle="1" w:styleId="af0">
    <w:name w:val="示例"/>
    <w:next w:val="affff0"/>
    <w:qFormat/>
    <w:pPr>
      <w:widowControl w:val="0"/>
      <w:numPr>
        <w:numId w:val="3"/>
      </w:numPr>
      <w:jc w:val="both"/>
    </w:pPr>
    <w:rPr>
      <w:rFonts w:ascii="宋体"/>
      <w:sz w:val="18"/>
      <w:szCs w:val="18"/>
    </w:rPr>
  </w:style>
  <w:style w:type="paragraph" w:customStyle="1" w:styleId="affff0">
    <w:name w:val="示例内容"/>
    <w:qFormat/>
    <w:pPr>
      <w:ind w:firstLineChars="200" w:firstLine="200"/>
    </w:pPr>
    <w:rPr>
      <w:rFonts w:ascii="宋体"/>
      <w:sz w:val="18"/>
      <w:szCs w:val="18"/>
    </w:rPr>
  </w:style>
  <w:style w:type="paragraph" w:customStyle="1" w:styleId="aa">
    <w:name w:val="数字编号列项（二级）"/>
    <w:qFormat/>
    <w:pPr>
      <w:numPr>
        <w:ilvl w:val="1"/>
        <w:numId w:val="4"/>
      </w:numPr>
      <w:jc w:val="both"/>
    </w:pPr>
    <w:rPr>
      <w:rFonts w:ascii="宋体"/>
      <w:sz w:val="21"/>
    </w:rPr>
  </w:style>
  <w:style w:type="paragraph" w:customStyle="1" w:styleId="affff1">
    <w:name w:val="四级条标题"/>
    <w:basedOn w:val="affff"/>
    <w:next w:val="affc"/>
    <w:qFormat/>
    <w:pPr>
      <w:outlineLvl w:val="5"/>
    </w:pPr>
  </w:style>
  <w:style w:type="paragraph" w:customStyle="1" w:styleId="affff2">
    <w:name w:val="五级条标题"/>
    <w:basedOn w:val="affff1"/>
    <w:next w:val="affc"/>
    <w:qFormat/>
    <w:pPr>
      <w:outlineLvl w:val="6"/>
    </w:pPr>
  </w:style>
  <w:style w:type="paragraph" w:customStyle="1" w:styleId="a0">
    <w:name w:val="注："/>
    <w:next w:val="affc"/>
    <w:qFormat/>
    <w:pPr>
      <w:widowControl w:val="0"/>
      <w:numPr>
        <w:numId w:val="5"/>
      </w:numPr>
      <w:autoSpaceDE w:val="0"/>
      <w:autoSpaceDN w:val="0"/>
      <w:ind w:left="726" w:hanging="363"/>
      <w:jc w:val="both"/>
    </w:pPr>
    <w:rPr>
      <w:rFonts w:ascii="宋体"/>
      <w:sz w:val="18"/>
      <w:szCs w:val="18"/>
    </w:rPr>
  </w:style>
  <w:style w:type="paragraph" w:customStyle="1" w:styleId="ad">
    <w:name w:val="注×："/>
    <w:qFormat/>
    <w:pPr>
      <w:widowControl w:val="0"/>
      <w:numPr>
        <w:numId w:val="6"/>
      </w:numPr>
      <w:autoSpaceDE w:val="0"/>
      <w:autoSpaceDN w:val="0"/>
      <w:ind w:left="811" w:hanging="448"/>
      <w:jc w:val="both"/>
    </w:pPr>
    <w:rPr>
      <w:rFonts w:ascii="宋体"/>
      <w:sz w:val="18"/>
      <w:szCs w:val="18"/>
    </w:rPr>
  </w:style>
  <w:style w:type="paragraph" w:customStyle="1" w:styleId="a9">
    <w:name w:val="字母编号列项（一级）"/>
    <w:qFormat/>
    <w:pPr>
      <w:numPr>
        <w:numId w:val="4"/>
      </w:numPr>
      <w:jc w:val="both"/>
    </w:pPr>
    <w:rPr>
      <w:rFonts w:ascii="宋体"/>
      <w:sz w:val="21"/>
    </w:rPr>
  </w:style>
  <w:style w:type="paragraph" w:customStyle="1" w:styleId="a7">
    <w:name w:val="列项◆（三级）"/>
    <w:basedOn w:val="afc"/>
    <w:qFormat/>
    <w:pPr>
      <w:numPr>
        <w:ilvl w:val="2"/>
        <w:numId w:val="2"/>
      </w:numPr>
    </w:pPr>
    <w:rPr>
      <w:szCs w:val="21"/>
    </w:rPr>
  </w:style>
  <w:style w:type="paragraph" w:customStyle="1" w:styleId="ab">
    <w:name w:val="编号列项（三级）"/>
    <w:qFormat/>
    <w:pPr>
      <w:numPr>
        <w:ilvl w:val="2"/>
        <w:numId w:val="4"/>
      </w:numPr>
    </w:pPr>
    <w:rPr>
      <w:rFonts w:ascii="宋体"/>
      <w:sz w:val="21"/>
    </w:rPr>
  </w:style>
  <w:style w:type="paragraph" w:customStyle="1" w:styleId="af9">
    <w:name w:val="示例×："/>
    <w:basedOn w:val="afffc"/>
    <w:qFormat/>
    <w:pPr>
      <w:numPr>
        <w:numId w:val="7"/>
      </w:numPr>
      <w:spacing w:beforeLines="0" w:afterLines="0"/>
      <w:outlineLvl w:val="9"/>
    </w:pPr>
    <w:rPr>
      <w:rFonts w:ascii="宋体" w:eastAsia="宋体"/>
      <w:sz w:val="18"/>
      <w:szCs w:val="18"/>
    </w:rPr>
  </w:style>
  <w:style w:type="paragraph" w:customStyle="1" w:styleId="affff3">
    <w:name w:val="二级无"/>
    <w:basedOn w:val="afffd"/>
    <w:qFormat/>
    <w:pPr>
      <w:spacing w:beforeLines="0" w:afterLines="0"/>
    </w:pPr>
    <w:rPr>
      <w:rFonts w:ascii="宋体" w:eastAsia="宋体"/>
    </w:rPr>
  </w:style>
  <w:style w:type="paragraph" w:customStyle="1" w:styleId="a2">
    <w:name w:val="注：（正文）"/>
    <w:basedOn w:val="a0"/>
    <w:next w:val="affc"/>
    <w:qFormat/>
    <w:pPr>
      <w:numPr>
        <w:numId w:val="8"/>
      </w:numPr>
      <w:ind w:left="726" w:hanging="363"/>
    </w:pPr>
  </w:style>
  <w:style w:type="paragraph" w:customStyle="1" w:styleId="a">
    <w:name w:val="注×：（正文）"/>
    <w:qFormat/>
    <w:pPr>
      <w:numPr>
        <w:numId w:val="9"/>
      </w:numPr>
      <w:ind w:left="811" w:hanging="448"/>
      <w:jc w:val="both"/>
    </w:pPr>
    <w:rPr>
      <w:rFonts w:ascii="宋体"/>
      <w:sz w:val="18"/>
      <w:szCs w:val="18"/>
    </w:rPr>
  </w:style>
  <w:style w:type="paragraph" w:customStyle="1" w:styleId="affff4">
    <w:name w:val="标准标志"/>
    <w:next w:val="afc"/>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5">
    <w:name w:val="标准称谓"/>
    <w:next w:val="afc"/>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6">
    <w:name w:val="标准书脚_偶数页"/>
    <w:qFormat/>
    <w:pPr>
      <w:spacing w:before="120"/>
      <w:ind w:left="221"/>
    </w:pPr>
    <w:rPr>
      <w:rFonts w:ascii="宋体"/>
      <w:sz w:val="18"/>
      <w:szCs w:val="18"/>
    </w:rPr>
  </w:style>
  <w:style w:type="paragraph" w:customStyle="1" w:styleId="affff7">
    <w:name w:val="标准书眉_偶数页"/>
    <w:basedOn w:val="afffb"/>
    <w:next w:val="afc"/>
    <w:qFormat/>
    <w:pPr>
      <w:jc w:val="left"/>
    </w:pPr>
  </w:style>
  <w:style w:type="paragraph" w:customStyle="1" w:styleId="affff8">
    <w:name w:val="标准书眉一"/>
    <w:qFormat/>
    <w:pPr>
      <w:jc w:val="both"/>
    </w:pPr>
  </w:style>
  <w:style w:type="paragraph" w:customStyle="1" w:styleId="affff9">
    <w:name w:val="参考文献"/>
    <w:basedOn w:val="afc"/>
    <w:next w:val="affc"/>
    <w:qFormat/>
    <w:pPr>
      <w:keepNext/>
      <w:pageBreakBefore/>
      <w:shd w:val="clear" w:color="FFFFFF" w:fill="FFFFFF"/>
      <w:spacing w:before="640" w:after="200"/>
      <w:jc w:val="center"/>
      <w:outlineLvl w:val="0"/>
    </w:pPr>
    <w:rPr>
      <w:rFonts w:ascii="黑体" w:eastAsia="黑体"/>
      <w:szCs w:val="20"/>
    </w:rPr>
  </w:style>
  <w:style w:type="paragraph" w:customStyle="1" w:styleId="affffa">
    <w:name w:val="参考文献、索引标题"/>
    <w:basedOn w:val="afc"/>
    <w:next w:val="affc"/>
    <w:qFormat/>
    <w:pPr>
      <w:keepNext/>
      <w:pageBreakBefore/>
      <w:shd w:val="clear" w:color="FFFFFF" w:fill="FFFFFF"/>
      <w:spacing w:before="640" w:after="200"/>
      <w:jc w:val="center"/>
      <w:outlineLvl w:val="0"/>
    </w:pPr>
    <w:rPr>
      <w:rFonts w:ascii="黑体" w:eastAsia="黑体"/>
      <w:szCs w:val="20"/>
    </w:rPr>
  </w:style>
  <w:style w:type="character" w:customStyle="1" w:styleId="affffb">
    <w:name w:val="发布"/>
    <w:qFormat/>
    <w:rPr>
      <w:rFonts w:ascii="黑体" w:eastAsia="黑体"/>
      <w:spacing w:val="85"/>
      <w:w w:val="100"/>
      <w:position w:val="3"/>
      <w:sz w:val="28"/>
      <w:szCs w:val="28"/>
    </w:rPr>
  </w:style>
  <w:style w:type="paragraph" w:customStyle="1" w:styleId="affffc">
    <w:name w:val="发布部门"/>
    <w:next w:val="affc"/>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d">
    <w:name w:val="发布日期"/>
    <w:qFormat/>
    <w:pPr>
      <w:framePr w:w="3997" w:h="471" w:hRule="exact" w:vSpace="181" w:wrap="around" w:hAnchor="page" w:x="7089" w:y="14097" w:anchorLock="1"/>
    </w:pPr>
    <w:rPr>
      <w:rFonts w:eastAsia="黑体"/>
      <w:sz w:val="28"/>
    </w:rPr>
  </w:style>
  <w:style w:type="paragraph" w:customStyle="1" w:styleId="affffe">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f">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f0">
    <w:name w:val="封面标准英文名称"/>
    <w:basedOn w:val="afffff"/>
    <w:qFormat/>
    <w:pPr>
      <w:framePr w:wrap="around"/>
      <w:spacing w:before="370" w:line="400" w:lineRule="exact"/>
    </w:pPr>
    <w:rPr>
      <w:rFonts w:ascii="Times New Roman"/>
      <w:sz w:val="28"/>
      <w:szCs w:val="28"/>
    </w:rPr>
  </w:style>
  <w:style w:type="paragraph" w:customStyle="1" w:styleId="afffff1">
    <w:name w:val="封面一致性程度标识"/>
    <w:basedOn w:val="afffff0"/>
    <w:qFormat/>
    <w:pPr>
      <w:framePr w:wrap="around"/>
      <w:spacing w:before="440"/>
    </w:pPr>
    <w:rPr>
      <w:rFonts w:ascii="宋体" w:eastAsia="宋体"/>
    </w:rPr>
  </w:style>
  <w:style w:type="paragraph" w:customStyle="1" w:styleId="afffff2">
    <w:name w:val="封面标准文稿类别"/>
    <w:basedOn w:val="afffff1"/>
    <w:qFormat/>
    <w:pPr>
      <w:framePr w:wrap="around"/>
      <w:spacing w:after="160" w:line="240" w:lineRule="auto"/>
    </w:pPr>
    <w:rPr>
      <w:sz w:val="24"/>
    </w:rPr>
  </w:style>
  <w:style w:type="paragraph" w:customStyle="1" w:styleId="afffff3">
    <w:name w:val="封面标准文稿编辑信息"/>
    <w:basedOn w:val="afffff2"/>
    <w:qFormat/>
    <w:pPr>
      <w:framePr w:wrap="around"/>
      <w:spacing w:before="180" w:line="180" w:lineRule="exact"/>
    </w:pPr>
    <w:rPr>
      <w:sz w:val="21"/>
    </w:rPr>
  </w:style>
  <w:style w:type="paragraph" w:customStyle="1" w:styleId="afffff4">
    <w:name w:val="封面正文"/>
    <w:qFormat/>
    <w:pPr>
      <w:jc w:val="both"/>
    </w:pPr>
  </w:style>
  <w:style w:type="paragraph" w:customStyle="1" w:styleId="af2">
    <w:name w:val="附录标识"/>
    <w:basedOn w:val="afc"/>
    <w:next w:val="affc"/>
    <w:qFormat/>
    <w:pPr>
      <w:keepNext/>
      <w:numPr>
        <w:numId w:val="10"/>
      </w:numPr>
      <w:shd w:val="clear" w:color="FFFFFF" w:fill="FFFFFF"/>
      <w:tabs>
        <w:tab w:val="left" w:pos="360"/>
        <w:tab w:val="left" w:pos="6405"/>
      </w:tabs>
      <w:spacing w:before="640" w:after="280"/>
      <w:jc w:val="center"/>
      <w:outlineLvl w:val="0"/>
    </w:pPr>
    <w:rPr>
      <w:rFonts w:ascii="黑体" w:eastAsia="黑体"/>
      <w:szCs w:val="20"/>
    </w:rPr>
  </w:style>
  <w:style w:type="paragraph" w:customStyle="1" w:styleId="afffff5">
    <w:name w:val="附录标题"/>
    <w:basedOn w:val="affc"/>
    <w:next w:val="affc"/>
    <w:qFormat/>
    <w:pPr>
      <w:ind w:firstLineChars="0" w:firstLine="0"/>
      <w:jc w:val="center"/>
    </w:pPr>
    <w:rPr>
      <w:rFonts w:ascii="黑体" w:eastAsia="黑体"/>
    </w:rPr>
  </w:style>
  <w:style w:type="paragraph" w:customStyle="1" w:styleId="ae">
    <w:name w:val="附录表标号"/>
    <w:basedOn w:val="afc"/>
    <w:next w:val="affc"/>
    <w:qFormat/>
    <w:pPr>
      <w:numPr>
        <w:numId w:val="11"/>
      </w:numPr>
      <w:tabs>
        <w:tab w:val="clear" w:pos="0"/>
      </w:tabs>
      <w:spacing w:line="14" w:lineRule="exact"/>
      <w:ind w:left="811" w:hanging="448"/>
      <w:jc w:val="center"/>
      <w:outlineLvl w:val="0"/>
    </w:pPr>
    <w:rPr>
      <w:color w:val="FFFFFF"/>
    </w:rPr>
  </w:style>
  <w:style w:type="paragraph" w:customStyle="1" w:styleId="af">
    <w:name w:val="附录表标题"/>
    <w:basedOn w:val="afc"/>
    <w:next w:val="affc"/>
    <w:qFormat/>
    <w:pPr>
      <w:numPr>
        <w:ilvl w:val="1"/>
        <w:numId w:val="11"/>
      </w:numPr>
      <w:tabs>
        <w:tab w:val="left" w:pos="180"/>
      </w:tabs>
      <w:spacing w:beforeLines="50" w:afterLines="50"/>
      <w:ind w:left="0" w:firstLine="0"/>
      <w:jc w:val="center"/>
    </w:pPr>
    <w:rPr>
      <w:rFonts w:ascii="黑体" w:eastAsia="黑体"/>
      <w:szCs w:val="21"/>
    </w:rPr>
  </w:style>
  <w:style w:type="paragraph" w:customStyle="1" w:styleId="af5">
    <w:name w:val="附录二级条标题"/>
    <w:basedOn w:val="afc"/>
    <w:next w:val="affc"/>
    <w:qFormat/>
    <w:pPr>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6">
    <w:name w:val="附录二级无"/>
    <w:basedOn w:val="af5"/>
    <w:qFormat/>
    <w:pPr>
      <w:tabs>
        <w:tab w:val="clear" w:pos="360"/>
      </w:tabs>
      <w:spacing w:beforeLines="0" w:afterLines="0"/>
    </w:pPr>
    <w:rPr>
      <w:rFonts w:ascii="宋体" w:eastAsia="宋体"/>
      <w:szCs w:val="21"/>
    </w:rPr>
  </w:style>
  <w:style w:type="paragraph" w:customStyle="1" w:styleId="afffff7">
    <w:name w:val="附录公式"/>
    <w:basedOn w:val="affc"/>
    <w:next w:val="affc"/>
    <w:link w:val="Char1"/>
    <w:qFormat/>
  </w:style>
  <w:style w:type="character" w:customStyle="1" w:styleId="Char1">
    <w:name w:val="附录公式 Char"/>
    <w:basedOn w:val="Char"/>
    <w:link w:val="afffff7"/>
    <w:qFormat/>
    <w:rPr>
      <w:rFonts w:ascii="宋体"/>
      <w:sz w:val="21"/>
      <w:lang w:val="en-US" w:eastAsia="zh-CN" w:bidi="ar-SA"/>
    </w:rPr>
  </w:style>
  <w:style w:type="paragraph" w:customStyle="1" w:styleId="afffff8">
    <w:name w:val="附录公式编号制表符"/>
    <w:basedOn w:val="afc"/>
    <w:next w:val="affc"/>
    <w:qFormat/>
    <w:pPr>
      <w:tabs>
        <w:tab w:val="center" w:pos="4201"/>
        <w:tab w:val="right" w:leader="dot" w:pos="9298"/>
      </w:tabs>
      <w:autoSpaceDE w:val="0"/>
      <w:autoSpaceDN w:val="0"/>
    </w:pPr>
    <w:rPr>
      <w:szCs w:val="20"/>
    </w:rPr>
  </w:style>
  <w:style w:type="paragraph" w:customStyle="1" w:styleId="af6">
    <w:name w:val="附录三级条标题"/>
    <w:basedOn w:val="af5"/>
    <w:next w:val="affc"/>
    <w:qFormat/>
    <w:pPr>
      <w:numPr>
        <w:ilvl w:val="4"/>
      </w:numPr>
      <w:outlineLvl w:val="4"/>
    </w:pPr>
  </w:style>
  <w:style w:type="paragraph" w:customStyle="1" w:styleId="afffff9">
    <w:name w:val="附录三级无"/>
    <w:basedOn w:val="af6"/>
    <w:qFormat/>
    <w:pPr>
      <w:tabs>
        <w:tab w:val="clear" w:pos="360"/>
      </w:tabs>
      <w:spacing w:beforeLines="0" w:afterLines="0"/>
    </w:pPr>
    <w:rPr>
      <w:rFonts w:ascii="宋体" w:eastAsia="宋体"/>
      <w:szCs w:val="21"/>
    </w:rPr>
  </w:style>
  <w:style w:type="paragraph" w:customStyle="1" w:styleId="afb">
    <w:name w:val="附录数字编号列项（二级）"/>
    <w:qFormat/>
    <w:pPr>
      <w:numPr>
        <w:ilvl w:val="1"/>
        <w:numId w:val="12"/>
      </w:numPr>
    </w:pPr>
    <w:rPr>
      <w:rFonts w:ascii="宋体"/>
      <w:sz w:val="21"/>
    </w:rPr>
  </w:style>
  <w:style w:type="paragraph" w:customStyle="1" w:styleId="af7">
    <w:name w:val="附录四级条标题"/>
    <w:basedOn w:val="af6"/>
    <w:next w:val="affc"/>
    <w:qFormat/>
    <w:pPr>
      <w:numPr>
        <w:ilvl w:val="5"/>
      </w:numPr>
      <w:outlineLvl w:val="5"/>
    </w:pPr>
  </w:style>
  <w:style w:type="paragraph" w:customStyle="1" w:styleId="afffffa">
    <w:name w:val="附录四级无"/>
    <w:basedOn w:val="af7"/>
    <w:qFormat/>
    <w:pPr>
      <w:tabs>
        <w:tab w:val="clear" w:pos="360"/>
      </w:tabs>
      <w:spacing w:beforeLines="0" w:afterLines="0"/>
    </w:pPr>
    <w:rPr>
      <w:rFonts w:ascii="宋体" w:eastAsia="宋体"/>
      <w:szCs w:val="21"/>
    </w:rPr>
  </w:style>
  <w:style w:type="paragraph" w:customStyle="1" w:styleId="a3">
    <w:name w:val="附录图标号"/>
    <w:basedOn w:val="afc"/>
    <w:qFormat/>
    <w:pPr>
      <w:keepNext/>
      <w:pageBreakBefore/>
      <w:numPr>
        <w:numId w:val="13"/>
      </w:numPr>
      <w:spacing w:line="14" w:lineRule="exact"/>
      <w:ind w:left="0" w:firstLine="363"/>
      <w:jc w:val="center"/>
      <w:outlineLvl w:val="0"/>
    </w:pPr>
    <w:rPr>
      <w:color w:val="FFFFFF"/>
    </w:rPr>
  </w:style>
  <w:style w:type="paragraph" w:customStyle="1" w:styleId="a4">
    <w:name w:val="附录图标题"/>
    <w:basedOn w:val="afc"/>
    <w:next w:val="affc"/>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af8">
    <w:name w:val="附录五级条标题"/>
    <w:basedOn w:val="af7"/>
    <w:next w:val="affc"/>
    <w:qFormat/>
    <w:pPr>
      <w:numPr>
        <w:ilvl w:val="6"/>
      </w:numPr>
      <w:outlineLvl w:val="6"/>
    </w:pPr>
  </w:style>
  <w:style w:type="paragraph" w:customStyle="1" w:styleId="afffffb">
    <w:name w:val="附录五级无"/>
    <w:basedOn w:val="af8"/>
    <w:qFormat/>
    <w:pPr>
      <w:tabs>
        <w:tab w:val="clear" w:pos="360"/>
      </w:tabs>
      <w:spacing w:beforeLines="0" w:afterLines="0"/>
    </w:pPr>
    <w:rPr>
      <w:rFonts w:ascii="宋体" w:eastAsia="宋体"/>
      <w:szCs w:val="21"/>
    </w:rPr>
  </w:style>
  <w:style w:type="paragraph" w:customStyle="1" w:styleId="af3">
    <w:name w:val="附录章标题"/>
    <w:next w:val="affc"/>
    <w:qFormat/>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4">
    <w:name w:val="附录一级条标题"/>
    <w:basedOn w:val="af3"/>
    <w:next w:val="affc"/>
    <w:qFormat/>
    <w:pPr>
      <w:numPr>
        <w:ilvl w:val="2"/>
      </w:numPr>
      <w:autoSpaceDN w:val="0"/>
      <w:spacing w:beforeLines="50" w:afterLines="50"/>
      <w:outlineLvl w:val="2"/>
    </w:pPr>
  </w:style>
  <w:style w:type="paragraph" w:customStyle="1" w:styleId="afffffc">
    <w:name w:val="附录一级无"/>
    <w:basedOn w:val="af4"/>
    <w:qFormat/>
    <w:pPr>
      <w:tabs>
        <w:tab w:val="clear" w:pos="360"/>
      </w:tabs>
      <w:spacing w:beforeLines="0" w:afterLines="0"/>
    </w:pPr>
    <w:rPr>
      <w:rFonts w:ascii="宋体" w:eastAsia="宋体"/>
      <w:szCs w:val="21"/>
    </w:rPr>
  </w:style>
  <w:style w:type="paragraph" w:customStyle="1" w:styleId="afa">
    <w:name w:val="附录字母编号列项（一级）"/>
    <w:qFormat/>
    <w:pPr>
      <w:numPr>
        <w:numId w:val="12"/>
      </w:numPr>
    </w:pPr>
    <w:rPr>
      <w:rFonts w:ascii="宋体"/>
      <w:sz w:val="21"/>
    </w:rPr>
  </w:style>
  <w:style w:type="paragraph" w:customStyle="1" w:styleId="afffffd">
    <w:name w:val="列项说明"/>
    <w:basedOn w:val="afc"/>
    <w:qFormat/>
    <w:pPr>
      <w:adjustRightInd w:val="0"/>
      <w:spacing w:line="320" w:lineRule="exact"/>
      <w:ind w:leftChars="200" w:left="400" w:hangingChars="200" w:hanging="200"/>
      <w:textAlignment w:val="baseline"/>
    </w:pPr>
    <w:rPr>
      <w:szCs w:val="20"/>
    </w:rPr>
  </w:style>
  <w:style w:type="paragraph" w:customStyle="1" w:styleId="afffffe">
    <w:name w:val="列项说明数字编号"/>
    <w:qFormat/>
    <w:pPr>
      <w:ind w:leftChars="400" w:left="600" w:hangingChars="200" w:hanging="200"/>
    </w:pPr>
    <w:rPr>
      <w:rFonts w:ascii="宋体"/>
      <w:sz w:val="21"/>
    </w:rPr>
  </w:style>
  <w:style w:type="paragraph" w:customStyle="1" w:styleId="affffff">
    <w:name w:val="目次、索引正文"/>
    <w:qFormat/>
    <w:pPr>
      <w:spacing w:line="320" w:lineRule="exact"/>
      <w:jc w:val="both"/>
    </w:pPr>
    <w:rPr>
      <w:rFonts w:ascii="宋体"/>
      <w:sz w:val="21"/>
    </w:rPr>
  </w:style>
  <w:style w:type="paragraph" w:customStyle="1" w:styleId="affffff0">
    <w:name w:val="其他标准标志"/>
    <w:basedOn w:val="affff4"/>
    <w:qFormat/>
    <w:pPr>
      <w:framePr w:w="6101" w:wrap="around" w:vAnchor="page" w:hAnchor="page" w:x="4673" w:y="942"/>
    </w:pPr>
    <w:rPr>
      <w:w w:val="130"/>
    </w:rPr>
  </w:style>
  <w:style w:type="paragraph" w:customStyle="1" w:styleId="affffff1">
    <w:name w:val="其他标准称谓"/>
    <w:next w:val="afc"/>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2">
    <w:name w:val="其他发布部门"/>
    <w:basedOn w:val="affffc"/>
    <w:qFormat/>
    <w:pPr>
      <w:framePr w:wrap="around" w:y="15310"/>
      <w:spacing w:line="0" w:lineRule="atLeast"/>
    </w:pPr>
    <w:rPr>
      <w:rFonts w:ascii="黑体" w:eastAsia="黑体"/>
      <w:b w:val="0"/>
    </w:rPr>
  </w:style>
  <w:style w:type="paragraph" w:customStyle="1" w:styleId="affffff3">
    <w:name w:val="前言、引言标题"/>
    <w:next w:val="affc"/>
    <w:qFormat/>
    <w:pPr>
      <w:keepNext/>
      <w:pageBreakBefore/>
      <w:shd w:val="clear" w:color="FFFFFF" w:fill="FFFFFF"/>
      <w:spacing w:before="640" w:after="560"/>
      <w:jc w:val="center"/>
      <w:outlineLvl w:val="0"/>
    </w:pPr>
    <w:rPr>
      <w:rFonts w:ascii="黑体" w:eastAsia="黑体"/>
      <w:sz w:val="32"/>
    </w:rPr>
  </w:style>
  <w:style w:type="paragraph" w:customStyle="1" w:styleId="affffff4">
    <w:name w:val="三级无"/>
    <w:basedOn w:val="affff"/>
    <w:qFormat/>
    <w:pPr>
      <w:spacing w:beforeLines="0" w:afterLines="0"/>
    </w:pPr>
    <w:rPr>
      <w:rFonts w:ascii="宋体" w:eastAsia="宋体"/>
    </w:rPr>
  </w:style>
  <w:style w:type="paragraph" w:customStyle="1" w:styleId="affffff5">
    <w:name w:val="实施日期"/>
    <w:qFormat/>
    <w:pPr>
      <w:framePr w:w="3997" w:h="471" w:hRule="exact" w:vSpace="181" w:wrap="around" w:vAnchor="page" w:hAnchor="page" w:x="7089" w:y="14097"/>
      <w:jc w:val="right"/>
    </w:pPr>
    <w:rPr>
      <w:rFonts w:eastAsia="黑体"/>
      <w:sz w:val="28"/>
    </w:rPr>
  </w:style>
  <w:style w:type="paragraph" w:customStyle="1" w:styleId="affffff6">
    <w:name w:val="示例后文字"/>
    <w:basedOn w:val="affc"/>
    <w:next w:val="affc"/>
    <w:qFormat/>
    <w:pPr>
      <w:ind w:firstLine="360"/>
    </w:pPr>
    <w:rPr>
      <w:sz w:val="18"/>
    </w:rPr>
  </w:style>
  <w:style w:type="paragraph" w:customStyle="1" w:styleId="affffff7">
    <w:name w:val="首示例"/>
    <w:next w:val="affc"/>
    <w:link w:val="Char2"/>
    <w:qFormat/>
    <w:pPr>
      <w:tabs>
        <w:tab w:val="left" w:pos="360"/>
      </w:tabs>
    </w:pPr>
    <w:rPr>
      <w:rFonts w:ascii="宋体" w:hAnsi="宋体"/>
      <w:kern w:val="2"/>
      <w:sz w:val="18"/>
      <w:szCs w:val="18"/>
    </w:rPr>
  </w:style>
  <w:style w:type="character" w:customStyle="1" w:styleId="Char2">
    <w:name w:val="首示例 Char"/>
    <w:link w:val="affffff7"/>
    <w:qFormat/>
    <w:rPr>
      <w:rFonts w:ascii="宋体" w:hAnsi="宋体"/>
      <w:kern w:val="2"/>
      <w:sz w:val="18"/>
      <w:szCs w:val="18"/>
    </w:rPr>
  </w:style>
  <w:style w:type="paragraph" w:customStyle="1" w:styleId="affffff8">
    <w:name w:val="四级无"/>
    <w:basedOn w:val="affff1"/>
    <w:qFormat/>
    <w:pPr>
      <w:spacing w:beforeLines="0" w:afterLines="0"/>
    </w:pPr>
    <w:rPr>
      <w:rFonts w:ascii="宋体" w:eastAsia="宋体"/>
    </w:rPr>
  </w:style>
  <w:style w:type="paragraph" w:customStyle="1" w:styleId="affffff9">
    <w:name w:val="条文脚注"/>
    <w:basedOn w:val="a8"/>
    <w:qFormat/>
    <w:pPr>
      <w:numPr>
        <w:numId w:val="0"/>
      </w:numPr>
      <w:jc w:val="both"/>
    </w:pPr>
  </w:style>
  <w:style w:type="paragraph" w:customStyle="1" w:styleId="affffffa">
    <w:name w:val="图标脚注说明"/>
    <w:basedOn w:val="affc"/>
    <w:qFormat/>
    <w:pPr>
      <w:ind w:left="840" w:firstLineChars="0" w:hanging="420"/>
    </w:pPr>
    <w:rPr>
      <w:sz w:val="18"/>
      <w:szCs w:val="18"/>
    </w:rPr>
  </w:style>
  <w:style w:type="paragraph" w:customStyle="1" w:styleId="a1">
    <w:name w:val="图表脚注说明"/>
    <w:basedOn w:val="afc"/>
    <w:qFormat/>
    <w:pPr>
      <w:numPr>
        <w:numId w:val="14"/>
      </w:numPr>
    </w:pPr>
    <w:rPr>
      <w:sz w:val="18"/>
      <w:szCs w:val="18"/>
    </w:rPr>
  </w:style>
  <w:style w:type="paragraph" w:customStyle="1" w:styleId="affffffb">
    <w:name w:val="图的脚注"/>
    <w:next w:val="affc"/>
    <w:qFormat/>
    <w:pPr>
      <w:widowControl w:val="0"/>
      <w:ind w:leftChars="200" w:left="840" w:hangingChars="200" w:hanging="420"/>
      <w:jc w:val="both"/>
    </w:pPr>
    <w:rPr>
      <w:rFonts w:ascii="宋体"/>
      <w:sz w:val="18"/>
    </w:rPr>
  </w:style>
  <w:style w:type="paragraph" w:customStyle="1" w:styleId="affffffc">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d">
    <w:name w:val="五级无"/>
    <w:basedOn w:val="affff2"/>
    <w:qFormat/>
    <w:pPr>
      <w:spacing w:beforeLines="0" w:afterLines="0"/>
    </w:pPr>
    <w:rPr>
      <w:rFonts w:ascii="宋体" w:eastAsia="宋体"/>
    </w:rPr>
  </w:style>
  <w:style w:type="paragraph" w:customStyle="1" w:styleId="affffffe">
    <w:name w:val="一级无"/>
    <w:basedOn w:val="afff9"/>
    <w:qFormat/>
    <w:pPr>
      <w:spacing w:beforeLines="0" w:afterLines="0"/>
    </w:pPr>
    <w:rPr>
      <w:rFonts w:ascii="宋体" w:eastAsia="宋体"/>
    </w:rPr>
  </w:style>
  <w:style w:type="paragraph" w:customStyle="1" w:styleId="af1">
    <w:name w:val="正文表标题"/>
    <w:next w:val="affc"/>
    <w:qFormat/>
    <w:pPr>
      <w:numPr>
        <w:numId w:val="15"/>
      </w:numPr>
      <w:spacing w:beforeLines="50" w:afterLines="50"/>
      <w:jc w:val="center"/>
    </w:pPr>
    <w:rPr>
      <w:rFonts w:ascii="黑体" w:eastAsia="黑体"/>
      <w:sz w:val="21"/>
    </w:rPr>
  </w:style>
  <w:style w:type="paragraph" w:customStyle="1" w:styleId="afffffff">
    <w:name w:val="正文公式编号制表符"/>
    <w:basedOn w:val="affc"/>
    <w:next w:val="affc"/>
    <w:qFormat/>
    <w:pPr>
      <w:ind w:firstLineChars="0" w:firstLine="0"/>
    </w:pPr>
  </w:style>
  <w:style w:type="paragraph" w:customStyle="1" w:styleId="ac">
    <w:name w:val="正文图标题"/>
    <w:next w:val="affc"/>
    <w:qFormat/>
    <w:pPr>
      <w:numPr>
        <w:numId w:val="16"/>
      </w:numPr>
      <w:spacing w:beforeLines="50" w:afterLines="50"/>
      <w:jc w:val="center"/>
    </w:pPr>
    <w:rPr>
      <w:rFonts w:ascii="黑体" w:eastAsia="黑体"/>
      <w:sz w:val="21"/>
    </w:rPr>
  </w:style>
  <w:style w:type="paragraph" w:customStyle="1" w:styleId="afffffff0">
    <w:name w:val="终结线"/>
    <w:basedOn w:val="afc"/>
    <w:qFormat/>
    <w:pPr>
      <w:framePr w:hSpace="181" w:vSpace="181" w:wrap="around" w:vAnchor="text" w:hAnchor="margin" w:xAlign="center" w:y="285"/>
    </w:pPr>
  </w:style>
  <w:style w:type="paragraph" w:customStyle="1" w:styleId="afffffff1">
    <w:name w:val="其他发布日期"/>
    <w:qFormat/>
    <w:pPr>
      <w:framePr w:w="3997" w:h="471" w:hRule="exact" w:vSpace="181" w:wrap="around" w:vAnchor="page" w:hAnchor="page" w:x="1419" w:y="14097" w:anchorLock="1"/>
    </w:pPr>
    <w:rPr>
      <w:rFonts w:eastAsia="黑体"/>
      <w:sz w:val="28"/>
    </w:rPr>
  </w:style>
  <w:style w:type="paragraph" w:customStyle="1" w:styleId="afffffff2">
    <w:name w:val="其他实施日期"/>
    <w:basedOn w:val="affffff5"/>
    <w:qFormat/>
    <w:pPr>
      <w:framePr w:wrap="around"/>
    </w:pPr>
  </w:style>
  <w:style w:type="paragraph" w:customStyle="1" w:styleId="23">
    <w:name w:val="封面标准名称2"/>
    <w:basedOn w:val="afffff"/>
    <w:qFormat/>
    <w:pPr>
      <w:framePr w:wrap="around" w:y="4469"/>
      <w:spacing w:beforeLines="630"/>
    </w:pPr>
  </w:style>
  <w:style w:type="paragraph" w:customStyle="1" w:styleId="24">
    <w:name w:val="封面标准英文名称2"/>
    <w:basedOn w:val="afffff0"/>
    <w:qFormat/>
    <w:pPr>
      <w:framePr w:wrap="around" w:y="4469"/>
    </w:pPr>
  </w:style>
  <w:style w:type="paragraph" w:customStyle="1" w:styleId="25">
    <w:name w:val="封面一致性程度标识2"/>
    <w:basedOn w:val="afffff1"/>
    <w:qFormat/>
    <w:pPr>
      <w:framePr w:wrap="around" w:y="4469"/>
    </w:pPr>
  </w:style>
  <w:style w:type="paragraph" w:customStyle="1" w:styleId="26">
    <w:name w:val="封面标准文稿类别2"/>
    <w:basedOn w:val="afffff2"/>
    <w:qFormat/>
    <w:pPr>
      <w:framePr w:wrap="around" w:y="4469"/>
    </w:pPr>
  </w:style>
  <w:style w:type="paragraph" w:customStyle="1" w:styleId="27">
    <w:name w:val="封面标准文稿编辑信息2"/>
    <w:basedOn w:val="afffff3"/>
    <w:qFormat/>
    <w:pPr>
      <w:framePr w:wrap="around" w:y="4469"/>
    </w:pPr>
  </w:style>
  <w:style w:type="paragraph" w:customStyle="1" w:styleId="afffffff3">
    <w:name w:val="标准名称"/>
    <w:basedOn w:val="afffe"/>
    <w:link w:val="Char3"/>
    <w:qFormat/>
  </w:style>
  <w:style w:type="character" w:styleId="afffffff4">
    <w:name w:val="Placeholder Text"/>
    <w:basedOn w:val="afd"/>
    <w:uiPriority w:val="99"/>
    <w:semiHidden/>
    <w:qFormat/>
    <w:rPr>
      <w:color w:val="808080"/>
    </w:rPr>
  </w:style>
  <w:style w:type="character" w:customStyle="1" w:styleId="Char0">
    <w:name w:val="目次、标准名称标题 Char"/>
    <w:basedOn w:val="afd"/>
    <w:link w:val="afffe"/>
    <w:qFormat/>
    <w:rPr>
      <w:rFonts w:ascii="黑体" w:eastAsia="黑体"/>
      <w:sz w:val="32"/>
      <w:shd w:val="clear" w:color="FFFFFF" w:fill="FFFFFF"/>
    </w:rPr>
  </w:style>
  <w:style w:type="character" w:customStyle="1" w:styleId="Char3">
    <w:name w:val="标准名称 Char"/>
    <w:basedOn w:val="Char0"/>
    <w:link w:val="afffffff3"/>
    <w:qFormat/>
    <w:rPr>
      <w:rFonts w:ascii="黑体" w:eastAsia="黑体"/>
      <w:sz w:val="32"/>
      <w:shd w:val="clear" w:color="FFFFFF" w:fill="FFFFFF"/>
    </w:rPr>
  </w:style>
  <w:style w:type="character" w:customStyle="1" w:styleId="aff8">
    <w:name w:val="批注框文本 字符"/>
    <w:basedOn w:val="afd"/>
    <w:link w:val="aff7"/>
    <w:qFormat/>
    <w:rPr>
      <w:kern w:val="2"/>
      <w:sz w:val="18"/>
      <w:szCs w:val="18"/>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aff5">
    <w:name w:val="正文文本 字符"/>
    <w:basedOn w:val="afd"/>
    <w:link w:val="aff4"/>
    <w:uiPriority w:val="1"/>
    <w:qFormat/>
    <w:rPr>
      <w:rFonts w:ascii="Noto Sans Mono CJK JP Bold" w:eastAsia="Noto Sans Mono CJK JP Bold" w:hAnsi="Noto Sans Mono CJK JP Bold" w:cs="Noto Sans Mono CJK JP Bold"/>
      <w:sz w:val="21"/>
      <w:szCs w:val="21"/>
      <w:lang w:eastAsia="en-US"/>
    </w:rPr>
  </w:style>
  <w:style w:type="paragraph" w:customStyle="1" w:styleId="TableParagraph">
    <w:name w:val="Table Paragraph"/>
    <w:basedOn w:val="afc"/>
    <w:uiPriority w:val="1"/>
    <w:qFormat/>
    <w:pPr>
      <w:autoSpaceDE w:val="0"/>
      <w:autoSpaceDN w:val="0"/>
      <w:jc w:val="center"/>
    </w:pPr>
    <w:rPr>
      <w:rFonts w:ascii="Noto Sans Mono CJK JP Bold" w:eastAsia="Noto Sans Mono CJK JP Bold" w:hAnsi="Noto Sans Mono CJK JP Bold" w:cs="Noto Sans Mono CJK JP Bold"/>
      <w:lang w:eastAsia="en-US"/>
    </w:rPr>
  </w:style>
  <w:style w:type="character" w:customStyle="1" w:styleId="13">
    <w:name w:val="未处理的提及1"/>
    <w:basedOn w:val="afd"/>
    <w:qFormat/>
    <w:rPr>
      <w:color w:val="605E5C"/>
      <w:shd w:val="clear" w:color="auto" w:fill="E1DFDD"/>
    </w:rPr>
  </w:style>
  <w:style w:type="character" w:customStyle="1" w:styleId="30">
    <w:name w:val="标题 3 字符"/>
    <w:basedOn w:val="afd"/>
    <w:link w:val="3"/>
    <w:semiHidden/>
    <w:qFormat/>
    <w:rPr>
      <w:b/>
      <w:bCs/>
      <w:kern w:val="2"/>
      <w:sz w:val="32"/>
      <w:szCs w:val="32"/>
    </w:rPr>
  </w:style>
  <w:style w:type="character" w:customStyle="1" w:styleId="20">
    <w:name w:val="标题 2 字符"/>
    <w:basedOn w:val="afd"/>
    <w:link w:val="2"/>
    <w:semiHidden/>
    <w:qFormat/>
    <w:rPr>
      <w:rFonts w:asciiTheme="majorHAnsi" w:eastAsiaTheme="majorEastAsia" w:hAnsiTheme="majorHAnsi" w:cstheme="majorBidi"/>
      <w:b/>
      <w:bCs/>
      <w:kern w:val="2"/>
      <w:sz w:val="32"/>
      <w:szCs w:val="32"/>
    </w:rPr>
  </w:style>
  <w:style w:type="character" w:customStyle="1" w:styleId="10">
    <w:name w:val="标题 1 字符"/>
    <w:basedOn w:val="afd"/>
    <w:link w:val="1"/>
    <w:qFormat/>
    <w:rPr>
      <w:b/>
      <w:bCs/>
      <w:kern w:val="44"/>
      <w:sz w:val="44"/>
      <w:szCs w:val="44"/>
    </w:rPr>
  </w:style>
  <w:style w:type="character" w:customStyle="1" w:styleId="aff3">
    <w:name w:val="批注文字 字符"/>
    <w:basedOn w:val="afd"/>
    <w:link w:val="aff2"/>
    <w:qFormat/>
    <w:rPr>
      <w:rFonts w:ascii="宋体" w:hAnsi="宋体" w:cs="宋体"/>
      <w:sz w:val="22"/>
      <w:szCs w:val="22"/>
    </w:rPr>
  </w:style>
  <w:style w:type="character" w:customStyle="1" w:styleId="afff">
    <w:name w:val="批注主题 字符"/>
    <w:basedOn w:val="aff3"/>
    <w:link w:val="affe"/>
    <w:semiHidden/>
    <w:qFormat/>
    <w:rPr>
      <w:rFonts w:ascii="宋体" w:hAnsi="宋体" w:cs="宋体"/>
      <w:b/>
      <w:bCs/>
      <w:kern w:val="2"/>
      <w:sz w:val="21"/>
      <w:szCs w:val="24"/>
    </w:rPr>
  </w:style>
  <w:style w:type="paragraph" w:customStyle="1" w:styleId="14">
    <w:name w:val="修订1"/>
    <w:hidden/>
    <w:uiPriority w:val="99"/>
    <w:unhideWhenUsed/>
    <w:qFormat/>
    <w:rPr>
      <w:kern w:val="2"/>
      <w:sz w:val="21"/>
      <w:szCs w:val="24"/>
    </w:rPr>
  </w:style>
  <w:style w:type="paragraph" w:customStyle="1" w:styleId="28">
    <w:name w:val="修订2"/>
    <w:hidden/>
    <w:uiPriority w:val="99"/>
    <w:unhideWhenUsed/>
    <w:qFormat/>
    <w:rPr>
      <w:rFonts w:ascii="宋体" w:hAnsi="宋体" w:cs="宋体"/>
      <w:sz w:val="22"/>
      <w:szCs w:val="22"/>
    </w:rPr>
  </w:style>
  <w:style w:type="character" w:customStyle="1" w:styleId="40">
    <w:name w:val="标题 4 字符"/>
    <w:basedOn w:val="afd"/>
    <w:link w:val="4"/>
    <w:qFormat/>
    <w:rPr>
      <w:rFonts w:asciiTheme="majorHAnsi" w:eastAsiaTheme="majorEastAsia" w:hAnsiTheme="majorHAnsi" w:cstheme="majorBidi"/>
      <w:b/>
      <w:bCs/>
      <w:sz w:val="28"/>
      <w:szCs w:val="28"/>
    </w:rPr>
  </w:style>
  <w:style w:type="paragraph" w:customStyle="1" w:styleId="WPSOffice1">
    <w:name w:val="WPSOffice手动目录 1"/>
    <w:qFormat/>
  </w:style>
  <w:style w:type="paragraph" w:customStyle="1" w:styleId="32">
    <w:name w:val="修订3"/>
    <w:hidden/>
    <w:uiPriority w:val="99"/>
    <w:unhideWhenUsed/>
    <w:qFormat/>
    <w:rPr>
      <w:rFonts w:ascii="宋体" w:hAnsi="宋体" w:cs="宋体"/>
      <w:sz w:val="22"/>
      <w:szCs w:val="22"/>
    </w:rPr>
  </w:style>
  <w:style w:type="character" w:customStyle="1" w:styleId="29">
    <w:name w:val="未处理的提及2"/>
    <w:basedOn w:val="afd"/>
    <w:uiPriority w:val="99"/>
    <w:semiHidden/>
    <w:unhideWhenUsed/>
    <w:qFormat/>
    <w:rPr>
      <w:color w:val="605E5C"/>
      <w:shd w:val="clear" w:color="auto" w:fill="E1DFDD"/>
    </w:rPr>
  </w:style>
  <w:style w:type="paragraph" w:styleId="afffffff5">
    <w:name w:val="Revision"/>
    <w:hidden/>
    <w:uiPriority w:val="99"/>
    <w:unhideWhenUsed/>
    <w:rsid w:val="00754DC5"/>
    <w:rPr>
      <w:rFonts w:ascii="宋体" w:hAnsi="宋体" w:cs="宋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1"/>
        <w:category>
          <w:name w:val="常规"/>
          <w:gallery w:val="placeholder"/>
        </w:category>
        <w:types>
          <w:type w:val="bbPlcHdr"/>
        </w:types>
        <w:behaviors>
          <w:behavior w:val="content"/>
        </w:behaviors>
        <w:guid w:val="{028989F2-0355-49D4-BDA6-4D56B5D374C0}"/>
      </w:docPartPr>
      <w:docPartBody>
        <w:p w:rsidR="00742C85" w:rsidRDefault="00000000">
          <w:pPr>
            <w:pStyle w:val="1112"/>
          </w:pPr>
          <w:r>
            <w:rPr>
              <w:rStyle w:val="a3"/>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Mono CJK JP Bold">
    <w:altName w:val="Segoe Print"/>
    <w:charset w:val="00"/>
    <w:family w:val="swiss"/>
    <w:pitch w:val="default"/>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3A"/>
    <w:rsid w:val="00000B97"/>
    <w:rsid w:val="00003792"/>
    <w:rsid w:val="00004912"/>
    <w:rsid w:val="000075E5"/>
    <w:rsid w:val="0002647A"/>
    <w:rsid w:val="0002653F"/>
    <w:rsid w:val="0005470F"/>
    <w:rsid w:val="00054D84"/>
    <w:rsid w:val="00055732"/>
    <w:rsid w:val="00067608"/>
    <w:rsid w:val="00080DE3"/>
    <w:rsid w:val="0008625A"/>
    <w:rsid w:val="00087E40"/>
    <w:rsid w:val="000A7BFF"/>
    <w:rsid w:val="000C2189"/>
    <w:rsid w:val="000C73CF"/>
    <w:rsid w:val="000D2C12"/>
    <w:rsid w:val="000D77C6"/>
    <w:rsid w:val="000E4D24"/>
    <w:rsid w:val="000F4666"/>
    <w:rsid w:val="00100DFC"/>
    <w:rsid w:val="00100F00"/>
    <w:rsid w:val="00105C79"/>
    <w:rsid w:val="001106FA"/>
    <w:rsid w:val="001132F9"/>
    <w:rsid w:val="00114ABC"/>
    <w:rsid w:val="00146900"/>
    <w:rsid w:val="00165EC4"/>
    <w:rsid w:val="00166609"/>
    <w:rsid w:val="00180F6E"/>
    <w:rsid w:val="00184B61"/>
    <w:rsid w:val="00185CEE"/>
    <w:rsid w:val="00192F14"/>
    <w:rsid w:val="00195171"/>
    <w:rsid w:val="001B442B"/>
    <w:rsid w:val="001B4B97"/>
    <w:rsid w:val="001B7718"/>
    <w:rsid w:val="001C16E0"/>
    <w:rsid w:val="001D3527"/>
    <w:rsid w:val="001E08BF"/>
    <w:rsid w:val="001E4058"/>
    <w:rsid w:val="002068C7"/>
    <w:rsid w:val="002264D8"/>
    <w:rsid w:val="00233A7F"/>
    <w:rsid w:val="002401FE"/>
    <w:rsid w:val="00246436"/>
    <w:rsid w:val="002531CC"/>
    <w:rsid w:val="0026160D"/>
    <w:rsid w:val="00262EFB"/>
    <w:rsid w:val="00276626"/>
    <w:rsid w:val="0029139B"/>
    <w:rsid w:val="00293309"/>
    <w:rsid w:val="00297FF4"/>
    <w:rsid w:val="002B361E"/>
    <w:rsid w:val="002B63CB"/>
    <w:rsid w:val="002C2B67"/>
    <w:rsid w:val="002D0E54"/>
    <w:rsid w:val="002D29AC"/>
    <w:rsid w:val="002D340B"/>
    <w:rsid w:val="002D4FB2"/>
    <w:rsid w:val="002D7160"/>
    <w:rsid w:val="002E41E5"/>
    <w:rsid w:val="002E51BF"/>
    <w:rsid w:val="002E7557"/>
    <w:rsid w:val="002E7E21"/>
    <w:rsid w:val="0030077B"/>
    <w:rsid w:val="00312DCD"/>
    <w:rsid w:val="00316906"/>
    <w:rsid w:val="00323E80"/>
    <w:rsid w:val="003371B8"/>
    <w:rsid w:val="003372E5"/>
    <w:rsid w:val="003750AF"/>
    <w:rsid w:val="00385B34"/>
    <w:rsid w:val="00391B39"/>
    <w:rsid w:val="003966B2"/>
    <w:rsid w:val="003B4083"/>
    <w:rsid w:val="003C1591"/>
    <w:rsid w:val="003D1BE6"/>
    <w:rsid w:val="003D46D2"/>
    <w:rsid w:val="003D59E5"/>
    <w:rsid w:val="003E1231"/>
    <w:rsid w:val="003E6F61"/>
    <w:rsid w:val="0041126E"/>
    <w:rsid w:val="004125AA"/>
    <w:rsid w:val="004143DE"/>
    <w:rsid w:val="00430F92"/>
    <w:rsid w:val="004457A9"/>
    <w:rsid w:val="004509E2"/>
    <w:rsid w:val="004525BD"/>
    <w:rsid w:val="00480FA5"/>
    <w:rsid w:val="00481143"/>
    <w:rsid w:val="004A2931"/>
    <w:rsid w:val="004C215F"/>
    <w:rsid w:val="004E5459"/>
    <w:rsid w:val="004F113A"/>
    <w:rsid w:val="004F1747"/>
    <w:rsid w:val="004F1EC5"/>
    <w:rsid w:val="005156B8"/>
    <w:rsid w:val="00515A81"/>
    <w:rsid w:val="00525EDE"/>
    <w:rsid w:val="005335DD"/>
    <w:rsid w:val="00540ACC"/>
    <w:rsid w:val="00543CA8"/>
    <w:rsid w:val="005500D7"/>
    <w:rsid w:val="00555A2D"/>
    <w:rsid w:val="00561B08"/>
    <w:rsid w:val="005778F9"/>
    <w:rsid w:val="00595C20"/>
    <w:rsid w:val="00595E09"/>
    <w:rsid w:val="005A7207"/>
    <w:rsid w:val="005B3B83"/>
    <w:rsid w:val="00636889"/>
    <w:rsid w:val="006411AF"/>
    <w:rsid w:val="006544B4"/>
    <w:rsid w:val="00674FBA"/>
    <w:rsid w:val="006922B0"/>
    <w:rsid w:val="006D02E4"/>
    <w:rsid w:val="006D22D6"/>
    <w:rsid w:val="006D55F1"/>
    <w:rsid w:val="006D749D"/>
    <w:rsid w:val="006E583E"/>
    <w:rsid w:val="006E6E69"/>
    <w:rsid w:val="0071365D"/>
    <w:rsid w:val="007216E9"/>
    <w:rsid w:val="0073722D"/>
    <w:rsid w:val="00742C85"/>
    <w:rsid w:val="00753A17"/>
    <w:rsid w:val="007A1AE8"/>
    <w:rsid w:val="007C2D6F"/>
    <w:rsid w:val="007C4152"/>
    <w:rsid w:val="007C4EA7"/>
    <w:rsid w:val="007C6ACB"/>
    <w:rsid w:val="007D0395"/>
    <w:rsid w:val="007D6DA7"/>
    <w:rsid w:val="007E2797"/>
    <w:rsid w:val="00800293"/>
    <w:rsid w:val="0080696C"/>
    <w:rsid w:val="00820E7E"/>
    <w:rsid w:val="00821587"/>
    <w:rsid w:val="00855A2F"/>
    <w:rsid w:val="008D0107"/>
    <w:rsid w:val="008D1688"/>
    <w:rsid w:val="008E024D"/>
    <w:rsid w:val="008F0268"/>
    <w:rsid w:val="008F5766"/>
    <w:rsid w:val="00902EF8"/>
    <w:rsid w:val="009270FD"/>
    <w:rsid w:val="00932700"/>
    <w:rsid w:val="00936022"/>
    <w:rsid w:val="009556AC"/>
    <w:rsid w:val="00982DAC"/>
    <w:rsid w:val="009B16B1"/>
    <w:rsid w:val="009D3506"/>
    <w:rsid w:val="00A01331"/>
    <w:rsid w:val="00A16BB8"/>
    <w:rsid w:val="00A31996"/>
    <w:rsid w:val="00A42BE7"/>
    <w:rsid w:val="00A7107C"/>
    <w:rsid w:val="00A76FB7"/>
    <w:rsid w:val="00A94E45"/>
    <w:rsid w:val="00AA0A8A"/>
    <w:rsid w:val="00AB5841"/>
    <w:rsid w:val="00AC3109"/>
    <w:rsid w:val="00AD3F81"/>
    <w:rsid w:val="00AD6808"/>
    <w:rsid w:val="00AF3B99"/>
    <w:rsid w:val="00B00C16"/>
    <w:rsid w:val="00B109A7"/>
    <w:rsid w:val="00B2054A"/>
    <w:rsid w:val="00B717AC"/>
    <w:rsid w:val="00B75C4F"/>
    <w:rsid w:val="00B84258"/>
    <w:rsid w:val="00B90D9F"/>
    <w:rsid w:val="00BB4007"/>
    <w:rsid w:val="00BC67AA"/>
    <w:rsid w:val="00BD12FE"/>
    <w:rsid w:val="00BE18C2"/>
    <w:rsid w:val="00BF08CA"/>
    <w:rsid w:val="00BF5C7E"/>
    <w:rsid w:val="00C06425"/>
    <w:rsid w:val="00C12FE5"/>
    <w:rsid w:val="00C4444E"/>
    <w:rsid w:val="00C7012E"/>
    <w:rsid w:val="00C71246"/>
    <w:rsid w:val="00C875D2"/>
    <w:rsid w:val="00C946CE"/>
    <w:rsid w:val="00C96D0A"/>
    <w:rsid w:val="00CB0B2B"/>
    <w:rsid w:val="00CB3385"/>
    <w:rsid w:val="00CB414A"/>
    <w:rsid w:val="00CE695A"/>
    <w:rsid w:val="00D212A6"/>
    <w:rsid w:val="00D23C18"/>
    <w:rsid w:val="00D25AAB"/>
    <w:rsid w:val="00D43EEC"/>
    <w:rsid w:val="00D4454B"/>
    <w:rsid w:val="00D46621"/>
    <w:rsid w:val="00D645E9"/>
    <w:rsid w:val="00D65DD7"/>
    <w:rsid w:val="00D80F9B"/>
    <w:rsid w:val="00D92355"/>
    <w:rsid w:val="00DA4409"/>
    <w:rsid w:val="00DA5199"/>
    <w:rsid w:val="00DA7CE8"/>
    <w:rsid w:val="00DB22AD"/>
    <w:rsid w:val="00DB786B"/>
    <w:rsid w:val="00DC03D8"/>
    <w:rsid w:val="00DD0275"/>
    <w:rsid w:val="00E1316D"/>
    <w:rsid w:val="00E332C2"/>
    <w:rsid w:val="00E51706"/>
    <w:rsid w:val="00E51EF3"/>
    <w:rsid w:val="00E56DB5"/>
    <w:rsid w:val="00E81E56"/>
    <w:rsid w:val="00E83F06"/>
    <w:rsid w:val="00E9198B"/>
    <w:rsid w:val="00E95A08"/>
    <w:rsid w:val="00EA15BD"/>
    <w:rsid w:val="00EA32AC"/>
    <w:rsid w:val="00EB1586"/>
    <w:rsid w:val="00F05EA1"/>
    <w:rsid w:val="00F3021B"/>
    <w:rsid w:val="00F32AA4"/>
    <w:rsid w:val="00F5504A"/>
    <w:rsid w:val="00F61EDB"/>
    <w:rsid w:val="00F71089"/>
    <w:rsid w:val="00F93653"/>
    <w:rsid w:val="00FB5656"/>
    <w:rsid w:val="00FB7101"/>
    <w:rsid w:val="00FD65B4"/>
    <w:rsid w:val="00FD6E54"/>
    <w:rsid w:val="00FF0B73"/>
    <w:rsid w:val="00FF0DED"/>
    <w:rsid w:val="00FF0EC1"/>
    <w:rsid w:val="00FF2384"/>
    <w:rsid w:val="00FF60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imes New Roman"/>
      <w:kern w:val="2"/>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1112">
    <w:name w:val="1112"/>
    <w:qFormat/>
    <w:pPr>
      <w:keepNext/>
      <w:pageBreakBefore/>
      <w:shd w:val="clear" w:color="FFFFFF" w:fill="FFFFFF"/>
      <w:spacing w:before="640" w:after="560" w:line="460" w:lineRule="exact"/>
      <w:jc w:val="center"/>
      <w:outlineLvl w:val="0"/>
    </w:pPr>
    <w:rPr>
      <w:rFonts w:ascii="黑体" w:eastAsia="黑体" w:hAnsi="Times New Roman" w:cs="Times New Roman"/>
      <w:sz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1389</Words>
  <Characters>7920</Characters>
  <Application>Microsoft Office Word</Application>
  <DocSecurity>0</DocSecurity>
  <Lines>66</Lines>
  <Paragraphs>18</Paragraphs>
  <ScaleCrop>false</ScaleCrop>
  <Company>zle</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莹 赵</cp:lastModifiedBy>
  <cp:revision>622</cp:revision>
  <cp:lastPrinted>2024-06-20T06:01:00Z</cp:lastPrinted>
  <dcterms:created xsi:type="dcterms:W3CDTF">2022-11-19T07:52:00Z</dcterms:created>
  <dcterms:modified xsi:type="dcterms:W3CDTF">2024-07-10T06:43:00Z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3A0B4F0BCCD247D8B76F43758A691909_13</vt:lpwstr>
  </property>
</Properties>
</file>