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00" w:lineRule="exact"/>
        <w:jc w:val="center"/>
        <w:outlineLvl w:val="0"/>
        <w:rPr>
          <w:rFonts w:hint="eastAsia" w:ascii="方正小标宋简体" w:eastAsia="方正小标宋简体"/>
          <w:color w:val="auto"/>
          <w:sz w:val="44"/>
          <w:szCs w:val="44"/>
        </w:rPr>
      </w:pPr>
      <w:bookmarkStart w:id="0" w:name="_Toc25250"/>
      <w:r>
        <w:rPr>
          <w:rFonts w:hint="eastAsia" w:ascii="方正小标宋简体" w:eastAsia="方正小标宋简体"/>
          <w:color w:val="auto"/>
          <w:sz w:val="44"/>
          <w:szCs w:val="44"/>
        </w:rPr>
        <w:t>第五章  投标人应当提供的资格、资质性及其他</w:t>
      </w:r>
      <w:r>
        <w:rPr>
          <w:rFonts w:hint="eastAsia" w:ascii="方正小标宋简体" w:eastAsia="方正小标宋简体"/>
          <w:bCs/>
          <w:color w:val="auto"/>
          <w:sz w:val="44"/>
          <w:szCs w:val="44"/>
        </w:rPr>
        <w:t>类似效力要求的</w:t>
      </w:r>
      <w:r>
        <w:rPr>
          <w:rFonts w:hint="eastAsia" w:ascii="方正小标宋简体" w:eastAsia="方正小标宋简体"/>
          <w:color w:val="auto"/>
          <w:sz w:val="44"/>
          <w:szCs w:val="44"/>
        </w:rPr>
        <w:t>相关证明材料</w:t>
      </w:r>
      <w:bookmarkEnd w:id="0"/>
    </w:p>
    <w:p>
      <w:pPr>
        <w:spacing w:line="360" w:lineRule="auto"/>
        <w:ind w:firstLine="480" w:firstLineChars="200"/>
        <w:rPr>
          <w:rFonts w:hint="eastAsia" w:ascii="宋体" w:hAnsi="宋体"/>
          <w:color w:val="auto"/>
          <w:sz w:val="24"/>
        </w:rPr>
      </w:pPr>
    </w:p>
    <w:p>
      <w:pPr>
        <w:spacing w:line="360" w:lineRule="auto"/>
        <w:ind w:firstLine="480" w:firstLineChars="200"/>
        <w:rPr>
          <w:rFonts w:hint="eastAsia" w:ascii="宋体" w:hAnsi="宋体"/>
          <w:color w:val="auto"/>
          <w:sz w:val="24"/>
        </w:rPr>
      </w:pPr>
      <w:r>
        <w:rPr>
          <w:rFonts w:hint="eastAsia" w:ascii="宋体" w:hAnsi="宋体"/>
          <w:color w:val="auto"/>
          <w:sz w:val="24"/>
        </w:rPr>
        <w:t>一、应当提供的投标人资格、资质性及其他类似效力要求的相关证明材料</w:t>
      </w:r>
    </w:p>
    <w:p>
      <w:pPr>
        <w:tabs>
          <w:tab w:val="left" w:pos="7665"/>
        </w:tabs>
        <w:spacing w:line="360" w:lineRule="auto"/>
        <w:ind w:firstLine="482" w:firstLineChars="200"/>
        <w:rPr>
          <w:rFonts w:ascii="宋体" w:hAnsi="宋体"/>
          <w:color w:val="auto"/>
          <w:sz w:val="24"/>
        </w:rPr>
      </w:pPr>
      <w:r>
        <w:rPr>
          <w:rFonts w:ascii="宋体" w:hAnsi="宋体"/>
          <w:b/>
          <w:color w:val="auto"/>
          <w:sz w:val="24"/>
        </w:rPr>
        <w:t>1．</w:t>
      </w:r>
      <w:r>
        <w:rPr>
          <w:rFonts w:ascii="宋体" w:hAnsi="宋体"/>
          <w:color w:val="auto"/>
          <w:sz w:val="24"/>
        </w:rPr>
        <w:t>企业法人提供</w:t>
      </w:r>
      <w:r>
        <w:rPr>
          <w:rFonts w:hint="eastAsia" w:ascii="宋体" w:hAnsi="宋体"/>
          <w:color w:val="auto"/>
          <w:sz w:val="24"/>
        </w:rPr>
        <w:t>“</w:t>
      </w:r>
      <w:r>
        <w:rPr>
          <w:rFonts w:ascii="宋体" w:hAnsi="宋体"/>
          <w:color w:val="auto"/>
          <w:sz w:val="24"/>
        </w:rPr>
        <w:t>统一社会信用代码营业执照</w:t>
      </w:r>
      <w:r>
        <w:rPr>
          <w:rFonts w:hint="eastAsia" w:ascii="宋体" w:hAnsi="宋体"/>
          <w:color w:val="auto"/>
          <w:sz w:val="24"/>
        </w:rPr>
        <w:t>”</w:t>
      </w:r>
      <w:r>
        <w:rPr>
          <w:rFonts w:ascii="宋体" w:hAnsi="宋体"/>
          <w:color w:val="auto"/>
          <w:sz w:val="24"/>
        </w:rPr>
        <w:t>副本；事业法人提供</w:t>
      </w:r>
      <w:r>
        <w:rPr>
          <w:rFonts w:hint="eastAsia" w:ascii="宋体" w:hAnsi="宋体"/>
          <w:color w:val="auto"/>
          <w:sz w:val="24"/>
        </w:rPr>
        <w:t>“</w:t>
      </w:r>
      <w:r>
        <w:rPr>
          <w:rFonts w:ascii="宋体" w:hAnsi="宋体"/>
          <w:color w:val="auto"/>
          <w:sz w:val="24"/>
        </w:rPr>
        <w:t>统一社会信用代码事业单位法人证书</w:t>
      </w:r>
      <w:r>
        <w:rPr>
          <w:rFonts w:hint="eastAsia" w:ascii="宋体" w:hAnsi="宋体"/>
          <w:color w:val="auto"/>
          <w:sz w:val="24"/>
        </w:rPr>
        <w:t>”</w:t>
      </w:r>
      <w:r>
        <w:rPr>
          <w:rFonts w:ascii="宋体" w:hAnsi="宋体"/>
          <w:color w:val="auto"/>
          <w:sz w:val="24"/>
        </w:rPr>
        <w:t xml:space="preserve"> 副本；其他组织提供</w:t>
      </w:r>
      <w:r>
        <w:rPr>
          <w:rFonts w:hint="eastAsia" w:ascii="宋体" w:hAnsi="宋体"/>
          <w:color w:val="auto"/>
          <w:sz w:val="24"/>
        </w:rPr>
        <w:t>“</w:t>
      </w:r>
      <w:r>
        <w:rPr>
          <w:rFonts w:ascii="宋体" w:hAnsi="宋体"/>
          <w:color w:val="auto"/>
          <w:sz w:val="24"/>
        </w:rPr>
        <w:t>统一社会信用代码社会团体法人登记证书</w:t>
      </w:r>
      <w:r>
        <w:rPr>
          <w:rFonts w:hint="eastAsia" w:ascii="宋体" w:hAnsi="宋体"/>
          <w:color w:val="auto"/>
          <w:sz w:val="24"/>
        </w:rPr>
        <w:t>”</w:t>
      </w:r>
      <w:r>
        <w:rPr>
          <w:rFonts w:ascii="宋体" w:hAnsi="宋体"/>
          <w:color w:val="auto"/>
          <w:sz w:val="24"/>
        </w:rPr>
        <w:t>或</w:t>
      </w:r>
      <w:r>
        <w:rPr>
          <w:rFonts w:hint="eastAsia" w:ascii="宋体" w:hAnsi="宋体"/>
          <w:color w:val="auto"/>
          <w:sz w:val="24"/>
        </w:rPr>
        <w:t>“</w:t>
      </w:r>
      <w:r>
        <w:rPr>
          <w:rFonts w:ascii="宋体" w:hAnsi="宋体"/>
          <w:color w:val="auto"/>
          <w:sz w:val="24"/>
        </w:rPr>
        <w:t>统一社会信用代码民办非企业单位登记证书</w:t>
      </w:r>
      <w:r>
        <w:rPr>
          <w:rFonts w:hint="eastAsia" w:ascii="宋体" w:hAnsi="宋体"/>
          <w:color w:val="auto"/>
          <w:sz w:val="24"/>
        </w:rPr>
        <w:t>”</w:t>
      </w:r>
      <w:r>
        <w:rPr>
          <w:rFonts w:ascii="宋体" w:hAnsi="宋体"/>
          <w:color w:val="auto"/>
          <w:sz w:val="24"/>
        </w:rPr>
        <w:t>或</w:t>
      </w:r>
      <w:r>
        <w:rPr>
          <w:rFonts w:hint="eastAsia" w:ascii="宋体" w:hAnsi="宋体"/>
          <w:color w:val="auto"/>
          <w:sz w:val="24"/>
        </w:rPr>
        <w:t>“</w:t>
      </w:r>
      <w:r>
        <w:rPr>
          <w:rFonts w:ascii="宋体" w:hAnsi="宋体"/>
          <w:color w:val="auto"/>
          <w:sz w:val="24"/>
        </w:rPr>
        <w:t>统一社会信用代码基金会法人登记证书</w:t>
      </w:r>
      <w:r>
        <w:rPr>
          <w:rFonts w:hint="eastAsia" w:ascii="宋体" w:hAnsi="宋体"/>
          <w:color w:val="auto"/>
          <w:sz w:val="24"/>
        </w:rPr>
        <w:t>”</w:t>
      </w:r>
      <w:r>
        <w:rPr>
          <w:rFonts w:ascii="宋体" w:hAnsi="宋体"/>
          <w:color w:val="auto"/>
          <w:sz w:val="24"/>
        </w:rPr>
        <w:t>副本；个体工商户提供</w:t>
      </w:r>
      <w:r>
        <w:rPr>
          <w:rFonts w:hint="eastAsia" w:ascii="宋体" w:hAnsi="宋体"/>
          <w:color w:val="auto"/>
          <w:sz w:val="24"/>
        </w:rPr>
        <w:t>“</w:t>
      </w:r>
      <w:r>
        <w:rPr>
          <w:rFonts w:ascii="宋体" w:hAnsi="宋体"/>
          <w:color w:val="auto"/>
          <w:sz w:val="24"/>
        </w:rPr>
        <w:t>统一社会信用代码营业执照</w:t>
      </w:r>
      <w:r>
        <w:rPr>
          <w:rFonts w:hint="eastAsia" w:ascii="宋体" w:hAnsi="宋体"/>
          <w:color w:val="auto"/>
          <w:sz w:val="24"/>
        </w:rPr>
        <w:t>”</w:t>
      </w:r>
      <w:r>
        <w:rPr>
          <w:rFonts w:ascii="宋体" w:hAnsi="宋体"/>
          <w:color w:val="auto"/>
          <w:sz w:val="24"/>
        </w:rPr>
        <w:t>副本。</w:t>
      </w:r>
    </w:p>
    <w:p>
      <w:pPr>
        <w:adjustRightInd w:val="0"/>
        <w:snapToGrid w:val="0"/>
        <w:spacing w:line="560" w:lineRule="exact"/>
        <w:ind w:firstLine="472" w:firstLineChars="196"/>
        <w:rPr>
          <w:color w:val="auto"/>
          <w:sz w:val="24"/>
        </w:rPr>
      </w:pPr>
      <w:r>
        <w:rPr>
          <w:rFonts w:ascii="宋体" w:hAnsi="宋体"/>
          <w:b/>
          <w:color w:val="auto"/>
          <w:sz w:val="24"/>
        </w:rPr>
        <w:t>2</w:t>
      </w:r>
      <w:r>
        <w:rPr>
          <w:rFonts w:hint="eastAsia" w:ascii="宋体" w:hAnsi="宋体"/>
          <w:b/>
          <w:color w:val="auto"/>
          <w:sz w:val="24"/>
        </w:rPr>
        <w:t>.</w:t>
      </w:r>
      <w:r>
        <w:rPr>
          <w:rFonts w:hint="eastAsia" w:cs="仿宋"/>
          <w:color w:val="auto"/>
          <w:sz w:val="24"/>
        </w:rPr>
        <w:t>具备良好商业信誉的证明材料（提供承诺函，格式详见第三章）；</w:t>
      </w:r>
    </w:p>
    <w:p>
      <w:pPr>
        <w:adjustRightInd w:val="0"/>
        <w:snapToGrid w:val="0"/>
        <w:spacing w:line="560" w:lineRule="exact"/>
        <w:ind w:firstLine="472" w:firstLineChars="196"/>
        <w:rPr>
          <w:color w:val="auto"/>
          <w:sz w:val="24"/>
        </w:rPr>
      </w:pPr>
      <w:r>
        <w:rPr>
          <w:rFonts w:ascii="宋体" w:hAnsi="宋体"/>
          <w:b/>
          <w:color w:val="auto"/>
          <w:sz w:val="24"/>
        </w:rPr>
        <w:t>3.</w:t>
      </w:r>
      <w:r>
        <w:rPr>
          <w:rFonts w:cs="仿宋"/>
          <w:color w:val="auto"/>
          <w:sz w:val="24"/>
        </w:rPr>
        <w:t>具备健全的财务会计制度的证明材料。</w:t>
      </w:r>
      <w:r>
        <w:rPr>
          <w:rFonts w:hint="eastAsia" w:cs="仿宋"/>
          <w:color w:val="auto"/>
          <w:sz w:val="24"/>
        </w:rPr>
        <w:t>｛注：①可提供20</w:t>
      </w:r>
      <w:r>
        <w:rPr>
          <w:rFonts w:hint="eastAsia" w:cs="仿宋"/>
          <w:color w:val="auto"/>
          <w:sz w:val="24"/>
          <w:lang w:val="en-US" w:eastAsia="zh-CN"/>
        </w:rPr>
        <w:t>20</w:t>
      </w:r>
      <w:r>
        <w:rPr>
          <w:rFonts w:hint="eastAsia" w:cs="仿宋"/>
          <w:color w:val="auto"/>
          <w:sz w:val="24"/>
        </w:rPr>
        <w:t>或202</w:t>
      </w:r>
      <w:r>
        <w:rPr>
          <w:rFonts w:hint="eastAsia" w:cs="仿宋"/>
          <w:color w:val="auto"/>
          <w:sz w:val="24"/>
          <w:lang w:val="en-US" w:eastAsia="zh-CN"/>
        </w:rPr>
        <w:t>1</w:t>
      </w:r>
      <w:r>
        <w:rPr>
          <w:rFonts w:hint="eastAsia" w:cs="仿宋"/>
          <w:color w:val="auto"/>
          <w:sz w:val="24"/>
        </w:rPr>
        <w:t>年度经审计的财务报告（包含审计报告和审计报告中所涉及的财务报表和报表附注），②可提供20</w:t>
      </w:r>
      <w:r>
        <w:rPr>
          <w:rFonts w:hint="eastAsia" w:cs="仿宋"/>
          <w:color w:val="auto"/>
          <w:sz w:val="24"/>
          <w:lang w:val="en-US" w:eastAsia="zh-CN"/>
        </w:rPr>
        <w:t>20</w:t>
      </w:r>
      <w:r>
        <w:rPr>
          <w:rFonts w:hint="eastAsia" w:cs="仿宋"/>
          <w:color w:val="auto"/>
          <w:sz w:val="24"/>
        </w:rPr>
        <w:t>或202</w:t>
      </w:r>
      <w:r>
        <w:rPr>
          <w:rFonts w:hint="eastAsia" w:cs="仿宋"/>
          <w:color w:val="auto"/>
          <w:sz w:val="24"/>
          <w:lang w:val="en-US" w:eastAsia="zh-CN"/>
        </w:rPr>
        <w:t>1</w:t>
      </w:r>
      <w:r>
        <w:rPr>
          <w:rFonts w:hint="eastAsia" w:cs="仿宋"/>
          <w:color w:val="auto"/>
          <w:sz w:val="24"/>
        </w:rPr>
        <w:t>年度供应商完整的全套财务报表（应当包括资产负债表、利润表、现金流量表、所有者权益变动表、附注），③可提供截至</w:t>
      </w:r>
      <w:r>
        <w:rPr>
          <w:rFonts w:hint="eastAsia" w:cs="仿宋"/>
          <w:color w:val="auto"/>
          <w:sz w:val="24"/>
          <w:lang w:val="en-US" w:eastAsia="zh-CN"/>
        </w:rPr>
        <w:t>投标</w:t>
      </w:r>
      <w:r>
        <w:rPr>
          <w:rFonts w:hint="eastAsia" w:cs="仿宋"/>
          <w:color w:val="auto"/>
          <w:sz w:val="24"/>
        </w:rPr>
        <w:t>文件提交截止日一年内银行出具的资信证明，④供应商注册时间截至</w:t>
      </w:r>
      <w:r>
        <w:rPr>
          <w:rFonts w:hint="eastAsia" w:cs="仿宋"/>
          <w:color w:val="auto"/>
          <w:sz w:val="24"/>
          <w:lang w:val="en-US" w:eastAsia="zh-CN"/>
        </w:rPr>
        <w:t>投标</w:t>
      </w:r>
      <w:r>
        <w:rPr>
          <w:rFonts w:hint="eastAsia" w:cs="仿宋"/>
          <w:color w:val="auto"/>
          <w:sz w:val="24"/>
        </w:rPr>
        <w:t>文件提交截止日不足一年的，也可提供在工商管理部门备案的公司章程。｝</w:t>
      </w:r>
    </w:p>
    <w:p>
      <w:pPr>
        <w:adjustRightInd w:val="0"/>
        <w:snapToGrid w:val="0"/>
        <w:spacing w:line="560" w:lineRule="exact"/>
        <w:ind w:firstLine="472" w:firstLineChars="196"/>
        <w:rPr>
          <w:color w:val="auto"/>
          <w:sz w:val="24"/>
        </w:rPr>
      </w:pPr>
      <w:r>
        <w:rPr>
          <w:rFonts w:ascii="宋体" w:hAnsi="宋体"/>
          <w:b/>
          <w:color w:val="auto"/>
          <w:sz w:val="24"/>
        </w:rPr>
        <w:t>4</w:t>
      </w:r>
      <w:r>
        <w:rPr>
          <w:rFonts w:hint="eastAsia" w:ascii="宋体" w:hAnsi="宋体"/>
          <w:b/>
          <w:color w:val="auto"/>
          <w:sz w:val="24"/>
        </w:rPr>
        <w:t>.</w:t>
      </w:r>
      <w:r>
        <w:rPr>
          <w:rFonts w:hint="eastAsia" w:cs="仿宋"/>
          <w:color w:val="auto"/>
          <w:sz w:val="24"/>
        </w:rPr>
        <w:t>具有依法缴纳税收和社会保障资金的良好记录（提供承诺函，格式详见第三章）；</w:t>
      </w:r>
    </w:p>
    <w:p>
      <w:pPr>
        <w:adjustRightInd w:val="0"/>
        <w:snapToGrid w:val="0"/>
        <w:spacing w:line="560" w:lineRule="exact"/>
        <w:ind w:firstLine="472" w:firstLineChars="196"/>
        <w:rPr>
          <w:color w:val="auto"/>
          <w:sz w:val="24"/>
        </w:rPr>
      </w:pPr>
      <w:r>
        <w:rPr>
          <w:rFonts w:ascii="宋体" w:hAnsi="宋体"/>
          <w:b/>
          <w:color w:val="auto"/>
          <w:sz w:val="24"/>
        </w:rPr>
        <w:t>5</w:t>
      </w:r>
      <w:r>
        <w:rPr>
          <w:rFonts w:hint="eastAsia" w:ascii="宋体" w:hAnsi="宋体"/>
          <w:b/>
          <w:color w:val="auto"/>
          <w:sz w:val="24"/>
        </w:rPr>
        <w:t>.</w:t>
      </w:r>
      <w:r>
        <w:rPr>
          <w:rFonts w:hint="eastAsia" w:cs="仿宋"/>
          <w:color w:val="auto"/>
          <w:sz w:val="24"/>
        </w:rPr>
        <w:t>具备履行合同所必需的设备和专业技术能力的证明材料（提供承诺函，格式详见第三章）；</w:t>
      </w:r>
    </w:p>
    <w:p>
      <w:pPr>
        <w:adjustRightInd w:val="0"/>
        <w:snapToGrid w:val="0"/>
        <w:spacing w:line="560" w:lineRule="exact"/>
        <w:ind w:firstLine="472" w:firstLineChars="196"/>
        <w:rPr>
          <w:color w:val="auto"/>
          <w:sz w:val="24"/>
        </w:rPr>
      </w:pPr>
      <w:r>
        <w:rPr>
          <w:rFonts w:ascii="宋体" w:hAnsi="宋体"/>
          <w:b/>
          <w:color w:val="auto"/>
          <w:sz w:val="24"/>
        </w:rPr>
        <w:t>6</w:t>
      </w:r>
      <w:r>
        <w:rPr>
          <w:rFonts w:hint="eastAsia" w:ascii="宋体" w:hAnsi="宋体"/>
          <w:b/>
          <w:color w:val="auto"/>
          <w:sz w:val="24"/>
        </w:rPr>
        <w:t>.</w:t>
      </w:r>
      <w:r>
        <w:rPr>
          <w:rFonts w:hint="eastAsia" w:cs="仿宋"/>
          <w:color w:val="auto"/>
          <w:sz w:val="24"/>
        </w:rPr>
        <w:t>参加政府采购活动前</w:t>
      </w:r>
      <w:r>
        <w:rPr>
          <w:rFonts w:cs="仿宋"/>
          <w:color w:val="auto"/>
          <w:sz w:val="24"/>
        </w:rPr>
        <w:t>3</w:t>
      </w:r>
      <w:r>
        <w:rPr>
          <w:rFonts w:hint="eastAsia" w:cs="仿宋"/>
          <w:color w:val="auto"/>
          <w:sz w:val="24"/>
        </w:rPr>
        <w:t>年内在经营活动中没有重大违法记录的承诺函（格式详见第三章）；</w:t>
      </w:r>
    </w:p>
    <w:p>
      <w:pPr>
        <w:pStyle w:val="13"/>
        <w:spacing w:line="360" w:lineRule="auto"/>
        <w:ind w:firstLine="482" w:firstLineChars="200"/>
        <w:rPr>
          <w:rFonts w:hint="eastAsia" w:ascii="宋体" w:hAnsi="宋体"/>
          <w:color w:val="auto"/>
          <w:sz w:val="24"/>
          <w:u w:val="single"/>
        </w:rPr>
      </w:pPr>
      <w:r>
        <w:rPr>
          <w:rFonts w:hint="eastAsia" w:ascii="宋体" w:hAnsi="宋体"/>
          <w:b/>
          <w:color w:val="auto"/>
          <w:sz w:val="24"/>
        </w:rPr>
        <w:t>7．</w:t>
      </w:r>
      <w:r>
        <w:rPr>
          <w:rFonts w:hint="eastAsia" w:ascii="宋体" w:hAnsi="宋体"/>
          <w:color w:val="auto"/>
          <w:sz w:val="24"/>
        </w:rPr>
        <w:t>法律、行政法规规定的其他条件：</w:t>
      </w:r>
      <w:r>
        <w:rPr>
          <w:rFonts w:hint="eastAsia" w:ascii="宋体" w:hAnsi="宋体"/>
          <w:color w:val="auto"/>
          <w:sz w:val="24"/>
          <w:u w:val="single"/>
        </w:rPr>
        <w:t xml:space="preserve">   </w:t>
      </w:r>
      <w:r>
        <w:rPr>
          <w:rFonts w:hint="eastAsia" w:ascii="宋体" w:hAnsi="宋体"/>
          <w:color w:val="auto"/>
          <w:sz w:val="24"/>
          <w:u w:val="single"/>
          <w:lang w:val="en-US" w:eastAsia="zh-CN"/>
        </w:rPr>
        <w:t>无</w:t>
      </w:r>
      <w:r>
        <w:rPr>
          <w:rFonts w:hint="eastAsia" w:ascii="宋体" w:hAnsi="宋体"/>
          <w:color w:val="auto"/>
          <w:sz w:val="24"/>
          <w:u w:val="single"/>
        </w:rPr>
        <w:t xml:space="preserve">  </w:t>
      </w:r>
      <w:r>
        <w:rPr>
          <w:rFonts w:hint="eastAsia" w:ascii="宋体" w:hAnsi="宋体"/>
          <w:color w:val="auto"/>
          <w:sz w:val="24"/>
        </w:rPr>
        <w:t xml:space="preserve">。 </w:t>
      </w:r>
    </w:p>
    <w:p>
      <w:pPr>
        <w:pStyle w:val="13"/>
        <w:spacing w:line="360" w:lineRule="auto"/>
        <w:ind w:firstLine="482" w:firstLineChars="200"/>
        <w:rPr>
          <w:rFonts w:hint="eastAsia" w:ascii="宋体" w:hAnsi="宋体"/>
          <w:color w:val="auto"/>
          <w:sz w:val="24"/>
        </w:rPr>
      </w:pPr>
      <w:r>
        <w:rPr>
          <w:rFonts w:hint="eastAsia" w:ascii="宋体" w:hAnsi="宋体"/>
          <w:b/>
          <w:color w:val="auto"/>
          <w:sz w:val="24"/>
        </w:rPr>
        <w:t>8．</w:t>
      </w:r>
      <w:r>
        <w:rPr>
          <w:rFonts w:hint="eastAsia" w:ascii="宋体" w:hAnsi="宋体"/>
          <w:color w:val="auto"/>
          <w:sz w:val="24"/>
        </w:rPr>
        <w:t>落实政府采购政策需满足的资格要求：若专门面向中小企业采购，提供中小企业申明函</w:t>
      </w:r>
      <w:r>
        <w:rPr>
          <w:rFonts w:hint="eastAsia" w:cs="仿宋"/>
          <w:color w:val="auto"/>
          <w:sz w:val="24"/>
          <w:szCs w:val="24"/>
        </w:rPr>
        <w:t>（格式详见第三章）</w:t>
      </w:r>
      <w:r>
        <w:rPr>
          <w:rFonts w:hint="eastAsia" w:ascii="宋体" w:hAnsi="宋体"/>
          <w:color w:val="auto"/>
          <w:sz w:val="24"/>
        </w:rPr>
        <w:t>。</w:t>
      </w:r>
    </w:p>
    <w:p>
      <w:pPr>
        <w:pStyle w:val="13"/>
        <w:spacing w:line="360" w:lineRule="auto"/>
        <w:ind w:firstLine="482" w:firstLineChars="200"/>
        <w:rPr>
          <w:rFonts w:ascii="宋体" w:hAnsi="宋体"/>
          <w:color w:val="auto"/>
          <w:sz w:val="24"/>
          <w:u w:val="single"/>
        </w:rPr>
      </w:pPr>
      <w:r>
        <w:rPr>
          <w:rFonts w:hint="eastAsia" w:ascii="宋体" w:hAnsi="宋体"/>
          <w:b/>
          <w:color w:val="auto"/>
          <w:sz w:val="24"/>
        </w:rPr>
        <w:t>9.</w:t>
      </w:r>
      <w:r>
        <w:rPr>
          <w:rFonts w:hint="eastAsia" w:ascii="宋体" w:hAnsi="宋体"/>
          <w:color w:val="auto"/>
          <w:sz w:val="24"/>
        </w:rPr>
        <w:t>本项目的特定资格要求应提供的证明材料：</w:t>
      </w:r>
      <w:r>
        <w:rPr>
          <w:rFonts w:ascii="宋体" w:hAnsi="宋体" w:eastAsia="宋体" w:cs="宋体"/>
          <w:color w:val="auto"/>
          <w:sz w:val="24"/>
          <w:szCs w:val="24"/>
        </w:rPr>
        <w:t> </w:t>
      </w:r>
      <w:r>
        <w:rPr>
          <w:rFonts w:hint="eastAsia" w:ascii="宋体" w:hAnsi="宋体" w:eastAsia="宋体" w:cs="宋体"/>
          <w:color w:val="auto"/>
          <w:sz w:val="24"/>
          <w:szCs w:val="24"/>
          <w:u w:val="single"/>
          <w:lang w:val="en-US" w:eastAsia="zh-CN"/>
        </w:rPr>
        <w:t>/</w:t>
      </w:r>
      <w:r>
        <w:rPr>
          <w:rFonts w:ascii="宋体" w:hAnsi="宋体" w:eastAsia="宋体" w:cs="宋体"/>
          <w:color w:val="auto"/>
          <w:sz w:val="24"/>
          <w:szCs w:val="24"/>
        </w:rPr>
        <w:t>。</w:t>
      </w:r>
    </w:p>
    <w:p>
      <w:pPr>
        <w:pStyle w:val="13"/>
        <w:spacing w:line="360" w:lineRule="auto"/>
        <w:ind w:firstLine="482" w:firstLineChars="200"/>
        <w:rPr>
          <w:rFonts w:hint="eastAsia" w:ascii="宋体" w:hAnsi="宋体"/>
          <w:color w:val="auto"/>
          <w:sz w:val="24"/>
          <w:szCs w:val="24"/>
        </w:rPr>
      </w:pPr>
      <w:r>
        <w:rPr>
          <w:rFonts w:hint="eastAsia" w:ascii="宋体" w:hAnsi="宋体"/>
          <w:b/>
          <w:bCs/>
          <w:color w:val="auto"/>
          <w:sz w:val="24"/>
          <w:szCs w:val="24"/>
        </w:rPr>
        <w:t>二、</w:t>
      </w:r>
      <w:r>
        <w:rPr>
          <w:rFonts w:hint="eastAsia" w:ascii="宋体" w:hAnsi="宋体"/>
          <w:color w:val="auto"/>
          <w:sz w:val="24"/>
          <w:szCs w:val="24"/>
        </w:rPr>
        <w:t>应当提供的投标产品的资格、资质性及其他类似效力要求的相关证明材料</w:t>
      </w:r>
    </w:p>
    <w:p>
      <w:pPr>
        <w:pStyle w:val="13"/>
        <w:spacing w:line="360" w:lineRule="auto"/>
        <w:ind w:firstLine="480" w:firstLineChars="200"/>
        <w:rPr>
          <w:rFonts w:ascii="宋体" w:hAnsi="宋体"/>
          <w:color w:val="auto"/>
          <w:sz w:val="24"/>
        </w:rPr>
      </w:pPr>
      <w:r>
        <w:rPr>
          <w:rFonts w:ascii="宋体" w:hAnsi="宋体" w:eastAsia="宋体" w:cs="宋体"/>
          <w:color w:val="auto"/>
          <w:sz w:val="24"/>
          <w:szCs w:val="24"/>
          <w:u w:val="single"/>
        </w:rPr>
        <w:t>主机、显示器，精密空调</w:t>
      </w:r>
      <w:r>
        <w:rPr>
          <w:rFonts w:hint="eastAsia" w:ascii="宋体" w:hAnsi="宋体"/>
          <w:color w:val="auto"/>
          <w:sz w:val="24"/>
        </w:rPr>
        <w:t>属于政府强制采购的节能产品，应提供市场监管总局（</w:t>
      </w:r>
      <w:r>
        <w:rPr>
          <w:rFonts w:ascii="宋体" w:hAnsi="宋体"/>
          <w:color w:val="auto"/>
          <w:sz w:val="24"/>
        </w:rPr>
        <w:t>2019</w:t>
      </w:r>
      <w:r>
        <w:rPr>
          <w:rFonts w:hint="eastAsia" w:ascii="宋体" w:hAnsi="宋体"/>
          <w:color w:val="auto"/>
          <w:sz w:val="24"/>
        </w:rPr>
        <w:t>年第</w:t>
      </w:r>
      <w:r>
        <w:rPr>
          <w:rFonts w:ascii="宋体" w:hAnsi="宋体"/>
          <w:color w:val="auto"/>
          <w:sz w:val="24"/>
        </w:rPr>
        <w:t>16</w:t>
      </w:r>
      <w:r>
        <w:rPr>
          <w:rFonts w:hint="eastAsia" w:ascii="宋体" w:hAnsi="宋体"/>
          <w:color w:val="auto"/>
          <w:sz w:val="24"/>
        </w:rPr>
        <w:t>号）公布的认证机构名录出具的、处于有效期之内的节能产品认证证书。</w:t>
      </w:r>
    </w:p>
    <w:p>
      <w:pPr>
        <w:tabs>
          <w:tab w:val="left" w:pos="7665"/>
        </w:tabs>
        <w:spacing w:line="360" w:lineRule="auto"/>
        <w:ind w:firstLine="480" w:firstLineChars="200"/>
        <w:rPr>
          <w:rFonts w:hint="eastAsia" w:ascii="宋体" w:hAnsi="宋体"/>
          <w:color w:val="auto"/>
          <w:sz w:val="24"/>
        </w:rPr>
      </w:pPr>
      <w:r>
        <w:rPr>
          <w:rFonts w:hint="eastAsia" w:ascii="宋体" w:hAnsi="宋体"/>
          <w:color w:val="auto"/>
          <w:sz w:val="24"/>
        </w:rPr>
        <w:t>注：本章所有的资格、资质性及其他类似效力要求的相关证明材料需将原件扫描添加到系统中编制投标文件。投标人为法人或其他组织的，应加盖电子签章确认；投标人为自然人的，由加盖其本人电子签名或印章确认。</w:t>
      </w:r>
    </w:p>
    <w:p>
      <w:pPr>
        <w:pStyle w:val="3"/>
        <w:ind w:left="950"/>
        <w:rPr>
          <w:rFonts w:hint="eastAsia"/>
          <w:color w:val="auto"/>
        </w:rPr>
      </w:pPr>
    </w:p>
    <w:p>
      <w:pPr>
        <w:ind w:firstLine="470" w:firstLineChars="196"/>
        <w:rPr>
          <w:rFonts w:hint="eastAsia"/>
          <w:color w:val="auto"/>
          <w:sz w:val="24"/>
        </w:rPr>
      </w:pPr>
    </w:p>
    <w:p>
      <w:pPr>
        <w:ind w:firstLine="470" w:firstLineChars="196"/>
        <w:rPr>
          <w:rFonts w:hint="eastAsia"/>
          <w:color w:val="auto"/>
          <w:sz w:val="24"/>
        </w:rPr>
      </w:pPr>
    </w:p>
    <w:p>
      <w:pPr>
        <w:ind w:firstLine="470" w:firstLineChars="196"/>
        <w:rPr>
          <w:rFonts w:hint="eastAsia"/>
          <w:color w:val="auto"/>
          <w:sz w:val="24"/>
        </w:rPr>
      </w:pPr>
    </w:p>
    <w:p>
      <w:pPr>
        <w:ind w:firstLine="470" w:firstLineChars="196"/>
        <w:rPr>
          <w:rFonts w:hint="eastAsia"/>
          <w:color w:val="auto"/>
          <w:sz w:val="24"/>
        </w:rPr>
      </w:pPr>
    </w:p>
    <w:p>
      <w:pPr>
        <w:ind w:firstLine="470" w:firstLineChars="196"/>
        <w:rPr>
          <w:rFonts w:hint="eastAsia"/>
          <w:color w:val="auto"/>
          <w:sz w:val="24"/>
        </w:rPr>
      </w:pPr>
    </w:p>
    <w:p>
      <w:pPr>
        <w:ind w:firstLine="470" w:firstLineChars="196"/>
        <w:rPr>
          <w:rFonts w:hint="eastAsia"/>
          <w:color w:val="auto"/>
          <w:sz w:val="24"/>
        </w:rPr>
      </w:pPr>
    </w:p>
    <w:p>
      <w:pPr>
        <w:ind w:firstLine="470" w:firstLineChars="196"/>
        <w:rPr>
          <w:rFonts w:hint="eastAsia"/>
          <w:color w:val="auto"/>
          <w:sz w:val="24"/>
        </w:rPr>
      </w:pPr>
    </w:p>
    <w:p>
      <w:pPr>
        <w:ind w:firstLine="470" w:firstLineChars="196"/>
        <w:rPr>
          <w:rFonts w:hint="eastAsia"/>
          <w:color w:val="auto"/>
          <w:sz w:val="24"/>
        </w:rPr>
      </w:pPr>
    </w:p>
    <w:p>
      <w:pPr>
        <w:ind w:firstLine="470" w:firstLineChars="196"/>
        <w:rPr>
          <w:rFonts w:hint="eastAsia"/>
          <w:color w:val="auto"/>
          <w:sz w:val="24"/>
        </w:rPr>
      </w:pPr>
    </w:p>
    <w:p>
      <w:pPr>
        <w:ind w:firstLine="470" w:firstLineChars="196"/>
        <w:rPr>
          <w:rFonts w:hint="eastAsia"/>
          <w:color w:val="auto"/>
          <w:sz w:val="24"/>
        </w:rPr>
      </w:pPr>
    </w:p>
    <w:p>
      <w:pPr>
        <w:ind w:firstLine="470" w:firstLineChars="196"/>
        <w:rPr>
          <w:rFonts w:hint="eastAsia"/>
          <w:color w:val="auto"/>
          <w:sz w:val="24"/>
        </w:rPr>
      </w:pPr>
    </w:p>
    <w:p>
      <w:pPr>
        <w:ind w:firstLine="470" w:firstLineChars="196"/>
        <w:rPr>
          <w:rFonts w:hint="eastAsia"/>
          <w:color w:val="auto"/>
          <w:sz w:val="24"/>
        </w:rPr>
      </w:pPr>
    </w:p>
    <w:p>
      <w:pPr>
        <w:ind w:firstLine="470" w:firstLineChars="196"/>
        <w:rPr>
          <w:rFonts w:hint="eastAsia"/>
          <w:color w:val="auto"/>
          <w:sz w:val="24"/>
        </w:rPr>
      </w:pPr>
    </w:p>
    <w:p>
      <w:pPr>
        <w:ind w:firstLine="470" w:firstLineChars="196"/>
        <w:rPr>
          <w:rFonts w:hint="eastAsia"/>
          <w:color w:val="auto"/>
          <w:sz w:val="24"/>
        </w:rPr>
      </w:pPr>
    </w:p>
    <w:p>
      <w:pPr>
        <w:ind w:firstLine="470" w:firstLineChars="196"/>
        <w:rPr>
          <w:rFonts w:hint="eastAsia"/>
          <w:color w:val="auto"/>
          <w:sz w:val="24"/>
        </w:rPr>
      </w:pPr>
    </w:p>
    <w:p>
      <w:pPr>
        <w:ind w:firstLine="470" w:firstLineChars="196"/>
        <w:rPr>
          <w:rFonts w:hint="eastAsia"/>
          <w:color w:val="auto"/>
          <w:sz w:val="24"/>
        </w:rPr>
      </w:pPr>
    </w:p>
    <w:p>
      <w:pPr>
        <w:ind w:firstLine="470" w:firstLineChars="196"/>
        <w:rPr>
          <w:rFonts w:hint="eastAsia"/>
          <w:color w:val="auto"/>
          <w:sz w:val="24"/>
        </w:rPr>
      </w:pPr>
    </w:p>
    <w:p>
      <w:pPr>
        <w:ind w:firstLine="470" w:firstLineChars="196"/>
        <w:rPr>
          <w:rFonts w:hint="eastAsia"/>
          <w:color w:val="auto"/>
          <w:sz w:val="24"/>
        </w:rPr>
      </w:pPr>
    </w:p>
    <w:p>
      <w:pPr>
        <w:ind w:firstLine="470" w:firstLineChars="196"/>
        <w:rPr>
          <w:rFonts w:hint="eastAsia"/>
          <w:color w:val="auto"/>
          <w:sz w:val="24"/>
        </w:rPr>
      </w:pPr>
    </w:p>
    <w:p>
      <w:pPr>
        <w:ind w:firstLine="470" w:firstLineChars="196"/>
        <w:rPr>
          <w:rFonts w:hint="eastAsia"/>
          <w:color w:val="auto"/>
          <w:sz w:val="24"/>
        </w:rPr>
      </w:pPr>
    </w:p>
    <w:p>
      <w:pPr>
        <w:ind w:firstLine="470" w:firstLineChars="196"/>
        <w:rPr>
          <w:rFonts w:hint="eastAsia"/>
          <w:color w:val="auto"/>
          <w:sz w:val="24"/>
        </w:rPr>
      </w:pPr>
    </w:p>
    <w:p>
      <w:pPr>
        <w:ind w:firstLine="470" w:firstLineChars="196"/>
        <w:rPr>
          <w:rFonts w:hint="eastAsia"/>
          <w:color w:val="auto"/>
          <w:sz w:val="24"/>
        </w:rPr>
      </w:pPr>
    </w:p>
    <w:p>
      <w:pPr>
        <w:ind w:firstLine="470" w:firstLineChars="196"/>
        <w:rPr>
          <w:rFonts w:hint="eastAsia"/>
          <w:color w:val="auto"/>
          <w:sz w:val="24"/>
        </w:rPr>
      </w:pPr>
    </w:p>
    <w:p>
      <w:pPr>
        <w:ind w:firstLine="470" w:firstLineChars="196"/>
        <w:rPr>
          <w:rFonts w:hint="eastAsia"/>
          <w:color w:val="auto"/>
          <w:sz w:val="24"/>
        </w:rPr>
      </w:pPr>
    </w:p>
    <w:p>
      <w:pPr>
        <w:pStyle w:val="3"/>
        <w:rPr>
          <w:rFonts w:hint="eastAsia"/>
          <w:color w:val="auto"/>
          <w:lang w:val="en-US" w:eastAsia="zh-CN"/>
        </w:rPr>
      </w:pPr>
    </w:p>
    <w:p>
      <w:pPr>
        <w:pStyle w:val="3"/>
        <w:rPr>
          <w:rFonts w:hint="eastAsia"/>
          <w:color w:val="auto"/>
          <w:lang w:val="en-US" w:eastAsia="zh-CN"/>
        </w:rPr>
      </w:pPr>
    </w:p>
    <w:p>
      <w:pPr>
        <w:pStyle w:val="3"/>
        <w:rPr>
          <w:rFonts w:hint="eastAsia"/>
          <w:color w:val="auto"/>
          <w:lang w:val="en-US" w:eastAsia="zh-CN"/>
        </w:rPr>
      </w:pPr>
    </w:p>
    <w:p>
      <w:pPr>
        <w:pStyle w:val="3"/>
        <w:rPr>
          <w:rFonts w:hint="eastAsia"/>
          <w:color w:val="auto"/>
          <w:lang w:val="en-US" w:eastAsia="zh-CN"/>
        </w:rPr>
      </w:pPr>
    </w:p>
    <w:p>
      <w:pPr>
        <w:pStyle w:val="2"/>
        <w:rPr>
          <w:rFonts w:hint="eastAsia"/>
          <w:color w:val="auto"/>
          <w:lang w:val="en-US" w:eastAsia="zh-CN"/>
        </w:rPr>
      </w:pPr>
    </w:p>
    <w:p>
      <w:pPr>
        <w:pStyle w:val="3"/>
        <w:rPr>
          <w:rFonts w:hint="eastAsia"/>
          <w:color w:val="auto"/>
          <w:lang w:val="en-US" w:eastAsia="zh-CN"/>
        </w:rPr>
      </w:pPr>
    </w:p>
    <w:p>
      <w:pPr>
        <w:pStyle w:val="3"/>
        <w:rPr>
          <w:rFonts w:hint="eastAsia"/>
          <w:color w:val="auto"/>
          <w:lang w:val="en-US" w:eastAsia="zh-CN"/>
        </w:rPr>
      </w:pPr>
    </w:p>
    <w:p>
      <w:pPr>
        <w:pStyle w:val="3"/>
        <w:rPr>
          <w:rFonts w:hint="eastAsia"/>
          <w:color w:val="auto"/>
          <w:lang w:val="en-US" w:eastAsia="zh-CN"/>
        </w:rPr>
      </w:pPr>
    </w:p>
    <w:p>
      <w:pPr>
        <w:pStyle w:val="3"/>
        <w:rPr>
          <w:rFonts w:hint="eastAsia"/>
          <w:color w:val="auto"/>
          <w:lang w:val="en-US" w:eastAsia="zh-CN"/>
        </w:rPr>
      </w:pPr>
    </w:p>
    <w:p>
      <w:pPr>
        <w:pStyle w:val="3"/>
        <w:rPr>
          <w:rFonts w:hint="eastAsia"/>
          <w:color w:val="auto"/>
          <w:lang w:val="en-US" w:eastAsia="zh-CN"/>
        </w:rPr>
      </w:pPr>
    </w:p>
    <w:p>
      <w:pPr>
        <w:tabs>
          <w:tab w:val="left" w:pos="720"/>
          <w:tab w:val="left" w:pos="1140"/>
        </w:tabs>
        <w:spacing w:after="156" w:afterLines="50" w:line="700" w:lineRule="exact"/>
        <w:jc w:val="center"/>
        <w:outlineLvl w:val="0"/>
        <w:rPr>
          <w:rFonts w:hint="eastAsia" w:ascii="方正小标宋简体" w:eastAsia="方正小标宋简体"/>
          <w:color w:val="auto"/>
          <w:sz w:val="44"/>
          <w:szCs w:val="44"/>
        </w:rPr>
      </w:pPr>
      <w:bookmarkStart w:id="1" w:name="_Toc354"/>
      <w:r>
        <w:rPr>
          <w:rFonts w:hint="eastAsia" w:ascii="方正小标宋简体" w:eastAsia="方正小标宋简体"/>
          <w:color w:val="auto"/>
          <w:sz w:val="44"/>
          <w:szCs w:val="44"/>
        </w:rPr>
        <w:t>第六章  招标项目技术、服务、政府采购合同内容条款及其他商务要求</w:t>
      </w:r>
      <w:bookmarkEnd w:id="1"/>
    </w:p>
    <w:p>
      <w:pPr>
        <w:pStyle w:val="8"/>
        <w:widowControl/>
        <w:spacing w:beforeAutospacing="0" w:afterAutospacing="0" w:line="360" w:lineRule="auto"/>
        <w:ind w:firstLine="482" w:firstLineChars="200"/>
        <w:jc w:val="both"/>
        <w:rPr>
          <w:rFonts w:hint="eastAsia" w:ascii="宋体" w:hAnsi="宋体" w:eastAsia="宋体" w:cs="Times New Roman"/>
          <w:b/>
          <w:bCs/>
          <w:color w:val="auto"/>
        </w:rPr>
      </w:pPr>
      <w:r>
        <w:rPr>
          <w:rFonts w:hint="eastAsia" w:ascii="宋体" w:hAnsi="宋体" w:eastAsia="宋体" w:cs="Times New Roman"/>
          <w:b/>
          <w:bCs/>
          <w:color w:val="auto"/>
        </w:rPr>
        <w:t>1．项目概述</w:t>
      </w:r>
    </w:p>
    <w:p>
      <w:pPr>
        <w:pStyle w:val="8"/>
        <w:widowControl/>
        <w:spacing w:beforeAutospacing="0" w:afterAutospacing="0" w:line="360" w:lineRule="auto"/>
        <w:ind w:firstLine="480" w:firstLineChars="200"/>
        <w:jc w:val="both"/>
        <w:rPr>
          <w:rFonts w:ascii="宋体" w:hAnsi="宋体"/>
          <w:color w:val="auto"/>
        </w:rPr>
      </w:pPr>
      <w:r>
        <w:rPr>
          <w:rFonts w:ascii="宋体" w:hAnsi="宋体"/>
          <w:color w:val="auto"/>
        </w:rPr>
        <w:t>城市大脑是运用大数据、云计算、物联网、人工智能等新一代信息技术，提升城市现代化治理能力和城市竞争力的新型基础设施和智能中枢，是推进城市数字化、智能化、智慧化的重要手段。通过对城市全域运行数据进行实时汇聚、监测、治理和分析，全面感知城市生命体征，辅助宏观决策指挥，预测预警重大事件，配置优化公共资源，保障城市安全有序运行，支撑政府、社会、经济数字化转型，实现整体智治、高效协同、科学决策，推进城市治理体系和治理能力现代化。习近平总书记考察某市“城市大脑”运营指挥中心时，指出“通过大数据、云计算、人工智能等手段推动城市管理手段、管理模式、管理理念创新，从数字化到智能化再到智慧化，让城市更聪明一些、更智慧一些，是推动城市治理体系和治理能力现代化的必由之路，前景广阔”，为城市大脑建设指明了战略方向。国家“十四五”规划纲要中也明确提出“以数字化助推城乡发展和治理模式创新，构建城市数据资源体系，推进城市数据大脑建设”。为落实国家及四川省相关政策要求，加快推动泸州城市治理及民生服务能力现代化，经市委市政府批准，泸州市拟开展泸州市“城市大脑”项目建设。</w:t>
      </w:r>
    </w:p>
    <w:p>
      <w:pPr>
        <w:pStyle w:val="8"/>
        <w:widowControl/>
        <w:spacing w:beforeAutospacing="0" w:afterAutospacing="0" w:line="360" w:lineRule="auto"/>
        <w:ind w:firstLine="480" w:firstLineChars="200"/>
        <w:jc w:val="both"/>
        <w:rPr>
          <w:rFonts w:ascii="宋体" w:hAnsi="宋体"/>
          <w:color w:val="auto"/>
        </w:rPr>
        <w:sectPr>
          <w:headerReference r:id="rId3" w:type="default"/>
          <w:footerReference r:id="rId4" w:type="default"/>
          <w:footerReference r:id="rId5" w:type="even"/>
          <w:pgSz w:w="11906" w:h="16838"/>
          <w:pgMar w:top="1440" w:right="1080" w:bottom="1440" w:left="1080" w:header="851" w:footer="992" w:gutter="0"/>
          <w:cols w:space="720" w:num="1"/>
          <w:docGrid w:type="lines" w:linePitch="312" w:charSpace="0"/>
        </w:sectPr>
      </w:pPr>
      <w:r>
        <w:rPr>
          <w:rFonts w:ascii="宋体" w:hAnsi="宋体"/>
          <w:color w:val="auto"/>
        </w:rPr>
        <w:t>城市运行综合管理中心是“城市大脑”的实体化载体和核心组成部分，定位为城市辅助决策中心、协同治理中心、联动指挥中心，</w:t>
      </w:r>
      <w:r>
        <w:rPr>
          <w:rFonts w:hint="eastAsia" w:ascii="宋体" w:hAnsi="宋体"/>
          <w:color w:val="auto"/>
        </w:rPr>
        <w:t>需满</w:t>
      </w:r>
      <w:r>
        <w:rPr>
          <w:rFonts w:ascii="宋体" w:hAnsi="宋体"/>
          <w:color w:val="auto"/>
        </w:rPr>
        <w:t>足现代化的城市运营管理，联动指挥，会商决策，服务支撑、智能办公等需求</w:t>
      </w:r>
      <w:r>
        <w:rPr>
          <w:rFonts w:hint="eastAsia" w:ascii="宋体" w:hAnsi="宋体"/>
          <w:color w:val="auto"/>
        </w:rPr>
        <w:t>。中心整体划分为指挥中心、视频会议中心、观摩决策室、多媒体会议室、办公室、信息消费展厅（网络安全教育基地）、机房等功能区域，</w:t>
      </w:r>
      <w:r>
        <w:rPr>
          <w:rFonts w:ascii="宋体" w:hAnsi="宋体"/>
          <w:color w:val="auto"/>
        </w:rPr>
        <w:t>配备</w:t>
      </w:r>
      <w:r>
        <w:rPr>
          <w:rFonts w:hint="eastAsia" w:ascii="宋体" w:hAnsi="宋体"/>
          <w:color w:val="auto"/>
        </w:rPr>
        <w:t>大屏显示、光纤分布式、操作台、视频会议、视频监控及门禁、网络与安全、机房配套等</w:t>
      </w:r>
      <w:r>
        <w:rPr>
          <w:rFonts w:ascii="宋体" w:hAnsi="宋体"/>
          <w:color w:val="auto"/>
        </w:rPr>
        <w:t>智能化系统。</w:t>
      </w:r>
    </w:p>
    <w:p>
      <w:pPr>
        <w:numPr>
          <w:ilvl w:val="0"/>
          <w:numId w:val="1"/>
        </w:numPr>
        <w:tabs>
          <w:tab w:val="left" w:pos="720"/>
          <w:tab w:val="left" w:pos="1140"/>
        </w:tabs>
        <w:spacing w:after="156" w:afterLines="50" w:line="360" w:lineRule="auto"/>
        <w:rPr>
          <w:rFonts w:hint="eastAsia" w:ascii="宋体"/>
          <w:b/>
          <w:color w:val="auto"/>
          <w:sz w:val="24"/>
        </w:rPr>
      </w:pPr>
      <w:r>
        <w:rPr>
          <w:rFonts w:hint="eastAsia" w:ascii="宋体" w:hAnsi="宋体"/>
          <w:b/>
          <w:color w:val="auto"/>
          <w:sz w:val="24"/>
        </w:rPr>
        <w:t>项目清单</w:t>
      </w:r>
      <w:r>
        <w:rPr>
          <w:rFonts w:hint="eastAsia" w:ascii="宋体"/>
          <w:b/>
          <w:color w:val="auto"/>
          <w:sz w:val="24"/>
        </w:rPr>
        <w:t xml:space="preserve">     </w:t>
      </w:r>
    </w:p>
    <w:tbl>
      <w:tblPr>
        <w:tblStyle w:val="10"/>
        <w:tblW w:w="4838" w:type="pct"/>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36"/>
        <w:gridCol w:w="4056"/>
        <w:gridCol w:w="1619"/>
        <w:gridCol w:w="143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 w:hRule="atLeast"/>
        </w:trPr>
        <w:tc>
          <w:tcPr>
            <w:tcW w:w="472"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序号</w:t>
            </w:r>
          </w:p>
        </w:tc>
        <w:tc>
          <w:tcPr>
            <w:tcW w:w="1617"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内容</w:t>
            </w:r>
          </w:p>
        </w:tc>
        <w:tc>
          <w:tcPr>
            <w:tcW w:w="668"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单位</w:t>
            </w:r>
          </w:p>
        </w:tc>
        <w:tc>
          <w:tcPr>
            <w:tcW w:w="593"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数量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 w:hRule="atLeast"/>
        </w:trPr>
        <w:tc>
          <w:tcPr>
            <w:tcW w:w="472"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1</w:t>
            </w:r>
          </w:p>
        </w:tc>
        <w:tc>
          <w:tcPr>
            <w:tcW w:w="1617"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大屏显示系统</w:t>
            </w:r>
          </w:p>
        </w:tc>
        <w:tc>
          <w:tcPr>
            <w:tcW w:w="668"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项</w:t>
            </w:r>
          </w:p>
        </w:tc>
        <w:tc>
          <w:tcPr>
            <w:tcW w:w="593"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 w:hRule="atLeast"/>
        </w:trPr>
        <w:tc>
          <w:tcPr>
            <w:tcW w:w="472"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2</w:t>
            </w:r>
          </w:p>
        </w:tc>
        <w:tc>
          <w:tcPr>
            <w:tcW w:w="1617"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光纤分布式系统</w:t>
            </w:r>
          </w:p>
        </w:tc>
        <w:tc>
          <w:tcPr>
            <w:tcW w:w="668"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项</w:t>
            </w:r>
          </w:p>
        </w:tc>
        <w:tc>
          <w:tcPr>
            <w:tcW w:w="593"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9" w:hRule="atLeast"/>
        </w:trPr>
        <w:tc>
          <w:tcPr>
            <w:tcW w:w="472"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3</w:t>
            </w:r>
          </w:p>
        </w:tc>
        <w:tc>
          <w:tcPr>
            <w:tcW w:w="1617"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操作台及办公会议桌椅</w:t>
            </w:r>
          </w:p>
        </w:tc>
        <w:tc>
          <w:tcPr>
            <w:tcW w:w="668"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项</w:t>
            </w:r>
          </w:p>
        </w:tc>
        <w:tc>
          <w:tcPr>
            <w:tcW w:w="593"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 w:hRule="atLeast"/>
        </w:trPr>
        <w:tc>
          <w:tcPr>
            <w:tcW w:w="472"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4</w:t>
            </w:r>
          </w:p>
        </w:tc>
        <w:tc>
          <w:tcPr>
            <w:tcW w:w="1617"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视频会议系统</w:t>
            </w:r>
          </w:p>
        </w:tc>
        <w:tc>
          <w:tcPr>
            <w:tcW w:w="668"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项</w:t>
            </w:r>
          </w:p>
        </w:tc>
        <w:tc>
          <w:tcPr>
            <w:tcW w:w="593"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 w:hRule="atLeast"/>
        </w:trPr>
        <w:tc>
          <w:tcPr>
            <w:tcW w:w="472"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5</w:t>
            </w:r>
          </w:p>
        </w:tc>
        <w:tc>
          <w:tcPr>
            <w:tcW w:w="1617"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视频监控及门禁系统</w:t>
            </w:r>
          </w:p>
        </w:tc>
        <w:tc>
          <w:tcPr>
            <w:tcW w:w="668"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项</w:t>
            </w:r>
          </w:p>
        </w:tc>
        <w:tc>
          <w:tcPr>
            <w:tcW w:w="593"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 w:hRule="atLeast"/>
        </w:trPr>
        <w:tc>
          <w:tcPr>
            <w:tcW w:w="472"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6</w:t>
            </w:r>
          </w:p>
        </w:tc>
        <w:tc>
          <w:tcPr>
            <w:tcW w:w="1617"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音响扩音系统</w:t>
            </w:r>
          </w:p>
        </w:tc>
        <w:tc>
          <w:tcPr>
            <w:tcW w:w="668"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项</w:t>
            </w:r>
          </w:p>
        </w:tc>
        <w:tc>
          <w:tcPr>
            <w:tcW w:w="593"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 w:hRule="atLeast"/>
        </w:trPr>
        <w:tc>
          <w:tcPr>
            <w:tcW w:w="472"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7</w:t>
            </w:r>
          </w:p>
        </w:tc>
        <w:tc>
          <w:tcPr>
            <w:tcW w:w="1617"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无纸化会议系统</w:t>
            </w:r>
          </w:p>
        </w:tc>
        <w:tc>
          <w:tcPr>
            <w:tcW w:w="668"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项</w:t>
            </w:r>
          </w:p>
        </w:tc>
        <w:tc>
          <w:tcPr>
            <w:tcW w:w="593"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 w:hRule="atLeast"/>
        </w:trPr>
        <w:tc>
          <w:tcPr>
            <w:tcW w:w="472"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8</w:t>
            </w:r>
          </w:p>
        </w:tc>
        <w:tc>
          <w:tcPr>
            <w:tcW w:w="1617" w:type="pct"/>
            <w:noWrap/>
            <w:vAlign w:val="center"/>
          </w:tcPr>
          <w:p>
            <w:pPr>
              <w:pStyle w:val="8"/>
              <w:widowControl/>
              <w:spacing w:beforeAutospacing="0" w:afterAutospacing="0" w:line="360" w:lineRule="auto"/>
              <w:jc w:val="both"/>
              <w:rPr>
                <w:rFonts w:ascii="宋体" w:hAnsi="宋体" w:eastAsia="宋体" w:cs="Times New Roman"/>
                <w:color w:val="auto"/>
                <w:szCs w:val="32"/>
                <w:lang w:eastAsia="zh-Hans"/>
              </w:rPr>
            </w:pPr>
            <w:r>
              <w:rPr>
                <w:rFonts w:ascii="宋体" w:hAnsi="宋体" w:eastAsia="宋体" w:cs="Times New Roman"/>
                <w:color w:val="auto"/>
                <w:szCs w:val="32"/>
              </w:rPr>
              <w:t>网络</w:t>
            </w:r>
            <w:r>
              <w:rPr>
                <w:rFonts w:hint="eastAsia" w:ascii="宋体" w:hAnsi="宋体" w:eastAsia="宋体" w:cs="Times New Roman"/>
                <w:color w:val="auto"/>
                <w:szCs w:val="32"/>
                <w:lang w:eastAsia="zh-CN"/>
              </w:rPr>
              <w:t>及</w:t>
            </w:r>
            <w:r>
              <w:rPr>
                <w:rFonts w:ascii="宋体" w:hAnsi="宋体" w:eastAsia="宋体" w:cs="Times New Roman"/>
                <w:color w:val="auto"/>
                <w:szCs w:val="32"/>
              </w:rPr>
              <w:t>安全</w:t>
            </w:r>
          </w:p>
        </w:tc>
        <w:tc>
          <w:tcPr>
            <w:tcW w:w="668"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项</w:t>
            </w:r>
          </w:p>
        </w:tc>
        <w:tc>
          <w:tcPr>
            <w:tcW w:w="593"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 w:hRule="atLeast"/>
        </w:trPr>
        <w:tc>
          <w:tcPr>
            <w:tcW w:w="472"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9</w:t>
            </w:r>
          </w:p>
        </w:tc>
        <w:tc>
          <w:tcPr>
            <w:tcW w:w="1617"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机房</w:t>
            </w:r>
            <w:r>
              <w:rPr>
                <w:rFonts w:hint="eastAsia" w:ascii="宋体" w:hAnsi="宋体" w:eastAsia="宋体" w:cs="Times New Roman"/>
                <w:color w:val="auto"/>
                <w:szCs w:val="32"/>
                <w:u w:val="single"/>
                <w:lang w:eastAsia="zh-CN"/>
              </w:rPr>
              <w:t>及</w:t>
            </w:r>
            <w:r>
              <w:rPr>
                <w:rFonts w:ascii="宋体" w:hAnsi="宋体" w:eastAsia="宋体" w:cs="Times New Roman"/>
                <w:color w:val="auto"/>
                <w:szCs w:val="32"/>
              </w:rPr>
              <w:t>配套设施</w:t>
            </w:r>
          </w:p>
        </w:tc>
        <w:tc>
          <w:tcPr>
            <w:tcW w:w="668"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项</w:t>
            </w:r>
          </w:p>
        </w:tc>
        <w:tc>
          <w:tcPr>
            <w:tcW w:w="593"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 w:hRule="atLeast"/>
        </w:trPr>
        <w:tc>
          <w:tcPr>
            <w:tcW w:w="472"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10</w:t>
            </w:r>
          </w:p>
        </w:tc>
        <w:tc>
          <w:tcPr>
            <w:tcW w:w="1617"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信息消费展厅</w:t>
            </w:r>
          </w:p>
        </w:tc>
        <w:tc>
          <w:tcPr>
            <w:tcW w:w="668"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项</w:t>
            </w:r>
          </w:p>
        </w:tc>
        <w:tc>
          <w:tcPr>
            <w:tcW w:w="593"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ascii="宋体" w:hAnsi="宋体" w:eastAsia="宋体" w:cs="Times New Roman"/>
                <w:color w:val="auto"/>
                <w:szCs w:val="32"/>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 w:hRule="atLeast"/>
        </w:trPr>
        <w:tc>
          <w:tcPr>
            <w:tcW w:w="472"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hint="eastAsia" w:ascii="宋体" w:hAnsi="宋体" w:eastAsia="宋体" w:cs="Times New Roman"/>
                <w:color w:val="auto"/>
                <w:szCs w:val="32"/>
              </w:rPr>
              <w:t>1</w:t>
            </w:r>
            <w:r>
              <w:rPr>
                <w:rFonts w:ascii="宋体" w:hAnsi="宋体" w:eastAsia="宋体" w:cs="Times New Roman"/>
                <w:color w:val="auto"/>
                <w:szCs w:val="32"/>
              </w:rPr>
              <w:t>1</w:t>
            </w:r>
          </w:p>
        </w:tc>
        <w:tc>
          <w:tcPr>
            <w:tcW w:w="1617" w:type="pct"/>
            <w:noWrap/>
            <w:vAlign w:val="center"/>
          </w:tcPr>
          <w:p>
            <w:pPr>
              <w:pStyle w:val="8"/>
              <w:widowControl/>
              <w:spacing w:beforeAutospacing="0" w:afterAutospacing="0" w:line="360" w:lineRule="auto"/>
              <w:jc w:val="both"/>
              <w:rPr>
                <w:rFonts w:hint="default" w:ascii="宋体" w:hAnsi="宋体" w:eastAsia="宋体" w:cs="Times New Roman"/>
                <w:color w:val="auto"/>
                <w:szCs w:val="32"/>
                <w:lang w:val="en-US" w:eastAsia="zh-CN"/>
              </w:rPr>
            </w:pPr>
            <w:r>
              <w:rPr>
                <w:rFonts w:hint="eastAsia" w:ascii="宋体" w:hAnsi="宋体" w:eastAsia="宋体" w:cs="Times New Roman"/>
                <w:color w:val="auto"/>
                <w:szCs w:val="32"/>
              </w:rPr>
              <w:t>电子政务外网1</w:t>
            </w:r>
            <w:r>
              <w:rPr>
                <w:rFonts w:ascii="宋体" w:hAnsi="宋体" w:eastAsia="宋体" w:cs="Times New Roman"/>
                <w:color w:val="auto"/>
                <w:szCs w:val="32"/>
              </w:rPr>
              <w:t>G</w:t>
            </w:r>
            <w:r>
              <w:rPr>
                <w:rFonts w:hint="eastAsia" w:ascii="宋体" w:hAnsi="宋体" w:eastAsia="宋体" w:cs="Times New Roman"/>
                <w:color w:val="auto"/>
                <w:szCs w:val="32"/>
              </w:rPr>
              <w:t>链路租赁费</w:t>
            </w:r>
            <w:r>
              <w:rPr>
                <w:rFonts w:hint="eastAsia" w:ascii="宋体" w:hAnsi="宋体" w:eastAsia="宋体" w:cs="Times New Roman"/>
                <w:color w:val="auto"/>
                <w:szCs w:val="32"/>
                <w:lang w:val="en-US" w:eastAsia="zh-CN"/>
              </w:rPr>
              <w:t>(三年）</w:t>
            </w:r>
          </w:p>
        </w:tc>
        <w:tc>
          <w:tcPr>
            <w:tcW w:w="668"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hint="eastAsia" w:ascii="宋体" w:hAnsi="宋体" w:eastAsia="宋体" w:cs="Times New Roman"/>
                <w:color w:val="auto"/>
                <w:szCs w:val="32"/>
              </w:rPr>
              <w:t>项</w:t>
            </w:r>
          </w:p>
        </w:tc>
        <w:tc>
          <w:tcPr>
            <w:tcW w:w="593" w:type="pct"/>
            <w:noWrap/>
            <w:vAlign w:val="center"/>
          </w:tcPr>
          <w:p>
            <w:pPr>
              <w:pStyle w:val="8"/>
              <w:widowControl/>
              <w:spacing w:beforeAutospacing="0" w:afterAutospacing="0" w:line="360" w:lineRule="auto"/>
              <w:jc w:val="both"/>
              <w:rPr>
                <w:rFonts w:ascii="宋体" w:hAnsi="宋体" w:eastAsia="宋体" w:cs="Times New Roman"/>
                <w:color w:val="auto"/>
                <w:szCs w:val="32"/>
              </w:rPr>
            </w:pPr>
            <w:r>
              <w:rPr>
                <w:rFonts w:hint="eastAsia" w:ascii="宋体" w:hAnsi="宋体" w:eastAsia="宋体" w:cs="Times New Roman"/>
                <w:color w:val="auto"/>
                <w:szCs w:val="32"/>
              </w:rPr>
              <w:t>1</w:t>
            </w:r>
          </w:p>
        </w:tc>
      </w:tr>
    </w:tbl>
    <w:p>
      <w:pPr>
        <w:pStyle w:val="8"/>
        <w:widowControl/>
        <w:spacing w:beforeAutospacing="0" w:afterAutospacing="0" w:line="360" w:lineRule="auto"/>
        <w:jc w:val="both"/>
        <w:rPr>
          <w:rFonts w:hint="eastAsia" w:ascii="宋体" w:hAnsi="宋体"/>
          <w:b/>
          <w:color w:val="auto"/>
          <w:sz w:val="24"/>
        </w:rPr>
      </w:pPr>
      <w:r>
        <w:rPr>
          <w:rFonts w:hint="eastAsia" w:ascii="宋体"/>
          <w:b/>
          <w:color w:val="auto"/>
          <w:sz w:val="24"/>
        </w:rPr>
        <w:t xml:space="preserve">  </w:t>
      </w:r>
      <w:r>
        <w:rPr>
          <w:rFonts w:hint="eastAsia" w:ascii="宋体" w:hAnsi="宋体"/>
          <w:b/>
          <w:color w:val="auto"/>
          <w:sz w:val="24"/>
        </w:rPr>
        <w:t>3．项目要求</w:t>
      </w:r>
    </w:p>
    <w:p>
      <w:pPr>
        <w:pStyle w:val="5"/>
        <w:spacing w:line="360" w:lineRule="auto"/>
        <w:rPr>
          <w:rFonts w:hint="eastAsia" w:ascii="宋体"/>
          <w:bCs/>
          <w:color w:val="auto"/>
          <w:sz w:val="24"/>
        </w:rPr>
      </w:pPr>
      <w:r>
        <w:rPr>
          <w:rFonts w:hint="eastAsia" w:ascii="宋体"/>
          <w:color w:val="auto"/>
          <w:sz w:val="24"/>
        </w:rPr>
        <w:t>3.1</w:t>
      </w:r>
      <w:r>
        <w:rPr>
          <w:rFonts w:hint="eastAsia" w:ascii="宋体"/>
          <w:bCs/>
          <w:color w:val="auto"/>
          <w:sz w:val="24"/>
        </w:rPr>
        <w:t>技术要求：</w:t>
      </w:r>
    </w:p>
    <w:p>
      <w:pPr>
        <w:pStyle w:val="8"/>
        <w:widowControl/>
        <w:spacing w:beforeAutospacing="0" w:afterAutospacing="0" w:line="360" w:lineRule="auto"/>
        <w:jc w:val="both"/>
        <w:rPr>
          <w:rFonts w:ascii="宋体" w:hAnsi="宋体" w:eastAsia="宋体" w:cs="Times New Roman"/>
          <w:color w:val="auto"/>
          <w:shd w:val="clear" w:color="auto" w:fill="FFFFFF"/>
        </w:rPr>
      </w:pPr>
      <w:r>
        <w:rPr>
          <w:rFonts w:hint="eastAsia" w:ascii="宋体" w:hAnsi="宋体" w:eastAsia="宋体" w:cs="Times New Roman"/>
          <w:color w:val="auto"/>
          <w:shd w:val="clear" w:color="auto" w:fill="FFFFFF"/>
        </w:rPr>
        <w:t>3.1.1</w:t>
      </w:r>
      <w:r>
        <w:rPr>
          <w:rFonts w:ascii="宋体" w:hAnsi="宋体" w:eastAsia="宋体" w:cs="Times New Roman"/>
          <w:color w:val="auto"/>
          <w:shd w:val="clear" w:color="auto" w:fill="FFFFFF"/>
        </w:rPr>
        <w:t xml:space="preserve"> 大屏显示系统</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5"/>
        <w:gridCol w:w="944"/>
        <w:gridCol w:w="5117"/>
        <w:gridCol w:w="819"/>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1" w:type="dxa"/>
            <w:noWrap w:val="0"/>
            <w:vAlign w:val="center"/>
          </w:tcPr>
          <w:p>
            <w:pPr>
              <w:adjustRightInd w:val="0"/>
              <w:snapToGrid w:val="0"/>
              <w:jc w:val="center"/>
              <w:rPr>
                <w:color w:val="auto"/>
              </w:rPr>
            </w:pPr>
            <w:r>
              <w:rPr>
                <w:rFonts w:hint="eastAsia"/>
                <w:color w:val="auto"/>
              </w:rPr>
              <w:t>序号</w:t>
            </w:r>
          </w:p>
        </w:tc>
        <w:tc>
          <w:tcPr>
            <w:tcW w:w="991" w:type="dxa"/>
            <w:noWrap w:val="0"/>
            <w:vAlign w:val="center"/>
          </w:tcPr>
          <w:p>
            <w:pPr>
              <w:adjustRightInd w:val="0"/>
              <w:snapToGrid w:val="0"/>
              <w:jc w:val="center"/>
              <w:rPr>
                <w:color w:val="auto"/>
              </w:rPr>
            </w:pPr>
            <w:r>
              <w:rPr>
                <w:rFonts w:hint="eastAsia"/>
                <w:color w:val="auto"/>
              </w:rPr>
              <w:t>名称</w:t>
            </w:r>
          </w:p>
        </w:tc>
        <w:tc>
          <w:tcPr>
            <w:tcW w:w="5434" w:type="dxa"/>
            <w:noWrap w:val="0"/>
            <w:vAlign w:val="center"/>
          </w:tcPr>
          <w:p>
            <w:pPr>
              <w:adjustRightInd w:val="0"/>
              <w:snapToGrid w:val="0"/>
              <w:jc w:val="center"/>
              <w:rPr>
                <w:color w:val="auto"/>
              </w:rPr>
            </w:pPr>
            <w:r>
              <w:rPr>
                <w:rFonts w:hint="eastAsia"/>
                <w:color w:val="auto"/>
              </w:rPr>
              <w:t>技术要求</w:t>
            </w:r>
          </w:p>
        </w:tc>
        <w:tc>
          <w:tcPr>
            <w:tcW w:w="858" w:type="dxa"/>
            <w:noWrap w:val="0"/>
            <w:vAlign w:val="center"/>
          </w:tcPr>
          <w:p>
            <w:pPr>
              <w:adjustRightInd w:val="0"/>
              <w:snapToGrid w:val="0"/>
              <w:jc w:val="center"/>
              <w:rPr>
                <w:color w:val="auto"/>
              </w:rPr>
            </w:pPr>
            <w:r>
              <w:rPr>
                <w:rFonts w:hint="eastAsia"/>
                <w:color w:val="auto"/>
              </w:rPr>
              <w:t>数量</w:t>
            </w:r>
          </w:p>
        </w:tc>
        <w:tc>
          <w:tcPr>
            <w:tcW w:w="590" w:type="dxa"/>
            <w:noWrap w:val="0"/>
            <w:vAlign w:val="center"/>
          </w:tcPr>
          <w:p>
            <w:pPr>
              <w:adjustRightInd w:val="0"/>
              <w:snapToGrid w:val="0"/>
              <w:jc w:val="center"/>
              <w:rPr>
                <w:color w:val="auto"/>
              </w:rPr>
            </w:pPr>
            <w:r>
              <w:rPr>
                <w:rFonts w:hint="eastAsia"/>
                <w:color w:val="auto"/>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4" w:type="dxa"/>
            <w:gridSpan w:val="5"/>
            <w:noWrap/>
            <w:vAlign w:val="center"/>
          </w:tcPr>
          <w:p>
            <w:pPr>
              <w:adjustRightInd w:val="0"/>
              <w:snapToGrid w:val="0"/>
              <w:rPr>
                <w:i/>
                <w:iCs/>
                <w:color w:val="auto"/>
              </w:rPr>
            </w:pPr>
            <w:r>
              <w:rPr>
                <w:rFonts w:hint="eastAsia" w:ascii="宋体" w:hAnsi="宋体" w:eastAsia="宋体" w:cs="Times New Roman"/>
                <w:color w:val="auto"/>
                <w:kern w:val="0"/>
                <w:sz w:val="24"/>
                <w:szCs w:val="24"/>
                <w:shd w:val="clear" w:color="auto" w:fill="FFFFFF"/>
                <w:lang w:val="en-US" w:eastAsia="zh-CN" w:bidi="ar-SA"/>
              </w:rPr>
              <w:t>一、屏体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1" w:type="dxa"/>
            <w:shd w:val="clear" w:color="auto" w:fill="auto"/>
            <w:noWrap w:val="0"/>
            <w:vAlign w:val="center"/>
          </w:tcPr>
          <w:p>
            <w:pPr>
              <w:adjustRightInd w:val="0"/>
              <w:snapToGrid w:val="0"/>
              <w:jc w:val="center"/>
              <w:rPr>
                <w:color w:val="auto"/>
              </w:rPr>
            </w:pPr>
            <w:r>
              <w:rPr>
                <w:rFonts w:hint="eastAsia"/>
                <w:color w:val="auto"/>
              </w:rPr>
              <w:t>1</w:t>
            </w:r>
          </w:p>
        </w:tc>
        <w:tc>
          <w:tcPr>
            <w:tcW w:w="991" w:type="dxa"/>
            <w:shd w:val="clear" w:color="auto" w:fill="auto"/>
            <w:noWrap w:val="0"/>
            <w:vAlign w:val="center"/>
          </w:tcPr>
          <w:p>
            <w:pPr>
              <w:adjustRightInd w:val="0"/>
              <w:snapToGrid w:val="0"/>
              <w:jc w:val="center"/>
              <w:rPr>
                <w:color w:val="auto"/>
              </w:rPr>
            </w:pPr>
            <w:r>
              <w:rPr>
                <w:rFonts w:hint="eastAsia"/>
                <w:color w:val="auto"/>
              </w:rPr>
              <w:t>指挥中心LED显示屏</w:t>
            </w:r>
          </w:p>
        </w:tc>
        <w:tc>
          <w:tcPr>
            <w:tcW w:w="5434" w:type="dxa"/>
            <w:shd w:val="clear" w:color="000000" w:fill="FFFFFF"/>
            <w:noWrap w:val="0"/>
            <w:vAlign w:val="center"/>
          </w:tcPr>
          <w:p>
            <w:pPr>
              <w:adjustRightInd w:val="0"/>
              <w:snapToGrid w:val="0"/>
              <w:rPr>
                <w:color w:val="auto"/>
              </w:rPr>
            </w:pPr>
            <w:r>
              <w:rPr>
                <w:rFonts w:hint="eastAsia"/>
                <w:color w:val="auto"/>
              </w:rPr>
              <w:t>1.整屏尺寸：≥20.4米（W）*6.75（H）米，整屏分辨率：≥16320*5400点；点间距≤1.25mm；像素封装 SMD1010（金线）、LED封装：三合一表贴SMD1010，由1R1G1B构成；</w:t>
            </w:r>
          </w:p>
          <w:p>
            <w:pPr>
              <w:adjustRightInd w:val="0"/>
              <w:snapToGrid w:val="0"/>
              <w:rPr>
                <w:color w:val="auto"/>
              </w:rPr>
            </w:pPr>
            <w:r>
              <w:rPr>
                <w:color w:val="auto"/>
              </w:rPr>
              <w:t>2.</w:t>
            </w:r>
            <w:r>
              <w:rPr>
                <w:rFonts w:hint="eastAsia"/>
                <w:color w:val="auto"/>
              </w:rPr>
              <w:t>LED灯珠：LED灯内三基色光源采用一字型线性排列，有效扩大屏幕视角范围，确保不发生偏色现象；</w:t>
            </w:r>
          </w:p>
          <w:p>
            <w:pPr>
              <w:adjustRightInd w:val="0"/>
              <w:snapToGrid w:val="0"/>
              <w:rPr>
                <w:color w:val="auto"/>
              </w:rPr>
            </w:pPr>
            <w:r>
              <w:rPr>
                <w:rFonts w:hint="eastAsia"/>
                <w:color w:val="auto"/>
              </w:rPr>
              <w:t>3</w:t>
            </w:r>
            <w:r>
              <w:rPr>
                <w:color w:val="auto"/>
              </w:rPr>
              <w:t>.</w:t>
            </w:r>
            <w:r>
              <w:rPr>
                <w:rFonts w:hint="eastAsia"/>
                <w:color w:val="auto"/>
              </w:rPr>
              <w:t>箱体工艺:采用16:9标准设计，27英寸，压铸铝箱体结构，屏幕平整度≤0.1mm，整屏拼接无亮暗线；</w:t>
            </w:r>
          </w:p>
          <w:p>
            <w:pPr>
              <w:adjustRightInd w:val="0"/>
              <w:snapToGrid w:val="0"/>
              <w:rPr>
                <w:color w:val="auto"/>
              </w:rPr>
            </w:pPr>
            <w:r>
              <w:rPr>
                <w:color w:val="auto"/>
              </w:rPr>
              <w:t>4.</w:t>
            </w:r>
            <w:r>
              <w:rPr>
                <w:rFonts w:hint="eastAsia"/>
                <w:color w:val="auto"/>
              </w:rPr>
              <w:t>箱体尺寸:箱体600×337.5，厚度不超过57mm ，模组300×168.75mm；</w:t>
            </w:r>
          </w:p>
          <w:p>
            <w:pPr>
              <w:adjustRightInd w:val="0"/>
              <w:snapToGrid w:val="0"/>
              <w:rPr>
                <w:color w:val="auto"/>
              </w:rPr>
            </w:pPr>
            <w:r>
              <w:rPr>
                <w:color w:val="auto"/>
              </w:rPr>
              <w:t>5.</w:t>
            </w:r>
            <w:r>
              <w:rPr>
                <w:rFonts w:hint="eastAsia"/>
                <w:color w:val="auto"/>
              </w:rPr>
              <w:t>全磁吸设计：箱体全磁吸设计，拿取式前后维护，表面平整无缝隙；</w:t>
            </w:r>
          </w:p>
          <w:p>
            <w:pPr>
              <w:adjustRightInd w:val="0"/>
              <w:snapToGrid w:val="0"/>
              <w:rPr>
                <w:color w:val="auto"/>
              </w:rPr>
            </w:pPr>
            <w:r>
              <w:rPr>
                <w:rFonts w:hint="eastAsia"/>
                <w:color w:val="auto"/>
              </w:rPr>
              <w:t>6</w:t>
            </w:r>
            <w:r>
              <w:rPr>
                <w:color w:val="auto"/>
              </w:rPr>
              <w:t>.</w:t>
            </w:r>
            <w:r>
              <w:rPr>
                <w:rFonts w:hint="eastAsia"/>
                <w:color w:val="auto"/>
              </w:rPr>
              <w:t>亮度：≥600cd/m²可调；</w:t>
            </w:r>
          </w:p>
          <w:p>
            <w:pPr>
              <w:adjustRightInd w:val="0"/>
              <w:snapToGrid w:val="0"/>
              <w:rPr>
                <w:color w:val="auto"/>
              </w:rPr>
            </w:pPr>
            <w:r>
              <w:rPr>
                <w:rFonts w:hint="eastAsia"/>
                <w:color w:val="auto"/>
              </w:rPr>
              <w:t>7</w:t>
            </w:r>
            <w:r>
              <w:rPr>
                <w:color w:val="auto"/>
              </w:rPr>
              <w:t>.</w:t>
            </w:r>
            <w:r>
              <w:rPr>
                <w:rFonts w:hint="eastAsia"/>
                <w:color w:val="auto"/>
              </w:rPr>
              <w:t>刷新频率：≥3840Hz；</w:t>
            </w:r>
          </w:p>
          <w:p>
            <w:pPr>
              <w:adjustRightInd w:val="0"/>
              <w:snapToGrid w:val="0"/>
              <w:rPr>
                <w:color w:val="auto"/>
              </w:rPr>
            </w:pPr>
            <w:r>
              <w:rPr>
                <w:color w:val="auto"/>
              </w:rPr>
              <w:t>8.</w:t>
            </w:r>
            <w:r>
              <w:rPr>
                <w:rFonts w:hint="eastAsia"/>
                <w:color w:val="auto"/>
              </w:rPr>
              <w:t>灰度等级：≥16384；</w:t>
            </w:r>
          </w:p>
          <w:p>
            <w:pPr>
              <w:adjustRightInd w:val="0"/>
              <w:snapToGrid w:val="0"/>
              <w:rPr>
                <w:color w:val="auto"/>
              </w:rPr>
            </w:pPr>
            <w:r>
              <w:rPr>
                <w:color w:val="auto"/>
              </w:rPr>
              <w:t>9.</w:t>
            </w:r>
            <w:r>
              <w:rPr>
                <w:rFonts w:hint="eastAsia"/>
                <w:color w:val="auto"/>
              </w:rPr>
              <w:t>扫描方式：≥1/27扫；</w:t>
            </w:r>
          </w:p>
          <w:p>
            <w:pPr>
              <w:adjustRightInd w:val="0"/>
              <w:snapToGrid w:val="0"/>
              <w:rPr>
                <w:color w:val="auto"/>
              </w:rPr>
            </w:pPr>
            <w:r>
              <w:rPr>
                <w:color w:val="auto"/>
              </w:rPr>
              <w:t>10</w:t>
            </w:r>
            <w:r>
              <w:rPr>
                <w:rFonts w:hint="eastAsia"/>
                <w:color w:val="auto"/>
              </w:rPr>
              <w:t>像素中心距相对偏差：≤1%；</w:t>
            </w:r>
          </w:p>
          <w:p>
            <w:pPr>
              <w:adjustRightInd w:val="0"/>
              <w:snapToGrid w:val="0"/>
              <w:rPr>
                <w:color w:val="auto"/>
              </w:rPr>
            </w:pPr>
            <w:r>
              <w:rPr>
                <w:color w:val="auto"/>
              </w:rPr>
              <w:t>11.</w:t>
            </w:r>
            <w:r>
              <w:rPr>
                <w:rFonts w:hint="eastAsia"/>
                <w:color w:val="auto"/>
              </w:rPr>
              <w:t>像素失控率：≤1/100000，呈离散分布，出厂时为0；</w:t>
            </w:r>
          </w:p>
          <w:p>
            <w:pPr>
              <w:adjustRightInd w:val="0"/>
              <w:snapToGrid w:val="0"/>
              <w:rPr>
                <w:color w:val="auto"/>
              </w:rPr>
            </w:pPr>
            <w:r>
              <w:rPr>
                <w:color w:val="auto"/>
              </w:rPr>
              <w:t>12.</w:t>
            </w:r>
            <w:r>
              <w:rPr>
                <w:rFonts w:hint="eastAsia"/>
                <w:color w:val="auto"/>
              </w:rPr>
              <w:t>色温（K）：2800K－15000K可调；</w:t>
            </w:r>
          </w:p>
          <w:p>
            <w:pPr>
              <w:adjustRightInd w:val="0"/>
              <w:snapToGrid w:val="0"/>
              <w:rPr>
                <w:color w:val="auto"/>
              </w:rPr>
            </w:pPr>
            <w:r>
              <w:rPr>
                <w:color w:val="auto"/>
              </w:rPr>
              <w:t>13.</w:t>
            </w:r>
            <w:r>
              <w:rPr>
                <w:rFonts w:hint="eastAsia"/>
                <w:color w:val="auto"/>
              </w:rPr>
              <w:t>视角（°）：水平160/垂直140；</w:t>
            </w:r>
          </w:p>
          <w:p>
            <w:pPr>
              <w:adjustRightInd w:val="0"/>
              <w:snapToGrid w:val="0"/>
              <w:rPr>
                <w:color w:val="auto"/>
              </w:rPr>
            </w:pPr>
            <w:r>
              <w:rPr>
                <w:rFonts w:hint="eastAsia"/>
                <w:color w:val="auto"/>
              </w:rPr>
              <w:t>1</w:t>
            </w:r>
            <w:r>
              <w:rPr>
                <w:color w:val="auto"/>
              </w:rPr>
              <w:t>4.</w:t>
            </w:r>
            <w:r>
              <w:rPr>
                <w:rFonts w:hint="eastAsia"/>
                <w:color w:val="auto"/>
              </w:rPr>
              <w:t>功耗：最大≤700W/㎡，平均≤230W/㎡；</w:t>
            </w:r>
          </w:p>
          <w:p>
            <w:pPr>
              <w:adjustRightInd w:val="0"/>
              <w:snapToGrid w:val="0"/>
              <w:rPr>
                <w:color w:val="auto"/>
              </w:rPr>
            </w:pPr>
            <w:r>
              <w:rPr>
                <w:rFonts w:hint="eastAsia"/>
                <w:color w:val="auto"/>
              </w:rPr>
              <w:t>1</w:t>
            </w:r>
            <w:r>
              <w:rPr>
                <w:color w:val="auto"/>
              </w:rPr>
              <w:t>5.</w:t>
            </w:r>
            <w:r>
              <w:rPr>
                <w:rFonts w:hint="eastAsia"/>
                <w:color w:val="auto"/>
              </w:rPr>
              <w:t>对比度：≥6000:1；</w:t>
            </w:r>
          </w:p>
          <w:p>
            <w:pPr>
              <w:adjustRightInd w:val="0"/>
              <w:snapToGrid w:val="0"/>
              <w:rPr>
                <w:color w:val="auto"/>
              </w:rPr>
            </w:pPr>
            <w:r>
              <w:rPr>
                <w:rFonts w:hint="eastAsia"/>
                <w:color w:val="auto"/>
              </w:rPr>
              <w:t>1</w:t>
            </w:r>
            <w:r>
              <w:rPr>
                <w:color w:val="auto"/>
              </w:rPr>
              <w:t>6.</w:t>
            </w:r>
            <w:r>
              <w:rPr>
                <w:rFonts w:hint="eastAsia"/>
                <w:color w:val="auto"/>
              </w:rPr>
              <w:t>防护等级：≥IP30；</w:t>
            </w:r>
          </w:p>
          <w:p>
            <w:pPr>
              <w:adjustRightInd w:val="0"/>
              <w:snapToGrid w:val="0"/>
              <w:rPr>
                <w:color w:val="auto"/>
              </w:rPr>
            </w:pPr>
            <w:r>
              <w:rPr>
                <w:rFonts w:hint="eastAsia"/>
                <w:color w:val="auto"/>
              </w:rPr>
              <w:t>1</w:t>
            </w:r>
            <w:r>
              <w:rPr>
                <w:color w:val="auto"/>
              </w:rPr>
              <w:t>7.</w:t>
            </w:r>
            <w:r>
              <w:rPr>
                <w:rFonts w:hint="eastAsia"/>
                <w:color w:val="auto"/>
              </w:rPr>
              <w:t>间隙：≤0.1mm；</w:t>
            </w:r>
          </w:p>
          <w:p>
            <w:pPr>
              <w:adjustRightInd w:val="0"/>
              <w:snapToGrid w:val="0"/>
              <w:rPr>
                <w:color w:val="auto"/>
              </w:rPr>
            </w:pPr>
            <w:r>
              <w:rPr>
                <w:color w:val="auto"/>
              </w:rPr>
              <w:t>18.</w:t>
            </w:r>
            <w:r>
              <w:rPr>
                <w:rFonts w:hint="eastAsia"/>
                <w:color w:val="auto"/>
              </w:rPr>
              <w:t>供电要求：AC200-240V±10%（50/60Hz）；</w:t>
            </w:r>
          </w:p>
          <w:p>
            <w:pPr>
              <w:adjustRightInd w:val="0"/>
              <w:snapToGrid w:val="0"/>
              <w:rPr>
                <w:color w:val="auto"/>
              </w:rPr>
            </w:pPr>
            <w:r>
              <w:rPr>
                <w:color w:val="auto"/>
              </w:rPr>
              <w:t>19.</w:t>
            </w:r>
            <w:r>
              <w:rPr>
                <w:rFonts w:hint="eastAsia"/>
                <w:color w:val="auto"/>
              </w:rPr>
              <w:t>屏体挂墙安装含钢架总厚度≤100mm；</w:t>
            </w:r>
          </w:p>
          <w:p>
            <w:pPr>
              <w:adjustRightInd w:val="0"/>
              <w:snapToGrid w:val="0"/>
              <w:rPr>
                <w:color w:val="auto"/>
              </w:rPr>
            </w:pPr>
            <w:r>
              <w:rPr>
                <w:color w:val="auto"/>
              </w:rPr>
              <w:t>20.</w:t>
            </w:r>
            <w:r>
              <w:rPr>
                <w:rFonts w:hint="eastAsia"/>
                <w:color w:val="auto"/>
              </w:rPr>
              <w:t>高低温：产品在-10℃-+40℃环境下正常工作；</w:t>
            </w:r>
          </w:p>
          <w:p>
            <w:pPr>
              <w:adjustRightInd w:val="0"/>
              <w:snapToGrid w:val="0"/>
              <w:rPr>
                <w:color w:val="auto"/>
              </w:rPr>
            </w:pPr>
            <w:r>
              <w:rPr>
                <w:color w:val="auto"/>
              </w:rPr>
              <w:t>21.</w:t>
            </w:r>
            <w:r>
              <w:rPr>
                <w:rFonts w:hint="eastAsia"/>
                <w:color w:val="auto"/>
              </w:rPr>
              <w:t>散热方式：自然散热，箱体、电源均为无风扇静音设计；</w:t>
            </w:r>
          </w:p>
          <w:p>
            <w:pPr>
              <w:adjustRightInd w:val="0"/>
              <w:snapToGrid w:val="0"/>
              <w:rPr>
                <w:color w:val="auto"/>
              </w:rPr>
            </w:pPr>
            <w:r>
              <w:rPr>
                <w:color w:val="auto"/>
              </w:rPr>
              <w:t>22.</w:t>
            </w:r>
            <w:r>
              <w:rPr>
                <w:rFonts w:hint="eastAsia"/>
                <w:color w:val="auto"/>
              </w:rPr>
              <w:t>色度均匀性：±0.003 Cx，Cy之内，具有单点色度校正功能；</w:t>
            </w:r>
          </w:p>
          <w:p>
            <w:pPr>
              <w:adjustRightInd w:val="0"/>
              <w:snapToGrid w:val="0"/>
              <w:rPr>
                <w:color w:val="auto"/>
              </w:rPr>
            </w:pPr>
            <w:r>
              <w:rPr>
                <w:color w:val="auto"/>
              </w:rPr>
              <w:t>23.</w:t>
            </w:r>
            <w:r>
              <w:rPr>
                <w:rFonts w:hint="eastAsia"/>
                <w:color w:val="auto"/>
              </w:rPr>
              <w:t>亮度均匀性：≥98%，具有单点亮色度校正功能；</w:t>
            </w:r>
          </w:p>
          <w:p>
            <w:pPr>
              <w:adjustRightInd w:val="0"/>
              <w:snapToGrid w:val="0"/>
              <w:rPr>
                <w:rFonts w:hint="eastAsia" w:eastAsia="宋体"/>
                <w:color w:val="auto"/>
                <w:lang w:eastAsia="zh-CN"/>
              </w:rPr>
            </w:pPr>
            <w:r>
              <w:rPr>
                <w:rFonts w:hint="eastAsia"/>
                <w:color w:val="auto"/>
              </w:rPr>
              <w:t>2</w:t>
            </w:r>
            <w:r>
              <w:rPr>
                <w:color w:val="auto"/>
              </w:rPr>
              <w:t>4.</w:t>
            </w:r>
            <w:r>
              <w:rPr>
                <w:rFonts w:hint="eastAsia"/>
                <w:color w:val="auto"/>
              </w:rPr>
              <w:t>开关电源：具有PFC功能，功率因数≥0.9，具有过压过流、短路保护；前维护：支持LED模组、电源及驱动卡均从屏前取出维护；前安装：模组及箱体全前安装、屏幕安装时不需要预留维护通道，直接靠墙安装；控制系统冗余设计：具有双控制系统，整个屏体信号可进行冗余备份，在某一链路信号出现问题情况下，自动切换到其备份链路，从而保证屏体正常运行；快速连屏：具有快速连屏功能，更换显示单元、模组、控制卡等，无需再次写入屏体数据便可自适应恢复原有数据；热插拔：具有支持热插拔功能；图像调节：0-100%可调，具有对比度、饱和度、校正系数、色彩范围、模组亮度调节等；屏体使用寿命：≥100000H；无障碍运行：屏体寿命不小于80000小时，平均无故障使用时间不低于10000H；连续工作时间：7×24小时</w:t>
            </w:r>
            <w:r>
              <w:rPr>
                <w:rFonts w:hint="eastAsia"/>
                <w:color w:val="auto"/>
                <w:lang w:eastAsia="zh-CN"/>
              </w:rPr>
              <w:t>。</w:t>
            </w:r>
          </w:p>
        </w:tc>
        <w:tc>
          <w:tcPr>
            <w:tcW w:w="858" w:type="dxa"/>
            <w:noWrap w:val="0"/>
            <w:vAlign w:val="center"/>
          </w:tcPr>
          <w:p>
            <w:pPr>
              <w:adjustRightInd w:val="0"/>
              <w:snapToGrid w:val="0"/>
              <w:jc w:val="center"/>
              <w:rPr>
                <w:color w:val="auto"/>
              </w:rPr>
            </w:pPr>
            <w:r>
              <w:rPr>
                <w:rFonts w:hint="eastAsia"/>
                <w:color w:val="auto"/>
              </w:rPr>
              <w:t>137.7</w:t>
            </w:r>
          </w:p>
        </w:tc>
        <w:tc>
          <w:tcPr>
            <w:tcW w:w="590" w:type="dxa"/>
            <w:noWrap w:val="0"/>
            <w:vAlign w:val="center"/>
          </w:tcPr>
          <w:p>
            <w:pPr>
              <w:adjustRightInd w:val="0"/>
              <w:snapToGrid w:val="0"/>
              <w:jc w:val="center"/>
              <w:rPr>
                <w:color w:val="auto"/>
              </w:rPr>
            </w:pPr>
            <w:r>
              <w:rPr>
                <w:rFonts w:hint="eastAsia"/>
                <w:color w:val="auto"/>
              </w:rPr>
              <w:t>m²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1" w:type="dxa"/>
            <w:shd w:val="clear" w:color="auto" w:fill="auto"/>
            <w:noWrap w:val="0"/>
            <w:vAlign w:val="center"/>
          </w:tcPr>
          <w:p>
            <w:pPr>
              <w:adjustRightInd w:val="0"/>
              <w:snapToGrid w:val="0"/>
              <w:jc w:val="center"/>
              <w:rPr>
                <w:color w:val="auto"/>
              </w:rPr>
            </w:pPr>
            <w:r>
              <w:rPr>
                <w:rFonts w:hint="eastAsia"/>
                <w:color w:val="auto"/>
              </w:rPr>
              <w:t>2</w:t>
            </w:r>
          </w:p>
        </w:tc>
        <w:tc>
          <w:tcPr>
            <w:tcW w:w="991" w:type="dxa"/>
            <w:shd w:val="clear" w:color="auto" w:fill="auto"/>
            <w:noWrap w:val="0"/>
            <w:vAlign w:val="center"/>
          </w:tcPr>
          <w:p>
            <w:pPr>
              <w:adjustRightInd w:val="0"/>
              <w:snapToGrid w:val="0"/>
              <w:jc w:val="center"/>
              <w:rPr>
                <w:color w:val="auto"/>
              </w:rPr>
            </w:pPr>
            <w:r>
              <w:rPr>
                <w:rFonts w:hint="eastAsia"/>
                <w:color w:val="auto"/>
              </w:rPr>
              <w:t>视频会议中心LED显示屏</w:t>
            </w:r>
          </w:p>
        </w:tc>
        <w:tc>
          <w:tcPr>
            <w:tcW w:w="5434" w:type="dxa"/>
            <w:shd w:val="clear" w:color="000000" w:fill="FFFFFF"/>
            <w:noWrap w:val="0"/>
            <w:vAlign w:val="center"/>
          </w:tcPr>
          <w:p>
            <w:pPr>
              <w:adjustRightInd w:val="0"/>
              <w:snapToGrid w:val="0"/>
              <w:rPr>
                <w:color w:val="auto"/>
              </w:rPr>
            </w:pPr>
            <w:r>
              <w:rPr>
                <w:rFonts w:hint="eastAsia"/>
                <w:color w:val="auto"/>
              </w:rPr>
              <w:t>整屏尺寸：≥11.52米（W）*6.24（H）米，整屏分辨率：≥4608*2496点；点间距：≤2.5mm；LED封装：三合一表贴SMD2020，由1R1G1B构成；LED灯珠：LED灯内三基色光源采用一字型线性排列，有效扩大屏幕视角范围，确保不发生偏色现象；箱体工艺:采用压铸铝箱体结构，屏幕平整度≤0.1mm，整屏拼接无亮暗线；箱体重量:≤4.9KG；箱体尺寸：箱体480×480mm,箱体厚度不超过57mm ，模组240×240mm；全磁吸设计：箱体全磁吸设计，拿取式前后维护，铝合金压铸箱体，表面平整无缝隙，整屏拼接无亮暗线；亮度：1000cd/m²可调；刷新频率：≥2880Hz；灰度等级：≥16384；扫描方式：≥1/32扫；换帧频率：50/60Hz；像素中心距相对偏差：≤1%；.像素失控率：1/100000，呈离散分布，出厂时为0；色温（K）：2800K－15000K可调；视角（°）：水平160/垂直140；功耗：最大≤520W/㎡，平均≤170W/㎡；对比度：≥6000:1；防护等级：≥IP30；间隙：≤0.1mm；供电要求：AC200-240V±10%（50/60Hz）；屏体挂墙安装含钢架总厚度≤100mm；高低温：产品在-10℃-+40℃环境下正常工作；散热方式：自然散热，箱体、电源均为无风扇静音设计；色度均匀性：±0.003 Cx，Cy之内，具有单点色度校正功能；亮度均匀性：≥98%，具有单点亮色度校正功能；功能特性：具有文字显示、动画功能、视频播放功能等；开关电源：具有PFC功能，功率因数≥0.9，具有过压过流、短路保护；前维护：支持LED模组、电源及驱动卡均从屏前取出维护；前安装：模组及箱体全前安装、屏幕安装时不需要预留维护通道，直接靠墙安装；控制系统冗余设计：具有双控制系统，整个屏体信号可进行冗余备份，在某一链路信号出现问题情况下，自动切换到其备份链路，从而保证屏体正常运行；快速连屏：具有快速连屏功能，更换显示单元、模组、控制卡等，无需再次写入屏体数据便可自适应恢复原有数据；热插拔：具有支持热插拔功能；图像调节：0-100%可调，具有对比度、饱和度、校正系数、色彩范围、模组亮度调节等；屏体使用寿命：≥100000H；无障碍运行：屏体寿命≥8万小时；平均无故障使用时间≥10000小时。连续工作时间≥7*24小时。</w:t>
            </w:r>
          </w:p>
        </w:tc>
        <w:tc>
          <w:tcPr>
            <w:tcW w:w="858" w:type="dxa"/>
            <w:noWrap w:val="0"/>
            <w:vAlign w:val="center"/>
          </w:tcPr>
          <w:p>
            <w:pPr>
              <w:adjustRightInd w:val="0"/>
              <w:snapToGrid w:val="0"/>
              <w:jc w:val="center"/>
              <w:rPr>
                <w:color w:val="auto"/>
              </w:rPr>
            </w:pPr>
            <w:r>
              <w:rPr>
                <w:rFonts w:hint="eastAsia"/>
                <w:color w:val="auto"/>
              </w:rPr>
              <w:t>71.884</w:t>
            </w:r>
          </w:p>
        </w:tc>
        <w:tc>
          <w:tcPr>
            <w:tcW w:w="590" w:type="dxa"/>
            <w:noWrap w:val="0"/>
            <w:vAlign w:val="center"/>
          </w:tcPr>
          <w:p>
            <w:pPr>
              <w:adjustRightInd w:val="0"/>
              <w:snapToGrid w:val="0"/>
              <w:jc w:val="center"/>
              <w:rPr>
                <w:color w:val="auto"/>
              </w:rPr>
            </w:pPr>
            <w:r>
              <w:rPr>
                <w:rFonts w:hint="eastAsia"/>
                <w:color w:val="auto"/>
              </w:rPr>
              <w:t>m²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1" w:type="dxa"/>
            <w:shd w:val="clear" w:color="auto" w:fill="auto"/>
            <w:noWrap w:val="0"/>
            <w:vAlign w:val="center"/>
          </w:tcPr>
          <w:p>
            <w:pPr>
              <w:adjustRightInd w:val="0"/>
              <w:snapToGrid w:val="0"/>
              <w:jc w:val="center"/>
              <w:rPr>
                <w:color w:val="auto"/>
              </w:rPr>
            </w:pPr>
            <w:r>
              <w:rPr>
                <w:rFonts w:hint="eastAsia"/>
                <w:color w:val="auto"/>
              </w:rPr>
              <w:t>3</w:t>
            </w:r>
          </w:p>
        </w:tc>
        <w:tc>
          <w:tcPr>
            <w:tcW w:w="991" w:type="dxa"/>
            <w:shd w:val="clear" w:color="auto" w:fill="auto"/>
            <w:noWrap w:val="0"/>
            <w:vAlign w:val="center"/>
          </w:tcPr>
          <w:p>
            <w:pPr>
              <w:adjustRightInd w:val="0"/>
              <w:snapToGrid w:val="0"/>
              <w:jc w:val="center"/>
              <w:rPr>
                <w:color w:val="auto"/>
              </w:rPr>
            </w:pPr>
            <w:r>
              <w:rPr>
                <w:rFonts w:hint="eastAsia"/>
                <w:color w:val="auto"/>
              </w:rPr>
              <w:t>决策室LED显示屏</w:t>
            </w:r>
          </w:p>
        </w:tc>
        <w:tc>
          <w:tcPr>
            <w:tcW w:w="5434" w:type="dxa"/>
            <w:shd w:val="clear" w:color="000000" w:fill="FFFFFF"/>
            <w:noWrap w:val="0"/>
            <w:vAlign w:val="center"/>
          </w:tcPr>
          <w:p>
            <w:pPr>
              <w:adjustRightInd w:val="0"/>
              <w:snapToGrid w:val="0"/>
              <w:rPr>
                <w:rFonts w:hint="eastAsia" w:eastAsia="宋体"/>
                <w:color w:val="auto"/>
                <w:lang w:eastAsia="zh-CN"/>
              </w:rPr>
            </w:pPr>
            <w:r>
              <w:rPr>
                <w:rFonts w:hint="eastAsia"/>
                <w:color w:val="auto"/>
              </w:rPr>
              <w:t>整屏尺寸：≥3.6米（W）*2.</w:t>
            </w:r>
            <w:r>
              <w:rPr>
                <w:color w:val="auto"/>
              </w:rPr>
              <w:t>0</w:t>
            </w:r>
            <w:r>
              <w:rPr>
                <w:rFonts w:hint="eastAsia"/>
                <w:color w:val="auto"/>
              </w:rPr>
              <w:t>25（H）米，整屏分辨率：≥2880*1620点；点间距≤1.25mm；像素封装 SMD1010（金线）.LED封装：三合一表贴SMD1010，由1R1G1B构成；像素间距：（X，Y）匹配的间距为1.25mm；LED灯珠：LED灯内三基色光源采用一字型线性排列，有效扩大屏幕视角范围，确保不发生偏色现象；箱体工艺:采用16:9标准设计，27英寸,压铸铝箱体结构,屏幕平整度≤0.1mm，整屏拼接无亮暗线；箱体尺寸:箱体600×337.5,厚度不超过57mm，模组300×168.75mm；全磁吸设计：箱体全磁吸设计，拿取式前后维护，表面平整无缝隙；亮度：600cd/m²可调；刷新频率：≥3840Hz；灰度等级：≥16384；扫描方式：≥1/27扫；像素中心距相对偏差：≤1%；像素失控率：1/100000，呈离散分布，出厂时为0；色温（K）：2800K－15000K可调；视角（°）：水平160/垂直140；功耗：最大≤700W/㎡，平均≤230W/㎡；对比度：≥6000:1；防护等级：≥IP30；间隙：≤0.1mm；供电要求：AC200-240V±10%（50/60Hz）；屏体挂墙安装含钢架总厚度≤100mm；高低温：产品在-10℃-+40℃环境下正常工作；散热方式：自然散热，箱体、电源均为无风扇静音设计；色度均匀性：±0.003 Cx，Cy之内，具有单点色度校正功能；亮度均匀性：≥98%，具有单点亮色度校正功能；开关电源：具有PFC功能，功率因数≥0.9，具有过压过流、短路保护；前维护：支持LED模组、电源及驱动卡均从屏前取出维护；前安装：模组及箱体全前安装、屏幕安装时不需要预留维护通道，直接靠墙安装；控制系统冗余设计：具有双控制系统，整个屏体信号可进行冗余备份，在某一链路信号出现问题情况下，自动切换到其备份链路，从而保证屏体正常运行；快速连屏：具有快速连屏功能，更换显示单元、模组、控制卡等，无需再次写入屏体数据便可自适应恢复原有数据；热插拔：具有支持热插拔功能；图像调节：0-100%可调，具有对比度、饱和度、校正系数、色彩范围、模组亮度调节等；屏体使用寿命：≥100000H；无障碍运行：屏体寿命不小于80000小时，平均无故障使用时间不低于10000H</w:t>
            </w:r>
            <w:r>
              <w:rPr>
                <w:rFonts w:hint="eastAsia"/>
                <w:color w:val="auto"/>
                <w:lang w:eastAsia="zh-CN"/>
              </w:rPr>
              <w:t>。</w:t>
            </w:r>
          </w:p>
        </w:tc>
        <w:tc>
          <w:tcPr>
            <w:tcW w:w="858" w:type="dxa"/>
            <w:noWrap w:val="0"/>
            <w:vAlign w:val="center"/>
          </w:tcPr>
          <w:p>
            <w:pPr>
              <w:adjustRightInd w:val="0"/>
              <w:snapToGrid w:val="0"/>
              <w:jc w:val="center"/>
              <w:rPr>
                <w:color w:val="auto"/>
              </w:rPr>
            </w:pPr>
            <w:r>
              <w:rPr>
                <w:rFonts w:hint="eastAsia"/>
                <w:color w:val="auto"/>
              </w:rPr>
              <w:t>7.29</w:t>
            </w:r>
          </w:p>
        </w:tc>
        <w:tc>
          <w:tcPr>
            <w:tcW w:w="590" w:type="dxa"/>
            <w:noWrap w:val="0"/>
            <w:vAlign w:val="center"/>
          </w:tcPr>
          <w:p>
            <w:pPr>
              <w:adjustRightInd w:val="0"/>
              <w:snapToGrid w:val="0"/>
              <w:jc w:val="center"/>
              <w:rPr>
                <w:color w:val="auto"/>
              </w:rPr>
            </w:pPr>
            <w:r>
              <w:rPr>
                <w:rFonts w:hint="eastAsia"/>
                <w:color w:val="auto"/>
              </w:rPr>
              <w:t>m²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1" w:type="dxa"/>
            <w:noWrap w:val="0"/>
            <w:vAlign w:val="center"/>
          </w:tcPr>
          <w:p>
            <w:pPr>
              <w:adjustRightInd w:val="0"/>
              <w:snapToGrid w:val="0"/>
              <w:jc w:val="center"/>
              <w:rPr>
                <w:color w:val="auto"/>
              </w:rPr>
            </w:pPr>
            <w:r>
              <w:rPr>
                <w:rFonts w:hint="eastAsia"/>
                <w:color w:val="auto"/>
              </w:rPr>
              <w:t>4</w:t>
            </w:r>
          </w:p>
        </w:tc>
        <w:tc>
          <w:tcPr>
            <w:tcW w:w="991" w:type="dxa"/>
            <w:noWrap w:val="0"/>
            <w:vAlign w:val="center"/>
          </w:tcPr>
          <w:p>
            <w:pPr>
              <w:adjustRightInd w:val="0"/>
              <w:snapToGrid w:val="0"/>
              <w:jc w:val="center"/>
              <w:rPr>
                <w:color w:val="auto"/>
              </w:rPr>
            </w:pPr>
            <w:r>
              <w:rPr>
                <w:rFonts w:hint="eastAsia"/>
                <w:color w:val="auto"/>
              </w:rPr>
              <w:t>会标屏</w:t>
            </w:r>
          </w:p>
        </w:tc>
        <w:tc>
          <w:tcPr>
            <w:tcW w:w="5434" w:type="dxa"/>
            <w:noWrap w:val="0"/>
            <w:vAlign w:val="center"/>
          </w:tcPr>
          <w:p>
            <w:pPr>
              <w:adjustRightInd w:val="0"/>
              <w:snapToGrid w:val="0"/>
              <w:rPr>
                <w:rFonts w:hint="eastAsia" w:eastAsia="宋体"/>
                <w:color w:val="auto"/>
                <w:lang w:eastAsia="zh-CN"/>
              </w:rPr>
            </w:pPr>
            <w:r>
              <w:rPr>
                <w:rFonts w:hint="eastAsia"/>
                <w:color w:val="auto"/>
              </w:rPr>
              <w:t>整屏尺寸：≥20.672米（W）*0.608（H）米，整屏分辨率：≥4352*128点；像素间距 4.75 mm；显示分辨率：64×32Dots；像素基色：1R1G；物理密度：44321(pixels/㎡）；驱动方式：≥1/16 dynamic scanning；数据接口：HUB08；外形尺寸：304×152mm；灰度等级：≥256；显示亮度 ＞350CD/㎡可调节；模组视角 H:140°/ V:140°；最佳视距 &gt;5M；LED封装 SMD2121；换帧频率 50/60Hz；对比度：≥3000：1；最大功耗：≤14W；使用功耗：≤7W；使用寿命 35000 Hours；工作时间连续工作7*24小时不间断显示；环境温度 -10℃~50℃</w:t>
            </w:r>
            <w:r>
              <w:rPr>
                <w:rFonts w:hint="eastAsia"/>
                <w:color w:val="auto"/>
                <w:lang w:eastAsia="zh-CN"/>
              </w:rPr>
              <w:t>。</w:t>
            </w:r>
          </w:p>
        </w:tc>
        <w:tc>
          <w:tcPr>
            <w:tcW w:w="858" w:type="dxa"/>
            <w:noWrap w:val="0"/>
            <w:vAlign w:val="center"/>
          </w:tcPr>
          <w:p>
            <w:pPr>
              <w:adjustRightInd w:val="0"/>
              <w:snapToGrid w:val="0"/>
              <w:jc w:val="center"/>
              <w:rPr>
                <w:color w:val="auto"/>
              </w:rPr>
            </w:pPr>
            <w:r>
              <w:rPr>
                <w:rFonts w:hint="eastAsia"/>
                <w:color w:val="auto"/>
              </w:rPr>
              <w:t>12.56</w:t>
            </w:r>
          </w:p>
        </w:tc>
        <w:tc>
          <w:tcPr>
            <w:tcW w:w="590" w:type="dxa"/>
            <w:noWrap w:val="0"/>
            <w:vAlign w:val="center"/>
          </w:tcPr>
          <w:p>
            <w:pPr>
              <w:adjustRightInd w:val="0"/>
              <w:snapToGrid w:val="0"/>
              <w:jc w:val="center"/>
              <w:rPr>
                <w:color w:val="auto"/>
              </w:rPr>
            </w:pPr>
            <w:r>
              <w:rPr>
                <w:rFonts w:hint="eastAsia"/>
                <w:color w:val="auto"/>
              </w:rPr>
              <w:t>m²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1" w:type="dxa"/>
            <w:noWrap w:val="0"/>
            <w:vAlign w:val="center"/>
          </w:tcPr>
          <w:p>
            <w:pPr>
              <w:adjustRightInd w:val="0"/>
              <w:snapToGrid w:val="0"/>
              <w:jc w:val="center"/>
              <w:rPr>
                <w:color w:val="auto"/>
              </w:rPr>
            </w:pPr>
            <w:r>
              <w:rPr>
                <w:rFonts w:hint="eastAsia"/>
                <w:color w:val="auto"/>
              </w:rPr>
              <w:t>5</w:t>
            </w:r>
          </w:p>
        </w:tc>
        <w:tc>
          <w:tcPr>
            <w:tcW w:w="991" w:type="dxa"/>
            <w:noWrap w:val="0"/>
            <w:vAlign w:val="center"/>
          </w:tcPr>
          <w:p>
            <w:pPr>
              <w:adjustRightInd w:val="0"/>
              <w:snapToGrid w:val="0"/>
              <w:jc w:val="center"/>
              <w:rPr>
                <w:color w:val="auto"/>
              </w:rPr>
            </w:pPr>
            <w:r>
              <w:rPr>
                <w:rFonts w:hint="eastAsia"/>
                <w:color w:val="auto"/>
              </w:rPr>
              <w:t>75寸会议一体机</w:t>
            </w:r>
          </w:p>
        </w:tc>
        <w:tc>
          <w:tcPr>
            <w:tcW w:w="5434" w:type="dxa"/>
            <w:noWrap w:val="0"/>
            <w:vAlign w:val="center"/>
          </w:tcPr>
          <w:p>
            <w:pPr>
              <w:adjustRightInd w:val="0"/>
              <w:snapToGrid w:val="0"/>
              <w:rPr>
                <w:color w:val="auto"/>
              </w:rPr>
            </w:pPr>
            <w:r>
              <w:rPr>
                <w:color w:val="auto"/>
              </w:rPr>
              <w:t>分辨率</w:t>
            </w:r>
            <w:r>
              <w:rPr>
                <w:rFonts w:hint="eastAsia"/>
                <w:color w:val="auto"/>
              </w:rPr>
              <w:t>≥</w:t>
            </w:r>
            <w:r>
              <w:rPr>
                <w:color w:val="auto"/>
              </w:rPr>
              <w:t>3840*2160</w:t>
            </w:r>
            <w:r>
              <w:rPr>
                <w:rFonts w:hint="eastAsia"/>
                <w:color w:val="auto"/>
              </w:rPr>
              <w:t>；</w:t>
            </w:r>
            <w:r>
              <w:rPr>
                <w:color w:val="auto"/>
              </w:rPr>
              <w:t xml:space="preserve">扩展接口HDMI、USB </w:t>
            </w:r>
            <w:r>
              <w:rPr>
                <w:rFonts w:hint="eastAsia"/>
                <w:color w:val="auto"/>
              </w:rPr>
              <w:t>；</w:t>
            </w:r>
            <w:r>
              <w:rPr>
                <w:color w:val="auto"/>
              </w:rPr>
              <w:t>内存：</w:t>
            </w:r>
            <w:r>
              <w:rPr>
                <w:rFonts w:hint="eastAsia"/>
                <w:color w:val="auto"/>
              </w:rPr>
              <w:t>≥</w:t>
            </w:r>
            <w:r>
              <w:rPr>
                <w:color w:val="auto"/>
              </w:rPr>
              <w:t>3G+32G</w:t>
            </w:r>
            <w:r>
              <w:rPr>
                <w:rFonts w:hint="eastAsia"/>
                <w:color w:val="auto"/>
              </w:rPr>
              <w:t>；</w:t>
            </w:r>
            <w:r>
              <w:rPr>
                <w:color w:val="auto"/>
              </w:rPr>
              <w:t>系统：Android8.0</w:t>
            </w:r>
            <w:r>
              <w:rPr>
                <w:rFonts w:hint="eastAsia"/>
                <w:color w:val="auto"/>
              </w:rPr>
              <w:t>及以上；</w:t>
            </w:r>
            <w:r>
              <w:rPr>
                <w:color w:val="auto"/>
              </w:rPr>
              <w:t>带双wifi和蓝牙5.0</w:t>
            </w:r>
            <w:r>
              <w:rPr>
                <w:rFonts w:hint="eastAsia"/>
                <w:color w:val="auto"/>
              </w:rPr>
              <w:t>；</w:t>
            </w:r>
            <w:r>
              <w:rPr>
                <w:color w:val="auto"/>
              </w:rPr>
              <w:t>配备</w:t>
            </w:r>
            <w:r>
              <w:rPr>
                <w:rFonts w:hint="eastAsia"/>
                <w:color w:val="auto"/>
              </w:rPr>
              <w:t>≥</w:t>
            </w:r>
            <w:r>
              <w:rPr>
                <w:color w:val="auto"/>
              </w:rPr>
              <w:t>800W摄像头和</w:t>
            </w:r>
            <w:r>
              <w:rPr>
                <w:rFonts w:hint="eastAsia"/>
                <w:color w:val="auto"/>
              </w:rPr>
              <w:t>≥</w:t>
            </w:r>
            <w:r>
              <w:rPr>
                <w:color w:val="auto"/>
              </w:rPr>
              <w:t>6阵列麦克风。</w:t>
            </w:r>
          </w:p>
        </w:tc>
        <w:tc>
          <w:tcPr>
            <w:tcW w:w="858" w:type="dxa"/>
            <w:noWrap w:val="0"/>
            <w:vAlign w:val="center"/>
          </w:tcPr>
          <w:p>
            <w:pPr>
              <w:adjustRightInd w:val="0"/>
              <w:snapToGrid w:val="0"/>
              <w:jc w:val="center"/>
              <w:rPr>
                <w:color w:val="auto"/>
              </w:rPr>
            </w:pPr>
            <w:r>
              <w:rPr>
                <w:rFonts w:hint="eastAsia"/>
                <w:color w:val="auto"/>
              </w:rPr>
              <w:t>2</w:t>
            </w:r>
          </w:p>
        </w:tc>
        <w:tc>
          <w:tcPr>
            <w:tcW w:w="590" w:type="dxa"/>
            <w:noWrap w:val="0"/>
            <w:vAlign w:val="center"/>
          </w:tcPr>
          <w:p>
            <w:pPr>
              <w:adjustRightInd w:val="0"/>
              <w:snapToGrid w:val="0"/>
              <w:jc w:val="center"/>
              <w:rPr>
                <w:color w:val="auto"/>
              </w:rPr>
            </w:pPr>
            <w:r>
              <w:rPr>
                <w:rFonts w:hint="eastAsia"/>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4" w:type="dxa"/>
            <w:gridSpan w:val="5"/>
            <w:noWrap/>
            <w:vAlign w:val="center"/>
          </w:tcPr>
          <w:p>
            <w:pPr>
              <w:adjustRightInd w:val="0"/>
              <w:snapToGrid w:val="0"/>
              <w:rPr>
                <w:i/>
                <w:iCs/>
                <w:color w:val="auto"/>
              </w:rPr>
            </w:pPr>
            <w:r>
              <w:rPr>
                <w:rFonts w:hint="eastAsia" w:ascii="宋体" w:hAnsi="宋体" w:eastAsia="宋体" w:cs="Times New Roman"/>
                <w:color w:val="auto"/>
                <w:kern w:val="0"/>
                <w:sz w:val="24"/>
                <w:szCs w:val="24"/>
                <w:shd w:val="clear" w:color="auto" w:fill="FFFFFF"/>
                <w:lang w:val="en-US" w:eastAsia="zh-CN" w:bidi="ar-SA"/>
              </w:rPr>
              <w:t>二、系统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1" w:type="dxa"/>
            <w:noWrap w:val="0"/>
            <w:vAlign w:val="center"/>
          </w:tcPr>
          <w:p>
            <w:pPr>
              <w:adjustRightInd w:val="0"/>
              <w:snapToGrid w:val="0"/>
              <w:jc w:val="center"/>
              <w:rPr>
                <w:color w:val="auto"/>
              </w:rPr>
            </w:pPr>
            <w:r>
              <w:rPr>
                <w:rFonts w:hint="eastAsia"/>
                <w:color w:val="auto"/>
              </w:rPr>
              <w:t>1</w:t>
            </w:r>
          </w:p>
        </w:tc>
        <w:tc>
          <w:tcPr>
            <w:tcW w:w="991" w:type="dxa"/>
            <w:noWrap w:val="0"/>
            <w:vAlign w:val="center"/>
          </w:tcPr>
          <w:p>
            <w:pPr>
              <w:adjustRightInd w:val="0"/>
              <w:snapToGrid w:val="0"/>
              <w:jc w:val="center"/>
              <w:rPr>
                <w:color w:val="auto"/>
              </w:rPr>
            </w:pPr>
            <w:r>
              <w:rPr>
                <w:rFonts w:hint="eastAsia"/>
                <w:color w:val="auto"/>
              </w:rPr>
              <w:t>屏体控制器</w:t>
            </w:r>
          </w:p>
        </w:tc>
        <w:tc>
          <w:tcPr>
            <w:tcW w:w="5434" w:type="dxa"/>
            <w:noWrap w:val="0"/>
            <w:vAlign w:val="center"/>
          </w:tcPr>
          <w:p>
            <w:pPr>
              <w:adjustRightInd w:val="0"/>
              <w:snapToGrid w:val="0"/>
              <w:rPr>
                <w:rFonts w:hint="eastAsia" w:eastAsia="宋体"/>
                <w:color w:val="auto"/>
                <w:lang w:eastAsia="zh-CN"/>
              </w:rPr>
            </w:pPr>
            <w:r>
              <w:rPr>
                <w:rFonts w:hint="eastAsia"/>
                <w:color w:val="auto"/>
              </w:rPr>
              <w:t>标准1U机箱；≥6网口输出，最大支持2560X960显卡分辨率；单卡带载像素面积≥230万像素；支持HDMI/DVI视频输入；HDMI音频输入/外部音频输入;支持高位阶视频输入12bit/10bit/8bit；普通视频源带载能力:1920</w:t>
            </w:r>
            <w:r>
              <w:rPr>
                <w:rFonts w:hint="eastAsia"/>
                <w:color w:val="auto"/>
                <w:shd w:val="clear" w:color="auto" w:fill="FFFFFF"/>
              </w:rPr>
              <w:t>×</w:t>
            </w:r>
            <w:r>
              <w:rPr>
                <w:rFonts w:hint="eastAsia"/>
                <w:color w:val="auto"/>
              </w:rPr>
              <w:t>1200、2048</w:t>
            </w:r>
            <w:r>
              <w:rPr>
                <w:rFonts w:hint="eastAsia"/>
                <w:color w:val="auto"/>
                <w:shd w:val="clear" w:color="auto" w:fill="FFFFFF"/>
              </w:rPr>
              <w:t>×</w:t>
            </w:r>
            <w:r>
              <w:rPr>
                <w:rFonts w:hint="eastAsia"/>
                <w:color w:val="auto"/>
              </w:rPr>
              <w:t>1152、2560</w:t>
            </w:r>
            <w:r>
              <w:rPr>
                <w:rFonts w:hint="eastAsia"/>
                <w:color w:val="auto"/>
                <w:shd w:val="clear" w:color="auto" w:fill="FFFFFF"/>
              </w:rPr>
              <w:t>×</w:t>
            </w:r>
            <w:r>
              <w:rPr>
                <w:rFonts w:hint="eastAsia"/>
                <w:color w:val="auto"/>
              </w:rPr>
              <w:t>960；高位阶视频源带载能力:1440</w:t>
            </w:r>
            <w:r>
              <w:rPr>
                <w:rFonts w:hint="eastAsia"/>
                <w:color w:val="auto"/>
                <w:shd w:val="clear" w:color="auto" w:fill="FFFFFF"/>
              </w:rPr>
              <w:t>×</w:t>
            </w:r>
            <w:r>
              <w:rPr>
                <w:rFonts w:hint="eastAsia"/>
                <w:color w:val="auto"/>
              </w:rPr>
              <w:t>900；12bit/10bit/8bit；可级联多台进行统一控制自动连屏</w:t>
            </w:r>
            <w:r>
              <w:rPr>
                <w:rFonts w:hint="eastAsia"/>
                <w:color w:val="auto"/>
                <w:lang w:eastAsia="zh-CN"/>
              </w:rPr>
              <w:t>。</w:t>
            </w:r>
          </w:p>
        </w:tc>
        <w:tc>
          <w:tcPr>
            <w:tcW w:w="858" w:type="dxa"/>
            <w:noWrap w:val="0"/>
            <w:vAlign w:val="center"/>
          </w:tcPr>
          <w:p>
            <w:pPr>
              <w:adjustRightInd w:val="0"/>
              <w:snapToGrid w:val="0"/>
              <w:jc w:val="center"/>
              <w:rPr>
                <w:color w:val="auto"/>
              </w:rPr>
            </w:pPr>
            <w:r>
              <w:rPr>
                <w:rFonts w:hint="eastAsia"/>
                <w:color w:val="auto"/>
              </w:rPr>
              <w:t>45</w:t>
            </w:r>
          </w:p>
        </w:tc>
        <w:tc>
          <w:tcPr>
            <w:tcW w:w="590" w:type="dxa"/>
            <w:noWrap w:val="0"/>
            <w:vAlign w:val="center"/>
          </w:tcPr>
          <w:p>
            <w:pPr>
              <w:adjustRightInd w:val="0"/>
              <w:snapToGrid w:val="0"/>
              <w:jc w:val="center"/>
              <w:rPr>
                <w:color w:val="auto"/>
              </w:rPr>
            </w:pPr>
            <w:r>
              <w:rPr>
                <w:rFonts w:hint="eastAsia"/>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1" w:type="dxa"/>
            <w:noWrap w:val="0"/>
            <w:vAlign w:val="center"/>
          </w:tcPr>
          <w:p>
            <w:pPr>
              <w:adjustRightInd w:val="0"/>
              <w:snapToGrid w:val="0"/>
              <w:jc w:val="center"/>
              <w:rPr>
                <w:color w:val="auto"/>
              </w:rPr>
            </w:pPr>
            <w:r>
              <w:rPr>
                <w:rFonts w:hint="eastAsia"/>
                <w:color w:val="auto"/>
              </w:rPr>
              <w:t>2</w:t>
            </w:r>
          </w:p>
        </w:tc>
        <w:tc>
          <w:tcPr>
            <w:tcW w:w="991" w:type="dxa"/>
            <w:noWrap w:val="0"/>
            <w:vAlign w:val="center"/>
          </w:tcPr>
          <w:p>
            <w:pPr>
              <w:adjustRightInd w:val="0"/>
              <w:snapToGrid w:val="0"/>
              <w:jc w:val="center"/>
              <w:rPr>
                <w:color w:val="auto"/>
              </w:rPr>
            </w:pPr>
            <w:r>
              <w:rPr>
                <w:rFonts w:hint="eastAsia"/>
                <w:color w:val="auto"/>
              </w:rPr>
              <w:t>屏体控制器</w:t>
            </w:r>
          </w:p>
        </w:tc>
        <w:tc>
          <w:tcPr>
            <w:tcW w:w="5434" w:type="dxa"/>
            <w:noWrap w:val="0"/>
            <w:vAlign w:val="center"/>
          </w:tcPr>
          <w:p>
            <w:pPr>
              <w:adjustRightInd w:val="0"/>
              <w:snapToGrid w:val="0"/>
              <w:rPr>
                <w:rFonts w:hint="eastAsia" w:eastAsia="宋体"/>
                <w:color w:val="auto"/>
                <w:lang w:eastAsia="zh-CN"/>
              </w:rPr>
            </w:pPr>
            <w:r>
              <w:rPr>
                <w:rFonts w:hint="eastAsia"/>
                <w:color w:val="auto"/>
              </w:rPr>
              <w:t>标准1U机箱；≥6网口输出，最大支持2560X960显卡分辨率；单卡带载像素面积≥230万像素；支持HDMI/DVI视频输入;HDMI音频输入/外部音频输入;支持高位阶视频输入 12bit/10bit/8bit;普通视频源带载能力:1920</w:t>
            </w:r>
            <w:r>
              <w:rPr>
                <w:rFonts w:hint="eastAsia"/>
                <w:color w:val="auto"/>
                <w:shd w:val="clear" w:color="auto" w:fill="FFFFFF"/>
              </w:rPr>
              <w:t>×</w:t>
            </w:r>
            <w:r>
              <w:rPr>
                <w:rFonts w:hint="eastAsia"/>
                <w:color w:val="auto"/>
              </w:rPr>
              <w:t>1200、2048</w:t>
            </w:r>
            <w:r>
              <w:rPr>
                <w:rFonts w:hint="eastAsia"/>
                <w:color w:val="auto"/>
                <w:shd w:val="clear" w:color="auto" w:fill="FFFFFF"/>
              </w:rPr>
              <w:t>×</w:t>
            </w:r>
            <w:r>
              <w:rPr>
                <w:rFonts w:hint="eastAsia"/>
                <w:color w:val="auto"/>
              </w:rPr>
              <w:t>1152、2560</w:t>
            </w:r>
            <w:r>
              <w:rPr>
                <w:rFonts w:hint="eastAsia"/>
                <w:color w:val="auto"/>
                <w:shd w:val="clear" w:color="auto" w:fill="FFFFFF"/>
              </w:rPr>
              <w:t>×</w:t>
            </w:r>
            <w:r>
              <w:rPr>
                <w:rFonts w:hint="eastAsia"/>
                <w:color w:val="auto"/>
              </w:rPr>
              <w:t>960;高位阶视频源带载能力:1440</w:t>
            </w:r>
            <w:r>
              <w:rPr>
                <w:rFonts w:hint="eastAsia"/>
                <w:color w:val="auto"/>
                <w:shd w:val="clear" w:color="auto" w:fill="FFFFFF"/>
              </w:rPr>
              <w:t>×</w:t>
            </w:r>
            <w:r>
              <w:rPr>
                <w:rFonts w:hint="eastAsia"/>
                <w:color w:val="auto"/>
              </w:rPr>
              <w:t>900; 12bit/10bit/8bit;可级联多台进行统一控制自动连屏</w:t>
            </w:r>
            <w:r>
              <w:rPr>
                <w:rFonts w:hint="eastAsia"/>
                <w:color w:val="auto"/>
                <w:lang w:eastAsia="zh-CN"/>
              </w:rPr>
              <w:t>。</w:t>
            </w:r>
          </w:p>
        </w:tc>
        <w:tc>
          <w:tcPr>
            <w:tcW w:w="858" w:type="dxa"/>
            <w:noWrap w:val="0"/>
            <w:vAlign w:val="center"/>
          </w:tcPr>
          <w:p>
            <w:pPr>
              <w:adjustRightInd w:val="0"/>
              <w:snapToGrid w:val="0"/>
              <w:jc w:val="center"/>
              <w:rPr>
                <w:color w:val="auto"/>
              </w:rPr>
            </w:pPr>
            <w:r>
              <w:rPr>
                <w:rFonts w:hint="eastAsia"/>
                <w:color w:val="auto"/>
              </w:rPr>
              <w:t>9</w:t>
            </w:r>
          </w:p>
        </w:tc>
        <w:tc>
          <w:tcPr>
            <w:tcW w:w="590" w:type="dxa"/>
            <w:noWrap w:val="0"/>
            <w:vAlign w:val="center"/>
          </w:tcPr>
          <w:p>
            <w:pPr>
              <w:adjustRightInd w:val="0"/>
              <w:snapToGrid w:val="0"/>
              <w:jc w:val="center"/>
              <w:rPr>
                <w:color w:val="auto"/>
              </w:rPr>
            </w:pPr>
            <w:r>
              <w:rPr>
                <w:rFonts w:hint="eastAsia"/>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1" w:type="dxa"/>
            <w:noWrap w:val="0"/>
            <w:vAlign w:val="center"/>
          </w:tcPr>
          <w:p>
            <w:pPr>
              <w:adjustRightInd w:val="0"/>
              <w:snapToGrid w:val="0"/>
              <w:jc w:val="center"/>
              <w:rPr>
                <w:color w:val="auto"/>
              </w:rPr>
            </w:pPr>
            <w:r>
              <w:rPr>
                <w:rFonts w:hint="eastAsia"/>
                <w:color w:val="auto"/>
              </w:rPr>
              <w:t>3</w:t>
            </w:r>
          </w:p>
        </w:tc>
        <w:tc>
          <w:tcPr>
            <w:tcW w:w="991" w:type="dxa"/>
            <w:noWrap w:val="0"/>
            <w:vAlign w:val="center"/>
          </w:tcPr>
          <w:p>
            <w:pPr>
              <w:adjustRightInd w:val="0"/>
              <w:snapToGrid w:val="0"/>
              <w:jc w:val="center"/>
              <w:rPr>
                <w:color w:val="auto"/>
              </w:rPr>
            </w:pPr>
            <w:r>
              <w:rPr>
                <w:rFonts w:hint="eastAsia"/>
                <w:color w:val="auto"/>
              </w:rPr>
              <w:t>屏体控制器</w:t>
            </w:r>
          </w:p>
        </w:tc>
        <w:tc>
          <w:tcPr>
            <w:tcW w:w="5434" w:type="dxa"/>
            <w:noWrap w:val="0"/>
            <w:vAlign w:val="center"/>
          </w:tcPr>
          <w:p>
            <w:pPr>
              <w:adjustRightInd w:val="0"/>
              <w:snapToGrid w:val="0"/>
              <w:rPr>
                <w:rFonts w:hint="eastAsia" w:eastAsia="宋体"/>
                <w:color w:val="auto"/>
                <w:lang w:eastAsia="zh-CN"/>
              </w:rPr>
            </w:pPr>
            <w:r>
              <w:rPr>
                <w:rFonts w:hint="eastAsia"/>
                <w:color w:val="auto"/>
              </w:rPr>
              <w:t>标准1U机箱；≥6网口输出，最大支持2560X960显卡分辨率；单卡带载像素面积≥230万像素；支持HDMI/DVI视频输入；HDMI音频输入/外部音频输入;支持高位阶视频输入12bit/10bit/8bit;普通视频源带载能力:1920</w:t>
            </w:r>
            <w:r>
              <w:rPr>
                <w:rFonts w:hint="eastAsia"/>
                <w:color w:val="auto"/>
                <w:shd w:val="clear" w:color="auto" w:fill="FFFFFF"/>
              </w:rPr>
              <w:t>×</w:t>
            </w:r>
            <w:r>
              <w:rPr>
                <w:rFonts w:hint="eastAsia"/>
                <w:color w:val="auto"/>
              </w:rPr>
              <w:t>1200、2048</w:t>
            </w:r>
            <w:r>
              <w:rPr>
                <w:rFonts w:hint="eastAsia"/>
                <w:color w:val="auto"/>
                <w:shd w:val="clear" w:color="auto" w:fill="FFFFFF"/>
              </w:rPr>
              <w:t>×</w:t>
            </w:r>
            <w:r>
              <w:rPr>
                <w:rFonts w:hint="eastAsia"/>
                <w:color w:val="auto"/>
              </w:rPr>
              <w:t>1152、2560</w:t>
            </w:r>
            <w:r>
              <w:rPr>
                <w:rFonts w:hint="eastAsia"/>
                <w:color w:val="auto"/>
                <w:shd w:val="clear" w:color="auto" w:fill="FFFFFF"/>
              </w:rPr>
              <w:t>×</w:t>
            </w:r>
            <w:r>
              <w:rPr>
                <w:rFonts w:hint="eastAsia"/>
                <w:color w:val="auto"/>
              </w:rPr>
              <w:t>960；高位阶视频源带载能力:1440</w:t>
            </w:r>
            <w:r>
              <w:rPr>
                <w:rFonts w:hint="eastAsia"/>
                <w:color w:val="auto"/>
                <w:shd w:val="clear" w:color="auto" w:fill="FFFFFF"/>
              </w:rPr>
              <w:t>×</w:t>
            </w:r>
            <w:r>
              <w:rPr>
                <w:rFonts w:hint="eastAsia"/>
                <w:color w:val="auto"/>
              </w:rPr>
              <w:t>900； 12bit/10bit/8bit；可级联多台进行统一控制自动连屏</w:t>
            </w:r>
            <w:r>
              <w:rPr>
                <w:rFonts w:hint="eastAsia"/>
                <w:color w:val="auto"/>
                <w:lang w:eastAsia="zh-CN"/>
              </w:rPr>
              <w:t>。</w:t>
            </w:r>
          </w:p>
        </w:tc>
        <w:tc>
          <w:tcPr>
            <w:tcW w:w="858" w:type="dxa"/>
            <w:noWrap w:val="0"/>
            <w:vAlign w:val="center"/>
          </w:tcPr>
          <w:p>
            <w:pPr>
              <w:adjustRightInd w:val="0"/>
              <w:snapToGrid w:val="0"/>
              <w:jc w:val="center"/>
              <w:rPr>
                <w:color w:val="auto"/>
              </w:rPr>
            </w:pPr>
            <w:r>
              <w:rPr>
                <w:rFonts w:hint="eastAsia"/>
                <w:color w:val="auto"/>
              </w:rPr>
              <w:t>4</w:t>
            </w:r>
          </w:p>
        </w:tc>
        <w:tc>
          <w:tcPr>
            <w:tcW w:w="590" w:type="dxa"/>
            <w:noWrap w:val="0"/>
            <w:vAlign w:val="center"/>
          </w:tcPr>
          <w:p>
            <w:pPr>
              <w:adjustRightInd w:val="0"/>
              <w:snapToGrid w:val="0"/>
              <w:jc w:val="center"/>
              <w:rPr>
                <w:color w:val="auto"/>
              </w:rPr>
            </w:pPr>
            <w:r>
              <w:rPr>
                <w:rFonts w:hint="eastAsia"/>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3" w:hRule="atLeast"/>
        </w:trPr>
        <w:tc>
          <w:tcPr>
            <w:tcW w:w="1131" w:type="dxa"/>
            <w:noWrap w:val="0"/>
            <w:vAlign w:val="center"/>
          </w:tcPr>
          <w:p>
            <w:pPr>
              <w:adjustRightInd w:val="0"/>
              <w:snapToGrid w:val="0"/>
              <w:jc w:val="center"/>
              <w:rPr>
                <w:color w:val="auto"/>
              </w:rPr>
            </w:pPr>
            <w:r>
              <w:rPr>
                <w:rFonts w:hint="eastAsia"/>
                <w:color w:val="auto"/>
              </w:rPr>
              <w:t>4</w:t>
            </w:r>
          </w:p>
        </w:tc>
        <w:tc>
          <w:tcPr>
            <w:tcW w:w="991" w:type="dxa"/>
            <w:noWrap w:val="0"/>
            <w:vAlign w:val="center"/>
          </w:tcPr>
          <w:p>
            <w:pPr>
              <w:adjustRightInd w:val="0"/>
              <w:snapToGrid w:val="0"/>
              <w:jc w:val="center"/>
              <w:rPr>
                <w:color w:val="auto"/>
              </w:rPr>
            </w:pPr>
            <w:r>
              <w:rPr>
                <w:rFonts w:hint="eastAsia"/>
                <w:color w:val="auto"/>
              </w:rPr>
              <w:t>超高分辨率播控服务器</w:t>
            </w:r>
          </w:p>
        </w:tc>
        <w:tc>
          <w:tcPr>
            <w:tcW w:w="5434" w:type="dxa"/>
            <w:noWrap w:val="0"/>
            <w:vAlign w:val="center"/>
          </w:tcPr>
          <w:p>
            <w:pPr>
              <w:adjustRightInd w:val="0"/>
              <w:snapToGrid w:val="0"/>
              <w:rPr>
                <w:rFonts w:hint="eastAsia" w:eastAsia="宋体"/>
                <w:color w:val="auto"/>
                <w:lang w:eastAsia="zh-CN"/>
              </w:rPr>
            </w:pPr>
            <w:r>
              <w:rPr>
                <w:rFonts w:hint="eastAsia"/>
                <w:color w:val="auto"/>
              </w:rPr>
              <w:t>运行高分应用运行平台；运行高分引擎软件；运行高分拼接+性能优化+高分配置+安全备份+高分底图机功能；CPU:2颗XEON</w:t>
            </w:r>
            <w:r>
              <w:rPr>
                <w:color w:val="auto"/>
              </w:rPr>
              <w:t xml:space="preserve"> </w:t>
            </w:r>
            <w:r>
              <w:rPr>
                <w:rFonts w:hint="eastAsia"/>
                <w:color w:val="auto"/>
              </w:rPr>
              <w:t>E5-2640</w:t>
            </w:r>
            <w:r>
              <w:rPr>
                <w:color w:val="auto"/>
              </w:rPr>
              <w:t xml:space="preserve"> </w:t>
            </w:r>
            <w:r>
              <w:rPr>
                <w:rFonts w:hint="eastAsia"/>
                <w:color w:val="auto"/>
              </w:rPr>
              <w:t>v3 2.6GHz/8核/16线程*2；内存：≥8GB*4；主板：支持≥6条PCI-E*1；显卡：Quadro RTX5000 16G GDDR6 全高双宽*2；同步卡：NVIDIA® Quadro Sync*1；硬盘：≥512G SSD*1；网口：≥1000NIC*2；电源：热插拔冗余电源（1+1）；1200W*1；操作系统：出厂配置Win10 企业版 64位*1；光驱：DVD-RW（USB)*1</w:t>
            </w:r>
            <w:r>
              <w:rPr>
                <w:rFonts w:hint="eastAsia"/>
                <w:color w:val="auto"/>
                <w:lang w:eastAsia="zh-CN"/>
              </w:rPr>
              <w:t>。</w:t>
            </w:r>
          </w:p>
        </w:tc>
        <w:tc>
          <w:tcPr>
            <w:tcW w:w="858" w:type="dxa"/>
            <w:noWrap w:val="0"/>
            <w:vAlign w:val="center"/>
          </w:tcPr>
          <w:p>
            <w:pPr>
              <w:adjustRightInd w:val="0"/>
              <w:snapToGrid w:val="0"/>
              <w:jc w:val="center"/>
              <w:rPr>
                <w:color w:val="auto"/>
              </w:rPr>
            </w:pPr>
            <w:r>
              <w:rPr>
                <w:rFonts w:hint="eastAsia"/>
                <w:color w:val="auto"/>
              </w:rPr>
              <w:t>1</w:t>
            </w:r>
          </w:p>
        </w:tc>
        <w:tc>
          <w:tcPr>
            <w:tcW w:w="590" w:type="dxa"/>
            <w:noWrap w:val="0"/>
            <w:vAlign w:val="center"/>
          </w:tcPr>
          <w:p>
            <w:pPr>
              <w:adjustRightInd w:val="0"/>
              <w:snapToGrid w:val="0"/>
              <w:jc w:val="center"/>
              <w:rPr>
                <w:color w:val="auto"/>
              </w:rPr>
            </w:pPr>
            <w:r>
              <w:rPr>
                <w:rFonts w:hint="eastAsia"/>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1" w:type="dxa"/>
            <w:noWrap w:val="0"/>
            <w:vAlign w:val="center"/>
          </w:tcPr>
          <w:p>
            <w:pPr>
              <w:adjustRightInd w:val="0"/>
              <w:snapToGrid w:val="0"/>
              <w:jc w:val="center"/>
              <w:rPr>
                <w:color w:val="auto"/>
              </w:rPr>
            </w:pPr>
            <w:r>
              <w:rPr>
                <w:rFonts w:hint="eastAsia"/>
                <w:color w:val="auto"/>
              </w:rPr>
              <w:t>5</w:t>
            </w:r>
          </w:p>
        </w:tc>
        <w:tc>
          <w:tcPr>
            <w:tcW w:w="991" w:type="dxa"/>
            <w:noWrap w:val="0"/>
            <w:vAlign w:val="center"/>
          </w:tcPr>
          <w:p>
            <w:pPr>
              <w:adjustRightInd w:val="0"/>
              <w:snapToGrid w:val="0"/>
              <w:jc w:val="center"/>
              <w:rPr>
                <w:color w:val="auto"/>
              </w:rPr>
            </w:pPr>
            <w:r>
              <w:rPr>
                <w:rFonts w:hint="eastAsia"/>
                <w:color w:val="auto"/>
              </w:rPr>
              <w:t>配电柜</w:t>
            </w:r>
          </w:p>
        </w:tc>
        <w:tc>
          <w:tcPr>
            <w:tcW w:w="5434" w:type="dxa"/>
            <w:noWrap w:val="0"/>
            <w:vAlign w:val="center"/>
          </w:tcPr>
          <w:p>
            <w:pPr>
              <w:adjustRightInd w:val="0"/>
              <w:snapToGrid w:val="0"/>
              <w:rPr>
                <w:color w:val="auto"/>
              </w:rPr>
            </w:pPr>
            <w:r>
              <w:rPr>
                <w:rFonts w:hint="eastAsia"/>
                <w:color w:val="auto"/>
              </w:rPr>
              <w:t>功率：≥120KW；三相五线配电箱；具有过流、短路、断路、过压、欠压、温度过高等保护措施；具有故障指示装置；方便对LED显示屏进行远程监控和控制，不需要人员现场控制，显示屏可以实现安全使用,产品应具有PLC自动控制软件。通过该系统可以实现对LED显示屏的远程有线控制上电，实现定时开关屏体，方便用户的使用。</w:t>
            </w:r>
          </w:p>
        </w:tc>
        <w:tc>
          <w:tcPr>
            <w:tcW w:w="858" w:type="dxa"/>
            <w:noWrap w:val="0"/>
            <w:vAlign w:val="center"/>
          </w:tcPr>
          <w:p>
            <w:pPr>
              <w:adjustRightInd w:val="0"/>
              <w:snapToGrid w:val="0"/>
              <w:jc w:val="center"/>
              <w:rPr>
                <w:color w:val="auto"/>
              </w:rPr>
            </w:pPr>
            <w:r>
              <w:rPr>
                <w:rFonts w:hint="eastAsia"/>
                <w:color w:val="auto"/>
              </w:rPr>
              <w:t>1</w:t>
            </w:r>
          </w:p>
        </w:tc>
        <w:tc>
          <w:tcPr>
            <w:tcW w:w="590" w:type="dxa"/>
            <w:noWrap w:val="0"/>
            <w:vAlign w:val="center"/>
          </w:tcPr>
          <w:p>
            <w:pPr>
              <w:adjustRightInd w:val="0"/>
              <w:snapToGrid w:val="0"/>
              <w:jc w:val="center"/>
              <w:rPr>
                <w:color w:val="auto"/>
              </w:rPr>
            </w:pPr>
            <w:r>
              <w:rPr>
                <w:rFonts w:hint="eastAsia"/>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1" w:type="dxa"/>
            <w:noWrap w:val="0"/>
            <w:vAlign w:val="center"/>
          </w:tcPr>
          <w:p>
            <w:pPr>
              <w:adjustRightInd w:val="0"/>
              <w:snapToGrid w:val="0"/>
              <w:jc w:val="center"/>
              <w:rPr>
                <w:color w:val="auto"/>
              </w:rPr>
            </w:pPr>
            <w:r>
              <w:rPr>
                <w:rFonts w:hint="eastAsia"/>
                <w:color w:val="auto"/>
              </w:rPr>
              <w:t>6</w:t>
            </w:r>
          </w:p>
        </w:tc>
        <w:tc>
          <w:tcPr>
            <w:tcW w:w="991" w:type="dxa"/>
            <w:noWrap w:val="0"/>
            <w:vAlign w:val="center"/>
          </w:tcPr>
          <w:p>
            <w:pPr>
              <w:adjustRightInd w:val="0"/>
              <w:snapToGrid w:val="0"/>
              <w:jc w:val="center"/>
              <w:rPr>
                <w:color w:val="auto"/>
              </w:rPr>
            </w:pPr>
            <w:r>
              <w:rPr>
                <w:rFonts w:hint="eastAsia"/>
                <w:color w:val="auto"/>
              </w:rPr>
              <w:t>配电柜</w:t>
            </w:r>
          </w:p>
        </w:tc>
        <w:tc>
          <w:tcPr>
            <w:tcW w:w="5434" w:type="dxa"/>
            <w:noWrap w:val="0"/>
            <w:vAlign w:val="center"/>
          </w:tcPr>
          <w:p>
            <w:pPr>
              <w:adjustRightInd w:val="0"/>
              <w:snapToGrid w:val="0"/>
              <w:rPr>
                <w:color w:val="auto"/>
              </w:rPr>
            </w:pPr>
            <w:r>
              <w:rPr>
                <w:rFonts w:hint="eastAsia"/>
                <w:color w:val="auto"/>
              </w:rPr>
              <w:t>功率：≥15KW；三相五线配电箱；具有过流、短路、断路、过压、欠压、温度过高等保护措施；具有故障指示装置；方便对LED显示屏进行远程监控和控制，不需要人员现场控制，显示屏可以实现安全使用,产品应具有PLC自动控制软件；通过该系统可以实现对LED显示屏的远程有线控制上电，实现定时开关屏体，方便用户的使用。</w:t>
            </w:r>
          </w:p>
        </w:tc>
        <w:tc>
          <w:tcPr>
            <w:tcW w:w="858" w:type="dxa"/>
            <w:noWrap w:val="0"/>
            <w:vAlign w:val="center"/>
          </w:tcPr>
          <w:p>
            <w:pPr>
              <w:adjustRightInd w:val="0"/>
              <w:snapToGrid w:val="0"/>
              <w:jc w:val="center"/>
              <w:rPr>
                <w:color w:val="auto"/>
              </w:rPr>
            </w:pPr>
            <w:r>
              <w:rPr>
                <w:rFonts w:hint="eastAsia"/>
                <w:color w:val="auto"/>
              </w:rPr>
              <w:t>1</w:t>
            </w:r>
          </w:p>
        </w:tc>
        <w:tc>
          <w:tcPr>
            <w:tcW w:w="590" w:type="dxa"/>
            <w:noWrap w:val="0"/>
            <w:vAlign w:val="center"/>
          </w:tcPr>
          <w:p>
            <w:pPr>
              <w:adjustRightInd w:val="0"/>
              <w:snapToGrid w:val="0"/>
              <w:jc w:val="center"/>
              <w:rPr>
                <w:color w:val="auto"/>
              </w:rPr>
            </w:pPr>
            <w:r>
              <w:rPr>
                <w:rFonts w:hint="eastAsia"/>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1" w:type="dxa"/>
            <w:noWrap w:val="0"/>
            <w:vAlign w:val="center"/>
          </w:tcPr>
          <w:p>
            <w:pPr>
              <w:adjustRightInd w:val="0"/>
              <w:snapToGrid w:val="0"/>
              <w:jc w:val="center"/>
              <w:rPr>
                <w:color w:val="auto"/>
              </w:rPr>
            </w:pPr>
            <w:r>
              <w:rPr>
                <w:rFonts w:hint="eastAsia"/>
                <w:color w:val="auto"/>
              </w:rPr>
              <w:t>7</w:t>
            </w:r>
          </w:p>
        </w:tc>
        <w:tc>
          <w:tcPr>
            <w:tcW w:w="991" w:type="dxa"/>
            <w:noWrap w:val="0"/>
            <w:vAlign w:val="center"/>
          </w:tcPr>
          <w:p>
            <w:pPr>
              <w:adjustRightInd w:val="0"/>
              <w:snapToGrid w:val="0"/>
              <w:jc w:val="center"/>
              <w:rPr>
                <w:color w:val="auto"/>
              </w:rPr>
            </w:pPr>
            <w:r>
              <w:rPr>
                <w:rFonts w:hint="eastAsia"/>
                <w:color w:val="auto"/>
              </w:rPr>
              <w:t>配电柜</w:t>
            </w:r>
          </w:p>
        </w:tc>
        <w:tc>
          <w:tcPr>
            <w:tcW w:w="5434" w:type="dxa"/>
            <w:noWrap w:val="0"/>
            <w:vAlign w:val="center"/>
          </w:tcPr>
          <w:p>
            <w:pPr>
              <w:adjustRightInd w:val="0"/>
              <w:snapToGrid w:val="0"/>
              <w:rPr>
                <w:color w:val="auto"/>
              </w:rPr>
            </w:pPr>
            <w:r>
              <w:rPr>
                <w:rFonts w:hint="eastAsia"/>
                <w:color w:val="auto"/>
              </w:rPr>
              <w:t>功率：≥50KW；三相五线配电箱；具有过流、短路、断路、过压、欠压、温度过高等保护措施；具有故障指示装置；方便对LED显示屏进行远程监控和控制，不需要人员现场控制，显示屏可以实现安全使用,产品应具有PLC自动控制软件.通过该系统可以实现对LED显示屏的远程有线控制上电，实现定时开关屏体，方便用户的使用。</w:t>
            </w:r>
          </w:p>
        </w:tc>
        <w:tc>
          <w:tcPr>
            <w:tcW w:w="858" w:type="dxa"/>
            <w:noWrap w:val="0"/>
            <w:vAlign w:val="center"/>
          </w:tcPr>
          <w:p>
            <w:pPr>
              <w:adjustRightInd w:val="0"/>
              <w:snapToGrid w:val="0"/>
              <w:jc w:val="center"/>
              <w:rPr>
                <w:color w:val="auto"/>
              </w:rPr>
            </w:pPr>
            <w:r>
              <w:rPr>
                <w:rFonts w:hint="eastAsia"/>
                <w:color w:val="auto"/>
              </w:rPr>
              <w:t>1</w:t>
            </w:r>
          </w:p>
        </w:tc>
        <w:tc>
          <w:tcPr>
            <w:tcW w:w="590" w:type="dxa"/>
            <w:noWrap w:val="0"/>
            <w:vAlign w:val="center"/>
          </w:tcPr>
          <w:p>
            <w:pPr>
              <w:adjustRightInd w:val="0"/>
              <w:snapToGrid w:val="0"/>
              <w:jc w:val="center"/>
              <w:rPr>
                <w:color w:val="auto"/>
              </w:rPr>
            </w:pPr>
            <w:r>
              <w:rPr>
                <w:rFonts w:hint="eastAsia"/>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gridSpan w:val="2"/>
            <w:noWrap/>
            <w:vAlign w:val="center"/>
          </w:tcPr>
          <w:p>
            <w:pPr>
              <w:adjustRightInd w:val="0"/>
              <w:snapToGrid w:val="0"/>
              <w:rPr>
                <w:color w:val="auto"/>
              </w:rPr>
            </w:pPr>
            <w:r>
              <w:rPr>
                <w:rFonts w:hint="eastAsia"/>
                <w:color w:val="auto"/>
              </w:rPr>
              <w:t>三、工程服务及配件</w:t>
            </w:r>
          </w:p>
        </w:tc>
        <w:tc>
          <w:tcPr>
            <w:tcW w:w="5434" w:type="dxa"/>
            <w:noWrap w:val="0"/>
            <w:vAlign w:val="center"/>
          </w:tcPr>
          <w:p>
            <w:pPr>
              <w:adjustRightInd w:val="0"/>
              <w:snapToGrid w:val="0"/>
              <w:rPr>
                <w:i/>
                <w:iCs/>
                <w:color w:val="auto"/>
              </w:rPr>
            </w:pPr>
            <w:r>
              <w:rPr>
                <w:rFonts w:hint="eastAsia"/>
                <w:i/>
                <w:iCs/>
                <w:color w:val="auto"/>
              </w:rPr>
              <w:t>　</w:t>
            </w:r>
          </w:p>
        </w:tc>
        <w:tc>
          <w:tcPr>
            <w:tcW w:w="858" w:type="dxa"/>
            <w:noWrap w:val="0"/>
            <w:vAlign w:val="center"/>
          </w:tcPr>
          <w:p>
            <w:pPr>
              <w:adjustRightInd w:val="0"/>
              <w:snapToGrid w:val="0"/>
              <w:rPr>
                <w:i/>
                <w:iCs/>
                <w:color w:val="auto"/>
              </w:rPr>
            </w:pPr>
            <w:r>
              <w:rPr>
                <w:rFonts w:hint="eastAsia"/>
                <w:i/>
                <w:iCs/>
                <w:color w:val="auto"/>
              </w:rPr>
              <w:t>　</w:t>
            </w:r>
          </w:p>
        </w:tc>
        <w:tc>
          <w:tcPr>
            <w:tcW w:w="590" w:type="dxa"/>
            <w:noWrap w:val="0"/>
            <w:vAlign w:val="center"/>
          </w:tcPr>
          <w:p>
            <w:pPr>
              <w:adjustRightInd w:val="0"/>
              <w:snapToGrid w:val="0"/>
              <w:rPr>
                <w:i/>
                <w:iCs/>
                <w:color w:val="auto"/>
              </w:rPr>
            </w:pPr>
            <w:r>
              <w:rPr>
                <w:rFonts w:hint="eastAsia"/>
                <w:i/>
                <w:iCs/>
                <w:color w:val="auto"/>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1" w:type="dxa"/>
            <w:noWrap w:val="0"/>
            <w:vAlign w:val="center"/>
          </w:tcPr>
          <w:p>
            <w:pPr>
              <w:adjustRightInd w:val="0"/>
              <w:snapToGrid w:val="0"/>
              <w:jc w:val="center"/>
              <w:rPr>
                <w:color w:val="auto"/>
              </w:rPr>
            </w:pPr>
            <w:r>
              <w:rPr>
                <w:rFonts w:hint="eastAsia"/>
                <w:color w:val="auto"/>
              </w:rPr>
              <w:t>1</w:t>
            </w:r>
          </w:p>
        </w:tc>
        <w:tc>
          <w:tcPr>
            <w:tcW w:w="991" w:type="dxa"/>
            <w:noWrap w:val="0"/>
            <w:vAlign w:val="center"/>
          </w:tcPr>
          <w:p>
            <w:pPr>
              <w:adjustRightInd w:val="0"/>
              <w:snapToGrid w:val="0"/>
              <w:jc w:val="center"/>
              <w:rPr>
                <w:color w:val="auto"/>
              </w:rPr>
            </w:pPr>
            <w:r>
              <w:rPr>
                <w:rFonts w:hint="eastAsia"/>
                <w:color w:val="auto"/>
              </w:rPr>
              <w:t>钢结构及包边</w:t>
            </w:r>
          </w:p>
        </w:tc>
        <w:tc>
          <w:tcPr>
            <w:tcW w:w="5434" w:type="dxa"/>
            <w:noWrap w:val="0"/>
            <w:vAlign w:val="center"/>
          </w:tcPr>
          <w:p>
            <w:pPr>
              <w:adjustRightInd w:val="0"/>
              <w:snapToGrid w:val="0"/>
              <w:rPr>
                <w:rFonts w:hint="eastAsia" w:eastAsia="宋体"/>
                <w:color w:val="auto"/>
                <w:lang w:eastAsia="zh-CN"/>
              </w:rPr>
            </w:pPr>
            <w:r>
              <w:rPr>
                <w:rFonts w:hint="eastAsia"/>
                <w:color w:val="auto"/>
              </w:rPr>
              <w:t>显示屏支撑钢结构材料必须采用国标材料，钢结构材质为Q235B，不可采用非标；支撑钢结构采用镀锌钢材并在焊接处做好防锈处理；结构作业点处理及复原屏体安装调试、不锈钢装饰包边</w:t>
            </w:r>
            <w:r>
              <w:rPr>
                <w:rFonts w:hint="eastAsia"/>
                <w:color w:val="auto"/>
                <w:lang w:eastAsia="zh-CN"/>
              </w:rPr>
              <w:t>。</w:t>
            </w:r>
          </w:p>
        </w:tc>
        <w:tc>
          <w:tcPr>
            <w:tcW w:w="858" w:type="dxa"/>
            <w:noWrap w:val="0"/>
            <w:vAlign w:val="center"/>
          </w:tcPr>
          <w:p>
            <w:pPr>
              <w:adjustRightInd w:val="0"/>
              <w:snapToGrid w:val="0"/>
              <w:jc w:val="center"/>
              <w:rPr>
                <w:color w:val="auto"/>
              </w:rPr>
            </w:pPr>
            <w:r>
              <w:rPr>
                <w:rFonts w:hint="eastAsia"/>
                <w:color w:val="auto"/>
              </w:rPr>
              <w:t>230</w:t>
            </w:r>
          </w:p>
        </w:tc>
        <w:tc>
          <w:tcPr>
            <w:tcW w:w="590" w:type="dxa"/>
            <w:noWrap w:val="0"/>
            <w:vAlign w:val="center"/>
          </w:tcPr>
          <w:p>
            <w:pPr>
              <w:adjustRightInd w:val="0"/>
              <w:snapToGrid w:val="0"/>
              <w:jc w:val="center"/>
              <w:rPr>
                <w:color w:val="auto"/>
              </w:rPr>
            </w:pPr>
            <w:r>
              <w:rPr>
                <w:rFonts w:hint="eastAsia"/>
                <w:color w:val="auto"/>
              </w:rPr>
              <w:t>m²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1" w:type="dxa"/>
            <w:noWrap w:val="0"/>
            <w:vAlign w:val="center"/>
          </w:tcPr>
          <w:p>
            <w:pPr>
              <w:adjustRightInd w:val="0"/>
              <w:snapToGrid w:val="0"/>
              <w:jc w:val="center"/>
              <w:rPr>
                <w:color w:val="auto"/>
              </w:rPr>
            </w:pPr>
            <w:r>
              <w:rPr>
                <w:rFonts w:hint="eastAsia"/>
                <w:color w:val="auto"/>
              </w:rPr>
              <w:t>2</w:t>
            </w:r>
          </w:p>
        </w:tc>
        <w:tc>
          <w:tcPr>
            <w:tcW w:w="991" w:type="dxa"/>
            <w:noWrap w:val="0"/>
            <w:vAlign w:val="center"/>
          </w:tcPr>
          <w:p>
            <w:pPr>
              <w:adjustRightInd w:val="0"/>
              <w:snapToGrid w:val="0"/>
              <w:jc w:val="center"/>
              <w:rPr>
                <w:color w:val="auto"/>
              </w:rPr>
            </w:pPr>
            <w:r>
              <w:rPr>
                <w:rFonts w:hint="eastAsia"/>
                <w:color w:val="auto"/>
              </w:rPr>
              <w:t>布线</w:t>
            </w:r>
          </w:p>
        </w:tc>
        <w:tc>
          <w:tcPr>
            <w:tcW w:w="5434" w:type="dxa"/>
            <w:noWrap w:val="0"/>
            <w:vAlign w:val="center"/>
          </w:tcPr>
          <w:p>
            <w:pPr>
              <w:adjustRightInd w:val="0"/>
              <w:snapToGrid w:val="0"/>
              <w:rPr>
                <w:color w:val="auto"/>
              </w:rPr>
            </w:pPr>
            <w:r>
              <w:rPr>
                <w:rFonts w:hint="eastAsia"/>
                <w:color w:val="auto"/>
              </w:rPr>
              <w:t>屏体布线</w:t>
            </w:r>
          </w:p>
        </w:tc>
        <w:tc>
          <w:tcPr>
            <w:tcW w:w="858" w:type="dxa"/>
            <w:noWrap w:val="0"/>
            <w:vAlign w:val="center"/>
          </w:tcPr>
          <w:p>
            <w:pPr>
              <w:adjustRightInd w:val="0"/>
              <w:snapToGrid w:val="0"/>
              <w:jc w:val="center"/>
              <w:rPr>
                <w:color w:val="auto"/>
              </w:rPr>
            </w:pPr>
            <w:r>
              <w:rPr>
                <w:rFonts w:hint="eastAsia"/>
                <w:color w:val="auto"/>
              </w:rPr>
              <w:t>230</w:t>
            </w:r>
          </w:p>
        </w:tc>
        <w:tc>
          <w:tcPr>
            <w:tcW w:w="590" w:type="dxa"/>
            <w:noWrap w:val="0"/>
            <w:vAlign w:val="center"/>
          </w:tcPr>
          <w:p>
            <w:pPr>
              <w:adjustRightInd w:val="0"/>
              <w:snapToGrid w:val="0"/>
              <w:jc w:val="center"/>
              <w:rPr>
                <w:color w:val="auto"/>
              </w:rPr>
            </w:pPr>
            <w:r>
              <w:rPr>
                <w:rFonts w:hint="eastAsia"/>
                <w:color w:val="auto"/>
              </w:rPr>
              <w:t>m²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1" w:type="dxa"/>
            <w:noWrap w:val="0"/>
            <w:vAlign w:val="center"/>
          </w:tcPr>
          <w:p>
            <w:pPr>
              <w:adjustRightInd w:val="0"/>
              <w:snapToGrid w:val="0"/>
              <w:jc w:val="center"/>
              <w:rPr>
                <w:color w:val="auto"/>
              </w:rPr>
            </w:pPr>
            <w:r>
              <w:rPr>
                <w:rFonts w:hint="eastAsia"/>
                <w:color w:val="auto"/>
              </w:rPr>
              <w:t>3</w:t>
            </w:r>
          </w:p>
        </w:tc>
        <w:tc>
          <w:tcPr>
            <w:tcW w:w="991" w:type="dxa"/>
            <w:noWrap w:val="0"/>
            <w:vAlign w:val="center"/>
          </w:tcPr>
          <w:p>
            <w:pPr>
              <w:adjustRightInd w:val="0"/>
              <w:snapToGrid w:val="0"/>
              <w:jc w:val="center"/>
              <w:rPr>
                <w:color w:val="auto"/>
              </w:rPr>
            </w:pPr>
            <w:r>
              <w:rPr>
                <w:rFonts w:hint="eastAsia"/>
                <w:color w:val="auto"/>
              </w:rPr>
              <w:t>布线</w:t>
            </w:r>
          </w:p>
        </w:tc>
        <w:tc>
          <w:tcPr>
            <w:tcW w:w="5434" w:type="dxa"/>
            <w:noWrap w:val="0"/>
            <w:vAlign w:val="center"/>
          </w:tcPr>
          <w:p>
            <w:pPr>
              <w:adjustRightInd w:val="0"/>
              <w:snapToGrid w:val="0"/>
              <w:rPr>
                <w:color w:val="auto"/>
              </w:rPr>
            </w:pPr>
            <w:r>
              <w:rPr>
                <w:rFonts w:hint="eastAsia"/>
                <w:color w:val="auto"/>
              </w:rPr>
              <w:t>分布式布线</w:t>
            </w:r>
          </w:p>
        </w:tc>
        <w:tc>
          <w:tcPr>
            <w:tcW w:w="858" w:type="dxa"/>
            <w:noWrap w:val="0"/>
            <w:vAlign w:val="center"/>
          </w:tcPr>
          <w:p>
            <w:pPr>
              <w:adjustRightInd w:val="0"/>
              <w:snapToGrid w:val="0"/>
              <w:jc w:val="center"/>
              <w:rPr>
                <w:color w:val="auto"/>
              </w:rPr>
            </w:pPr>
            <w:r>
              <w:rPr>
                <w:rFonts w:hint="eastAsia"/>
                <w:color w:val="auto"/>
              </w:rPr>
              <w:t>230</w:t>
            </w:r>
          </w:p>
        </w:tc>
        <w:tc>
          <w:tcPr>
            <w:tcW w:w="590" w:type="dxa"/>
            <w:noWrap w:val="0"/>
            <w:vAlign w:val="center"/>
          </w:tcPr>
          <w:p>
            <w:pPr>
              <w:adjustRightInd w:val="0"/>
              <w:snapToGrid w:val="0"/>
              <w:jc w:val="center"/>
              <w:rPr>
                <w:color w:val="auto"/>
              </w:rPr>
            </w:pPr>
            <w:r>
              <w:rPr>
                <w:rFonts w:hint="eastAsia"/>
                <w:color w:val="auto"/>
              </w:rPr>
              <w:t>m²</w:t>
            </w:r>
          </w:p>
        </w:tc>
      </w:tr>
    </w:tbl>
    <w:p>
      <w:pPr>
        <w:spacing w:line="360" w:lineRule="auto"/>
        <w:rPr>
          <w:b/>
          <w:bCs/>
          <w:color w:val="auto"/>
        </w:rPr>
      </w:pPr>
    </w:p>
    <w:p>
      <w:pPr>
        <w:pStyle w:val="8"/>
        <w:widowControl/>
        <w:spacing w:beforeAutospacing="0" w:afterAutospacing="0" w:line="360" w:lineRule="auto"/>
        <w:jc w:val="both"/>
        <w:rPr>
          <w:rFonts w:ascii="宋体" w:hAnsi="宋体" w:eastAsia="宋体" w:cs="Times New Roman"/>
          <w:b/>
          <w:bCs/>
          <w:color w:val="auto"/>
          <w:shd w:val="clear" w:color="auto" w:fill="FFFFFF"/>
        </w:rPr>
      </w:pPr>
      <w:r>
        <w:rPr>
          <w:rFonts w:hint="eastAsia" w:ascii="宋体" w:hAnsi="宋体" w:eastAsia="宋体" w:cs="Times New Roman"/>
          <w:b/>
          <w:bCs/>
          <w:color w:val="auto"/>
          <w:shd w:val="clear" w:color="auto" w:fill="FFFFFF"/>
        </w:rPr>
        <w:t>3.1.2</w:t>
      </w:r>
      <w:r>
        <w:rPr>
          <w:rFonts w:ascii="宋体" w:hAnsi="宋体" w:eastAsia="宋体" w:cs="Times New Roman"/>
          <w:b/>
          <w:bCs/>
          <w:color w:val="auto"/>
          <w:shd w:val="clear" w:color="auto" w:fill="FFFFFF"/>
        </w:rPr>
        <w:t>光纤分布式系统</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5"/>
        <w:gridCol w:w="1048"/>
        <w:gridCol w:w="5705"/>
        <w:gridCol w:w="663"/>
        <w:gridCol w:w="5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14" w:type="pct"/>
            <w:noWrap w:val="0"/>
            <w:vAlign w:val="center"/>
          </w:tcPr>
          <w:p>
            <w:pPr>
              <w:adjustRightInd w:val="0"/>
              <w:snapToGrid w:val="0"/>
              <w:jc w:val="center"/>
              <w:rPr>
                <w:color w:val="auto"/>
              </w:rPr>
            </w:pPr>
            <w:r>
              <w:rPr>
                <w:color w:val="auto"/>
              </w:rPr>
              <w:t>序号</w:t>
            </w:r>
          </w:p>
        </w:tc>
        <w:tc>
          <w:tcPr>
            <w:tcW w:w="615" w:type="pct"/>
            <w:noWrap w:val="0"/>
            <w:vAlign w:val="center"/>
          </w:tcPr>
          <w:p>
            <w:pPr>
              <w:adjustRightInd w:val="0"/>
              <w:snapToGrid w:val="0"/>
              <w:jc w:val="center"/>
              <w:rPr>
                <w:color w:val="auto"/>
              </w:rPr>
            </w:pPr>
            <w:r>
              <w:rPr>
                <w:color w:val="auto"/>
              </w:rPr>
              <w:t>名称</w:t>
            </w:r>
          </w:p>
        </w:tc>
        <w:tc>
          <w:tcPr>
            <w:tcW w:w="3347" w:type="pct"/>
            <w:noWrap w:val="0"/>
            <w:vAlign w:val="center"/>
          </w:tcPr>
          <w:p>
            <w:pPr>
              <w:adjustRightInd w:val="0"/>
              <w:snapToGrid w:val="0"/>
              <w:jc w:val="center"/>
              <w:rPr>
                <w:color w:val="auto"/>
              </w:rPr>
            </w:pPr>
            <w:r>
              <w:rPr>
                <w:color w:val="auto"/>
              </w:rPr>
              <w:t>技术要求</w:t>
            </w:r>
          </w:p>
        </w:tc>
        <w:tc>
          <w:tcPr>
            <w:tcW w:w="389" w:type="pct"/>
            <w:noWrap w:val="0"/>
            <w:vAlign w:val="center"/>
          </w:tcPr>
          <w:p>
            <w:pPr>
              <w:adjustRightInd w:val="0"/>
              <w:snapToGrid w:val="0"/>
              <w:jc w:val="center"/>
              <w:rPr>
                <w:color w:val="auto"/>
              </w:rPr>
            </w:pPr>
            <w:r>
              <w:rPr>
                <w:color w:val="auto"/>
              </w:rPr>
              <w:t>单位</w:t>
            </w:r>
          </w:p>
        </w:tc>
        <w:tc>
          <w:tcPr>
            <w:tcW w:w="335" w:type="pct"/>
            <w:noWrap w:val="0"/>
            <w:vAlign w:val="center"/>
          </w:tcPr>
          <w:p>
            <w:pPr>
              <w:adjustRightInd w:val="0"/>
              <w:snapToGrid w:val="0"/>
              <w:jc w:val="center"/>
              <w:rPr>
                <w:color w:val="auto"/>
              </w:rPr>
            </w:pPr>
            <w:r>
              <w:rPr>
                <w:color w:val="auto"/>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pct"/>
            <w:gridSpan w:val="2"/>
            <w:noWrap w:val="0"/>
            <w:vAlign w:val="center"/>
          </w:tcPr>
          <w:p>
            <w:pPr>
              <w:adjustRightInd w:val="0"/>
              <w:snapToGrid w:val="0"/>
              <w:rPr>
                <w:color w:val="auto"/>
              </w:rPr>
            </w:pPr>
            <w:r>
              <w:rPr>
                <w:color w:val="auto"/>
              </w:rPr>
              <w:t>一、指挥中心</w:t>
            </w:r>
          </w:p>
        </w:tc>
        <w:tc>
          <w:tcPr>
            <w:tcW w:w="3347" w:type="pct"/>
            <w:noWrap w:val="0"/>
            <w:vAlign w:val="center"/>
          </w:tcPr>
          <w:p>
            <w:pPr>
              <w:adjustRightInd w:val="0"/>
              <w:snapToGrid w:val="0"/>
              <w:rPr>
                <w:color w:val="auto"/>
              </w:rPr>
            </w:pPr>
            <w:r>
              <w:rPr>
                <w:color w:val="auto"/>
              </w:rPr>
              <w:t>　</w:t>
            </w:r>
          </w:p>
        </w:tc>
        <w:tc>
          <w:tcPr>
            <w:tcW w:w="389" w:type="pct"/>
            <w:noWrap w:val="0"/>
            <w:vAlign w:val="center"/>
          </w:tcPr>
          <w:p>
            <w:pPr>
              <w:adjustRightInd w:val="0"/>
              <w:snapToGrid w:val="0"/>
              <w:rPr>
                <w:color w:val="auto"/>
              </w:rPr>
            </w:pPr>
            <w:r>
              <w:rPr>
                <w:color w:val="auto"/>
              </w:rPr>
              <w:t>　</w:t>
            </w:r>
          </w:p>
        </w:tc>
        <w:tc>
          <w:tcPr>
            <w:tcW w:w="335" w:type="pct"/>
            <w:noWrap w:val="0"/>
            <w:vAlign w:val="center"/>
          </w:tcPr>
          <w:p>
            <w:pPr>
              <w:adjustRightInd w:val="0"/>
              <w:snapToGrid w:val="0"/>
              <w:rPr>
                <w:color w:val="auto"/>
              </w:rPr>
            </w:pPr>
            <w:r>
              <w:rPr>
                <w:color w:val="auto"/>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6" w:type="pct"/>
            <w:gridSpan w:val="3"/>
            <w:noWrap w:val="0"/>
            <w:vAlign w:val="center"/>
          </w:tcPr>
          <w:p>
            <w:pPr>
              <w:adjustRightInd w:val="0"/>
              <w:snapToGrid w:val="0"/>
              <w:rPr>
                <w:color w:val="auto"/>
              </w:rPr>
            </w:pPr>
            <w:r>
              <w:rPr>
                <w:color w:val="auto"/>
              </w:rPr>
              <w:t>1.1坐席管理及视频处理系统</w:t>
            </w:r>
          </w:p>
        </w:tc>
        <w:tc>
          <w:tcPr>
            <w:tcW w:w="389" w:type="pct"/>
            <w:noWrap w:val="0"/>
            <w:vAlign w:val="center"/>
          </w:tcPr>
          <w:p>
            <w:pPr>
              <w:adjustRightInd w:val="0"/>
              <w:snapToGrid w:val="0"/>
              <w:rPr>
                <w:color w:val="auto"/>
              </w:rPr>
            </w:pPr>
            <w:r>
              <w:rPr>
                <w:color w:val="auto"/>
              </w:rPr>
              <w:t>　</w:t>
            </w:r>
          </w:p>
        </w:tc>
        <w:tc>
          <w:tcPr>
            <w:tcW w:w="335" w:type="pct"/>
            <w:noWrap w:val="0"/>
            <w:vAlign w:val="center"/>
          </w:tcPr>
          <w:p>
            <w:pPr>
              <w:adjustRightInd w:val="0"/>
              <w:snapToGrid w:val="0"/>
              <w:rPr>
                <w:color w:val="auto"/>
              </w:rPr>
            </w:pPr>
            <w:r>
              <w:rPr>
                <w:color w:val="auto"/>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noWrap w:val="0"/>
            <w:vAlign w:val="center"/>
          </w:tcPr>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r>
              <w:rPr>
                <w:color w:val="auto"/>
              </w:rPr>
              <w:t>1</w:t>
            </w:r>
          </w:p>
        </w:tc>
        <w:tc>
          <w:tcPr>
            <w:tcW w:w="615" w:type="pct"/>
            <w:noWrap w:val="0"/>
            <w:vAlign w:val="center"/>
          </w:tcPr>
          <w:p>
            <w:pPr>
              <w:adjustRightInd w:val="0"/>
              <w:snapToGrid w:val="0"/>
              <w:rPr>
                <w:color w:val="auto"/>
              </w:rPr>
            </w:pPr>
          </w:p>
          <w:p>
            <w:pPr>
              <w:adjustRightInd w:val="0"/>
              <w:snapToGrid w:val="0"/>
              <w:rPr>
                <w:color w:val="auto"/>
              </w:rPr>
            </w:pPr>
          </w:p>
          <w:p>
            <w:pPr>
              <w:adjustRightInd w:val="0"/>
              <w:snapToGrid w:val="0"/>
              <w:rPr>
                <w:color w:val="auto"/>
              </w:rPr>
            </w:pPr>
          </w:p>
          <w:p>
            <w:pPr>
              <w:adjustRightInd w:val="0"/>
              <w:snapToGrid w:val="0"/>
              <w:rPr>
                <w:color w:val="auto"/>
              </w:rPr>
            </w:pPr>
          </w:p>
          <w:p>
            <w:pPr>
              <w:adjustRightInd w:val="0"/>
              <w:snapToGrid w:val="0"/>
              <w:rPr>
                <w:color w:val="auto"/>
              </w:rPr>
            </w:pPr>
          </w:p>
          <w:p>
            <w:pPr>
              <w:adjustRightInd w:val="0"/>
              <w:snapToGrid w:val="0"/>
              <w:rPr>
                <w:color w:val="auto"/>
              </w:rPr>
            </w:pPr>
          </w:p>
          <w:p>
            <w:pPr>
              <w:adjustRightInd w:val="0"/>
              <w:snapToGrid w:val="0"/>
              <w:rPr>
                <w:color w:val="auto"/>
              </w:rPr>
            </w:pPr>
          </w:p>
          <w:p>
            <w:pPr>
              <w:adjustRightInd w:val="0"/>
              <w:snapToGrid w:val="0"/>
              <w:rPr>
                <w:color w:val="auto"/>
              </w:rPr>
            </w:pPr>
          </w:p>
          <w:p>
            <w:pPr>
              <w:adjustRightInd w:val="0"/>
              <w:snapToGrid w:val="0"/>
              <w:rPr>
                <w:color w:val="auto"/>
              </w:rPr>
            </w:pPr>
          </w:p>
          <w:p>
            <w:pPr>
              <w:adjustRightInd w:val="0"/>
              <w:snapToGrid w:val="0"/>
              <w:rPr>
                <w:color w:val="auto"/>
              </w:rPr>
            </w:pPr>
          </w:p>
          <w:p>
            <w:pPr>
              <w:adjustRightInd w:val="0"/>
              <w:snapToGrid w:val="0"/>
              <w:rPr>
                <w:color w:val="auto"/>
              </w:rPr>
            </w:pPr>
          </w:p>
          <w:p>
            <w:pPr>
              <w:adjustRightInd w:val="0"/>
              <w:snapToGrid w:val="0"/>
              <w:rPr>
                <w:color w:val="auto"/>
              </w:rPr>
            </w:pPr>
          </w:p>
          <w:p>
            <w:pPr>
              <w:adjustRightInd w:val="0"/>
              <w:snapToGrid w:val="0"/>
              <w:rPr>
                <w:color w:val="auto"/>
              </w:rPr>
            </w:pPr>
          </w:p>
          <w:p>
            <w:pPr>
              <w:adjustRightInd w:val="0"/>
              <w:snapToGrid w:val="0"/>
              <w:rPr>
                <w:color w:val="auto"/>
              </w:rPr>
            </w:pPr>
          </w:p>
          <w:p>
            <w:pPr>
              <w:adjustRightInd w:val="0"/>
              <w:snapToGrid w:val="0"/>
              <w:rPr>
                <w:color w:val="auto"/>
              </w:rPr>
            </w:pPr>
          </w:p>
          <w:p>
            <w:pPr>
              <w:adjustRightInd w:val="0"/>
              <w:snapToGrid w:val="0"/>
              <w:rPr>
                <w:color w:val="auto"/>
              </w:rPr>
            </w:pPr>
          </w:p>
          <w:p>
            <w:pPr>
              <w:adjustRightInd w:val="0"/>
              <w:snapToGrid w:val="0"/>
              <w:rPr>
                <w:color w:val="auto"/>
              </w:rPr>
            </w:pPr>
          </w:p>
          <w:p>
            <w:pPr>
              <w:adjustRightInd w:val="0"/>
              <w:snapToGrid w:val="0"/>
              <w:rPr>
                <w:color w:val="auto"/>
              </w:rPr>
            </w:pPr>
          </w:p>
          <w:p>
            <w:pPr>
              <w:adjustRightInd w:val="0"/>
              <w:snapToGrid w:val="0"/>
              <w:rPr>
                <w:color w:val="auto"/>
              </w:rPr>
            </w:pPr>
          </w:p>
          <w:p>
            <w:pPr>
              <w:adjustRightInd w:val="0"/>
              <w:snapToGrid w:val="0"/>
              <w:rPr>
                <w:color w:val="auto"/>
              </w:rPr>
            </w:pPr>
            <w:r>
              <w:rPr>
                <w:color w:val="auto"/>
              </w:rPr>
              <w:t>光纤KVM坐席拼控管理主机</w:t>
            </w:r>
          </w:p>
        </w:tc>
        <w:tc>
          <w:tcPr>
            <w:tcW w:w="3347" w:type="pct"/>
            <w:noWrap w:val="0"/>
            <w:vAlign w:val="center"/>
          </w:tcPr>
          <w:p>
            <w:pPr>
              <w:numPr>
                <w:ilvl w:val="0"/>
                <w:numId w:val="2"/>
              </w:numPr>
              <w:adjustRightInd w:val="0"/>
              <w:snapToGrid w:val="0"/>
              <w:ind w:left="0"/>
              <w:rPr>
                <w:color w:val="auto"/>
              </w:rPr>
            </w:pPr>
            <w:r>
              <w:rPr>
                <w:rFonts w:hint="eastAsia"/>
                <w:color w:val="auto"/>
              </w:rPr>
              <w:t>1、</w:t>
            </w:r>
            <w:r>
              <w:rPr>
                <w:color w:val="auto"/>
              </w:rPr>
              <w:t>配置1台总数不小于384通道光纤KVM坐席拼控管理主机；内置中央控制处理器，采用内核嵌入式硬件架构，完全不占据系统资源，且无需操作系统，完全杜绝IT病毒侵扰、黑客攻击，确保高度的安全和保密性；考虑系统抗干扰性、传输高效性，杜绝集中式混合矩阵架构，光纤KVM坐席协作拼控管理主机所有端口须光口，即通过光纤远距离传输各类信号：HDMI、双HDMI、DVI、键鼠、音频、RS232等信号。</w:t>
            </w:r>
            <w:r>
              <w:rPr>
                <w:rFonts w:hint="eastAsia"/>
                <w:color w:val="auto"/>
              </w:rPr>
              <w:t>单块</w:t>
            </w:r>
            <w:r>
              <w:rPr>
                <w:color w:val="auto"/>
              </w:rPr>
              <w:t>I/O板卡支持输入输出端口随意分配，具有输入输出端口自适应能力，无需定义。</w:t>
            </w:r>
          </w:p>
          <w:p>
            <w:pPr>
              <w:numPr>
                <w:ilvl w:val="0"/>
                <w:numId w:val="2"/>
              </w:numPr>
              <w:adjustRightInd w:val="0"/>
              <w:snapToGrid w:val="0"/>
              <w:ind w:left="0"/>
              <w:rPr>
                <w:color w:val="auto"/>
              </w:rPr>
            </w:pPr>
            <w:r>
              <w:rPr>
                <w:color w:val="auto"/>
              </w:rPr>
              <w:t>2</w:t>
            </w:r>
            <w:r>
              <w:rPr>
                <w:rFonts w:hint="eastAsia"/>
                <w:color w:val="auto"/>
              </w:rPr>
              <w:t>、</w:t>
            </w:r>
            <w:r>
              <w:rPr>
                <w:color w:val="auto"/>
              </w:rPr>
              <w:t>▲考虑系统的安全必要性，平台须采用非TCP/IP协议方式，要求采用非交换机的闭环式全光引擎架构，无需占用现有的网络资源，并把数据业务信息和管理控制信息完全剥离，通过专用物理信道承载管理控制信息，防止病毒感染、黑客攻击，防雷击、过载、断电和人为破坏，确保具有高度的安全和保密性；</w:t>
            </w:r>
            <w:r>
              <w:rPr>
                <w:rFonts w:hint="eastAsia"/>
                <w:color w:val="auto"/>
              </w:rPr>
              <w:t>提供第三方检测机构出具的检测报告</w:t>
            </w:r>
            <w:r>
              <w:rPr>
                <w:color w:val="auto"/>
              </w:rPr>
              <w:t>。</w:t>
            </w:r>
          </w:p>
          <w:p>
            <w:pPr>
              <w:numPr>
                <w:ilvl w:val="0"/>
                <w:numId w:val="2"/>
              </w:numPr>
              <w:adjustRightInd w:val="0"/>
              <w:snapToGrid w:val="0"/>
              <w:ind w:left="0"/>
              <w:rPr>
                <w:color w:val="auto"/>
              </w:rPr>
            </w:pPr>
            <w:r>
              <w:rPr>
                <w:color w:val="auto"/>
              </w:rPr>
              <w:t>3</w:t>
            </w:r>
            <w:r>
              <w:rPr>
                <w:rFonts w:hint="eastAsia"/>
                <w:color w:val="auto"/>
              </w:rPr>
              <w:t>、</w:t>
            </w:r>
            <w:r>
              <w:rPr>
                <w:color w:val="auto"/>
              </w:rPr>
              <w:t>▲主机具备主机端口自适应技术，实现光纤光缆插至另外一个空余端口，引擎实现自动寻址识别，数据信号快速恢复；信号恢复时间≤3s；</w:t>
            </w:r>
            <w:r>
              <w:rPr>
                <w:rFonts w:hint="eastAsia"/>
                <w:color w:val="auto"/>
              </w:rPr>
              <w:t>提供第三方检测机构出具的检测报告</w:t>
            </w:r>
            <w:r>
              <w:rPr>
                <w:color w:val="auto"/>
              </w:rPr>
              <w:t>。</w:t>
            </w:r>
          </w:p>
          <w:p>
            <w:pPr>
              <w:numPr>
                <w:ilvl w:val="0"/>
                <w:numId w:val="2"/>
              </w:numPr>
              <w:adjustRightInd w:val="0"/>
              <w:snapToGrid w:val="0"/>
              <w:ind w:left="0"/>
              <w:rPr>
                <w:color w:val="auto"/>
              </w:rPr>
            </w:pPr>
            <w:r>
              <w:rPr>
                <w:color w:val="auto"/>
              </w:rPr>
              <w:t>4</w:t>
            </w:r>
            <w:r>
              <w:rPr>
                <w:rFonts w:hint="eastAsia"/>
                <w:color w:val="auto"/>
              </w:rPr>
              <w:t>、</w:t>
            </w:r>
            <w:r>
              <w:rPr>
                <w:color w:val="auto"/>
              </w:rPr>
              <w:t>▲要求不同分辨率和同分辨率切换无黑屏、</w:t>
            </w:r>
            <w:r>
              <w:rPr>
                <w:rFonts w:hint="eastAsia"/>
                <w:color w:val="auto"/>
              </w:rPr>
              <w:t>无</w:t>
            </w:r>
            <w:r>
              <w:rPr>
                <w:color w:val="auto"/>
              </w:rPr>
              <w:t>重新同步、无可见延迟，切换时间≤17ms。</w:t>
            </w:r>
            <w:r>
              <w:rPr>
                <w:rFonts w:hint="eastAsia"/>
                <w:color w:val="auto"/>
              </w:rPr>
              <w:t>提供第三方检测机构出具的检测报告</w:t>
            </w:r>
            <w:r>
              <w:rPr>
                <w:color w:val="auto"/>
              </w:rPr>
              <w:t>。</w:t>
            </w:r>
          </w:p>
          <w:p>
            <w:pPr>
              <w:numPr>
                <w:ilvl w:val="0"/>
                <w:numId w:val="2"/>
              </w:numPr>
              <w:adjustRightInd w:val="0"/>
              <w:snapToGrid w:val="0"/>
              <w:ind w:left="0"/>
              <w:rPr>
                <w:color w:val="auto"/>
              </w:rPr>
            </w:pPr>
            <w:r>
              <w:rPr>
                <w:color w:val="auto"/>
              </w:rPr>
              <w:t>5</w:t>
            </w:r>
            <w:r>
              <w:rPr>
                <w:rFonts w:hint="eastAsia"/>
                <w:color w:val="auto"/>
              </w:rPr>
              <w:t>、</w:t>
            </w:r>
            <w:r>
              <w:rPr>
                <w:color w:val="auto"/>
              </w:rPr>
              <w:t>▲光纤I/O板卡热拔插恢复时间≤8s，主机具备全冗余主备引擎自动热跳转场景，即当主用主机发生断电、故障时，平台将瞬间无缝自动热跳转至备用主机，主机其中一路发生断开时，平台将瞬间无缝自动热跳转至备用主机对应的一路，整个跳转过程必须自动无缝完成，无需人工干预，无需重新设置，自动热跳转时间≤30ms。</w:t>
            </w:r>
            <w:r>
              <w:rPr>
                <w:rFonts w:hint="eastAsia"/>
                <w:color w:val="auto"/>
              </w:rPr>
              <w:t>提供第三方检测机构出具的检测报告</w:t>
            </w:r>
            <w:r>
              <w:rPr>
                <w:color w:val="auto"/>
              </w:rPr>
              <w:t>。</w:t>
            </w:r>
          </w:p>
          <w:p>
            <w:pPr>
              <w:numPr>
                <w:ilvl w:val="0"/>
                <w:numId w:val="2"/>
              </w:numPr>
              <w:adjustRightInd w:val="0"/>
              <w:snapToGrid w:val="0"/>
              <w:ind w:left="0"/>
              <w:rPr>
                <w:color w:val="auto"/>
              </w:rPr>
            </w:pPr>
            <w:r>
              <w:rPr>
                <w:color w:val="auto"/>
              </w:rPr>
              <w:t>6</w:t>
            </w:r>
            <w:r>
              <w:rPr>
                <w:rFonts w:hint="eastAsia"/>
                <w:color w:val="auto"/>
              </w:rPr>
              <w:t>、</w:t>
            </w:r>
            <w:r>
              <w:rPr>
                <w:color w:val="auto"/>
              </w:rPr>
              <w:t>▲平台具备N+1（N为1或者3）冗余电源供应组件的方式，当一组电源供应组件发生故障时，系统可快速无缝自动热跳转至备用电源供应组件，实现任何一组电源供应组件发生故障都不会导致平台掉电。</w:t>
            </w:r>
            <w:r>
              <w:rPr>
                <w:rFonts w:hint="eastAsia"/>
                <w:color w:val="auto"/>
              </w:rPr>
              <w:t>提供第三方检测机构出具的检测报告</w:t>
            </w:r>
            <w:r>
              <w:rPr>
                <w:color w:val="auto"/>
              </w:rPr>
              <w:t>。</w:t>
            </w:r>
          </w:p>
          <w:p>
            <w:pPr>
              <w:numPr>
                <w:ilvl w:val="0"/>
                <w:numId w:val="2"/>
              </w:numPr>
              <w:adjustRightInd w:val="0"/>
              <w:snapToGrid w:val="0"/>
              <w:ind w:left="0"/>
              <w:rPr>
                <w:color w:val="auto"/>
              </w:rPr>
            </w:pPr>
            <w:r>
              <w:rPr>
                <w:color w:val="auto"/>
              </w:rPr>
              <w:t>7</w:t>
            </w:r>
            <w:r>
              <w:rPr>
                <w:rFonts w:hint="eastAsia"/>
                <w:color w:val="auto"/>
              </w:rPr>
              <w:t>、</w:t>
            </w:r>
            <w:r>
              <w:rPr>
                <w:color w:val="auto"/>
              </w:rPr>
              <w:t>支持热插拔自动恢复，具备带电插拔和业务恢复功能，即在不关机、不切断电源的情况下可更换或移除任意接入板卡或者输入输出节点，业务自动恢复。开放API协议和HTTPS协议，支持第三方中控控制、移动平板、JAVA软件、键盘及中文OSD控制。主机多台主机双向级联扩容功能，通过主机级联实现多台主机双向通讯，实现既实现本区域的单独协作，又实现多区域控制室实时协作通讯。传输介质：LC双芯光纤；传输距离：多模光纤1000m ，单模光纤10km（最高支持80Km）；控制接口：RJ45、RS232</w:t>
            </w:r>
            <w:r>
              <w:rPr>
                <w:rFonts w:hint="eastAsia"/>
                <w:color w:val="auto"/>
                <w:lang w:eastAsia="zh-CN"/>
              </w:rPr>
              <w:t>。</w:t>
            </w:r>
          </w:p>
        </w:tc>
        <w:tc>
          <w:tcPr>
            <w:tcW w:w="389" w:type="pct"/>
            <w:noWrap w:val="0"/>
            <w:vAlign w:val="center"/>
          </w:tcPr>
          <w:p>
            <w:pPr>
              <w:adjustRightInd w:val="0"/>
              <w:snapToGrid w:val="0"/>
              <w:jc w:val="center"/>
              <w:rPr>
                <w:color w:val="auto"/>
              </w:rPr>
            </w:pPr>
            <w:r>
              <w:rPr>
                <w:color w:val="auto"/>
              </w:rPr>
              <w:t>台</w:t>
            </w:r>
          </w:p>
        </w:tc>
        <w:tc>
          <w:tcPr>
            <w:tcW w:w="335" w:type="pct"/>
            <w:noWrap/>
            <w:vAlign w:val="center"/>
          </w:tcPr>
          <w:p>
            <w:pPr>
              <w:adjustRightInd w:val="0"/>
              <w:snapToGrid w:val="0"/>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noWrap w:val="0"/>
            <w:vAlign w:val="center"/>
          </w:tcPr>
          <w:p>
            <w:pPr>
              <w:adjustRightInd w:val="0"/>
              <w:snapToGrid w:val="0"/>
              <w:rPr>
                <w:color w:val="auto"/>
              </w:rPr>
            </w:pPr>
            <w:r>
              <w:rPr>
                <w:color w:val="auto"/>
              </w:rPr>
              <w:t>2</w:t>
            </w:r>
          </w:p>
        </w:tc>
        <w:tc>
          <w:tcPr>
            <w:tcW w:w="615" w:type="pct"/>
            <w:noWrap w:val="0"/>
            <w:vAlign w:val="center"/>
          </w:tcPr>
          <w:p>
            <w:pPr>
              <w:adjustRightInd w:val="0"/>
              <w:snapToGrid w:val="0"/>
              <w:rPr>
                <w:color w:val="auto"/>
              </w:rPr>
            </w:pPr>
            <w:r>
              <w:rPr>
                <w:color w:val="auto"/>
              </w:rPr>
              <w:t>4K超高分坐席协作接入端</w:t>
            </w:r>
          </w:p>
        </w:tc>
        <w:tc>
          <w:tcPr>
            <w:tcW w:w="3347" w:type="pct"/>
            <w:noWrap w:val="0"/>
            <w:vAlign w:val="center"/>
          </w:tcPr>
          <w:p>
            <w:pPr>
              <w:adjustRightInd w:val="0"/>
              <w:snapToGrid w:val="0"/>
              <w:rPr>
                <w:color w:val="auto"/>
              </w:rPr>
            </w:pPr>
            <w:r>
              <w:rPr>
                <w:color w:val="auto"/>
              </w:rPr>
              <w:t>坐席协作接入端要求采用闭环式光纤KVM架构，通过单路光纤实现HDMI、USB-HID、USB2.0、RS232、音频等数据接入，且支持HDMI本地环出显示；提供无损压缩非编解码的高速数字切换能力，支持单链路分辨率可高达4K@30HZ ，并且向下兼容各种常用分辨率，提供高质量图像传输；具备可选主备双连接链路功能，实现系统主链路组件发生故障时系统通过全自动监测系统实时在线监测链路状态，瞬间切换到接入端与管控端的点对点备份连接链路；支持机架式集中供电安装；传输距离：100m。</w:t>
            </w:r>
          </w:p>
        </w:tc>
        <w:tc>
          <w:tcPr>
            <w:tcW w:w="389" w:type="pct"/>
            <w:noWrap w:val="0"/>
            <w:vAlign w:val="center"/>
          </w:tcPr>
          <w:p>
            <w:pPr>
              <w:adjustRightInd w:val="0"/>
              <w:snapToGrid w:val="0"/>
              <w:jc w:val="center"/>
              <w:rPr>
                <w:color w:val="auto"/>
              </w:rPr>
            </w:pPr>
            <w:r>
              <w:rPr>
                <w:color w:val="auto"/>
              </w:rPr>
              <w:t>台</w:t>
            </w:r>
          </w:p>
        </w:tc>
        <w:tc>
          <w:tcPr>
            <w:tcW w:w="335" w:type="pct"/>
            <w:noWrap/>
            <w:vAlign w:val="center"/>
          </w:tcPr>
          <w:p>
            <w:pPr>
              <w:adjustRightInd w:val="0"/>
              <w:snapToGrid w:val="0"/>
              <w:jc w:val="center"/>
              <w:rPr>
                <w:color w:val="auto"/>
              </w:rPr>
            </w:pPr>
            <w:r>
              <w:rPr>
                <w:color w:val="auto"/>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noWrap w:val="0"/>
            <w:vAlign w:val="center"/>
          </w:tcPr>
          <w:p>
            <w:pPr>
              <w:adjustRightInd w:val="0"/>
              <w:snapToGrid w:val="0"/>
              <w:rPr>
                <w:color w:val="auto"/>
              </w:rPr>
            </w:pPr>
            <w:r>
              <w:rPr>
                <w:color w:val="auto"/>
              </w:rPr>
              <w:t>3</w:t>
            </w:r>
          </w:p>
        </w:tc>
        <w:tc>
          <w:tcPr>
            <w:tcW w:w="615" w:type="pct"/>
            <w:noWrap w:val="0"/>
            <w:vAlign w:val="center"/>
          </w:tcPr>
          <w:p>
            <w:pPr>
              <w:adjustRightInd w:val="0"/>
              <w:snapToGrid w:val="0"/>
              <w:rPr>
                <w:color w:val="auto"/>
              </w:rPr>
            </w:pPr>
            <w:r>
              <w:rPr>
                <w:color w:val="auto"/>
              </w:rPr>
              <w:t>坐席协作接入管控软件</w:t>
            </w:r>
          </w:p>
        </w:tc>
        <w:tc>
          <w:tcPr>
            <w:tcW w:w="3347" w:type="pct"/>
            <w:noWrap w:val="0"/>
            <w:vAlign w:val="center"/>
          </w:tcPr>
          <w:p>
            <w:pPr>
              <w:adjustRightInd w:val="0"/>
              <w:snapToGrid w:val="0"/>
              <w:rPr>
                <w:color w:val="auto"/>
              </w:rPr>
            </w:pPr>
            <w:r>
              <w:rPr>
                <w:color w:val="auto"/>
              </w:rPr>
              <w:t>支持通过本地键盘热键的宏命令，实现一键坐席多路信号编组调取及实现一键触发多达16组坐席共享；实现可定义热键，一键将本地坐席信号推送上大屏及坐席，或一键抓取其他坐席及大屏信号源到本地坐席，同时实现键盘鼠标实时编辑的实战效果；支持热键调取OSD菜单，实时了解各个信号源连接状态和信号源接入状态；不同坐席终端使用本地键盘，通过跨平台跨网段极速通畅光标编辑操作系统，实现任意坐席一人多机的场景；具有用户权限和管控端权限，为不同坐席分配对应的操控、调用权限，以确保协同流程的通畅和系统的控制安全，满足各个工作职位的控制、分组分权限管理的要求。</w:t>
            </w:r>
          </w:p>
        </w:tc>
        <w:tc>
          <w:tcPr>
            <w:tcW w:w="389" w:type="pct"/>
            <w:noWrap w:val="0"/>
            <w:vAlign w:val="center"/>
          </w:tcPr>
          <w:p>
            <w:pPr>
              <w:adjustRightInd w:val="0"/>
              <w:snapToGrid w:val="0"/>
              <w:jc w:val="center"/>
              <w:rPr>
                <w:color w:val="auto"/>
              </w:rPr>
            </w:pPr>
            <w:r>
              <w:rPr>
                <w:color w:val="auto"/>
              </w:rPr>
              <w:t>套</w:t>
            </w:r>
          </w:p>
        </w:tc>
        <w:tc>
          <w:tcPr>
            <w:tcW w:w="335" w:type="pct"/>
            <w:noWrap/>
            <w:vAlign w:val="center"/>
          </w:tcPr>
          <w:p>
            <w:pPr>
              <w:adjustRightInd w:val="0"/>
              <w:snapToGrid w:val="0"/>
              <w:jc w:val="center"/>
              <w:rPr>
                <w:color w:val="auto"/>
              </w:rPr>
            </w:pPr>
            <w:r>
              <w:rPr>
                <w:color w:val="auto"/>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noWrap w:val="0"/>
            <w:vAlign w:val="center"/>
          </w:tcPr>
          <w:p>
            <w:pPr>
              <w:adjustRightInd w:val="0"/>
              <w:snapToGrid w:val="0"/>
              <w:rPr>
                <w:color w:val="auto"/>
              </w:rPr>
            </w:pPr>
            <w:r>
              <w:rPr>
                <w:color w:val="auto"/>
              </w:rPr>
              <w:t>4</w:t>
            </w:r>
          </w:p>
        </w:tc>
        <w:tc>
          <w:tcPr>
            <w:tcW w:w="615" w:type="pct"/>
            <w:noWrap w:val="0"/>
            <w:vAlign w:val="center"/>
          </w:tcPr>
          <w:p>
            <w:pPr>
              <w:adjustRightInd w:val="0"/>
              <w:snapToGrid w:val="0"/>
              <w:rPr>
                <w:color w:val="auto"/>
              </w:rPr>
            </w:pPr>
            <w:r>
              <w:rPr>
                <w:color w:val="auto"/>
              </w:rPr>
              <w:t xml:space="preserve">4K超高分坐席协作管控端                 </w:t>
            </w:r>
          </w:p>
        </w:tc>
        <w:tc>
          <w:tcPr>
            <w:tcW w:w="3347" w:type="pct"/>
            <w:noWrap w:val="0"/>
            <w:vAlign w:val="center"/>
          </w:tcPr>
          <w:p>
            <w:pPr>
              <w:adjustRightInd w:val="0"/>
              <w:snapToGrid w:val="0"/>
              <w:rPr>
                <w:color w:val="auto"/>
              </w:rPr>
            </w:pPr>
            <w:r>
              <w:rPr>
                <w:color w:val="auto"/>
              </w:rPr>
              <w:t>坐席协作管控端要求采用闭环式光纤KVM架构，通过单路光纤实现HDMI、USB-HID、USB2.0、RS232、音频等数据管控输出；提供无损压缩非编解码的高速数字切换能力，支持单链路分辨率可高达4K@30Hz ，并且向下兼容各种常用分辨率，提供高质量图像传输；支持机架式集中供电安装；传输距离：多模光纤≥1km,单模光纤≥10km。</w:t>
            </w:r>
          </w:p>
        </w:tc>
        <w:tc>
          <w:tcPr>
            <w:tcW w:w="389" w:type="pct"/>
            <w:noWrap w:val="0"/>
            <w:vAlign w:val="center"/>
          </w:tcPr>
          <w:p>
            <w:pPr>
              <w:adjustRightInd w:val="0"/>
              <w:snapToGrid w:val="0"/>
              <w:jc w:val="center"/>
              <w:rPr>
                <w:color w:val="auto"/>
              </w:rPr>
            </w:pPr>
            <w:r>
              <w:rPr>
                <w:color w:val="auto"/>
              </w:rPr>
              <w:t>台</w:t>
            </w:r>
          </w:p>
        </w:tc>
        <w:tc>
          <w:tcPr>
            <w:tcW w:w="335" w:type="pct"/>
            <w:noWrap/>
            <w:vAlign w:val="center"/>
          </w:tcPr>
          <w:p>
            <w:pPr>
              <w:adjustRightInd w:val="0"/>
              <w:snapToGrid w:val="0"/>
              <w:jc w:val="center"/>
              <w:rPr>
                <w:color w:val="auto"/>
              </w:rPr>
            </w:pPr>
            <w:r>
              <w:rPr>
                <w:color w:val="auto"/>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noWrap w:val="0"/>
            <w:vAlign w:val="center"/>
          </w:tcPr>
          <w:p>
            <w:pPr>
              <w:adjustRightInd w:val="0"/>
              <w:snapToGrid w:val="0"/>
              <w:rPr>
                <w:color w:val="auto"/>
              </w:rPr>
            </w:pPr>
            <w:r>
              <w:rPr>
                <w:color w:val="auto"/>
              </w:rPr>
              <w:t>5</w:t>
            </w:r>
          </w:p>
        </w:tc>
        <w:tc>
          <w:tcPr>
            <w:tcW w:w="615" w:type="pct"/>
            <w:noWrap w:val="0"/>
            <w:vAlign w:val="center"/>
          </w:tcPr>
          <w:p>
            <w:pPr>
              <w:adjustRightInd w:val="0"/>
              <w:snapToGrid w:val="0"/>
              <w:rPr>
                <w:color w:val="auto"/>
              </w:rPr>
            </w:pPr>
            <w:r>
              <w:rPr>
                <w:color w:val="auto"/>
              </w:rPr>
              <w:t xml:space="preserve">坐席协作接入管控软件                 </w:t>
            </w:r>
          </w:p>
        </w:tc>
        <w:tc>
          <w:tcPr>
            <w:tcW w:w="3347" w:type="pct"/>
            <w:noWrap w:val="0"/>
            <w:vAlign w:val="center"/>
          </w:tcPr>
          <w:p>
            <w:pPr>
              <w:adjustRightInd w:val="0"/>
              <w:snapToGrid w:val="0"/>
              <w:rPr>
                <w:rFonts w:hint="eastAsia" w:eastAsia="宋体"/>
                <w:color w:val="auto"/>
                <w:lang w:eastAsia="zh-CN"/>
              </w:rPr>
            </w:pPr>
            <w:r>
              <w:rPr>
                <w:color w:val="auto"/>
              </w:rPr>
              <w:t>支持通过本地键盘热键的宏命令，实现一键坐席多路信号编组调取及实现一键触发多达16组坐席共享；实现可定义热键，一键将本地坐席信号推送上大屏及坐席，或一键抓取其他坐席及大屏信号源到本地坐席，同时实现键盘鼠标实时编辑的实战效果；支持热键调取OSD菜单，实时了解各个信号源连接状态和信号源接入状态；不同坐席终端使用本地键盘，通过跨平台跨网段极速通畅光标编辑操作系统，实现任意坐席一人多机的场景；具有用户权限和管控端权限，为不同坐席分配对应的操控、调用权限，以确保协同流程的通畅和系统的控制安全，满足各个工作职位的控制、分组分权限管理的要求</w:t>
            </w:r>
            <w:r>
              <w:rPr>
                <w:rFonts w:hint="eastAsia"/>
                <w:color w:val="auto"/>
                <w:lang w:eastAsia="zh-CN"/>
              </w:rPr>
              <w:t>。</w:t>
            </w:r>
          </w:p>
        </w:tc>
        <w:tc>
          <w:tcPr>
            <w:tcW w:w="389" w:type="pct"/>
            <w:noWrap w:val="0"/>
            <w:vAlign w:val="center"/>
          </w:tcPr>
          <w:p>
            <w:pPr>
              <w:adjustRightInd w:val="0"/>
              <w:snapToGrid w:val="0"/>
              <w:jc w:val="center"/>
              <w:rPr>
                <w:color w:val="auto"/>
              </w:rPr>
            </w:pPr>
            <w:r>
              <w:rPr>
                <w:color w:val="auto"/>
              </w:rPr>
              <w:t>套</w:t>
            </w:r>
          </w:p>
        </w:tc>
        <w:tc>
          <w:tcPr>
            <w:tcW w:w="335" w:type="pct"/>
            <w:noWrap/>
            <w:vAlign w:val="center"/>
          </w:tcPr>
          <w:p>
            <w:pPr>
              <w:adjustRightInd w:val="0"/>
              <w:snapToGrid w:val="0"/>
              <w:jc w:val="center"/>
              <w:rPr>
                <w:color w:val="auto"/>
              </w:rPr>
            </w:pPr>
            <w:r>
              <w:rPr>
                <w:color w:val="auto"/>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noWrap w:val="0"/>
            <w:vAlign w:val="center"/>
          </w:tcPr>
          <w:p>
            <w:pPr>
              <w:adjustRightInd w:val="0"/>
              <w:snapToGrid w:val="0"/>
              <w:rPr>
                <w:color w:val="auto"/>
              </w:rPr>
            </w:pPr>
            <w:r>
              <w:rPr>
                <w:color w:val="auto"/>
              </w:rPr>
              <w:t>6</w:t>
            </w:r>
          </w:p>
        </w:tc>
        <w:tc>
          <w:tcPr>
            <w:tcW w:w="615" w:type="pct"/>
            <w:noWrap w:val="0"/>
            <w:vAlign w:val="center"/>
          </w:tcPr>
          <w:p>
            <w:pPr>
              <w:adjustRightInd w:val="0"/>
              <w:snapToGrid w:val="0"/>
              <w:rPr>
                <w:color w:val="auto"/>
              </w:rPr>
            </w:pPr>
            <w:r>
              <w:rPr>
                <w:color w:val="auto"/>
              </w:rPr>
              <w:t>双屏坐席协作接入端</w:t>
            </w:r>
          </w:p>
        </w:tc>
        <w:tc>
          <w:tcPr>
            <w:tcW w:w="3347" w:type="pct"/>
            <w:noWrap w:val="0"/>
            <w:vAlign w:val="center"/>
          </w:tcPr>
          <w:p>
            <w:pPr>
              <w:adjustRightInd w:val="0"/>
              <w:snapToGrid w:val="0"/>
              <w:rPr>
                <w:color w:val="auto"/>
              </w:rPr>
            </w:pPr>
            <w:r>
              <w:rPr>
                <w:color w:val="auto"/>
              </w:rPr>
              <w:t>坐席协作接入端要求采用闭环式光纤KVM架构，通过单路光纤实现双HDMI、USB-HID、USB2.0、RS232、音频等数据接入；提供无损压缩非编解码的高速数字切换能力，支持每路HDMI视频接口分辨率可高达1920 x 1200@60Hz，包括1080p@60Hz，提供高质量图像传输；具备可选主备双连接链路功能，实现系统主链路组件发生故障时，系统通过全自动监测系统实时在线监测链路状态，瞬间切换到接入端与管控端的点对点备份连接链路；支持机架式集中供电安装；传输距离：100m。</w:t>
            </w:r>
          </w:p>
        </w:tc>
        <w:tc>
          <w:tcPr>
            <w:tcW w:w="389" w:type="pct"/>
            <w:noWrap w:val="0"/>
            <w:vAlign w:val="center"/>
          </w:tcPr>
          <w:p>
            <w:pPr>
              <w:adjustRightInd w:val="0"/>
              <w:snapToGrid w:val="0"/>
              <w:jc w:val="center"/>
              <w:rPr>
                <w:color w:val="auto"/>
              </w:rPr>
            </w:pPr>
            <w:r>
              <w:rPr>
                <w:color w:val="auto"/>
              </w:rPr>
              <w:t>台</w:t>
            </w:r>
          </w:p>
        </w:tc>
        <w:tc>
          <w:tcPr>
            <w:tcW w:w="335" w:type="pct"/>
            <w:noWrap/>
            <w:vAlign w:val="center"/>
          </w:tcPr>
          <w:p>
            <w:pPr>
              <w:adjustRightInd w:val="0"/>
              <w:snapToGrid w:val="0"/>
              <w:jc w:val="center"/>
              <w:rPr>
                <w:color w:val="auto"/>
              </w:rPr>
            </w:pPr>
            <w:r>
              <w:rPr>
                <w:color w:val="auto"/>
              </w:rPr>
              <w:t>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noWrap w:val="0"/>
            <w:vAlign w:val="center"/>
          </w:tcPr>
          <w:p>
            <w:pPr>
              <w:adjustRightInd w:val="0"/>
              <w:snapToGrid w:val="0"/>
              <w:rPr>
                <w:color w:val="auto"/>
              </w:rPr>
            </w:pPr>
            <w:r>
              <w:rPr>
                <w:color w:val="auto"/>
              </w:rPr>
              <w:t>7</w:t>
            </w:r>
          </w:p>
        </w:tc>
        <w:tc>
          <w:tcPr>
            <w:tcW w:w="615" w:type="pct"/>
            <w:noWrap w:val="0"/>
            <w:vAlign w:val="center"/>
          </w:tcPr>
          <w:p>
            <w:pPr>
              <w:adjustRightInd w:val="0"/>
              <w:snapToGrid w:val="0"/>
              <w:rPr>
                <w:color w:val="auto"/>
              </w:rPr>
            </w:pPr>
            <w:r>
              <w:rPr>
                <w:color w:val="auto"/>
              </w:rPr>
              <w:t>坐席协作接入管控软件</w:t>
            </w:r>
          </w:p>
        </w:tc>
        <w:tc>
          <w:tcPr>
            <w:tcW w:w="3347" w:type="pct"/>
            <w:noWrap w:val="0"/>
            <w:vAlign w:val="center"/>
          </w:tcPr>
          <w:p>
            <w:pPr>
              <w:adjustRightInd w:val="0"/>
              <w:snapToGrid w:val="0"/>
              <w:rPr>
                <w:rFonts w:hint="eastAsia" w:eastAsia="宋体"/>
                <w:color w:val="auto"/>
                <w:lang w:eastAsia="zh-CN"/>
              </w:rPr>
            </w:pPr>
            <w:r>
              <w:rPr>
                <w:color w:val="auto"/>
              </w:rPr>
              <w:t>支持通过本地键盘热键的宏命令，实现一键坐席多路信号编组调取及实现一键触发多达16组坐席共享；实现可定义热键，一键将本地坐席信号推送上大屏及坐席，或一键抓取其他坐席及大屏信号源到本地坐席，同时实现键盘鼠标实时编辑的实战效果；支持热键调取OSD菜单，实时了解各个信号源连接状态和信号源接入状态；不同坐席终端使用本地键盘，通过跨平台跨网段极速通畅光标编辑操作系统，实现任意坐席一人多机的场景；具有用户权限和管控端权限，为不同坐席分配对应的操控、调用权限，以确保协同流程的通畅和系统的控制安全，满足各个工作职位的控制、分组分权限管理的要求</w:t>
            </w:r>
            <w:r>
              <w:rPr>
                <w:rFonts w:hint="eastAsia"/>
                <w:color w:val="auto"/>
                <w:lang w:eastAsia="zh-CN"/>
              </w:rPr>
              <w:t>。</w:t>
            </w:r>
          </w:p>
        </w:tc>
        <w:tc>
          <w:tcPr>
            <w:tcW w:w="389" w:type="pct"/>
            <w:noWrap w:val="0"/>
            <w:vAlign w:val="center"/>
          </w:tcPr>
          <w:p>
            <w:pPr>
              <w:adjustRightInd w:val="0"/>
              <w:snapToGrid w:val="0"/>
              <w:jc w:val="center"/>
              <w:rPr>
                <w:color w:val="auto"/>
              </w:rPr>
            </w:pPr>
            <w:r>
              <w:rPr>
                <w:color w:val="auto"/>
              </w:rPr>
              <w:t>套</w:t>
            </w:r>
          </w:p>
        </w:tc>
        <w:tc>
          <w:tcPr>
            <w:tcW w:w="335" w:type="pct"/>
            <w:noWrap/>
            <w:vAlign w:val="center"/>
          </w:tcPr>
          <w:p>
            <w:pPr>
              <w:adjustRightInd w:val="0"/>
              <w:snapToGrid w:val="0"/>
              <w:jc w:val="center"/>
              <w:rPr>
                <w:color w:val="auto"/>
              </w:rPr>
            </w:pPr>
            <w:r>
              <w:rPr>
                <w:color w:val="auto"/>
              </w:rPr>
              <w:t>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noWrap w:val="0"/>
            <w:vAlign w:val="center"/>
          </w:tcPr>
          <w:p>
            <w:pPr>
              <w:adjustRightInd w:val="0"/>
              <w:snapToGrid w:val="0"/>
              <w:rPr>
                <w:color w:val="auto"/>
              </w:rPr>
            </w:pPr>
            <w:r>
              <w:rPr>
                <w:color w:val="auto"/>
              </w:rPr>
              <w:t>8</w:t>
            </w:r>
          </w:p>
        </w:tc>
        <w:tc>
          <w:tcPr>
            <w:tcW w:w="615" w:type="pct"/>
            <w:noWrap w:val="0"/>
            <w:vAlign w:val="center"/>
          </w:tcPr>
          <w:p>
            <w:pPr>
              <w:adjustRightInd w:val="0"/>
              <w:snapToGrid w:val="0"/>
              <w:rPr>
                <w:color w:val="auto"/>
              </w:rPr>
            </w:pPr>
            <w:r>
              <w:rPr>
                <w:color w:val="auto"/>
              </w:rPr>
              <w:t xml:space="preserve"> 双屏坐席协作管控端                 </w:t>
            </w:r>
          </w:p>
        </w:tc>
        <w:tc>
          <w:tcPr>
            <w:tcW w:w="3347" w:type="pct"/>
            <w:noWrap w:val="0"/>
            <w:vAlign w:val="center"/>
          </w:tcPr>
          <w:p>
            <w:pPr>
              <w:adjustRightInd w:val="0"/>
              <w:snapToGrid w:val="0"/>
              <w:rPr>
                <w:color w:val="auto"/>
              </w:rPr>
            </w:pPr>
            <w:r>
              <w:rPr>
                <w:color w:val="auto"/>
              </w:rPr>
              <w:t>坐席协作管控端要求采用闭环式光纤KVM架构，通过单路光纤实现双HDMI、USB-HID、USB2.0、RS232、音频等数据管控输出；提供无损压缩非编解码的高速数字切换能力，支持每路HDMI视频接口2、高达1920 x 1200@60Hz，包括1080p@60Hz，提供高质量图像传输；具备可选主备双连接链路功能，实现系统主链路组件发生故障时系统通过全自动监测系统实时在线监测链路状态，瞬间切换到接入端与管控端的点对点备份连接链路；支持机架式集中供电安装；传输距离：多模光纤≥1km,单模光纤≥10km。</w:t>
            </w:r>
          </w:p>
        </w:tc>
        <w:tc>
          <w:tcPr>
            <w:tcW w:w="389" w:type="pct"/>
            <w:noWrap w:val="0"/>
            <w:vAlign w:val="center"/>
          </w:tcPr>
          <w:p>
            <w:pPr>
              <w:adjustRightInd w:val="0"/>
              <w:snapToGrid w:val="0"/>
              <w:jc w:val="center"/>
              <w:rPr>
                <w:color w:val="auto"/>
              </w:rPr>
            </w:pPr>
            <w:r>
              <w:rPr>
                <w:color w:val="auto"/>
              </w:rPr>
              <w:t>台</w:t>
            </w:r>
          </w:p>
        </w:tc>
        <w:tc>
          <w:tcPr>
            <w:tcW w:w="335" w:type="pct"/>
            <w:noWrap/>
            <w:vAlign w:val="center"/>
          </w:tcPr>
          <w:p>
            <w:pPr>
              <w:adjustRightInd w:val="0"/>
              <w:snapToGrid w:val="0"/>
              <w:jc w:val="center"/>
              <w:rPr>
                <w:color w:val="auto"/>
              </w:rPr>
            </w:pPr>
            <w:r>
              <w:rPr>
                <w:color w:val="auto"/>
              </w:rPr>
              <w:t>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noWrap w:val="0"/>
            <w:vAlign w:val="center"/>
          </w:tcPr>
          <w:p>
            <w:pPr>
              <w:adjustRightInd w:val="0"/>
              <w:snapToGrid w:val="0"/>
              <w:rPr>
                <w:color w:val="auto"/>
              </w:rPr>
            </w:pPr>
            <w:r>
              <w:rPr>
                <w:color w:val="auto"/>
              </w:rPr>
              <w:t>9</w:t>
            </w:r>
          </w:p>
        </w:tc>
        <w:tc>
          <w:tcPr>
            <w:tcW w:w="615" w:type="pct"/>
            <w:noWrap w:val="0"/>
            <w:vAlign w:val="center"/>
          </w:tcPr>
          <w:p>
            <w:pPr>
              <w:adjustRightInd w:val="0"/>
              <w:snapToGrid w:val="0"/>
              <w:rPr>
                <w:color w:val="auto"/>
              </w:rPr>
            </w:pPr>
            <w:r>
              <w:rPr>
                <w:color w:val="auto"/>
              </w:rPr>
              <w:t xml:space="preserve">坐席协作接入管控软件                 </w:t>
            </w:r>
          </w:p>
        </w:tc>
        <w:tc>
          <w:tcPr>
            <w:tcW w:w="3347" w:type="pct"/>
            <w:noWrap w:val="0"/>
            <w:vAlign w:val="center"/>
          </w:tcPr>
          <w:p>
            <w:pPr>
              <w:adjustRightInd w:val="0"/>
              <w:snapToGrid w:val="0"/>
              <w:rPr>
                <w:color w:val="auto"/>
              </w:rPr>
            </w:pPr>
            <w:r>
              <w:rPr>
                <w:color w:val="auto"/>
              </w:rPr>
              <w:t>支持通过本地键盘热键的宏命令，实现一键坐席多路信号编组调取及实现一键触发多达16组坐席共享；实现可定义热键，一键将本地坐席信号推送上大屏及坐席，或一键抓取其他坐席及大屏信号源到本地坐席，同时实现键盘鼠标实时编辑的实战效果；支持热键调取OSD菜单，实时了解各个信号源连接状态和信号源接入状态；不同坐席终端使用本地键盘，通过跨平台跨网段极速通畅光标编辑操作系统，实现任意坐席一人多机的场景；具有用户权限和管控端权限，为不同坐席分配对应的操控、调用权限，以确保协同流程的通畅和系统的控制安全，满足各个工作职位的控制、分组分权限管理的要求。</w:t>
            </w:r>
          </w:p>
        </w:tc>
        <w:tc>
          <w:tcPr>
            <w:tcW w:w="389" w:type="pct"/>
            <w:noWrap w:val="0"/>
            <w:vAlign w:val="center"/>
          </w:tcPr>
          <w:p>
            <w:pPr>
              <w:adjustRightInd w:val="0"/>
              <w:snapToGrid w:val="0"/>
              <w:jc w:val="center"/>
              <w:rPr>
                <w:color w:val="auto"/>
              </w:rPr>
            </w:pPr>
            <w:r>
              <w:rPr>
                <w:color w:val="auto"/>
              </w:rPr>
              <w:t>套</w:t>
            </w:r>
          </w:p>
        </w:tc>
        <w:tc>
          <w:tcPr>
            <w:tcW w:w="335" w:type="pct"/>
            <w:noWrap/>
            <w:vAlign w:val="center"/>
          </w:tcPr>
          <w:p>
            <w:pPr>
              <w:adjustRightInd w:val="0"/>
              <w:snapToGrid w:val="0"/>
              <w:jc w:val="center"/>
              <w:rPr>
                <w:color w:val="auto"/>
              </w:rPr>
            </w:pPr>
            <w:r>
              <w:rPr>
                <w:color w:val="auto"/>
              </w:rPr>
              <w:t>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noWrap w:val="0"/>
            <w:vAlign w:val="center"/>
          </w:tcPr>
          <w:p>
            <w:pPr>
              <w:adjustRightInd w:val="0"/>
              <w:snapToGrid w:val="0"/>
              <w:rPr>
                <w:color w:val="auto"/>
              </w:rPr>
            </w:pPr>
            <w:r>
              <w:rPr>
                <w:color w:val="auto"/>
              </w:rPr>
              <w:t>10</w:t>
            </w:r>
          </w:p>
        </w:tc>
        <w:tc>
          <w:tcPr>
            <w:tcW w:w="615" w:type="pct"/>
            <w:noWrap w:val="0"/>
            <w:vAlign w:val="center"/>
          </w:tcPr>
          <w:p>
            <w:pPr>
              <w:adjustRightInd w:val="0"/>
              <w:snapToGrid w:val="0"/>
              <w:rPr>
                <w:color w:val="auto"/>
              </w:rPr>
            </w:pPr>
            <w:r>
              <w:rPr>
                <w:color w:val="auto"/>
              </w:rPr>
              <w:t xml:space="preserve">单屏坐席协作接入端                 </w:t>
            </w:r>
          </w:p>
        </w:tc>
        <w:tc>
          <w:tcPr>
            <w:tcW w:w="3347" w:type="pct"/>
            <w:noWrap w:val="0"/>
            <w:vAlign w:val="center"/>
          </w:tcPr>
          <w:p>
            <w:pPr>
              <w:adjustRightInd w:val="0"/>
              <w:snapToGrid w:val="0"/>
              <w:rPr>
                <w:color w:val="auto"/>
              </w:rPr>
            </w:pPr>
            <w:r>
              <w:rPr>
                <w:color w:val="auto"/>
              </w:rPr>
              <w:t>坐席协作接入端要求采用闭环式光纤KVM架构，通过单路光纤实现HDMI、USB-HID、USB2.0、RS232、音频等数据接入；提供无损压缩非编解码的高速数字切换能力，支持单链路分辨率可高达1920x1200@60Hz，包括1080p@60Hz，提供高质量图像传输；支持机架式集中供电安装；传输距离：多模光纤≥1km,单模光纤≥10km。</w:t>
            </w:r>
          </w:p>
        </w:tc>
        <w:tc>
          <w:tcPr>
            <w:tcW w:w="389" w:type="pct"/>
            <w:noWrap w:val="0"/>
            <w:vAlign w:val="center"/>
          </w:tcPr>
          <w:p>
            <w:pPr>
              <w:adjustRightInd w:val="0"/>
              <w:snapToGrid w:val="0"/>
              <w:jc w:val="center"/>
              <w:rPr>
                <w:color w:val="auto"/>
              </w:rPr>
            </w:pPr>
            <w:r>
              <w:rPr>
                <w:color w:val="auto"/>
              </w:rPr>
              <w:t>台</w:t>
            </w:r>
          </w:p>
        </w:tc>
        <w:tc>
          <w:tcPr>
            <w:tcW w:w="335" w:type="pct"/>
            <w:noWrap/>
            <w:vAlign w:val="center"/>
          </w:tcPr>
          <w:p>
            <w:pPr>
              <w:adjustRightInd w:val="0"/>
              <w:snapToGrid w:val="0"/>
              <w:jc w:val="center"/>
              <w:rPr>
                <w:color w:val="auto"/>
              </w:rPr>
            </w:pPr>
            <w:r>
              <w:rPr>
                <w:color w:val="auto"/>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noWrap w:val="0"/>
            <w:vAlign w:val="center"/>
          </w:tcPr>
          <w:p>
            <w:pPr>
              <w:adjustRightInd w:val="0"/>
              <w:snapToGrid w:val="0"/>
              <w:rPr>
                <w:color w:val="auto"/>
              </w:rPr>
            </w:pPr>
            <w:r>
              <w:rPr>
                <w:color w:val="auto"/>
              </w:rPr>
              <w:t>11</w:t>
            </w:r>
          </w:p>
        </w:tc>
        <w:tc>
          <w:tcPr>
            <w:tcW w:w="615" w:type="pct"/>
            <w:noWrap w:val="0"/>
            <w:vAlign w:val="center"/>
          </w:tcPr>
          <w:p>
            <w:pPr>
              <w:adjustRightInd w:val="0"/>
              <w:snapToGrid w:val="0"/>
              <w:rPr>
                <w:color w:val="auto"/>
              </w:rPr>
            </w:pPr>
            <w:r>
              <w:rPr>
                <w:color w:val="auto"/>
              </w:rPr>
              <w:t xml:space="preserve">坐席协作接入管控软件                 </w:t>
            </w:r>
          </w:p>
        </w:tc>
        <w:tc>
          <w:tcPr>
            <w:tcW w:w="3347" w:type="pct"/>
            <w:noWrap w:val="0"/>
            <w:vAlign w:val="center"/>
          </w:tcPr>
          <w:p>
            <w:pPr>
              <w:adjustRightInd w:val="0"/>
              <w:snapToGrid w:val="0"/>
              <w:rPr>
                <w:rFonts w:hint="eastAsia" w:eastAsia="宋体"/>
                <w:color w:val="auto"/>
                <w:lang w:eastAsia="zh-CN"/>
              </w:rPr>
            </w:pPr>
            <w:r>
              <w:rPr>
                <w:color w:val="auto"/>
              </w:rPr>
              <w:t>支持通过本地键盘热键的宏命令，实现一键坐席多路信号编组调取及实现一键触发多达16组坐席共享；实现可定义热键，一键将本地坐席信号推送上大屏及坐席，或一键抓取其他坐席及大屏信号源到本地坐席，同时实现键盘鼠标实时编辑的实战效果；支持热键调取OSD菜单，实时了解各个信号源连接状态和信号源接入状态；不同坐席终端使用本地键盘，通过跨平台跨网段极速通畅光标编辑操作系统，实现任意坐席一人多机的场景；具有用户权限和管控端权限，为不同坐席分配对应的操控、调用权限，以确保协同流程的通畅和系统的控制安全，满足各个工作职位的控制、分组分权限管理的要求</w:t>
            </w:r>
            <w:r>
              <w:rPr>
                <w:rFonts w:hint="eastAsia"/>
                <w:color w:val="auto"/>
                <w:lang w:eastAsia="zh-CN"/>
              </w:rPr>
              <w:t>。</w:t>
            </w:r>
          </w:p>
        </w:tc>
        <w:tc>
          <w:tcPr>
            <w:tcW w:w="389" w:type="pct"/>
            <w:noWrap w:val="0"/>
            <w:vAlign w:val="center"/>
          </w:tcPr>
          <w:p>
            <w:pPr>
              <w:adjustRightInd w:val="0"/>
              <w:snapToGrid w:val="0"/>
              <w:jc w:val="center"/>
              <w:rPr>
                <w:color w:val="auto"/>
              </w:rPr>
            </w:pPr>
            <w:r>
              <w:rPr>
                <w:color w:val="auto"/>
              </w:rPr>
              <w:t>套</w:t>
            </w:r>
          </w:p>
        </w:tc>
        <w:tc>
          <w:tcPr>
            <w:tcW w:w="335" w:type="pct"/>
            <w:noWrap/>
            <w:vAlign w:val="center"/>
          </w:tcPr>
          <w:p>
            <w:pPr>
              <w:adjustRightInd w:val="0"/>
              <w:snapToGrid w:val="0"/>
              <w:jc w:val="center"/>
              <w:rPr>
                <w:color w:val="auto"/>
              </w:rPr>
            </w:pPr>
            <w:r>
              <w:rPr>
                <w:color w:val="auto"/>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noWrap w:val="0"/>
            <w:vAlign w:val="center"/>
          </w:tcPr>
          <w:p>
            <w:pPr>
              <w:adjustRightInd w:val="0"/>
              <w:snapToGrid w:val="0"/>
              <w:rPr>
                <w:color w:val="auto"/>
              </w:rPr>
            </w:pPr>
            <w:r>
              <w:rPr>
                <w:color w:val="auto"/>
              </w:rPr>
              <w:t>12</w:t>
            </w:r>
          </w:p>
        </w:tc>
        <w:tc>
          <w:tcPr>
            <w:tcW w:w="615" w:type="pct"/>
            <w:noWrap w:val="0"/>
            <w:vAlign w:val="center"/>
          </w:tcPr>
          <w:p>
            <w:pPr>
              <w:adjustRightInd w:val="0"/>
              <w:snapToGrid w:val="0"/>
              <w:rPr>
                <w:color w:val="auto"/>
              </w:rPr>
            </w:pPr>
            <w:r>
              <w:rPr>
                <w:color w:val="auto"/>
              </w:rPr>
              <w:t xml:space="preserve">单屏坐席协作管控端                 </w:t>
            </w:r>
          </w:p>
        </w:tc>
        <w:tc>
          <w:tcPr>
            <w:tcW w:w="3347" w:type="pct"/>
            <w:noWrap w:val="0"/>
            <w:vAlign w:val="center"/>
          </w:tcPr>
          <w:p>
            <w:pPr>
              <w:adjustRightInd w:val="0"/>
              <w:snapToGrid w:val="0"/>
              <w:rPr>
                <w:color w:val="auto"/>
              </w:rPr>
            </w:pPr>
            <w:r>
              <w:rPr>
                <w:color w:val="auto"/>
              </w:rPr>
              <w:t>坐席协作管控端要求采用闭环式光纤KVM架构，通过单路光纤实现HDMI、USB-HID、USB2.0、RS232、音频等数据管控输出；提供无损压缩非编解码的高速数字切换能力，支持单链路高达1920x1200@60Hz，包括1080p@60Hz，提供无损的像素对像素传输；支持机架式集中供电安装；传输距离：多模光纤≥1km,单模光纤≥10km。</w:t>
            </w:r>
          </w:p>
        </w:tc>
        <w:tc>
          <w:tcPr>
            <w:tcW w:w="389" w:type="pct"/>
            <w:noWrap w:val="0"/>
            <w:vAlign w:val="center"/>
          </w:tcPr>
          <w:p>
            <w:pPr>
              <w:adjustRightInd w:val="0"/>
              <w:snapToGrid w:val="0"/>
              <w:jc w:val="center"/>
              <w:rPr>
                <w:color w:val="auto"/>
              </w:rPr>
            </w:pPr>
            <w:r>
              <w:rPr>
                <w:color w:val="auto"/>
              </w:rPr>
              <w:t>台</w:t>
            </w:r>
          </w:p>
        </w:tc>
        <w:tc>
          <w:tcPr>
            <w:tcW w:w="335" w:type="pct"/>
            <w:noWrap/>
            <w:vAlign w:val="center"/>
          </w:tcPr>
          <w:p>
            <w:pPr>
              <w:adjustRightInd w:val="0"/>
              <w:snapToGrid w:val="0"/>
              <w:jc w:val="center"/>
              <w:rPr>
                <w:color w:val="auto"/>
              </w:rPr>
            </w:pPr>
            <w:r>
              <w:rPr>
                <w:color w:val="auto"/>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noWrap w:val="0"/>
            <w:vAlign w:val="center"/>
          </w:tcPr>
          <w:p>
            <w:pPr>
              <w:adjustRightInd w:val="0"/>
              <w:snapToGrid w:val="0"/>
              <w:rPr>
                <w:color w:val="auto"/>
              </w:rPr>
            </w:pPr>
            <w:r>
              <w:rPr>
                <w:color w:val="auto"/>
              </w:rPr>
              <w:t>13</w:t>
            </w:r>
          </w:p>
        </w:tc>
        <w:tc>
          <w:tcPr>
            <w:tcW w:w="615" w:type="pct"/>
            <w:noWrap w:val="0"/>
            <w:vAlign w:val="center"/>
          </w:tcPr>
          <w:p>
            <w:pPr>
              <w:adjustRightInd w:val="0"/>
              <w:snapToGrid w:val="0"/>
              <w:rPr>
                <w:color w:val="auto"/>
              </w:rPr>
            </w:pPr>
            <w:r>
              <w:rPr>
                <w:color w:val="auto"/>
              </w:rPr>
              <w:t xml:space="preserve">坐席协作接入管控软件                 </w:t>
            </w:r>
          </w:p>
        </w:tc>
        <w:tc>
          <w:tcPr>
            <w:tcW w:w="3347" w:type="pct"/>
            <w:noWrap w:val="0"/>
            <w:vAlign w:val="center"/>
          </w:tcPr>
          <w:p>
            <w:pPr>
              <w:adjustRightInd w:val="0"/>
              <w:snapToGrid w:val="0"/>
              <w:rPr>
                <w:rFonts w:hint="eastAsia" w:eastAsia="宋体"/>
                <w:color w:val="auto"/>
                <w:lang w:eastAsia="zh-CN"/>
              </w:rPr>
            </w:pPr>
            <w:r>
              <w:rPr>
                <w:color w:val="auto"/>
              </w:rPr>
              <w:t>支持通过本地键盘热键的宏命令，实现一键坐席多路信号编组调取及实现一键触发多达16组坐席共享；实现可定义热键，一键将本地坐席信号推送上大屏及坐席，或一键抓取其他坐席及大屏信号源到本地坐席，同时实现键盘鼠标实时编辑的实战效果；支持热键调取OSD菜单，实时了解各个信号源连接状态和信号源接入状态；不同坐席终端使用本地键盘，通过跨平台跨网段极速通畅光标编辑操作系统，实现任意坐席一人多机的场景；具有用户权限和管控端权限，为不同坐席分配对应的操控、调用权限，以确保协同流程的通畅和系统的控制安全，满足各个工作职位的控制、分组分权限管理的要求</w:t>
            </w:r>
            <w:r>
              <w:rPr>
                <w:rFonts w:hint="eastAsia"/>
                <w:color w:val="auto"/>
                <w:lang w:eastAsia="zh-CN"/>
              </w:rPr>
              <w:t>。</w:t>
            </w:r>
          </w:p>
        </w:tc>
        <w:tc>
          <w:tcPr>
            <w:tcW w:w="389" w:type="pct"/>
            <w:noWrap w:val="0"/>
            <w:vAlign w:val="center"/>
          </w:tcPr>
          <w:p>
            <w:pPr>
              <w:adjustRightInd w:val="0"/>
              <w:snapToGrid w:val="0"/>
              <w:jc w:val="center"/>
              <w:rPr>
                <w:color w:val="auto"/>
              </w:rPr>
            </w:pPr>
            <w:r>
              <w:rPr>
                <w:color w:val="auto"/>
              </w:rPr>
              <w:t>套</w:t>
            </w:r>
          </w:p>
        </w:tc>
        <w:tc>
          <w:tcPr>
            <w:tcW w:w="335" w:type="pct"/>
            <w:noWrap/>
            <w:vAlign w:val="center"/>
          </w:tcPr>
          <w:p>
            <w:pPr>
              <w:adjustRightInd w:val="0"/>
              <w:snapToGrid w:val="0"/>
              <w:jc w:val="center"/>
              <w:rPr>
                <w:color w:val="auto"/>
              </w:rPr>
            </w:pPr>
            <w:r>
              <w:rPr>
                <w:color w:val="auto"/>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noWrap w:val="0"/>
            <w:vAlign w:val="center"/>
          </w:tcPr>
          <w:p>
            <w:pPr>
              <w:adjustRightInd w:val="0"/>
              <w:snapToGrid w:val="0"/>
              <w:rPr>
                <w:color w:val="auto"/>
              </w:rPr>
            </w:pPr>
            <w:r>
              <w:rPr>
                <w:color w:val="auto"/>
              </w:rPr>
              <w:t>14</w:t>
            </w:r>
          </w:p>
        </w:tc>
        <w:tc>
          <w:tcPr>
            <w:tcW w:w="615" w:type="pct"/>
            <w:noWrap w:val="0"/>
            <w:vAlign w:val="center"/>
          </w:tcPr>
          <w:p>
            <w:pPr>
              <w:adjustRightInd w:val="0"/>
              <w:snapToGrid w:val="0"/>
              <w:rPr>
                <w:color w:val="auto"/>
              </w:rPr>
            </w:pPr>
            <w:r>
              <w:rPr>
                <w:color w:val="auto"/>
              </w:rPr>
              <w:t>大屏幕光纤KVM拼控终端</w:t>
            </w:r>
          </w:p>
        </w:tc>
        <w:tc>
          <w:tcPr>
            <w:tcW w:w="3347" w:type="pct"/>
            <w:noWrap w:val="0"/>
            <w:vAlign w:val="center"/>
          </w:tcPr>
          <w:p>
            <w:pPr>
              <w:adjustRightInd w:val="0"/>
              <w:snapToGrid w:val="0"/>
              <w:rPr>
                <w:color w:val="auto"/>
              </w:rPr>
            </w:pPr>
            <w:r>
              <w:rPr>
                <w:color w:val="auto"/>
              </w:rPr>
              <w:t>通过大屏幕光纤KVM拼控终端，实现直连输出大屏幕，代替传统交换机分布式输入输出节点的大屏处理器系统架构；通过8路光纤输入即可</w:t>
            </w:r>
            <w:r>
              <w:rPr>
                <w:rFonts w:hint="eastAsia"/>
                <w:color w:val="auto"/>
              </w:rPr>
              <w:t>实现</w:t>
            </w:r>
            <w:r>
              <w:rPr>
                <w:color w:val="auto"/>
              </w:rPr>
              <w:t>大屏幕8路1200P@60Hz DVI输出显示的场景；专用帧同步线缆，保证所有多拼控终端输出的图像完全同步，画面流畅完整，无撕裂感；传输距离：多模光纤≥1km,单模光纤≥10km。</w:t>
            </w:r>
          </w:p>
        </w:tc>
        <w:tc>
          <w:tcPr>
            <w:tcW w:w="389" w:type="pct"/>
            <w:noWrap w:val="0"/>
            <w:vAlign w:val="center"/>
          </w:tcPr>
          <w:p>
            <w:pPr>
              <w:adjustRightInd w:val="0"/>
              <w:snapToGrid w:val="0"/>
              <w:jc w:val="center"/>
              <w:rPr>
                <w:color w:val="auto"/>
              </w:rPr>
            </w:pPr>
            <w:r>
              <w:rPr>
                <w:color w:val="auto"/>
              </w:rPr>
              <w:t>台</w:t>
            </w:r>
          </w:p>
        </w:tc>
        <w:tc>
          <w:tcPr>
            <w:tcW w:w="335" w:type="pct"/>
            <w:noWrap/>
            <w:vAlign w:val="center"/>
          </w:tcPr>
          <w:p>
            <w:pPr>
              <w:adjustRightInd w:val="0"/>
              <w:snapToGrid w:val="0"/>
              <w:jc w:val="center"/>
              <w:rPr>
                <w:color w:val="auto"/>
              </w:rPr>
            </w:pPr>
            <w:r>
              <w:rPr>
                <w:color w:val="auto"/>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noWrap w:val="0"/>
            <w:vAlign w:val="center"/>
          </w:tcPr>
          <w:p>
            <w:pPr>
              <w:adjustRightInd w:val="0"/>
              <w:snapToGrid w:val="0"/>
              <w:rPr>
                <w:color w:val="auto"/>
              </w:rPr>
            </w:pPr>
            <w:r>
              <w:rPr>
                <w:color w:val="auto"/>
              </w:rPr>
              <w:t>15</w:t>
            </w:r>
          </w:p>
        </w:tc>
        <w:tc>
          <w:tcPr>
            <w:tcW w:w="615" w:type="pct"/>
            <w:noWrap w:val="0"/>
            <w:vAlign w:val="center"/>
          </w:tcPr>
          <w:p>
            <w:pPr>
              <w:adjustRightInd w:val="0"/>
              <w:snapToGrid w:val="0"/>
              <w:rPr>
                <w:color w:val="auto"/>
              </w:rPr>
            </w:pPr>
            <w:r>
              <w:rPr>
                <w:color w:val="auto"/>
              </w:rPr>
              <w:t>大屏幕光纤KVM拼控软件</w:t>
            </w:r>
          </w:p>
        </w:tc>
        <w:tc>
          <w:tcPr>
            <w:tcW w:w="3347" w:type="pct"/>
            <w:noWrap w:val="0"/>
            <w:vAlign w:val="center"/>
          </w:tcPr>
          <w:p>
            <w:pPr>
              <w:adjustRightInd w:val="0"/>
              <w:snapToGrid w:val="0"/>
              <w:rPr>
                <w:color w:val="auto"/>
              </w:rPr>
            </w:pPr>
            <w:r>
              <w:rPr>
                <w:color w:val="auto"/>
              </w:rPr>
              <w:t>单屏具有6个信号叠加显示能力，可支持 HDMI、DVI等不同信号格式的多屏同步叠加显示；支持超高分底图功能；实现大屏幕显示规模、显示分辨率、开窗、替换、缩放、漫游、移动、关窗、平铺、全屏、叠加、显示模式的执行操作场景；</w:t>
            </w:r>
            <w:r>
              <w:rPr>
                <w:rFonts w:hint="eastAsia"/>
                <w:color w:val="auto"/>
              </w:rPr>
              <w:t>提供第三方检测机构出具的检测报告</w:t>
            </w:r>
            <w:r>
              <w:rPr>
                <w:color w:val="auto"/>
              </w:rPr>
              <w:t>。</w:t>
            </w:r>
          </w:p>
        </w:tc>
        <w:tc>
          <w:tcPr>
            <w:tcW w:w="389" w:type="pct"/>
            <w:noWrap w:val="0"/>
            <w:vAlign w:val="center"/>
          </w:tcPr>
          <w:p>
            <w:pPr>
              <w:adjustRightInd w:val="0"/>
              <w:snapToGrid w:val="0"/>
              <w:jc w:val="center"/>
              <w:rPr>
                <w:color w:val="auto"/>
              </w:rPr>
            </w:pPr>
            <w:r>
              <w:rPr>
                <w:color w:val="auto"/>
              </w:rPr>
              <w:t>套</w:t>
            </w:r>
          </w:p>
        </w:tc>
        <w:tc>
          <w:tcPr>
            <w:tcW w:w="335" w:type="pct"/>
            <w:noWrap/>
            <w:vAlign w:val="center"/>
          </w:tcPr>
          <w:p>
            <w:pPr>
              <w:adjustRightInd w:val="0"/>
              <w:snapToGrid w:val="0"/>
              <w:jc w:val="center"/>
              <w:rPr>
                <w:color w:val="auto"/>
              </w:rPr>
            </w:pPr>
            <w:r>
              <w:rPr>
                <w:color w:val="auto"/>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noWrap w:val="0"/>
            <w:vAlign w:val="center"/>
          </w:tcPr>
          <w:p>
            <w:pPr>
              <w:adjustRightInd w:val="0"/>
              <w:snapToGrid w:val="0"/>
              <w:rPr>
                <w:color w:val="auto"/>
              </w:rPr>
            </w:pPr>
            <w:r>
              <w:rPr>
                <w:color w:val="auto"/>
              </w:rPr>
              <w:t>16</w:t>
            </w:r>
          </w:p>
        </w:tc>
        <w:tc>
          <w:tcPr>
            <w:tcW w:w="615" w:type="pct"/>
            <w:noWrap w:val="0"/>
            <w:vAlign w:val="center"/>
          </w:tcPr>
          <w:p>
            <w:pPr>
              <w:adjustRightInd w:val="0"/>
              <w:snapToGrid w:val="0"/>
              <w:rPr>
                <w:color w:val="auto"/>
              </w:rPr>
            </w:pPr>
            <w:r>
              <w:rPr>
                <w:color w:val="auto"/>
              </w:rPr>
              <w:t>机架式集中安装设备</w:t>
            </w:r>
          </w:p>
        </w:tc>
        <w:tc>
          <w:tcPr>
            <w:tcW w:w="3347" w:type="pct"/>
            <w:noWrap w:val="0"/>
            <w:vAlign w:val="center"/>
          </w:tcPr>
          <w:p>
            <w:pPr>
              <w:adjustRightInd w:val="0"/>
              <w:snapToGrid w:val="0"/>
              <w:rPr>
                <w:color w:val="auto"/>
              </w:rPr>
            </w:pPr>
            <w:r>
              <w:rPr>
                <w:color w:val="auto"/>
              </w:rPr>
              <w:t>支持1U不少于2个坐席协作接入端/坐席协作管控端集中机架式安装设备。</w:t>
            </w:r>
          </w:p>
        </w:tc>
        <w:tc>
          <w:tcPr>
            <w:tcW w:w="389" w:type="pct"/>
            <w:noWrap w:val="0"/>
            <w:vAlign w:val="center"/>
          </w:tcPr>
          <w:p>
            <w:pPr>
              <w:adjustRightInd w:val="0"/>
              <w:snapToGrid w:val="0"/>
              <w:jc w:val="center"/>
              <w:rPr>
                <w:color w:val="auto"/>
              </w:rPr>
            </w:pPr>
            <w:r>
              <w:rPr>
                <w:color w:val="auto"/>
              </w:rPr>
              <w:t>台</w:t>
            </w:r>
          </w:p>
        </w:tc>
        <w:tc>
          <w:tcPr>
            <w:tcW w:w="335" w:type="pct"/>
            <w:noWrap/>
            <w:vAlign w:val="center"/>
          </w:tcPr>
          <w:p>
            <w:pPr>
              <w:adjustRightInd w:val="0"/>
              <w:snapToGrid w:val="0"/>
              <w:jc w:val="center"/>
              <w:rPr>
                <w:color w:val="auto"/>
              </w:rPr>
            </w:pPr>
            <w:r>
              <w:rPr>
                <w:color w:val="auto"/>
              </w:rPr>
              <w:t>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pct"/>
            <w:gridSpan w:val="2"/>
            <w:noWrap w:val="0"/>
            <w:vAlign w:val="center"/>
          </w:tcPr>
          <w:p>
            <w:pPr>
              <w:adjustRightInd w:val="0"/>
              <w:snapToGrid w:val="0"/>
              <w:rPr>
                <w:color w:val="auto"/>
              </w:rPr>
            </w:pPr>
            <w:r>
              <w:rPr>
                <w:color w:val="auto"/>
              </w:rPr>
              <w:t>二、视频会议中心</w:t>
            </w:r>
          </w:p>
        </w:tc>
        <w:tc>
          <w:tcPr>
            <w:tcW w:w="3347" w:type="pct"/>
            <w:noWrap w:val="0"/>
            <w:vAlign w:val="center"/>
          </w:tcPr>
          <w:p>
            <w:pPr>
              <w:adjustRightInd w:val="0"/>
              <w:snapToGrid w:val="0"/>
              <w:rPr>
                <w:color w:val="auto"/>
              </w:rPr>
            </w:pPr>
            <w:r>
              <w:rPr>
                <w:color w:val="auto"/>
              </w:rPr>
              <w:t>　</w:t>
            </w:r>
          </w:p>
        </w:tc>
        <w:tc>
          <w:tcPr>
            <w:tcW w:w="389" w:type="pct"/>
            <w:noWrap w:val="0"/>
            <w:vAlign w:val="center"/>
          </w:tcPr>
          <w:p>
            <w:pPr>
              <w:adjustRightInd w:val="0"/>
              <w:snapToGrid w:val="0"/>
              <w:jc w:val="center"/>
              <w:rPr>
                <w:color w:val="auto"/>
              </w:rPr>
            </w:pPr>
          </w:p>
        </w:tc>
        <w:tc>
          <w:tcPr>
            <w:tcW w:w="335" w:type="pct"/>
            <w:noWrap w:val="0"/>
            <w:vAlign w:val="center"/>
          </w:tcPr>
          <w:p>
            <w:pPr>
              <w:adjustRightInd w:val="0"/>
              <w:snapToGrid w:val="0"/>
              <w:jc w:val="cente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6" w:type="pct"/>
            <w:gridSpan w:val="3"/>
            <w:noWrap w:val="0"/>
            <w:vAlign w:val="center"/>
          </w:tcPr>
          <w:p>
            <w:pPr>
              <w:adjustRightInd w:val="0"/>
              <w:snapToGrid w:val="0"/>
              <w:rPr>
                <w:color w:val="auto"/>
              </w:rPr>
            </w:pPr>
            <w:r>
              <w:rPr>
                <w:color w:val="auto"/>
              </w:rPr>
              <w:t>2.1坐席管理及视频处理系统</w:t>
            </w:r>
          </w:p>
        </w:tc>
        <w:tc>
          <w:tcPr>
            <w:tcW w:w="389" w:type="pct"/>
            <w:noWrap w:val="0"/>
            <w:vAlign w:val="center"/>
          </w:tcPr>
          <w:p>
            <w:pPr>
              <w:adjustRightInd w:val="0"/>
              <w:snapToGrid w:val="0"/>
              <w:jc w:val="center"/>
              <w:rPr>
                <w:color w:val="auto"/>
              </w:rPr>
            </w:pPr>
          </w:p>
        </w:tc>
        <w:tc>
          <w:tcPr>
            <w:tcW w:w="335" w:type="pct"/>
            <w:noWrap w:val="0"/>
            <w:vAlign w:val="center"/>
          </w:tcPr>
          <w:p>
            <w:pPr>
              <w:adjustRightInd w:val="0"/>
              <w:snapToGrid w:val="0"/>
              <w:jc w:val="cente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noWrap w:val="0"/>
            <w:vAlign w:val="center"/>
          </w:tcPr>
          <w:p>
            <w:pPr>
              <w:adjustRightInd w:val="0"/>
              <w:snapToGrid w:val="0"/>
              <w:rPr>
                <w:color w:val="auto"/>
              </w:rPr>
            </w:pPr>
            <w:r>
              <w:rPr>
                <w:color w:val="auto"/>
              </w:rPr>
              <w:t>1</w:t>
            </w:r>
          </w:p>
        </w:tc>
        <w:tc>
          <w:tcPr>
            <w:tcW w:w="615" w:type="pct"/>
            <w:noWrap w:val="0"/>
            <w:vAlign w:val="center"/>
          </w:tcPr>
          <w:p>
            <w:pPr>
              <w:adjustRightInd w:val="0"/>
              <w:snapToGrid w:val="0"/>
              <w:rPr>
                <w:color w:val="auto"/>
              </w:rPr>
            </w:pPr>
            <w:r>
              <w:rPr>
                <w:color w:val="auto"/>
              </w:rPr>
              <w:t xml:space="preserve">单屏坐席协作接入端                 </w:t>
            </w:r>
          </w:p>
        </w:tc>
        <w:tc>
          <w:tcPr>
            <w:tcW w:w="3347" w:type="pct"/>
            <w:noWrap w:val="0"/>
            <w:vAlign w:val="center"/>
          </w:tcPr>
          <w:p>
            <w:pPr>
              <w:adjustRightInd w:val="0"/>
              <w:snapToGrid w:val="0"/>
              <w:rPr>
                <w:color w:val="auto"/>
              </w:rPr>
            </w:pPr>
            <w:r>
              <w:rPr>
                <w:color w:val="auto"/>
              </w:rPr>
              <w:t>坐席协作管控端要求采用闭环式光纤KVM架构，通过主备冗余光纤实现HDMI、USB-HID、USB2.0、RS232、音频等数据管控输出；提供无损压缩非编解码的高速数字切换能力，支持单链路分辨率可高达4K@30Hz ，并且向下兼容各种常用分辨率，提供高质量图像传输；支持机架式集中供电安装；传输距离：多模光纤≥1km,单模光纤≥10km。</w:t>
            </w:r>
          </w:p>
        </w:tc>
        <w:tc>
          <w:tcPr>
            <w:tcW w:w="389" w:type="pct"/>
            <w:noWrap w:val="0"/>
            <w:vAlign w:val="center"/>
          </w:tcPr>
          <w:p>
            <w:pPr>
              <w:adjustRightInd w:val="0"/>
              <w:snapToGrid w:val="0"/>
              <w:jc w:val="center"/>
              <w:rPr>
                <w:color w:val="auto"/>
              </w:rPr>
            </w:pPr>
            <w:r>
              <w:rPr>
                <w:color w:val="auto"/>
              </w:rPr>
              <w:t>台</w:t>
            </w:r>
          </w:p>
        </w:tc>
        <w:tc>
          <w:tcPr>
            <w:tcW w:w="335" w:type="pct"/>
            <w:noWrap/>
            <w:vAlign w:val="center"/>
          </w:tcPr>
          <w:p>
            <w:pPr>
              <w:adjustRightInd w:val="0"/>
              <w:snapToGrid w:val="0"/>
              <w:jc w:val="center"/>
              <w:rPr>
                <w:color w:val="auto"/>
              </w:rPr>
            </w:pPr>
            <w:r>
              <w:rPr>
                <w:color w:val="auto"/>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noWrap w:val="0"/>
            <w:vAlign w:val="center"/>
          </w:tcPr>
          <w:p>
            <w:pPr>
              <w:adjustRightInd w:val="0"/>
              <w:snapToGrid w:val="0"/>
              <w:rPr>
                <w:color w:val="auto"/>
              </w:rPr>
            </w:pPr>
            <w:r>
              <w:rPr>
                <w:color w:val="auto"/>
              </w:rPr>
              <w:t>2</w:t>
            </w:r>
          </w:p>
        </w:tc>
        <w:tc>
          <w:tcPr>
            <w:tcW w:w="615" w:type="pct"/>
            <w:noWrap w:val="0"/>
            <w:vAlign w:val="center"/>
          </w:tcPr>
          <w:p>
            <w:pPr>
              <w:adjustRightInd w:val="0"/>
              <w:snapToGrid w:val="0"/>
              <w:rPr>
                <w:color w:val="auto"/>
              </w:rPr>
            </w:pPr>
            <w:r>
              <w:rPr>
                <w:color w:val="auto"/>
              </w:rPr>
              <w:t xml:space="preserve">坐席协作接入管控软件                 </w:t>
            </w:r>
          </w:p>
        </w:tc>
        <w:tc>
          <w:tcPr>
            <w:tcW w:w="3347" w:type="pct"/>
            <w:noWrap w:val="0"/>
            <w:vAlign w:val="center"/>
          </w:tcPr>
          <w:p>
            <w:pPr>
              <w:adjustRightInd w:val="0"/>
              <w:snapToGrid w:val="0"/>
              <w:rPr>
                <w:rFonts w:hint="eastAsia" w:eastAsia="宋体"/>
                <w:color w:val="auto"/>
                <w:lang w:eastAsia="zh-CN"/>
              </w:rPr>
            </w:pPr>
            <w:r>
              <w:rPr>
                <w:color w:val="auto"/>
              </w:rPr>
              <w:t>支持通过本地键盘热键的宏命令，实现一键坐席多路信号编组调取及实现一键触发多达16组坐席共享；实现可定义热键，一键将本地坐席信号推送上大屏及坐席，或一键抓取其他坐席及大屏信号源到本地坐席，同时实现键盘鼠标实时编辑的实战效果；支持热键调取OSD菜单，实时了解各个信号源连接状态和信号源接入状态；不同坐席终端使用本地键盘，通过跨平台跨网段极速通畅光标编辑操作系统，实现任意坐席一人多机的场景；具有用户权限和管控端权限，为不同坐席分配对应的操控、调用权限，以确保协同流程的通畅和系统的控制安全，满足各个工作职位的控制、分组分权限管理的要求</w:t>
            </w:r>
            <w:r>
              <w:rPr>
                <w:rFonts w:hint="eastAsia"/>
                <w:color w:val="auto"/>
                <w:lang w:eastAsia="zh-CN"/>
              </w:rPr>
              <w:t>。</w:t>
            </w:r>
          </w:p>
        </w:tc>
        <w:tc>
          <w:tcPr>
            <w:tcW w:w="389" w:type="pct"/>
            <w:noWrap w:val="0"/>
            <w:vAlign w:val="center"/>
          </w:tcPr>
          <w:p>
            <w:pPr>
              <w:adjustRightInd w:val="0"/>
              <w:snapToGrid w:val="0"/>
              <w:jc w:val="center"/>
              <w:rPr>
                <w:color w:val="auto"/>
              </w:rPr>
            </w:pPr>
            <w:r>
              <w:rPr>
                <w:color w:val="auto"/>
              </w:rPr>
              <w:t>套</w:t>
            </w:r>
          </w:p>
        </w:tc>
        <w:tc>
          <w:tcPr>
            <w:tcW w:w="335" w:type="pct"/>
            <w:noWrap/>
            <w:vAlign w:val="center"/>
          </w:tcPr>
          <w:p>
            <w:pPr>
              <w:adjustRightInd w:val="0"/>
              <w:snapToGrid w:val="0"/>
              <w:jc w:val="center"/>
              <w:rPr>
                <w:color w:val="auto"/>
              </w:rPr>
            </w:pPr>
            <w:r>
              <w:rPr>
                <w:color w:val="auto"/>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noWrap w:val="0"/>
            <w:vAlign w:val="center"/>
          </w:tcPr>
          <w:p>
            <w:pPr>
              <w:adjustRightInd w:val="0"/>
              <w:snapToGrid w:val="0"/>
              <w:rPr>
                <w:color w:val="auto"/>
              </w:rPr>
            </w:pPr>
            <w:r>
              <w:rPr>
                <w:color w:val="auto"/>
              </w:rPr>
              <w:t>3</w:t>
            </w:r>
          </w:p>
        </w:tc>
        <w:tc>
          <w:tcPr>
            <w:tcW w:w="615" w:type="pct"/>
            <w:noWrap w:val="0"/>
            <w:vAlign w:val="center"/>
          </w:tcPr>
          <w:p>
            <w:pPr>
              <w:adjustRightInd w:val="0"/>
              <w:snapToGrid w:val="0"/>
              <w:rPr>
                <w:color w:val="auto"/>
              </w:rPr>
            </w:pPr>
            <w:r>
              <w:rPr>
                <w:color w:val="auto"/>
              </w:rPr>
              <w:t xml:space="preserve">单屏坐席协作管控端                 </w:t>
            </w:r>
          </w:p>
        </w:tc>
        <w:tc>
          <w:tcPr>
            <w:tcW w:w="3347" w:type="pct"/>
            <w:noWrap w:val="0"/>
            <w:vAlign w:val="center"/>
          </w:tcPr>
          <w:p>
            <w:pPr>
              <w:adjustRightInd w:val="0"/>
              <w:snapToGrid w:val="0"/>
              <w:rPr>
                <w:color w:val="auto"/>
              </w:rPr>
            </w:pPr>
            <w:r>
              <w:rPr>
                <w:color w:val="auto"/>
              </w:rPr>
              <w:t>坐席协作管控端要求采用闭环式光纤KVM架构，通过主备冗余光纤实现HDMI、USB-HID、USB2.0、RS232、音频等数据管控输出；提供无损压缩非编解码的高速数字切换能力，支持单链路分辨率可高达4K@30Hz，并且向下兼容各种常用分辨率，提供高质量图像传输；支持机架式集中供电安装；传输距离：多模光纤≥1km,单模光纤≥10km。</w:t>
            </w:r>
          </w:p>
        </w:tc>
        <w:tc>
          <w:tcPr>
            <w:tcW w:w="389" w:type="pct"/>
            <w:noWrap w:val="0"/>
            <w:vAlign w:val="center"/>
          </w:tcPr>
          <w:p>
            <w:pPr>
              <w:adjustRightInd w:val="0"/>
              <w:snapToGrid w:val="0"/>
              <w:jc w:val="center"/>
              <w:rPr>
                <w:color w:val="auto"/>
              </w:rPr>
            </w:pPr>
            <w:r>
              <w:rPr>
                <w:color w:val="auto"/>
              </w:rPr>
              <w:t>台</w:t>
            </w:r>
          </w:p>
        </w:tc>
        <w:tc>
          <w:tcPr>
            <w:tcW w:w="335" w:type="pct"/>
            <w:noWrap/>
            <w:vAlign w:val="center"/>
          </w:tcPr>
          <w:p>
            <w:pPr>
              <w:adjustRightInd w:val="0"/>
              <w:snapToGrid w:val="0"/>
              <w:jc w:val="center"/>
              <w:rPr>
                <w:color w:val="auto"/>
              </w:rPr>
            </w:pPr>
            <w:r>
              <w:rPr>
                <w:color w:val="auto"/>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noWrap w:val="0"/>
            <w:vAlign w:val="center"/>
          </w:tcPr>
          <w:p>
            <w:pPr>
              <w:adjustRightInd w:val="0"/>
              <w:snapToGrid w:val="0"/>
              <w:rPr>
                <w:color w:val="auto"/>
              </w:rPr>
            </w:pPr>
            <w:r>
              <w:rPr>
                <w:color w:val="auto"/>
              </w:rPr>
              <w:t>4</w:t>
            </w:r>
          </w:p>
        </w:tc>
        <w:tc>
          <w:tcPr>
            <w:tcW w:w="615" w:type="pct"/>
            <w:noWrap w:val="0"/>
            <w:vAlign w:val="center"/>
          </w:tcPr>
          <w:p>
            <w:pPr>
              <w:adjustRightInd w:val="0"/>
              <w:snapToGrid w:val="0"/>
              <w:rPr>
                <w:color w:val="auto"/>
              </w:rPr>
            </w:pPr>
            <w:r>
              <w:rPr>
                <w:color w:val="auto"/>
              </w:rPr>
              <w:t xml:space="preserve">坐席协作接入管控软件                 </w:t>
            </w:r>
          </w:p>
        </w:tc>
        <w:tc>
          <w:tcPr>
            <w:tcW w:w="3347" w:type="pct"/>
            <w:noWrap w:val="0"/>
            <w:vAlign w:val="center"/>
          </w:tcPr>
          <w:p>
            <w:pPr>
              <w:adjustRightInd w:val="0"/>
              <w:snapToGrid w:val="0"/>
              <w:rPr>
                <w:rFonts w:hint="eastAsia" w:eastAsia="宋体"/>
                <w:color w:val="auto"/>
                <w:lang w:eastAsia="zh-CN"/>
              </w:rPr>
            </w:pPr>
            <w:r>
              <w:rPr>
                <w:color w:val="auto"/>
              </w:rPr>
              <w:t>支持通过本地键盘热键的宏命令，实现一键坐席多路信号编组调取及实现一键触发多达16组坐席共享；实现可定义热键，一键将本地坐席信号推送上大屏及坐席，或一键抓取其他坐席及大屏信号源到本地坐席，同时实现键盘鼠标实时编辑的实战效果；支持热键调取OSD菜单，实时了解各个信号源连接状态和信号源接入状态；不同坐席终端使用本地键盘，通过跨平台跨网段极速通畅光标编辑操作系统，实现任意坐席一人多机的场景；具有用户权限和管控端权限，为不同坐席分配对应的操控、调用权限，以确保协同流程的通畅和系统的控制安全，满足各个工作职位的控制、分组分权限管理的要求</w:t>
            </w:r>
            <w:r>
              <w:rPr>
                <w:rFonts w:hint="eastAsia"/>
                <w:color w:val="auto"/>
                <w:lang w:eastAsia="zh-CN"/>
              </w:rPr>
              <w:t>。</w:t>
            </w:r>
          </w:p>
        </w:tc>
        <w:tc>
          <w:tcPr>
            <w:tcW w:w="389" w:type="pct"/>
            <w:noWrap w:val="0"/>
            <w:vAlign w:val="center"/>
          </w:tcPr>
          <w:p>
            <w:pPr>
              <w:adjustRightInd w:val="0"/>
              <w:snapToGrid w:val="0"/>
              <w:jc w:val="center"/>
              <w:rPr>
                <w:color w:val="auto"/>
              </w:rPr>
            </w:pPr>
            <w:r>
              <w:rPr>
                <w:color w:val="auto"/>
              </w:rPr>
              <w:t>套</w:t>
            </w:r>
          </w:p>
        </w:tc>
        <w:tc>
          <w:tcPr>
            <w:tcW w:w="335" w:type="pct"/>
            <w:noWrap/>
            <w:vAlign w:val="center"/>
          </w:tcPr>
          <w:p>
            <w:pPr>
              <w:adjustRightInd w:val="0"/>
              <w:snapToGrid w:val="0"/>
              <w:jc w:val="center"/>
              <w:rPr>
                <w:color w:val="auto"/>
              </w:rPr>
            </w:pPr>
            <w:r>
              <w:rPr>
                <w:color w:val="auto"/>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noWrap w:val="0"/>
            <w:vAlign w:val="center"/>
          </w:tcPr>
          <w:p>
            <w:pPr>
              <w:adjustRightInd w:val="0"/>
              <w:snapToGrid w:val="0"/>
              <w:rPr>
                <w:color w:val="auto"/>
              </w:rPr>
            </w:pPr>
            <w:r>
              <w:rPr>
                <w:color w:val="auto"/>
              </w:rPr>
              <w:t>5</w:t>
            </w:r>
          </w:p>
        </w:tc>
        <w:tc>
          <w:tcPr>
            <w:tcW w:w="615" w:type="pct"/>
            <w:noWrap w:val="0"/>
            <w:vAlign w:val="center"/>
          </w:tcPr>
          <w:p>
            <w:pPr>
              <w:adjustRightInd w:val="0"/>
              <w:snapToGrid w:val="0"/>
              <w:rPr>
                <w:color w:val="auto"/>
              </w:rPr>
            </w:pPr>
            <w:r>
              <w:rPr>
                <w:color w:val="auto"/>
              </w:rPr>
              <w:t>大屏幕光纤KVM拼控终端</w:t>
            </w:r>
          </w:p>
        </w:tc>
        <w:tc>
          <w:tcPr>
            <w:tcW w:w="3347" w:type="pct"/>
            <w:noWrap w:val="0"/>
            <w:vAlign w:val="center"/>
          </w:tcPr>
          <w:p>
            <w:pPr>
              <w:adjustRightInd w:val="0"/>
              <w:snapToGrid w:val="0"/>
              <w:rPr>
                <w:color w:val="auto"/>
              </w:rPr>
            </w:pPr>
            <w:r>
              <w:rPr>
                <w:color w:val="auto"/>
              </w:rPr>
              <w:t>通过大屏幕光纤KVM拼控终端，实现直连输出大屏幕，代替传统交换机分布式输入输出节点的大屏处理器系统架构；通过8路光纤输入即可大屏幕8路1200P@60Hz DVI输出显示的场景；专用帧同步线缆，保证所有多拼控终端输出的图像完全同步，画面流畅完整，无撕裂感；传输距离：多模光纤≥1km,单模光纤≥10km。</w:t>
            </w:r>
          </w:p>
        </w:tc>
        <w:tc>
          <w:tcPr>
            <w:tcW w:w="389" w:type="pct"/>
            <w:noWrap w:val="0"/>
            <w:vAlign w:val="center"/>
          </w:tcPr>
          <w:p>
            <w:pPr>
              <w:adjustRightInd w:val="0"/>
              <w:snapToGrid w:val="0"/>
              <w:jc w:val="center"/>
              <w:rPr>
                <w:color w:val="auto"/>
              </w:rPr>
            </w:pPr>
            <w:r>
              <w:rPr>
                <w:color w:val="auto"/>
              </w:rPr>
              <w:t>台</w:t>
            </w:r>
          </w:p>
        </w:tc>
        <w:tc>
          <w:tcPr>
            <w:tcW w:w="335" w:type="pct"/>
            <w:noWrap/>
            <w:vAlign w:val="center"/>
          </w:tcPr>
          <w:p>
            <w:pPr>
              <w:adjustRightInd w:val="0"/>
              <w:snapToGrid w:val="0"/>
              <w:jc w:val="center"/>
              <w:rPr>
                <w:color w:val="auto"/>
              </w:rPr>
            </w:pPr>
            <w:r>
              <w:rPr>
                <w:color w:val="auto"/>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noWrap w:val="0"/>
            <w:vAlign w:val="center"/>
          </w:tcPr>
          <w:p>
            <w:pPr>
              <w:adjustRightInd w:val="0"/>
              <w:snapToGrid w:val="0"/>
              <w:rPr>
                <w:color w:val="auto"/>
              </w:rPr>
            </w:pPr>
            <w:r>
              <w:rPr>
                <w:color w:val="auto"/>
              </w:rPr>
              <w:t>6</w:t>
            </w:r>
          </w:p>
        </w:tc>
        <w:tc>
          <w:tcPr>
            <w:tcW w:w="615" w:type="pct"/>
            <w:noWrap w:val="0"/>
            <w:vAlign w:val="center"/>
          </w:tcPr>
          <w:p>
            <w:pPr>
              <w:adjustRightInd w:val="0"/>
              <w:snapToGrid w:val="0"/>
              <w:rPr>
                <w:color w:val="auto"/>
              </w:rPr>
            </w:pPr>
            <w:r>
              <w:rPr>
                <w:color w:val="auto"/>
              </w:rPr>
              <w:t>大屏幕光纤KVM拼控软件</w:t>
            </w:r>
          </w:p>
        </w:tc>
        <w:tc>
          <w:tcPr>
            <w:tcW w:w="3347" w:type="pct"/>
            <w:noWrap w:val="0"/>
            <w:vAlign w:val="center"/>
          </w:tcPr>
          <w:p>
            <w:pPr>
              <w:adjustRightInd w:val="0"/>
              <w:snapToGrid w:val="0"/>
              <w:rPr>
                <w:rFonts w:hint="eastAsia" w:eastAsia="宋体"/>
                <w:color w:val="auto"/>
                <w:lang w:eastAsia="zh-CN"/>
              </w:rPr>
            </w:pPr>
            <w:r>
              <w:rPr>
                <w:color w:val="auto"/>
              </w:rPr>
              <w:t>单屏具有6个信号叠加显示能力，可支持 HDMI、DVI等不同信号格式的多屏同步叠加显示；支持超高分底图功能；实现大屏幕显示规模、显示分辨率、开窗、替换、缩放、漫游、移动、关窗、平铺、全屏、叠加、显示模式的执行操作场景</w:t>
            </w:r>
            <w:r>
              <w:rPr>
                <w:rFonts w:hint="eastAsia"/>
                <w:color w:val="auto"/>
                <w:lang w:eastAsia="zh-CN"/>
              </w:rPr>
              <w:t>。。</w:t>
            </w:r>
          </w:p>
        </w:tc>
        <w:tc>
          <w:tcPr>
            <w:tcW w:w="389" w:type="pct"/>
            <w:noWrap w:val="0"/>
            <w:vAlign w:val="center"/>
          </w:tcPr>
          <w:p>
            <w:pPr>
              <w:adjustRightInd w:val="0"/>
              <w:snapToGrid w:val="0"/>
              <w:jc w:val="center"/>
              <w:rPr>
                <w:color w:val="auto"/>
              </w:rPr>
            </w:pPr>
            <w:r>
              <w:rPr>
                <w:color w:val="auto"/>
              </w:rPr>
              <w:t>套</w:t>
            </w:r>
          </w:p>
        </w:tc>
        <w:tc>
          <w:tcPr>
            <w:tcW w:w="335" w:type="pct"/>
            <w:noWrap/>
            <w:vAlign w:val="center"/>
          </w:tcPr>
          <w:p>
            <w:pPr>
              <w:adjustRightInd w:val="0"/>
              <w:snapToGrid w:val="0"/>
              <w:jc w:val="center"/>
              <w:rPr>
                <w:color w:val="auto"/>
              </w:rPr>
            </w:pPr>
            <w:r>
              <w:rPr>
                <w:color w:val="auto"/>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pct"/>
            <w:gridSpan w:val="2"/>
            <w:noWrap w:val="0"/>
            <w:vAlign w:val="center"/>
          </w:tcPr>
          <w:p>
            <w:pPr>
              <w:adjustRightInd w:val="0"/>
              <w:snapToGrid w:val="0"/>
              <w:rPr>
                <w:color w:val="auto"/>
              </w:rPr>
            </w:pPr>
            <w:r>
              <w:rPr>
                <w:color w:val="auto"/>
              </w:rPr>
              <w:t>三、决策室</w:t>
            </w:r>
          </w:p>
        </w:tc>
        <w:tc>
          <w:tcPr>
            <w:tcW w:w="3347" w:type="pct"/>
            <w:noWrap w:val="0"/>
            <w:vAlign w:val="center"/>
          </w:tcPr>
          <w:p>
            <w:pPr>
              <w:adjustRightInd w:val="0"/>
              <w:snapToGrid w:val="0"/>
              <w:rPr>
                <w:color w:val="auto"/>
              </w:rPr>
            </w:pPr>
            <w:r>
              <w:rPr>
                <w:color w:val="auto"/>
              </w:rPr>
              <w:t>　</w:t>
            </w:r>
          </w:p>
        </w:tc>
        <w:tc>
          <w:tcPr>
            <w:tcW w:w="389" w:type="pct"/>
            <w:noWrap w:val="0"/>
            <w:vAlign w:val="center"/>
          </w:tcPr>
          <w:p>
            <w:pPr>
              <w:adjustRightInd w:val="0"/>
              <w:snapToGrid w:val="0"/>
              <w:jc w:val="center"/>
              <w:rPr>
                <w:color w:val="auto"/>
              </w:rPr>
            </w:pPr>
          </w:p>
        </w:tc>
        <w:tc>
          <w:tcPr>
            <w:tcW w:w="335" w:type="pct"/>
            <w:noWrap w:val="0"/>
            <w:vAlign w:val="center"/>
          </w:tcPr>
          <w:p>
            <w:pPr>
              <w:adjustRightInd w:val="0"/>
              <w:snapToGrid w:val="0"/>
              <w:jc w:val="cente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6" w:type="pct"/>
            <w:gridSpan w:val="3"/>
            <w:noWrap w:val="0"/>
            <w:vAlign w:val="center"/>
          </w:tcPr>
          <w:p>
            <w:pPr>
              <w:adjustRightInd w:val="0"/>
              <w:snapToGrid w:val="0"/>
              <w:rPr>
                <w:color w:val="auto"/>
              </w:rPr>
            </w:pPr>
            <w:r>
              <w:rPr>
                <w:color w:val="auto"/>
              </w:rPr>
              <w:t>3.1坐席管理及视频处理系统</w:t>
            </w:r>
          </w:p>
        </w:tc>
        <w:tc>
          <w:tcPr>
            <w:tcW w:w="389" w:type="pct"/>
            <w:noWrap w:val="0"/>
            <w:vAlign w:val="center"/>
          </w:tcPr>
          <w:p>
            <w:pPr>
              <w:adjustRightInd w:val="0"/>
              <w:snapToGrid w:val="0"/>
              <w:jc w:val="center"/>
              <w:rPr>
                <w:color w:val="auto"/>
              </w:rPr>
            </w:pPr>
          </w:p>
        </w:tc>
        <w:tc>
          <w:tcPr>
            <w:tcW w:w="335" w:type="pct"/>
            <w:noWrap w:val="0"/>
            <w:vAlign w:val="center"/>
          </w:tcPr>
          <w:p>
            <w:pPr>
              <w:adjustRightInd w:val="0"/>
              <w:snapToGrid w:val="0"/>
              <w:jc w:val="cente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noWrap w:val="0"/>
            <w:vAlign w:val="center"/>
          </w:tcPr>
          <w:p>
            <w:pPr>
              <w:adjustRightInd w:val="0"/>
              <w:snapToGrid w:val="0"/>
              <w:rPr>
                <w:color w:val="auto"/>
              </w:rPr>
            </w:pPr>
            <w:r>
              <w:rPr>
                <w:color w:val="auto"/>
              </w:rPr>
              <w:t>1</w:t>
            </w:r>
          </w:p>
        </w:tc>
        <w:tc>
          <w:tcPr>
            <w:tcW w:w="615" w:type="pct"/>
            <w:noWrap w:val="0"/>
            <w:vAlign w:val="center"/>
          </w:tcPr>
          <w:p>
            <w:pPr>
              <w:adjustRightInd w:val="0"/>
              <w:snapToGrid w:val="0"/>
              <w:rPr>
                <w:color w:val="auto"/>
              </w:rPr>
            </w:pPr>
            <w:r>
              <w:rPr>
                <w:color w:val="auto"/>
              </w:rPr>
              <w:t xml:space="preserve">单屏坐席协作接入端                 </w:t>
            </w:r>
          </w:p>
        </w:tc>
        <w:tc>
          <w:tcPr>
            <w:tcW w:w="3347" w:type="pct"/>
            <w:noWrap w:val="0"/>
            <w:vAlign w:val="center"/>
          </w:tcPr>
          <w:p>
            <w:pPr>
              <w:adjustRightInd w:val="0"/>
              <w:snapToGrid w:val="0"/>
              <w:rPr>
                <w:color w:val="auto"/>
              </w:rPr>
            </w:pPr>
            <w:r>
              <w:rPr>
                <w:color w:val="auto"/>
              </w:rPr>
              <w:t>坐席协作管控端要求采用闭环式光纤KVM架构，通过主备冗余光纤实现HDMI、USB-HID、USB2.0、RS232、音频等数据管控输出；提供无损压缩非编解码的高速数字切换能力，支持单链路分辨率可高达4K@30Hz ，并且向下兼容各种常用分辨率，提供高质量图像传输；支持机架式集中供电安装；传输距离：多模光纤≥1km,单模光纤≥10km。</w:t>
            </w:r>
          </w:p>
        </w:tc>
        <w:tc>
          <w:tcPr>
            <w:tcW w:w="389" w:type="pct"/>
            <w:noWrap w:val="0"/>
            <w:vAlign w:val="center"/>
          </w:tcPr>
          <w:p>
            <w:pPr>
              <w:adjustRightInd w:val="0"/>
              <w:snapToGrid w:val="0"/>
              <w:jc w:val="center"/>
              <w:rPr>
                <w:color w:val="auto"/>
              </w:rPr>
            </w:pPr>
            <w:r>
              <w:rPr>
                <w:color w:val="auto"/>
              </w:rPr>
              <w:t>台</w:t>
            </w:r>
          </w:p>
        </w:tc>
        <w:tc>
          <w:tcPr>
            <w:tcW w:w="335" w:type="pct"/>
            <w:noWrap/>
            <w:vAlign w:val="center"/>
          </w:tcPr>
          <w:p>
            <w:pPr>
              <w:adjustRightInd w:val="0"/>
              <w:snapToGrid w:val="0"/>
              <w:jc w:val="center"/>
              <w:rPr>
                <w:color w:val="auto"/>
              </w:rPr>
            </w:pPr>
            <w:r>
              <w:rPr>
                <w:color w:val="auto"/>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noWrap w:val="0"/>
            <w:vAlign w:val="center"/>
          </w:tcPr>
          <w:p>
            <w:pPr>
              <w:adjustRightInd w:val="0"/>
              <w:snapToGrid w:val="0"/>
              <w:rPr>
                <w:color w:val="auto"/>
              </w:rPr>
            </w:pPr>
            <w:r>
              <w:rPr>
                <w:color w:val="auto"/>
              </w:rPr>
              <w:t>2</w:t>
            </w:r>
          </w:p>
        </w:tc>
        <w:tc>
          <w:tcPr>
            <w:tcW w:w="615" w:type="pct"/>
            <w:noWrap w:val="0"/>
            <w:vAlign w:val="center"/>
          </w:tcPr>
          <w:p>
            <w:pPr>
              <w:adjustRightInd w:val="0"/>
              <w:snapToGrid w:val="0"/>
              <w:rPr>
                <w:color w:val="auto"/>
              </w:rPr>
            </w:pPr>
            <w:r>
              <w:rPr>
                <w:color w:val="auto"/>
              </w:rPr>
              <w:t xml:space="preserve">坐席协作接入管控软件                 </w:t>
            </w:r>
          </w:p>
        </w:tc>
        <w:tc>
          <w:tcPr>
            <w:tcW w:w="3347" w:type="pct"/>
            <w:noWrap w:val="0"/>
            <w:vAlign w:val="center"/>
          </w:tcPr>
          <w:p>
            <w:pPr>
              <w:adjustRightInd w:val="0"/>
              <w:snapToGrid w:val="0"/>
              <w:rPr>
                <w:rFonts w:hint="eastAsia" w:eastAsia="宋体"/>
                <w:color w:val="auto"/>
                <w:lang w:eastAsia="zh-CN"/>
              </w:rPr>
            </w:pPr>
            <w:r>
              <w:rPr>
                <w:color w:val="auto"/>
              </w:rPr>
              <w:t>支持通过本地键盘热键的宏命令，实现一键坐席多路信号编组调取及实现一键触发多达16组坐席共享；实现可定义热键，一键将本地坐席信号推送上大屏及坐席，或一键抓取其他坐席及大屏信号源到本地坐席，同时实现键盘鼠标实时编辑的实战效果；支持热键调取OSD菜单，实时了解各个信号源连接状态和信号源接入状态；不同坐席终端使用本地键盘，通过跨平台跨网段极速通畅光标编辑操作系统，实现任意坐席一人多机的场景；具有用户权限和管控端权限，为不同坐席分配对应的操控、调用权限，以确保协同流程的通畅和系统的控制安全，满足各个工作职位的控制、分组分权限管理的要求</w:t>
            </w:r>
            <w:r>
              <w:rPr>
                <w:rFonts w:hint="eastAsia"/>
                <w:color w:val="auto"/>
                <w:lang w:eastAsia="zh-CN"/>
              </w:rPr>
              <w:t>。</w:t>
            </w:r>
          </w:p>
        </w:tc>
        <w:tc>
          <w:tcPr>
            <w:tcW w:w="389" w:type="pct"/>
            <w:noWrap w:val="0"/>
            <w:vAlign w:val="center"/>
          </w:tcPr>
          <w:p>
            <w:pPr>
              <w:adjustRightInd w:val="0"/>
              <w:snapToGrid w:val="0"/>
              <w:jc w:val="center"/>
              <w:rPr>
                <w:color w:val="auto"/>
              </w:rPr>
            </w:pPr>
            <w:r>
              <w:rPr>
                <w:color w:val="auto"/>
              </w:rPr>
              <w:t>套</w:t>
            </w:r>
          </w:p>
        </w:tc>
        <w:tc>
          <w:tcPr>
            <w:tcW w:w="335" w:type="pct"/>
            <w:noWrap/>
            <w:vAlign w:val="center"/>
          </w:tcPr>
          <w:p>
            <w:pPr>
              <w:adjustRightInd w:val="0"/>
              <w:snapToGrid w:val="0"/>
              <w:jc w:val="center"/>
              <w:rPr>
                <w:color w:val="auto"/>
              </w:rPr>
            </w:pPr>
            <w:r>
              <w:rPr>
                <w:color w:val="auto"/>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noWrap w:val="0"/>
            <w:vAlign w:val="center"/>
          </w:tcPr>
          <w:p>
            <w:pPr>
              <w:adjustRightInd w:val="0"/>
              <w:snapToGrid w:val="0"/>
              <w:rPr>
                <w:color w:val="auto"/>
              </w:rPr>
            </w:pPr>
            <w:r>
              <w:rPr>
                <w:color w:val="auto"/>
              </w:rPr>
              <w:t>3</w:t>
            </w:r>
          </w:p>
        </w:tc>
        <w:tc>
          <w:tcPr>
            <w:tcW w:w="615" w:type="pct"/>
            <w:noWrap w:val="0"/>
            <w:vAlign w:val="center"/>
          </w:tcPr>
          <w:p>
            <w:pPr>
              <w:adjustRightInd w:val="0"/>
              <w:snapToGrid w:val="0"/>
              <w:rPr>
                <w:color w:val="auto"/>
              </w:rPr>
            </w:pPr>
            <w:r>
              <w:rPr>
                <w:color w:val="auto"/>
              </w:rPr>
              <w:t xml:space="preserve">单屏坐席协作管控端                 </w:t>
            </w:r>
          </w:p>
        </w:tc>
        <w:tc>
          <w:tcPr>
            <w:tcW w:w="3347" w:type="pct"/>
            <w:noWrap w:val="0"/>
            <w:vAlign w:val="center"/>
          </w:tcPr>
          <w:p>
            <w:pPr>
              <w:adjustRightInd w:val="0"/>
              <w:snapToGrid w:val="0"/>
              <w:rPr>
                <w:color w:val="auto"/>
              </w:rPr>
            </w:pPr>
            <w:r>
              <w:rPr>
                <w:color w:val="auto"/>
              </w:rPr>
              <w:t>坐席协作管控端要求采用闭环式光纤KVM架构，通过主备冗余光纤实现HDMI、USB-HID、USB2.0、RS232、音频等数据管控输出；提供无损压缩非编解码的高速数字切换能力，支持单链路分辨率可高达4K@30Hz ，并且向下兼容各种常用分辨率，提供高质量图像传输；支持机架式集中供电安装；传输距离：多模光纤≥1km,单模光纤≥10km。</w:t>
            </w:r>
          </w:p>
        </w:tc>
        <w:tc>
          <w:tcPr>
            <w:tcW w:w="389" w:type="pct"/>
            <w:noWrap w:val="0"/>
            <w:vAlign w:val="center"/>
          </w:tcPr>
          <w:p>
            <w:pPr>
              <w:adjustRightInd w:val="0"/>
              <w:snapToGrid w:val="0"/>
              <w:jc w:val="center"/>
              <w:rPr>
                <w:color w:val="auto"/>
              </w:rPr>
            </w:pPr>
            <w:r>
              <w:rPr>
                <w:color w:val="auto"/>
              </w:rPr>
              <w:t>台</w:t>
            </w:r>
          </w:p>
        </w:tc>
        <w:tc>
          <w:tcPr>
            <w:tcW w:w="335" w:type="pct"/>
            <w:noWrap/>
            <w:vAlign w:val="center"/>
          </w:tcPr>
          <w:p>
            <w:pPr>
              <w:adjustRightInd w:val="0"/>
              <w:snapToGrid w:val="0"/>
              <w:jc w:val="center"/>
              <w:rPr>
                <w:color w:val="auto"/>
              </w:rPr>
            </w:pPr>
            <w:r>
              <w:rPr>
                <w:color w:val="auto"/>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noWrap w:val="0"/>
            <w:vAlign w:val="center"/>
          </w:tcPr>
          <w:p>
            <w:pPr>
              <w:adjustRightInd w:val="0"/>
              <w:snapToGrid w:val="0"/>
              <w:rPr>
                <w:color w:val="auto"/>
              </w:rPr>
            </w:pPr>
            <w:r>
              <w:rPr>
                <w:color w:val="auto"/>
              </w:rPr>
              <w:t>4</w:t>
            </w:r>
          </w:p>
        </w:tc>
        <w:tc>
          <w:tcPr>
            <w:tcW w:w="615" w:type="pct"/>
            <w:noWrap w:val="0"/>
            <w:vAlign w:val="center"/>
          </w:tcPr>
          <w:p>
            <w:pPr>
              <w:adjustRightInd w:val="0"/>
              <w:snapToGrid w:val="0"/>
              <w:rPr>
                <w:color w:val="auto"/>
              </w:rPr>
            </w:pPr>
            <w:r>
              <w:rPr>
                <w:color w:val="auto"/>
              </w:rPr>
              <w:t xml:space="preserve">坐席协作接入管控软件                 </w:t>
            </w:r>
          </w:p>
        </w:tc>
        <w:tc>
          <w:tcPr>
            <w:tcW w:w="3347" w:type="pct"/>
            <w:noWrap w:val="0"/>
            <w:vAlign w:val="center"/>
          </w:tcPr>
          <w:p>
            <w:pPr>
              <w:adjustRightInd w:val="0"/>
              <w:snapToGrid w:val="0"/>
              <w:rPr>
                <w:rFonts w:hint="eastAsia" w:eastAsia="宋体"/>
                <w:color w:val="auto"/>
                <w:lang w:eastAsia="zh-CN"/>
              </w:rPr>
            </w:pPr>
            <w:r>
              <w:rPr>
                <w:color w:val="auto"/>
              </w:rPr>
              <w:t>支持通过本地键盘热键的宏命令，实现一键坐席多路信号编组调取及实现一键触发多达16组坐席共享；实现可定义热键，一键将本地坐席信号推送上大屏及坐席，或一键抓取其他坐席及大屏信号源到本地坐席，同时实现键盘鼠标实时编辑的实战效果；支持热键调取OSD菜单，实时了解各个信号源连接状态和信号源接入状态；不同坐席终端使用本地键盘，通过跨平台跨网段极速通畅光标编辑操作系统，实现任意坐席一人多机的场景；具有用户权限和管控端权限，为不同坐席分配对应的操控、调用权限，以确保协同流程的通畅和系统的控制安全，满足各个工作职位的控制、分组分权限管理的要求</w:t>
            </w:r>
            <w:r>
              <w:rPr>
                <w:rFonts w:hint="eastAsia"/>
                <w:color w:val="auto"/>
                <w:lang w:eastAsia="zh-CN"/>
              </w:rPr>
              <w:t>。</w:t>
            </w:r>
          </w:p>
        </w:tc>
        <w:tc>
          <w:tcPr>
            <w:tcW w:w="389" w:type="pct"/>
            <w:noWrap w:val="0"/>
            <w:vAlign w:val="center"/>
          </w:tcPr>
          <w:p>
            <w:pPr>
              <w:adjustRightInd w:val="0"/>
              <w:snapToGrid w:val="0"/>
              <w:jc w:val="center"/>
              <w:rPr>
                <w:color w:val="auto"/>
              </w:rPr>
            </w:pPr>
            <w:r>
              <w:rPr>
                <w:color w:val="auto"/>
              </w:rPr>
              <w:t>套</w:t>
            </w:r>
          </w:p>
        </w:tc>
        <w:tc>
          <w:tcPr>
            <w:tcW w:w="335" w:type="pct"/>
            <w:noWrap/>
            <w:vAlign w:val="center"/>
          </w:tcPr>
          <w:p>
            <w:pPr>
              <w:adjustRightInd w:val="0"/>
              <w:snapToGrid w:val="0"/>
              <w:jc w:val="center"/>
              <w:rPr>
                <w:color w:val="auto"/>
              </w:rPr>
            </w:pPr>
            <w:r>
              <w:rPr>
                <w:color w:val="auto"/>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noWrap w:val="0"/>
            <w:vAlign w:val="center"/>
          </w:tcPr>
          <w:p>
            <w:pPr>
              <w:adjustRightInd w:val="0"/>
              <w:snapToGrid w:val="0"/>
              <w:rPr>
                <w:color w:val="auto"/>
              </w:rPr>
            </w:pPr>
            <w:r>
              <w:rPr>
                <w:color w:val="auto"/>
              </w:rPr>
              <w:t>5</w:t>
            </w:r>
          </w:p>
        </w:tc>
        <w:tc>
          <w:tcPr>
            <w:tcW w:w="615" w:type="pct"/>
            <w:noWrap w:val="0"/>
            <w:vAlign w:val="center"/>
          </w:tcPr>
          <w:p>
            <w:pPr>
              <w:adjustRightInd w:val="0"/>
              <w:snapToGrid w:val="0"/>
              <w:rPr>
                <w:color w:val="auto"/>
              </w:rPr>
            </w:pPr>
            <w:r>
              <w:rPr>
                <w:color w:val="auto"/>
              </w:rPr>
              <w:t>大屏幕光纤KVM拼控终端</w:t>
            </w:r>
          </w:p>
        </w:tc>
        <w:tc>
          <w:tcPr>
            <w:tcW w:w="3347" w:type="pct"/>
            <w:noWrap w:val="0"/>
            <w:vAlign w:val="center"/>
          </w:tcPr>
          <w:p>
            <w:pPr>
              <w:adjustRightInd w:val="0"/>
              <w:snapToGrid w:val="0"/>
              <w:rPr>
                <w:color w:val="auto"/>
              </w:rPr>
            </w:pPr>
            <w:r>
              <w:rPr>
                <w:color w:val="auto"/>
              </w:rPr>
              <w:t>通过大屏幕光纤KVM拼控终端，实现直连输出大屏幕，代替传统交换机分布式输入输出节点的大屏处理器系统架构；通过8路光纤输入即可大屏幕8路1200P@60Hz DVI输出显示的场景；专用帧同步线缆，保证所有多拼控终端输出的图像完全同步，画面流畅完整，无撕裂感；传输距离：多模光纤≥1km,单模光纤≥10km。</w:t>
            </w:r>
          </w:p>
        </w:tc>
        <w:tc>
          <w:tcPr>
            <w:tcW w:w="389" w:type="pct"/>
            <w:noWrap w:val="0"/>
            <w:vAlign w:val="center"/>
          </w:tcPr>
          <w:p>
            <w:pPr>
              <w:adjustRightInd w:val="0"/>
              <w:snapToGrid w:val="0"/>
              <w:jc w:val="center"/>
              <w:rPr>
                <w:color w:val="auto"/>
              </w:rPr>
            </w:pPr>
            <w:r>
              <w:rPr>
                <w:color w:val="auto"/>
              </w:rPr>
              <w:t>台</w:t>
            </w:r>
          </w:p>
        </w:tc>
        <w:tc>
          <w:tcPr>
            <w:tcW w:w="335" w:type="pct"/>
            <w:noWrap/>
            <w:vAlign w:val="center"/>
          </w:tcPr>
          <w:p>
            <w:pPr>
              <w:adjustRightInd w:val="0"/>
              <w:snapToGrid w:val="0"/>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4" w:type="pct"/>
            <w:noWrap w:val="0"/>
            <w:vAlign w:val="center"/>
          </w:tcPr>
          <w:p>
            <w:pPr>
              <w:adjustRightInd w:val="0"/>
              <w:snapToGrid w:val="0"/>
              <w:rPr>
                <w:color w:val="auto"/>
              </w:rPr>
            </w:pPr>
            <w:r>
              <w:rPr>
                <w:color w:val="auto"/>
              </w:rPr>
              <w:t>6</w:t>
            </w:r>
          </w:p>
        </w:tc>
        <w:tc>
          <w:tcPr>
            <w:tcW w:w="615" w:type="pct"/>
            <w:noWrap w:val="0"/>
            <w:vAlign w:val="center"/>
          </w:tcPr>
          <w:p>
            <w:pPr>
              <w:adjustRightInd w:val="0"/>
              <w:snapToGrid w:val="0"/>
              <w:rPr>
                <w:color w:val="auto"/>
              </w:rPr>
            </w:pPr>
            <w:r>
              <w:rPr>
                <w:color w:val="auto"/>
              </w:rPr>
              <w:t>大屏幕光纤KVM拼控软件</w:t>
            </w:r>
          </w:p>
        </w:tc>
        <w:tc>
          <w:tcPr>
            <w:tcW w:w="3347" w:type="pct"/>
            <w:noWrap w:val="0"/>
            <w:vAlign w:val="center"/>
          </w:tcPr>
          <w:p>
            <w:pPr>
              <w:adjustRightInd w:val="0"/>
              <w:snapToGrid w:val="0"/>
              <w:rPr>
                <w:rFonts w:hint="eastAsia" w:eastAsia="宋体"/>
                <w:color w:val="auto"/>
                <w:lang w:eastAsia="zh-CN"/>
              </w:rPr>
            </w:pPr>
            <w:r>
              <w:rPr>
                <w:color w:val="auto"/>
              </w:rPr>
              <w:t>单屏具有6个信号叠加显示能力，可支持 HDMI、DVI等不同信号格式的多屏同步叠加显示；支持超高分底图功能；实现大屏幕显示规模、显示分辨率、开窗、替换、缩放、漫游、移动、关窗、平铺、全屏、叠加、显示模式的执行操作场景</w:t>
            </w:r>
            <w:r>
              <w:rPr>
                <w:rFonts w:hint="eastAsia"/>
                <w:color w:val="auto"/>
                <w:lang w:eastAsia="zh-CN"/>
              </w:rPr>
              <w:t>。</w:t>
            </w:r>
          </w:p>
        </w:tc>
        <w:tc>
          <w:tcPr>
            <w:tcW w:w="389" w:type="pct"/>
            <w:noWrap w:val="0"/>
            <w:vAlign w:val="center"/>
          </w:tcPr>
          <w:p>
            <w:pPr>
              <w:adjustRightInd w:val="0"/>
              <w:snapToGrid w:val="0"/>
              <w:jc w:val="center"/>
              <w:rPr>
                <w:color w:val="auto"/>
              </w:rPr>
            </w:pPr>
            <w:r>
              <w:rPr>
                <w:color w:val="auto"/>
              </w:rPr>
              <w:t>套</w:t>
            </w:r>
          </w:p>
        </w:tc>
        <w:tc>
          <w:tcPr>
            <w:tcW w:w="335" w:type="pct"/>
            <w:noWrap/>
            <w:vAlign w:val="center"/>
          </w:tcPr>
          <w:p>
            <w:pPr>
              <w:adjustRightInd w:val="0"/>
              <w:snapToGrid w:val="0"/>
              <w:jc w:val="center"/>
              <w:rPr>
                <w:color w:val="auto"/>
              </w:rPr>
            </w:pPr>
            <w:r>
              <w:rPr>
                <w:color w:val="auto"/>
              </w:rPr>
              <w:t>1</w:t>
            </w:r>
          </w:p>
        </w:tc>
      </w:tr>
    </w:tbl>
    <w:p>
      <w:pPr>
        <w:ind w:firstLine="420" w:firstLineChars="200"/>
        <w:rPr>
          <w:rFonts w:cs="Times New Roman"/>
          <w:color w:val="auto"/>
        </w:rPr>
      </w:pPr>
    </w:p>
    <w:p>
      <w:pPr>
        <w:pStyle w:val="8"/>
        <w:widowControl/>
        <w:spacing w:beforeAutospacing="0" w:afterAutospacing="0" w:line="360" w:lineRule="auto"/>
        <w:jc w:val="both"/>
        <w:rPr>
          <w:rFonts w:ascii="宋体" w:hAnsi="宋体" w:eastAsia="宋体" w:cs="Times New Roman"/>
          <w:b/>
          <w:bCs/>
          <w:color w:val="auto"/>
          <w:shd w:val="clear" w:color="auto" w:fill="FFFFFF"/>
        </w:rPr>
      </w:pPr>
      <w:r>
        <w:rPr>
          <w:rFonts w:hint="eastAsia" w:ascii="宋体" w:hAnsi="宋体" w:eastAsia="宋体" w:cs="Times New Roman"/>
          <w:b/>
          <w:bCs/>
          <w:color w:val="auto"/>
          <w:shd w:val="clear" w:color="auto" w:fill="FFFFFF"/>
        </w:rPr>
        <w:t>3.1</w:t>
      </w:r>
      <w:r>
        <w:rPr>
          <w:rFonts w:ascii="宋体" w:hAnsi="宋体" w:eastAsia="宋体" w:cs="Times New Roman"/>
          <w:b/>
          <w:bCs/>
          <w:color w:val="auto"/>
          <w:shd w:val="clear" w:color="auto" w:fill="FFFFFF"/>
        </w:rPr>
        <w:t>.</w:t>
      </w:r>
      <w:bookmarkStart w:id="2" w:name="_Toc103004335"/>
      <w:r>
        <w:rPr>
          <w:rFonts w:ascii="宋体" w:hAnsi="宋体" w:eastAsia="宋体" w:cs="Times New Roman"/>
          <w:b/>
          <w:bCs/>
          <w:color w:val="auto"/>
          <w:shd w:val="clear" w:color="auto" w:fill="FFFFFF"/>
        </w:rPr>
        <w:t>3 操作台及办公会议桌椅</w:t>
      </w:r>
      <w:bookmarkEnd w:id="2"/>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636"/>
        <w:gridCol w:w="4278"/>
        <w:gridCol w:w="2013"/>
        <w:gridCol w:w="532"/>
        <w:gridCol w:w="4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shd w:val="clear" w:color="000000" w:fill="FFFFFF"/>
            <w:noWrap/>
            <w:vAlign w:val="center"/>
          </w:tcPr>
          <w:p>
            <w:pPr>
              <w:adjustRightInd w:val="0"/>
              <w:snapToGrid w:val="0"/>
              <w:jc w:val="center"/>
              <w:rPr>
                <w:color w:val="auto"/>
              </w:rPr>
            </w:pPr>
            <w:r>
              <w:rPr>
                <w:color w:val="auto"/>
              </w:rPr>
              <w:t>序号</w:t>
            </w:r>
          </w:p>
        </w:tc>
        <w:tc>
          <w:tcPr>
            <w:tcW w:w="378" w:type="pct"/>
            <w:shd w:val="clear" w:color="000000" w:fill="FFFFFF"/>
            <w:noWrap/>
            <w:vAlign w:val="center"/>
          </w:tcPr>
          <w:p>
            <w:pPr>
              <w:adjustRightInd w:val="0"/>
              <w:snapToGrid w:val="0"/>
              <w:jc w:val="center"/>
              <w:rPr>
                <w:color w:val="auto"/>
              </w:rPr>
            </w:pPr>
            <w:r>
              <w:rPr>
                <w:color w:val="auto"/>
              </w:rPr>
              <w:t>名称</w:t>
            </w:r>
          </w:p>
        </w:tc>
        <w:tc>
          <w:tcPr>
            <w:tcW w:w="2758" w:type="pct"/>
            <w:shd w:val="clear" w:color="000000" w:fill="FFFFFF"/>
            <w:noWrap/>
            <w:vAlign w:val="center"/>
          </w:tcPr>
          <w:p>
            <w:pPr>
              <w:adjustRightInd w:val="0"/>
              <w:snapToGrid w:val="0"/>
              <w:jc w:val="center"/>
              <w:rPr>
                <w:color w:val="auto"/>
              </w:rPr>
            </w:pPr>
            <w:r>
              <w:rPr>
                <w:color w:val="auto"/>
              </w:rPr>
              <w:t xml:space="preserve"> 技术要求 </w:t>
            </w:r>
          </w:p>
        </w:tc>
        <w:tc>
          <w:tcPr>
            <w:tcW w:w="926" w:type="pct"/>
            <w:shd w:val="clear" w:color="000000" w:fill="FFFFFF"/>
            <w:noWrap w:val="0"/>
            <w:vAlign w:val="center"/>
          </w:tcPr>
          <w:p>
            <w:pPr>
              <w:adjustRightInd w:val="0"/>
              <w:snapToGrid w:val="0"/>
              <w:jc w:val="center"/>
              <w:rPr>
                <w:color w:val="auto"/>
              </w:rPr>
            </w:pPr>
            <w:r>
              <w:rPr>
                <w:color w:val="auto"/>
              </w:rPr>
              <w:t>规格</w:t>
            </w:r>
          </w:p>
        </w:tc>
        <w:tc>
          <w:tcPr>
            <w:tcW w:w="312" w:type="pct"/>
            <w:shd w:val="clear" w:color="000000" w:fill="FFFFFF"/>
            <w:noWrap w:val="0"/>
            <w:vAlign w:val="center"/>
          </w:tcPr>
          <w:p>
            <w:pPr>
              <w:adjustRightInd w:val="0"/>
              <w:snapToGrid w:val="0"/>
              <w:jc w:val="center"/>
              <w:rPr>
                <w:color w:val="auto"/>
              </w:rPr>
            </w:pPr>
            <w:r>
              <w:rPr>
                <w:color w:val="auto"/>
              </w:rPr>
              <w:t>数量</w:t>
            </w:r>
          </w:p>
        </w:tc>
        <w:tc>
          <w:tcPr>
            <w:tcW w:w="248" w:type="pct"/>
            <w:shd w:val="clear" w:color="000000" w:fill="FFFFFF"/>
            <w:noWrap w:val="0"/>
            <w:vAlign w:val="center"/>
          </w:tcPr>
          <w:p>
            <w:pPr>
              <w:adjustRightInd w:val="0"/>
              <w:snapToGrid w:val="0"/>
              <w:jc w:val="center"/>
              <w:rPr>
                <w:color w:val="auto"/>
              </w:rPr>
            </w:pPr>
            <w:r>
              <w:rPr>
                <w:color w:val="auto"/>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6"/>
            <w:shd w:val="clear" w:color="000000" w:fill="FFFFFF"/>
            <w:noWrap w:val="0"/>
            <w:vAlign w:val="center"/>
          </w:tcPr>
          <w:p>
            <w:pPr>
              <w:adjustRightInd w:val="0"/>
              <w:snapToGrid w:val="0"/>
              <w:rPr>
                <w:color w:val="auto"/>
              </w:rPr>
            </w:pPr>
            <w:r>
              <w:rPr>
                <w:color w:val="auto"/>
              </w:rPr>
              <w:t>一、指挥中心操作台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shd w:val="clear" w:color="000000" w:fill="FFFFFF"/>
            <w:noWrap/>
            <w:vAlign w:val="center"/>
          </w:tcPr>
          <w:p>
            <w:pPr>
              <w:adjustRightInd w:val="0"/>
              <w:snapToGrid w:val="0"/>
              <w:jc w:val="center"/>
              <w:rPr>
                <w:color w:val="auto"/>
              </w:rPr>
            </w:pPr>
            <w:r>
              <w:rPr>
                <w:color w:val="auto"/>
              </w:rPr>
              <w:t>1</w:t>
            </w:r>
          </w:p>
        </w:tc>
        <w:tc>
          <w:tcPr>
            <w:tcW w:w="378" w:type="pct"/>
            <w:shd w:val="clear" w:color="000000" w:fill="FFFFFF"/>
            <w:noWrap w:val="0"/>
            <w:vAlign w:val="center"/>
          </w:tcPr>
          <w:p>
            <w:pPr>
              <w:adjustRightInd w:val="0"/>
              <w:snapToGrid w:val="0"/>
              <w:jc w:val="center"/>
              <w:rPr>
                <w:color w:val="auto"/>
              </w:rPr>
            </w:pPr>
            <w:r>
              <w:rPr>
                <w:color w:val="auto"/>
              </w:rPr>
              <w:t>2席位操作台</w:t>
            </w:r>
          </w:p>
        </w:tc>
        <w:tc>
          <w:tcPr>
            <w:tcW w:w="2758" w:type="pct"/>
            <w:shd w:val="clear" w:color="000000" w:fill="FFFFFF"/>
            <w:noWrap w:val="0"/>
            <w:vAlign w:val="center"/>
          </w:tcPr>
          <w:p>
            <w:pPr>
              <w:adjustRightInd w:val="0"/>
              <w:snapToGrid w:val="0"/>
              <w:rPr>
                <w:rFonts w:hint="eastAsia" w:eastAsia="宋体"/>
                <w:color w:val="auto"/>
                <w:lang w:eastAsia="zh-CN"/>
              </w:rPr>
            </w:pPr>
            <w:r>
              <w:rPr>
                <w:rFonts w:hint="eastAsia"/>
                <w:color w:val="auto"/>
              </w:rPr>
              <w:t>1</w:t>
            </w:r>
            <w:r>
              <w:rPr>
                <w:color w:val="auto"/>
              </w:rPr>
              <w:t>.操作台总体需求：操作台必须包含封闭式设备底柜，底柜深度空间不小于450mm，包含前后门，底部配置活动式设备安装板，便于设备安装，柜体之间须完全联通，柜体内部须有横向和纵向的专业网格桥架且桥架须由强电和弱电两组独立构成，不允许混用，位置须至于线盖下方，线盖须采用钣金制作，不能采用圆孔过线，边上配置定制化的毛刷过线位，保证在线盖任意位置可以出线。操作台须包含铝合金型材屏风厚度不小于100mm，屏风上配置智能灯光控制系统；操作台台面是操作员长期接触的地方，不能采用任何有含胶水或粘合剂成分的材料，需采用经过高温、高压处理过的抗培特，为保证稳定性须选用国内品牌。整体产品不含任何木材质原料，保证产品健康、环保。主体框架部件采用拉铝型材和冷轧钢相结合，采用全拼装结构，所有铝型材采用国内品牌高强度拉铝型材，保证力学性能和产品稳定性，每单元承重</w:t>
            </w:r>
            <w:r>
              <w:rPr>
                <w:rFonts w:hint="eastAsia"/>
                <w:color w:val="auto"/>
              </w:rPr>
              <w:t>≥</w:t>
            </w:r>
            <w:r>
              <w:rPr>
                <w:color w:val="auto"/>
              </w:rPr>
              <w:t>500kg。主体横梁采用厚度不低于2.0mm的冷轧镀锌钢板，该材料通过镀锌处理正常条件下存储不会被锈蚀；所有钣金均采用激光机剪切，保证产品精度，所有产品边脚均采用人工打磨保证折弯成型后无向外凸出的利口，无利口对人、设备、走线的伤害。前后门采用厚度不低于1.2mm的镀锌钢板制作，具备结构力强、耐热、使设备散热更快的优点。门板采用平板打散气孔然后压筋工艺，斜面孔位以及压筋区域的通风率（开孔率）应不小于25%，不仅便于清洁不宜积灰同时也能最大限度的为设备散热，不接受全木质板材制作。台面板须采用由木制纤维与热固树脂经高温高压聚合而成的抗培特板制作，整体厚度不小于15mm。其性能要求如下：具有抗压、抗刮、抗冲击、强度高、承载力大的特性，</w:t>
            </w:r>
            <w:r>
              <w:rPr>
                <w:rFonts w:hint="eastAsia"/>
                <w:color w:val="auto"/>
              </w:rPr>
              <w:t>具备</w:t>
            </w:r>
            <w:r>
              <w:rPr>
                <w:color w:val="auto"/>
              </w:rPr>
              <w:t>很高的抗锚固件拔出强度</w:t>
            </w:r>
            <w:r>
              <w:rPr>
                <w:rFonts w:hint="eastAsia"/>
                <w:color w:val="auto"/>
              </w:rPr>
              <w:t>；</w:t>
            </w:r>
            <w:r>
              <w:rPr>
                <w:color w:val="auto"/>
              </w:rPr>
              <w:t>具有防晒、防潮、防水、耐腐蚀、缩水率小、耐侯性好的特性</w:t>
            </w:r>
            <w:r>
              <w:rPr>
                <w:rFonts w:hint="eastAsia"/>
                <w:color w:val="auto"/>
              </w:rPr>
              <w:t>；</w:t>
            </w:r>
            <w:r>
              <w:rPr>
                <w:color w:val="auto"/>
              </w:rPr>
              <w:t>防火性能符合GB8624-2012要求。遇到普通明火不会融化、滴落或爆炸，并且不会释放有毒和腐蚀的气体</w:t>
            </w:r>
            <w:r>
              <w:rPr>
                <w:rFonts w:hint="eastAsia"/>
                <w:color w:val="auto"/>
              </w:rPr>
              <w:t>；</w:t>
            </w:r>
            <w:r>
              <w:rPr>
                <w:color w:val="auto"/>
              </w:rPr>
              <w:t>表面的颜色层，须与材料本体一体化制出。颜色花纹、表面状态应有多种可供选择。表面材质致密不会黏附灰尘、本身具有自洁性，用水即可简单清洗</w:t>
            </w:r>
            <w:r>
              <w:rPr>
                <w:rFonts w:hint="eastAsia"/>
                <w:color w:val="auto"/>
              </w:rPr>
              <w:t>；</w:t>
            </w:r>
            <w:r>
              <w:rPr>
                <w:color w:val="auto"/>
              </w:rPr>
              <w:t>屏风为铝合金型材+镀锌钢板，屏风厚度不小于100mm，其余都为镀锌钢板，表面喷粉。</w:t>
            </w:r>
            <w:r>
              <w:rPr>
                <w:color w:val="auto"/>
              </w:rPr>
              <w:br w:type="textWrapping"/>
            </w:r>
            <w:r>
              <w:rPr>
                <w:color w:val="auto"/>
              </w:rPr>
              <w:t>2、控制台整体环保及稳定性需求</w:t>
            </w:r>
            <w:r>
              <w:rPr>
                <w:color w:val="auto"/>
              </w:rPr>
              <w:br w:type="textWrapping"/>
            </w:r>
            <w:r>
              <w:rPr>
                <w:color w:val="auto"/>
              </w:rPr>
              <w:t>▲</w:t>
            </w:r>
            <w:r>
              <w:rPr>
                <w:rFonts w:hint="eastAsia"/>
                <w:color w:val="auto"/>
              </w:rPr>
              <w:t>（</w:t>
            </w:r>
            <w:r>
              <w:rPr>
                <w:color w:val="auto"/>
              </w:rPr>
              <w:t>1）整套产品的甲醛、TVOC、苯/甲苯/二甲苯、涂层可迁移元素，应能通过GB/T 35607-2017《绿色产品评价 家具》或相关同等要求国家标准的规定值（至少满足甲醛释放量≤0.01mg/m³，汞≤1mg/kg，铬≤1mg/kg，镉≤0.5mg/kg，铅≤2mg/kg）。提供第三方检测机构出具的检测报告</w:t>
            </w:r>
            <w:r>
              <w:rPr>
                <w:rFonts w:hint="eastAsia"/>
                <w:color w:val="auto"/>
                <w:lang w:eastAsia="zh-CN"/>
              </w:rPr>
              <w:t>；</w:t>
            </w:r>
            <w:r>
              <w:rPr>
                <w:color w:val="auto"/>
              </w:rPr>
              <w:br w:type="textWrapping"/>
            </w:r>
            <w:r>
              <w:rPr>
                <w:color w:val="auto"/>
              </w:rPr>
              <w:t>▲</w:t>
            </w:r>
            <w:r>
              <w:rPr>
                <w:rFonts w:hint="eastAsia"/>
                <w:color w:val="auto"/>
              </w:rPr>
              <w:t>（</w:t>
            </w:r>
            <w:r>
              <w:rPr>
                <w:color w:val="auto"/>
              </w:rPr>
              <w:t>2）控制台整体产品按 GB20286-2006附录C做燃烧测试达到等级应不低于阻燃1级，其中“烟密度”应低于20%，其中有害挥发物一氧化碳浓度≤70ppm。提供第三方检测机构出具的检测报告</w:t>
            </w:r>
            <w:r>
              <w:rPr>
                <w:rFonts w:hint="eastAsia"/>
                <w:color w:val="auto"/>
                <w:lang w:eastAsia="zh-CN"/>
              </w:rPr>
              <w:t>；</w:t>
            </w:r>
            <w:r>
              <w:rPr>
                <w:color w:val="auto"/>
              </w:rPr>
              <w:br w:type="textWrapping"/>
            </w:r>
            <w:r>
              <w:rPr>
                <w:color w:val="auto"/>
              </w:rPr>
              <w:t>▲</w:t>
            </w:r>
            <w:r>
              <w:rPr>
                <w:rFonts w:hint="eastAsia"/>
                <w:color w:val="auto"/>
              </w:rPr>
              <w:t>（</w:t>
            </w:r>
            <w:r>
              <w:rPr>
                <w:color w:val="auto"/>
              </w:rPr>
              <w:t>3）控制台按 GB/T3325-2017《金属家具通用技术条件》结构安全性试验标准，满足门与框架、门与门、抽屉与框架、抽屉与门、抽屉与抽屉相邻表面间的距离偏差（非设计要求的距离）≤0.5mm；活动部件间安全距离≤5.0mm或≥25mm，同时抽屉、键盘、拉篮等推拉构件应有防脱落安全装置。提供第三方检测机构出具的检测报告</w:t>
            </w:r>
            <w:r>
              <w:rPr>
                <w:rFonts w:hint="eastAsia"/>
                <w:color w:val="auto"/>
                <w:lang w:eastAsia="zh-CN"/>
              </w:rPr>
              <w:t>；</w:t>
            </w:r>
          </w:p>
          <w:p>
            <w:pPr>
              <w:adjustRightInd w:val="0"/>
              <w:snapToGrid w:val="0"/>
              <w:rPr>
                <w:color w:val="auto"/>
              </w:rPr>
            </w:pPr>
            <w:r>
              <w:rPr>
                <w:color w:val="auto"/>
              </w:rPr>
              <w:t>3</w:t>
            </w:r>
            <w:r>
              <w:rPr>
                <w:rFonts w:hint="eastAsia"/>
                <w:color w:val="auto"/>
              </w:rPr>
              <w:t>、</w:t>
            </w:r>
            <w:r>
              <w:rPr>
                <w:color w:val="auto"/>
              </w:rPr>
              <w:t>▲整套产品应符合中国环境认证产品认证实施规则ECC-1031EL-A/0的要求，获得中国环境认证产品认证证书，证书涉及的产品</w:t>
            </w:r>
            <w:r>
              <w:rPr>
                <w:rFonts w:hint="eastAsia"/>
                <w:color w:val="auto"/>
              </w:rPr>
              <w:t>包含控制台或操作台</w:t>
            </w:r>
            <w:r>
              <w:rPr>
                <w:color w:val="auto"/>
              </w:rPr>
              <w:t>。提供证书复印件。</w:t>
            </w:r>
          </w:p>
        </w:tc>
        <w:tc>
          <w:tcPr>
            <w:tcW w:w="926" w:type="pct"/>
            <w:shd w:val="clear" w:color="000000" w:fill="FFFFFF"/>
            <w:noWrap w:val="0"/>
            <w:vAlign w:val="center"/>
          </w:tcPr>
          <w:p>
            <w:pPr>
              <w:adjustRightInd w:val="0"/>
              <w:snapToGrid w:val="0"/>
              <w:jc w:val="center"/>
              <w:rPr>
                <w:color w:val="auto"/>
              </w:rPr>
            </w:pPr>
            <w:r>
              <w:rPr>
                <w:color w:val="auto"/>
              </w:rPr>
              <w:t>5088*1000*750mm</w:t>
            </w:r>
          </w:p>
        </w:tc>
        <w:tc>
          <w:tcPr>
            <w:tcW w:w="312" w:type="pct"/>
            <w:shd w:val="clear" w:color="000000" w:fill="FFFFFF"/>
            <w:noWrap/>
            <w:vAlign w:val="center"/>
          </w:tcPr>
          <w:p>
            <w:pPr>
              <w:adjustRightInd w:val="0"/>
              <w:snapToGrid w:val="0"/>
              <w:jc w:val="center"/>
              <w:rPr>
                <w:color w:val="auto"/>
              </w:rPr>
            </w:pPr>
            <w:r>
              <w:rPr>
                <w:color w:val="auto"/>
              </w:rPr>
              <w:t>2</w:t>
            </w:r>
          </w:p>
        </w:tc>
        <w:tc>
          <w:tcPr>
            <w:tcW w:w="248" w:type="pct"/>
            <w:shd w:val="clear" w:color="000000" w:fill="FFFFFF"/>
            <w:noWrap/>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shd w:val="clear" w:color="000000" w:fill="FFFFFF"/>
            <w:noWrap/>
            <w:vAlign w:val="center"/>
          </w:tcPr>
          <w:p>
            <w:pPr>
              <w:adjustRightInd w:val="0"/>
              <w:snapToGrid w:val="0"/>
              <w:jc w:val="center"/>
              <w:rPr>
                <w:color w:val="auto"/>
              </w:rPr>
            </w:pPr>
            <w:r>
              <w:rPr>
                <w:color w:val="auto"/>
              </w:rPr>
              <w:t>2</w:t>
            </w:r>
          </w:p>
        </w:tc>
        <w:tc>
          <w:tcPr>
            <w:tcW w:w="378" w:type="pct"/>
            <w:shd w:val="clear" w:color="000000" w:fill="FFFFFF"/>
            <w:noWrap w:val="0"/>
            <w:vAlign w:val="center"/>
          </w:tcPr>
          <w:p>
            <w:pPr>
              <w:adjustRightInd w:val="0"/>
              <w:snapToGrid w:val="0"/>
              <w:jc w:val="center"/>
              <w:rPr>
                <w:color w:val="auto"/>
              </w:rPr>
            </w:pPr>
            <w:r>
              <w:rPr>
                <w:color w:val="auto"/>
              </w:rPr>
              <w:t>6席位控制台</w:t>
            </w:r>
          </w:p>
        </w:tc>
        <w:tc>
          <w:tcPr>
            <w:tcW w:w="2758" w:type="pct"/>
            <w:shd w:val="clear" w:color="000000" w:fill="FFFFFF"/>
            <w:noWrap w:val="0"/>
            <w:vAlign w:val="center"/>
          </w:tcPr>
          <w:p>
            <w:pPr>
              <w:adjustRightInd w:val="0"/>
              <w:snapToGrid w:val="0"/>
              <w:rPr>
                <w:color w:val="auto"/>
              </w:rPr>
            </w:pPr>
            <w:r>
              <w:rPr>
                <w:color w:val="auto"/>
              </w:rPr>
              <w:t>操作台总体需求：操作台必须包含封闭式设备底柜，底柜深度空间不小于450mm，包含前后门，底部配置活动式设备安装板，便于设备安装，柜体之间须完全联通，柜体内部须有横向和纵向的专业网格桥架且桥架须由强电和弱电两组独立构成，不允许混用，位置须至于线盖下方，线盖须采用钣金制作，不能采用圆孔过线，边上配置定制化的毛刷过线位，保证在线盖任意位置可以出线。操作台须包含铝合金型材屏风厚度不小于100mm，屏风上配置智能灯光控制系统；操作台台面是操作员长期接触的地方，不能采用任何有含胶水或粘合剂成分的材料，需采用经过高温、高压处理过的抗培特，为保证稳定性须选用国内品牌。整体产品不含任何木材质原料，保证产品健康、环保。主体框架部件采用拉铝型材和冷轧钢相结合，采用全拼装结构，所有铝型材采用国内品牌高强度拉铝型材，保证力学性能和产品稳定性，每单元承重</w:t>
            </w:r>
            <w:r>
              <w:rPr>
                <w:rFonts w:hint="eastAsia"/>
                <w:color w:val="auto"/>
              </w:rPr>
              <w:t>≥</w:t>
            </w:r>
            <w:r>
              <w:rPr>
                <w:color w:val="auto"/>
              </w:rPr>
              <w:t>500kg。主体横梁采用厚度不低于2.0mm的冷轧镀锌钢板，该材料通过镀锌处理正常条件下存储不会被锈蚀；所有钣金均采用激光机剪切，保证产品精度，所有产品边脚均采用人工打磨保证折弯成型后无向外凸出的利口，无利口对人、设备、走线的伤害。前后门采用厚度不低于1.2mm的镀锌钢板制作，具备结构力强、耐热、使设备散热更快的优点。门板采用平板打散气孔然后压筋工艺，斜面孔位以及压筋区域的通风率（开孔率）应不小于25%，不仅便于清洁不宜积灰同时也能最大限度的为设备散热，不接受全木质板材制作。台面板须采用由木制纤维与热固树脂经高温高压聚合而成的抗培特板制作，整体厚度不小于15mm。其性能要求如下：具有抗压、抗刮、抗冲击、强度高、承载力大的特性，具备很高的抗锚固件拔出强度</w:t>
            </w:r>
            <w:r>
              <w:rPr>
                <w:rFonts w:hint="eastAsia"/>
                <w:color w:val="auto"/>
              </w:rPr>
              <w:t>；</w:t>
            </w:r>
            <w:r>
              <w:rPr>
                <w:color w:val="auto"/>
              </w:rPr>
              <w:t>具有防晒、防潮、防水、耐腐蚀、缩水率小、耐侯性好的特性</w:t>
            </w:r>
            <w:r>
              <w:rPr>
                <w:rFonts w:hint="eastAsia"/>
                <w:color w:val="auto"/>
              </w:rPr>
              <w:t>；</w:t>
            </w:r>
            <w:r>
              <w:rPr>
                <w:color w:val="auto"/>
              </w:rPr>
              <w:t>防火性能符合GB8624-2012要求。遇到普通明火不会融化、滴落或爆炸，并且不会释放有毒和腐蚀的气体</w:t>
            </w:r>
            <w:r>
              <w:rPr>
                <w:rFonts w:hint="eastAsia"/>
                <w:color w:val="auto"/>
              </w:rPr>
              <w:t>；</w:t>
            </w:r>
            <w:r>
              <w:rPr>
                <w:color w:val="auto"/>
              </w:rPr>
              <w:t>表面的颜色层，须与材料本体一体化制出。颜色花纹、表面状态应有多种可供选择。表面材质致密不会黏附灰尘、本身具有自洁性，用水即可简单清洗</w:t>
            </w:r>
            <w:r>
              <w:rPr>
                <w:rFonts w:hint="eastAsia"/>
                <w:color w:val="auto"/>
              </w:rPr>
              <w:t>；</w:t>
            </w:r>
            <w:r>
              <w:rPr>
                <w:color w:val="auto"/>
              </w:rPr>
              <w:t>屏风为铝合金型材+镀锌钢板，屏风厚度不小于100mm，其余都为镀锌钢板，表面喷粉</w:t>
            </w:r>
            <w:r>
              <w:rPr>
                <w:rFonts w:hint="eastAsia"/>
                <w:color w:val="auto"/>
              </w:rPr>
              <w:t>；</w:t>
            </w:r>
            <w:r>
              <w:rPr>
                <w:color w:val="auto"/>
              </w:rPr>
              <w:t>控制台整体环保及稳定性需求</w:t>
            </w:r>
            <w:r>
              <w:rPr>
                <w:rFonts w:hint="eastAsia"/>
                <w:color w:val="auto"/>
              </w:rPr>
              <w:t>：</w:t>
            </w:r>
            <w:r>
              <w:rPr>
                <w:color w:val="auto"/>
              </w:rPr>
              <w:t>整套产品的甲醛、TVOC、苯/甲苯/二甲苯、涂层可迁移元素，应能通过GB/T 35607-2017《绿色产品评价 家具》或相关同等要求国家标准的规定值（至少满足甲醛释放量≤0.01mg/m³，汞≤1mg/kg，铬≤1mg/kg，镉≤0.5mg/kg，铅≤2mg/kg）</w:t>
            </w:r>
            <w:r>
              <w:rPr>
                <w:rFonts w:hint="eastAsia"/>
                <w:color w:val="auto"/>
              </w:rPr>
              <w:t>；</w:t>
            </w:r>
            <w:r>
              <w:rPr>
                <w:color w:val="auto"/>
              </w:rPr>
              <w:t>控制台整体产品按 GB20286-2006附录C做燃烧测试达到等级应不低于阻燃1级，其中“烟密度”应低于20%，其中有害挥发物一氧化碳浓度≤70ppm</w:t>
            </w:r>
            <w:r>
              <w:rPr>
                <w:rFonts w:hint="eastAsia"/>
                <w:color w:val="auto"/>
              </w:rPr>
              <w:t>；</w:t>
            </w:r>
            <w:r>
              <w:rPr>
                <w:color w:val="auto"/>
              </w:rPr>
              <w:t>控制台按 GB/T3325-2017《金属家具通用技术条件》结构安全性试验标准，满足门与框架、门与门、抽屉与框架、抽屉与门、抽屉与抽屉相邻表面间的距离偏差（非设计要求的距离）≤0.5mm；活动部件间安全距离≤5.0mm或≥25mm，同时抽屉、键盘、拉篮等推拉构件应有防脱落安全装置。</w:t>
            </w:r>
          </w:p>
        </w:tc>
        <w:tc>
          <w:tcPr>
            <w:tcW w:w="926" w:type="pct"/>
            <w:shd w:val="clear" w:color="000000" w:fill="FFFFFF"/>
            <w:noWrap w:val="0"/>
            <w:vAlign w:val="center"/>
          </w:tcPr>
          <w:p>
            <w:pPr>
              <w:adjustRightInd w:val="0"/>
              <w:snapToGrid w:val="0"/>
              <w:jc w:val="center"/>
              <w:rPr>
                <w:color w:val="auto"/>
              </w:rPr>
            </w:pPr>
            <w:r>
              <w:rPr>
                <w:color w:val="auto"/>
              </w:rPr>
              <w:t>10620*1000*750mm</w:t>
            </w:r>
          </w:p>
        </w:tc>
        <w:tc>
          <w:tcPr>
            <w:tcW w:w="312" w:type="pct"/>
            <w:shd w:val="clear" w:color="000000" w:fill="FFFFFF"/>
            <w:noWrap/>
            <w:vAlign w:val="center"/>
          </w:tcPr>
          <w:p>
            <w:pPr>
              <w:adjustRightInd w:val="0"/>
              <w:snapToGrid w:val="0"/>
              <w:jc w:val="center"/>
              <w:rPr>
                <w:color w:val="auto"/>
              </w:rPr>
            </w:pPr>
            <w:r>
              <w:rPr>
                <w:color w:val="auto"/>
              </w:rPr>
              <w:t>1</w:t>
            </w:r>
          </w:p>
        </w:tc>
        <w:tc>
          <w:tcPr>
            <w:tcW w:w="248" w:type="pct"/>
            <w:shd w:val="clear" w:color="000000" w:fill="FFFFFF"/>
            <w:noWrap/>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shd w:val="clear" w:color="000000" w:fill="FFFFFF"/>
            <w:noWrap/>
            <w:vAlign w:val="center"/>
          </w:tcPr>
          <w:p>
            <w:pPr>
              <w:adjustRightInd w:val="0"/>
              <w:snapToGrid w:val="0"/>
              <w:jc w:val="center"/>
              <w:rPr>
                <w:color w:val="auto"/>
              </w:rPr>
            </w:pPr>
            <w:r>
              <w:rPr>
                <w:color w:val="auto"/>
              </w:rPr>
              <w:t>3</w:t>
            </w:r>
          </w:p>
        </w:tc>
        <w:tc>
          <w:tcPr>
            <w:tcW w:w="378" w:type="pct"/>
            <w:shd w:val="clear" w:color="000000" w:fill="FFFFFF"/>
            <w:noWrap w:val="0"/>
            <w:vAlign w:val="center"/>
          </w:tcPr>
          <w:p>
            <w:pPr>
              <w:adjustRightInd w:val="0"/>
              <w:snapToGrid w:val="0"/>
              <w:jc w:val="center"/>
              <w:rPr>
                <w:color w:val="auto"/>
              </w:rPr>
            </w:pPr>
            <w:r>
              <w:rPr>
                <w:color w:val="auto"/>
              </w:rPr>
              <w:t>13席位操作台</w:t>
            </w:r>
          </w:p>
        </w:tc>
        <w:tc>
          <w:tcPr>
            <w:tcW w:w="2758" w:type="pct"/>
            <w:shd w:val="clear" w:color="000000" w:fill="FFFFFF"/>
            <w:noWrap w:val="0"/>
            <w:vAlign w:val="center"/>
          </w:tcPr>
          <w:p>
            <w:pPr>
              <w:adjustRightInd w:val="0"/>
              <w:snapToGrid w:val="0"/>
              <w:rPr>
                <w:color w:val="auto"/>
              </w:rPr>
            </w:pPr>
            <w:r>
              <w:rPr>
                <w:color w:val="auto"/>
              </w:rPr>
              <w:t>操作台总体需求：操作台必须包含封闭式设备底柜，底柜深度空间不小于450mm，包含前后门，底部配置活动式设备安装板，便于设备安装，柜体之间须完全联通，柜体内部须有横向和纵向的专业网格桥架且桥架须由强电和弱电两组独立构成，不允许混用，位置须至于线盖下方，线盖须采用钣金制作，不能采用圆孔过线，边上配置定制化的毛刷过线位，保证在线盖任意位置可以出线。操作台须包含铝合金型材屏风厚度不小于100mm，屏风上配置智能灯光控制系统；操作台台面是操作员长期接触的地方，不能采用任何有含胶水或粘合剂成分的材料，需采用经过高温、高压处理过的抗培特，为保证稳定性须选用国内品牌。整体产品不含任何木材质原料，保证产品健康、环保。主体框架部件采用拉铝型材和冷轧钢相结合，采用全拼装结构，所有铝型材采用国内品牌高强度拉铝型材，保证力学性能和产品稳定性，每单元承重</w:t>
            </w:r>
            <w:r>
              <w:rPr>
                <w:rFonts w:hint="eastAsia"/>
                <w:color w:val="auto"/>
              </w:rPr>
              <w:t>≥</w:t>
            </w:r>
            <w:r>
              <w:rPr>
                <w:color w:val="auto"/>
              </w:rPr>
              <w:t>500kg。主体横梁采用厚度不低于2.0mm的冷轧镀锌钢板，该材料通过镀锌处理正常条件下存储不会被锈蚀；所有钣金均采用激光机剪切，保证产品精度，所有产品边脚均采用人工打磨保证折弯成型后无向外凸出的利口，无利口对人、设备、走线的伤害。前后门采用厚度不低于1.2mm的镀锌钢板制作，具备结构力强、耐热、使设备散热更快的优点。门板采用平板打散气孔然后压筋工艺，斜面孔位以及压筋区域的通风率（开孔率）应不小于25%，不仅便于清洁不宜积灰同时也能最大限度的为设备散热，不接受全木质板材制作。台面板须采用由木制纤维与热固树脂经高温高压聚合而成的抗培特板制作，整体厚度不小于15mm。其性能要求如下：具有抗压、抗刮、抗冲击、强度高、承载力大的特性，</w:t>
            </w:r>
            <w:r>
              <w:rPr>
                <w:rFonts w:hint="eastAsia"/>
                <w:color w:val="auto"/>
              </w:rPr>
              <w:t>具备</w:t>
            </w:r>
            <w:r>
              <w:rPr>
                <w:color w:val="auto"/>
              </w:rPr>
              <w:t>很高的抗锚固件拔出强度</w:t>
            </w:r>
            <w:r>
              <w:rPr>
                <w:rFonts w:hint="eastAsia"/>
                <w:color w:val="auto"/>
              </w:rPr>
              <w:t>；</w:t>
            </w:r>
            <w:r>
              <w:rPr>
                <w:color w:val="auto"/>
              </w:rPr>
              <w:t>具有防晒、防潮、防水、耐腐蚀、缩水率小、耐侯性好的特性</w:t>
            </w:r>
            <w:r>
              <w:rPr>
                <w:rFonts w:hint="eastAsia"/>
                <w:color w:val="auto"/>
              </w:rPr>
              <w:t>；</w:t>
            </w:r>
            <w:r>
              <w:rPr>
                <w:color w:val="auto"/>
              </w:rPr>
              <w:t>防火性能符合GB8624-2012要求。遇到普通明火不会融化、滴落或爆炸，并且不会释放有毒和腐蚀的气体</w:t>
            </w:r>
            <w:r>
              <w:rPr>
                <w:rFonts w:hint="eastAsia"/>
                <w:color w:val="auto"/>
              </w:rPr>
              <w:t>；</w:t>
            </w:r>
            <w:r>
              <w:rPr>
                <w:color w:val="auto"/>
              </w:rPr>
              <w:t>表面的颜色层，须与材料本体一体化制出。颜色花纹、表面状态应有多种可供选择。表面材质致密不会黏附灰尘、本身具有自洁性，用水即可简单清洗。屏风为铝合金型材+镀锌钢板，屏风厚度不小于100mm，其余都为镀锌钢板，表面喷粉。控制台整体环保及稳定性需求</w:t>
            </w:r>
            <w:r>
              <w:rPr>
                <w:rFonts w:hint="eastAsia"/>
                <w:color w:val="auto"/>
              </w:rPr>
              <w:t>：</w:t>
            </w:r>
            <w:r>
              <w:rPr>
                <w:color w:val="auto"/>
              </w:rPr>
              <w:t>整套产品的甲醛、TVOC、苯/甲苯/二甲苯、涂层可迁移元素，应能通过GB/T 35607-2017《绿色产品评价 家具》或相关同等要求国家标准的规定值（至少满足甲醛释放量≤0.01mg/m³，汞≤1mg/kg，铬≤1mg/kg，镉≤0.5mg/kg，铅≤2mg/kg）</w:t>
            </w:r>
            <w:r>
              <w:rPr>
                <w:rFonts w:hint="eastAsia"/>
                <w:color w:val="auto"/>
              </w:rPr>
              <w:t>；</w:t>
            </w:r>
            <w:r>
              <w:rPr>
                <w:color w:val="auto"/>
              </w:rPr>
              <w:t>控制台整体产品按 GB20286-2006附录C做燃烧测试达到等级应不低于阻燃1级，其中“烟密度”应低于20%，其中有害挥发物一氧化碳浓度≤70ppm</w:t>
            </w:r>
            <w:r>
              <w:rPr>
                <w:rFonts w:hint="eastAsia"/>
                <w:color w:val="auto"/>
              </w:rPr>
              <w:t>；</w:t>
            </w:r>
            <w:r>
              <w:rPr>
                <w:color w:val="auto"/>
              </w:rPr>
              <w:t>控制台按 GB/T3325-2017《金属家具通用技术条件》结构安全性试验标准，满足门与框架、门与门、抽屉与框架、抽屉与门、抽屉与抽屉相邻表面间的距离偏差（非设计要求的距离）≤0.5mm；活动部件间安全距离≤5.0mm或≥25mm，同时抽屉、键盘、拉篮等推拉构件应有防脱落安全装置。</w:t>
            </w:r>
          </w:p>
        </w:tc>
        <w:tc>
          <w:tcPr>
            <w:tcW w:w="926" w:type="pct"/>
            <w:shd w:val="clear" w:color="000000" w:fill="FFFFFF"/>
            <w:noWrap w:val="0"/>
            <w:vAlign w:val="center"/>
          </w:tcPr>
          <w:p>
            <w:pPr>
              <w:adjustRightInd w:val="0"/>
              <w:snapToGrid w:val="0"/>
              <w:jc w:val="center"/>
              <w:rPr>
                <w:color w:val="auto"/>
              </w:rPr>
            </w:pPr>
            <w:r>
              <w:rPr>
                <w:color w:val="auto"/>
              </w:rPr>
              <w:t>22488*1000*750mm</w:t>
            </w:r>
          </w:p>
        </w:tc>
        <w:tc>
          <w:tcPr>
            <w:tcW w:w="312" w:type="pct"/>
            <w:shd w:val="clear" w:color="000000" w:fill="FFFFFF"/>
            <w:noWrap/>
            <w:vAlign w:val="center"/>
          </w:tcPr>
          <w:p>
            <w:pPr>
              <w:adjustRightInd w:val="0"/>
              <w:snapToGrid w:val="0"/>
              <w:jc w:val="center"/>
              <w:rPr>
                <w:color w:val="auto"/>
              </w:rPr>
            </w:pPr>
            <w:r>
              <w:rPr>
                <w:color w:val="auto"/>
              </w:rPr>
              <w:t>1</w:t>
            </w:r>
          </w:p>
        </w:tc>
        <w:tc>
          <w:tcPr>
            <w:tcW w:w="248" w:type="pct"/>
            <w:shd w:val="clear" w:color="000000" w:fill="FFFFFF"/>
            <w:noWrap/>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shd w:val="clear" w:color="000000" w:fill="FFFFFF"/>
            <w:noWrap/>
            <w:vAlign w:val="center"/>
          </w:tcPr>
          <w:p>
            <w:pPr>
              <w:adjustRightInd w:val="0"/>
              <w:snapToGrid w:val="0"/>
              <w:jc w:val="center"/>
              <w:rPr>
                <w:color w:val="auto"/>
              </w:rPr>
            </w:pPr>
            <w:r>
              <w:rPr>
                <w:color w:val="auto"/>
              </w:rPr>
              <w:t>4</w:t>
            </w:r>
          </w:p>
        </w:tc>
        <w:tc>
          <w:tcPr>
            <w:tcW w:w="378" w:type="pct"/>
            <w:shd w:val="clear" w:color="000000" w:fill="FFFFFF"/>
            <w:noWrap w:val="0"/>
            <w:vAlign w:val="center"/>
          </w:tcPr>
          <w:p>
            <w:pPr>
              <w:adjustRightInd w:val="0"/>
              <w:snapToGrid w:val="0"/>
              <w:jc w:val="center"/>
              <w:rPr>
                <w:color w:val="auto"/>
              </w:rPr>
            </w:pPr>
            <w:r>
              <w:rPr>
                <w:color w:val="auto"/>
              </w:rPr>
              <w:t>11席位操作台</w:t>
            </w:r>
          </w:p>
        </w:tc>
        <w:tc>
          <w:tcPr>
            <w:tcW w:w="2758" w:type="pct"/>
            <w:shd w:val="clear" w:color="000000" w:fill="FFFFFF"/>
            <w:noWrap w:val="0"/>
            <w:vAlign w:val="center"/>
          </w:tcPr>
          <w:p>
            <w:pPr>
              <w:adjustRightInd w:val="0"/>
              <w:snapToGrid w:val="0"/>
              <w:rPr>
                <w:color w:val="auto"/>
              </w:rPr>
            </w:pPr>
            <w:r>
              <w:rPr>
                <w:color w:val="auto"/>
              </w:rPr>
              <w:t>操作台总体需求：操作台必须包含封闭式设备底柜，底柜深度空间不小于450mm，包含前后门，底部配置活动式设备安装板，便于设备安装，柜体之间须完全联通，柜体内部须有横向和纵向的专业网格桥架且桥架须由强电和弱电两组独立构成，不允许混用，位置须至于线盖下方，线盖须采用钣金制作，不能采用圆孔过线，边上配置定制化的毛刷过线位，保证在线盖任意位置可以出线。操作台须包含铝合金型材屏风厚度不小于100mm，屏风上配置智能灯光控制系统；操作台台面是操作员长期接触的地方，不能采用任何有含胶水或粘合剂成分的材料，需采用经过高温、高压处理过的抗培特，为保证稳定性须选用国内品牌。整体产品不含任何木材质原料，保证产品健康、环保。主体框架部件采用拉铝型材和冷轧钢相结合，采用全拼装结构，所有铝型材采用国内品牌高强度拉铝型材，保证力学性能和产品稳定性，每单元承重≥500kg。主体横梁采用厚度不低于2.0mm的冷轧镀锌钢板，该材料通过镀锌处理正常条件下存储不会被锈蚀；所有钣金均采用激光机剪切，保证产品精度，所有产品边脚均采用人工打磨保证折弯成型后无向外凸出的利口，无利口对人、设备、走线的伤害。前后门采用厚度不低于1.2mm的镀锌钢板制作，具备结构力强、耐热、使设备散热更快的优点。门板采用平板打散气孔然后压筋工艺，斜面孔位以及压筋区域的通风率（开孔率）应不小于25%，不仅便于清洁不宜积灰同时也能最大限度的为设备散热，不接受全木质板材制作。台面板须采用由木制纤维与热固树脂经高温高压聚合而成的抗培特板制作，整体厚度不小于15mm。其性能要求如下：具有抗压、抗刮、抗冲击、强度高、承载力大的特性，</w:t>
            </w:r>
            <w:r>
              <w:rPr>
                <w:rFonts w:hint="eastAsia"/>
                <w:color w:val="auto"/>
              </w:rPr>
              <w:t>具备很</w:t>
            </w:r>
            <w:r>
              <w:rPr>
                <w:color w:val="auto"/>
              </w:rPr>
              <w:t>高的抗锚固件拔出强度</w:t>
            </w:r>
            <w:r>
              <w:rPr>
                <w:rFonts w:hint="eastAsia"/>
                <w:color w:val="auto"/>
              </w:rPr>
              <w:t>；</w:t>
            </w:r>
            <w:r>
              <w:rPr>
                <w:color w:val="auto"/>
              </w:rPr>
              <w:t>具有防晒、防潮、防水、耐腐蚀、缩水率小、耐侯性好的特性</w:t>
            </w:r>
            <w:r>
              <w:rPr>
                <w:rFonts w:hint="eastAsia"/>
                <w:color w:val="auto"/>
              </w:rPr>
              <w:t>；</w:t>
            </w:r>
            <w:r>
              <w:rPr>
                <w:color w:val="auto"/>
              </w:rPr>
              <w:t>防火性能符合GB8624-2012要求。遇到普通明火不会融化、滴落或爆炸，并且不会释放有毒和腐蚀的气体</w:t>
            </w:r>
            <w:r>
              <w:rPr>
                <w:rFonts w:hint="eastAsia"/>
                <w:color w:val="auto"/>
              </w:rPr>
              <w:t>；</w:t>
            </w:r>
            <w:r>
              <w:rPr>
                <w:color w:val="auto"/>
              </w:rPr>
              <w:t>表面的颜色层，须与材料本体一体化制出。颜色花纹、表面状态应有多种可供选择。表面材质致密不会黏附灰尘、本身具有自洁性，用水即可简单清洗。屏风为铝合金型材+镀锌钢板，屏风厚度不小于100mm，其余都为镀锌钢板，表面喷粉。控制台整体环保及稳定性需求</w:t>
            </w:r>
            <w:r>
              <w:rPr>
                <w:rFonts w:hint="eastAsia"/>
                <w:color w:val="auto"/>
              </w:rPr>
              <w:t>：</w:t>
            </w:r>
            <w:r>
              <w:rPr>
                <w:color w:val="auto"/>
              </w:rPr>
              <w:t>整套产品的甲醛、TVOC、苯/甲苯/二甲苯、涂层可迁移元素，应能通过GB/T 35607-2017《绿色产品评价 家具》或相关同等要求国家标准的规定值（至少满足甲醛释放量≤0.01mg/m³，汞≤1mg/kg，铬≤1mg/kg，镉≤0.5mg/kg，铅≤2mg/kg）</w:t>
            </w:r>
            <w:r>
              <w:rPr>
                <w:rFonts w:hint="eastAsia"/>
                <w:color w:val="auto"/>
              </w:rPr>
              <w:t>；</w:t>
            </w:r>
            <w:r>
              <w:rPr>
                <w:color w:val="auto"/>
              </w:rPr>
              <w:t>控制台整体产品按 GB20286-2006附录C做燃烧测试达到等级应不低于阻燃1级，其中“烟密度”应低于20%，其中有害挥发物一氧化碳浓度≤70ppm</w:t>
            </w:r>
            <w:r>
              <w:rPr>
                <w:rFonts w:hint="eastAsia"/>
                <w:color w:val="auto"/>
              </w:rPr>
              <w:t>；</w:t>
            </w:r>
            <w:r>
              <w:rPr>
                <w:color w:val="auto"/>
              </w:rPr>
              <w:t>控制台按 GB/T3325-2017《金属家具通用技术条件》结构安全性试验标准，满足门与框架、门与门、抽屉与框架、抽屉与门、抽屉与抽屉相邻表面间的距离偏差（非设计要求的距离）≤0.5mm；活动部件间安全距离≤5.0mm或≥25mm，同时抽屉、键盘、拉篮等推拉构件应有防脱落安全装置。</w:t>
            </w:r>
          </w:p>
        </w:tc>
        <w:tc>
          <w:tcPr>
            <w:tcW w:w="926" w:type="pct"/>
            <w:shd w:val="clear" w:color="000000" w:fill="FFFFFF"/>
            <w:noWrap w:val="0"/>
            <w:vAlign w:val="center"/>
          </w:tcPr>
          <w:p>
            <w:pPr>
              <w:adjustRightInd w:val="0"/>
              <w:snapToGrid w:val="0"/>
              <w:jc w:val="center"/>
              <w:rPr>
                <w:color w:val="auto"/>
              </w:rPr>
            </w:pPr>
            <w:r>
              <w:rPr>
                <w:color w:val="auto"/>
              </w:rPr>
              <w:t>13100*1000*750mm</w:t>
            </w:r>
          </w:p>
        </w:tc>
        <w:tc>
          <w:tcPr>
            <w:tcW w:w="312" w:type="pct"/>
            <w:shd w:val="clear" w:color="000000" w:fill="FFFFFF"/>
            <w:noWrap/>
            <w:vAlign w:val="center"/>
          </w:tcPr>
          <w:p>
            <w:pPr>
              <w:adjustRightInd w:val="0"/>
              <w:snapToGrid w:val="0"/>
              <w:jc w:val="center"/>
              <w:rPr>
                <w:color w:val="auto"/>
              </w:rPr>
            </w:pPr>
            <w:r>
              <w:rPr>
                <w:color w:val="auto"/>
              </w:rPr>
              <w:t>1</w:t>
            </w:r>
          </w:p>
        </w:tc>
        <w:tc>
          <w:tcPr>
            <w:tcW w:w="248" w:type="pct"/>
            <w:shd w:val="clear" w:color="000000" w:fill="FFFFFF"/>
            <w:noWrap/>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shd w:val="clear" w:color="000000" w:fill="FFFFFF"/>
            <w:noWrap/>
            <w:vAlign w:val="center"/>
          </w:tcPr>
          <w:p>
            <w:pPr>
              <w:adjustRightInd w:val="0"/>
              <w:snapToGrid w:val="0"/>
              <w:jc w:val="center"/>
              <w:rPr>
                <w:color w:val="auto"/>
              </w:rPr>
            </w:pPr>
            <w:r>
              <w:rPr>
                <w:color w:val="auto"/>
              </w:rPr>
              <w:t>5</w:t>
            </w:r>
          </w:p>
        </w:tc>
        <w:tc>
          <w:tcPr>
            <w:tcW w:w="378" w:type="pct"/>
            <w:shd w:val="clear" w:color="000000" w:fill="FFFFFF"/>
            <w:noWrap w:val="0"/>
            <w:vAlign w:val="center"/>
          </w:tcPr>
          <w:p>
            <w:pPr>
              <w:adjustRightInd w:val="0"/>
              <w:snapToGrid w:val="0"/>
              <w:jc w:val="center"/>
              <w:rPr>
                <w:color w:val="auto"/>
              </w:rPr>
            </w:pPr>
            <w:r>
              <w:rPr>
                <w:color w:val="auto"/>
              </w:rPr>
              <w:t>9席位操作台</w:t>
            </w:r>
          </w:p>
        </w:tc>
        <w:tc>
          <w:tcPr>
            <w:tcW w:w="2758" w:type="pct"/>
            <w:shd w:val="clear" w:color="000000" w:fill="FFFFFF"/>
            <w:noWrap w:val="0"/>
            <w:vAlign w:val="center"/>
          </w:tcPr>
          <w:p>
            <w:pPr>
              <w:adjustRightInd w:val="0"/>
              <w:snapToGrid w:val="0"/>
              <w:rPr>
                <w:color w:val="auto"/>
              </w:rPr>
            </w:pPr>
            <w:r>
              <w:rPr>
                <w:color w:val="auto"/>
              </w:rPr>
              <w:t>操作台总体需求：操作台必须包含封闭式设备底柜，底柜深度空间不小于450mm，包含前后门，底部配置活动式设备安装板，便于设备安装，柜体之间须完全联通，柜体内部须有横向和纵向的专业网格桥架且桥架须由强电和弱电两组独立构成，不允许混用，位置须至于线盖下方。操作台台面是操作员长期接触的地方，不能采用任何有含胶水或粘合剂成分的材料，需采用经过高温、高压处理过的抗培特，为保证稳定性须选用国内品牌。整体产品不含任何木材质原料，保证产品健康、环保。主体框架部件采用拉铝型材和冷轧钢相结合，采用全拼装结构，所有铝型材采用国内品牌高强度拉铝型材，保证力学性能和产品稳定性，每单元承重≥500kg。主体横梁采用厚度不低于2.0mm的冷轧镀锌钢板，该材料通过镀锌处理正常条件下存储不会被锈蚀；所有钣金均采用激光机剪切，保证产品精度，所有产品边脚均采用人工打磨保证折弯成型后无向外凸出的利口，无利口对人、设备、走线的伤害。前后门采用厚度不低于1.2mm的镀锌钢板制作，具备结构力强、耐热、使设备散热更快的优点。门板采用平板打散气孔然后压筋工艺，斜面孔位以及压筋区域的通风率（开孔率）应不小于25%，不仅便于清洁不宜积灰同时也能最大限度的为设备散热，不接受全木质板材制作。台面板须采用由木制纤维与热固树脂经高温高压聚合而成的抗培特板制作，整体厚度不小于15mm。其性能要求如下：具有抗压、抗刮、抗冲击、强度高、承载力大的特性，具备很高的抗锚固件拔出强度</w:t>
            </w:r>
            <w:r>
              <w:rPr>
                <w:rFonts w:hint="eastAsia"/>
                <w:color w:val="auto"/>
              </w:rPr>
              <w:t>；</w:t>
            </w:r>
            <w:r>
              <w:rPr>
                <w:color w:val="auto"/>
              </w:rPr>
              <w:t>具有防晒、防潮、防水、耐腐蚀、缩水率小、耐侯性好的特性</w:t>
            </w:r>
            <w:r>
              <w:rPr>
                <w:rFonts w:hint="eastAsia"/>
                <w:color w:val="auto"/>
              </w:rPr>
              <w:t>；</w:t>
            </w:r>
            <w:r>
              <w:rPr>
                <w:color w:val="auto"/>
              </w:rPr>
              <w:t>防火性能符合GB8624-2012要求。遇到普通明火不会融化、滴落或爆炸，并且不会释放有毒和腐蚀的气体</w:t>
            </w:r>
            <w:r>
              <w:rPr>
                <w:rFonts w:hint="eastAsia"/>
                <w:color w:val="auto"/>
              </w:rPr>
              <w:t>；</w:t>
            </w:r>
            <w:r>
              <w:rPr>
                <w:color w:val="auto"/>
              </w:rPr>
              <w:t>表面的颜色层，须与材料本体一体化制出。颜色花纹、表面状态应有多种可供选择。表面材质致密不会黏附灰尘、本身具有自洁性，用水即可简单清洗。控制台整体环保及稳定性需求</w:t>
            </w:r>
            <w:r>
              <w:rPr>
                <w:rFonts w:hint="eastAsia"/>
                <w:color w:val="auto"/>
              </w:rPr>
              <w:t>：</w:t>
            </w:r>
            <w:r>
              <w:rPr>
                <w:color w:val="auto"/>
              </w:rPr>
              <w:t>整套产品的甲醛、TVOC、苯/甲苯/二甲苯、涂层可迁移元素，应能通过GB/T 35607-2017《绿色产品评价 家具》或相关同等要求国家标准的规定值（至少满足甲醛释放量≤0.01mg/m³，汞≤1mg/kg，铬≤1mg/kg，镉≤0.5mg/kg，铅≤2mg/kg）</w:t>
            </w:r>
            <w:r>
              <w:rPr>
                <w:rFonts w:hint="eastAsia"/>
                <w:color w:val="auto"/>
              </w:rPr>
              <w:t>；</w:t>
            </w:r>
            <w:r>
              <w:rPr>
                <w:color w:val="auto"/>
              </w:rPr>
              <w:t>控制台整体产品按 GB20286-2006附录C做燃烧测试达到等级应不低于阻燃1级，其中“烟密度”应低于20%，其中有害挥发物一氧化碳浓度≤70ppm</w:t>
            </w:r>
            <w:r>
              <w:rPr>
                <w:rFonts w:hint="eastAsia"/>
                <w:color w:val="auto"/>
              </w:rPr>
              <w:t>；</w:t>
            </w:r>
            <w:r>
              <w:rPr>
                <w:color w:val="auto"/>
              </w:rPr>
              <w:t>控制台按 GB/T3325-2017《金属家具通用技术条件》结构安全性试验标准，满足门与框架、门与门、抽屉与框架、抽屉与门、抽屉与抽屉相邻表面间的距离偏差（非设计要求的距离）≤0.5mm；活动部件间安全距离≤5.0mm或≥25mm，同时抽屉、键盘、拉篮等推拉构件应有防脱落安全装置。</w:t>
            </w:r>
          </w:p>
        </w:tc>
        <w:tc>
          <w:tcPr>
            <w:tcW w:w="926" w:type="pct"/>
            <w:shd w:val="clear" w:color="000000" w:fill="FFFFFF"/>
            <w:noWrap w:val="0"/>
            <w:vAlign w:val="center"/>
          </w:tcPr>
          <w:p>
            <w:pPr>
              <w:adjustRightInd w:val="0"/>
              <w:snapToGrid w:val="0"/>
              <w:jc w:val="center"/>
              <w:rPr>
                <w:color w:val="auto"/>
              </w:rPr>
            </w:pPr>
            <w:r>
              <w:rPr>
                <w:color w:val="auto"/>
              </w:rPr>
              <w:t>10670*1000*750mm</w:t>
            </w:r>
          </w:p>
        </w:tc>
        <w:tc>
          <w:tcPr>
            <w:tcW w:w="312" w:type="pct"/>
            <w:shd w:val="clear" w:color="000000" w:fill="FFFFFF"/>
            <w:noWrap/>
            <w:vAlign w:val="center"/>
          </w:tcPr>
          <w:p>
            <w:pPr>
              <w:adjustRightInd w:val="0"/>
              <w:snapToGrid w:val="0"/>
              <w:jc w:val="center"/>
              <w:rPr>
                <w:color w:val="auto"/>
              </w:rPr>
            </w:pPr>
            <w:r>
              <w:rPr>
                <w:color w:val="auto"/>
              </w:rPr>
              <w:t>1</w:t>
            </w:r>
          </w:p>
        </w:tc>
        <w:tc>
          <w:tcPr>
            <w:tcW w:w="248" w:type="pct"/>
            <w:shd w:val="clear" w:color="000000" w:fill="FFFFFF"/>
            <w:noWrap/>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shd w:val="clear" w:color="000000" w:fill="FFFFFF"/>
            <w:noWrap/>
            <w:vAlign w:val="center"/>
          </w:tcPr>
          <w:p>
            <w:pPr>
              <w:adjustRightInd w:val="0"/>
              <w:snapToGrid w:val="0"/>
              <w:jc w:val="center"/>
              <w:rPr>
                <w:color w:val="auto"/>
              </w:rPr>
            </w:pPr>
            <w:r>
              <w:rPr>
                <w:color w:val="auto"/>
              </w:rPr>
              <w:t>6</w:t>
            </w:r>
          </w:p>
        </w:tc>
        <w:tc>
          <w:tcPr>
            <w:tcW w:w="378" w:type="pct"/>
            <w:shd w:val="clear" w:color="000000" w:fill="FFFFFF"/>
            <w:noWrap w:val="0"/>
            <w:vAlign w:val="center"/>
          </w:tcPr>
          <w:p>
            <w:pPr>
              <w:adjustRightInd w:val="0"/>
              <w:snapToGrid w:val="0"/>
              <w:jc w:val="center"/>
              <w:rPr>
                <w:color w:val="auto"/>
              </w:rPr>
            </w:pPr>
            <w:r>
              <w:rPr>
                <w:color w:val="auto"/>
              </w:rPr>
              <w:t>定制20席位操作台</w:t>
            </w:r>
          </w:p>
        </w:tc>
        <w:tc>
          <w:tcPr>
            <w:tcW w:w="2758" w:type="pct"/>
            <w:shd w:val="clear" w:color="000000" w:fill="FFFFFF"/>
            <w:noWrap w:val="0"/>
            <w:vAlign w:val="center"/>
          </w:tcPr>
          <w:p>
            <w:pPr>
              <w:adjustRightInd w:val="0"/>
              <w:snapToGrid w:val="0"/>
              <w:rPr>
                <w:color w:val="auto"/>
              </w:rPr>
            </w:pPr>
            <w:r>
              <w:rPr>
                <w:color w:val="auto"/>
              </w:rPr>
              <w:t>总体需求：操作台必须包含封闭式设备底柜，底柜深度空间不小于450mm，包含前后门，底部配置活动式设备安装板，便于设备安装，柜体之间须完全联通，柜体内部须有横向和纵向的专业网格桥架且桥架须由强电和弱电两组独立构成，不允许混用，位置须至于线盖下方。操作台台面是操作员长期接触的地方，不能采用任何有含胶水或粘合剂成分的材料，需采用经过高温、高压处理过的抗培特，为保证稳定性须选用国内品牌。整体产品不含任何木材质原料，保证产品健康、环保。主体框架部件采用拉铝型材和冷轧钢相结合，采用全拼装结构，所有铝型材采用国内品牌高强度拉铝型材，保证力学性能和产品稳定性，每单元承重≥500kg。主体横梁采用厚度不低于2.0mm的冷轧镀锌钢板，该材料通过镀锌处理正常条件下存储不会被锈蚀；所有钣金均采用激光机剪切，保证产品精度，所有产品边脚均采用人工打磨保证折弯成型后无向外凸出的利口，无利口对人、设备、走线的伤害。前后门采用厚度不低于1.2mm的镀锌钢板制作，具备结构力强、耐热、使设备散热更快的优点。门板采用平板打散气孔然后压筋工艺，斜面孔位以及压筋区域的通风率（开孔率）应不小于25%，不仅便于清洁不宜积灰同时也能最大限度的为设备散热，不接受全木质板材制作。台面板须采用由木制纤维与热固树脂经高温高压聚合而成的抗培特板制作，整体厚度不小于15mm。其性能要求如下：具有抗压、抗刮、抗冲击、强度高、承载力大的特性，具备很高的抗锚固件拔出强度</w:t>
            </w:r>
            <w:r>
              <w:rPr>
                <w:rFonts w:hint="eastAsia"/>
                <w:color w:val="auto"/>
              </w:rPr>
              <w:t>；</w:t>
            </w:r>
            <w:r>
              <w:rPr>
                <w:color w:val="auto"/>
              </w:rPr>
              <w:t>具有防晒、防潮、防水、耐腐蚀、缩水率小、耐侯性好的特性</w:t>
            </w:r>
            <w:r>
              <w:rPr>
                <w:rFonts w:hint="eastAsia"/>
                <w:color w:val="auto"/>
              </w:rPr>
              <w:t>；</w:t>
            </w:r>
            <w:r>
              <w:rPr>
                <w:color w:val="auto"/>
              </w:rPr>
              <w:t>防火性能符合GB8624-2012要求。遇到普通明火不会融化、滴落或爆炸，并且不会释放有毒和腐蚀的气体</w:t>
            </w:r>
            <w:r>
              <w:rPr>
                <w:rFonts w:hint="eastAsia"/>
                <w:color w:val="auto"/>
              </w:rPr>
              <w:t>；</w:t>
            </w:r>
            <w:r>
              <w:rPr>
                <w:color w:val="auto"/>
              </w:rPr>
              <w:t>表面的颜色层，须与材料本体一体化制出。颜色花纹、表面状态应有多种可供选择。表面材质致密不会黏附灰尘、本身具有自洁性，用水即可简单清洗。控制台整体环保及稳定性需求</w:t>
            </w:r>
            <w:r>
              <w:rPr>
                <w:rFonts w:hint="eastAsia"/>
                <w:color w:val="auto"/>
              </w:rPr>
              <w:t>：</w:t>
            </w:r>
            <w:r>
              <w:rPr>
                <w:color w:val="auto"/>
              </w:rPr>
              <w:t>整套产品的甲醛、TVOC、苯/甲苯/二甲苯、涂层可迁移元素，应能通过GB/T 35607-2017《绿色产品评价 家具》或相关同等要求国家标准的规定值（至少满足甲醛释放量≤0.01mg/m³，汞≤1mg/kg，铬≤1mg/kg，镉≤0.5mg/kg，铅≤2mg/kg）</w:t>
            </w:r>
            <w:r>
              <w:rPr>
                <w:rFonts w:hint="eastAsia"/>
                <w:color w:val="auto"/>
              </w:rPr>
              <w:t>；</w:t>
            </w:r>
            <w:r>
              <w:rPr>
                <w:color w:val="auto"/>
              </w:rPr>
              <w:t>控制台整体产品按 GB20286-2006附录C做燃烧测试达到等级应不低于阻燃1级，其中“烟密度”应低于20%，其中有害挥发物一氧化碳浓度≤70ppm</w:t>
            </w:r>
            <w:r>
              <w:rPr>
                <w:rFonts w:hint="eastAsia"/>
                <w:color w:val="auto"/>
              </w:rPr>
              <w:t>；</w:t>
            </w:r>
            <w:r>
              <w:rPr>
                <w:color w:val="auto"/>
              </w:rPr>
              <w:t>控制台按 GB/T3325-2017《金属家具通用技术条件》结构安全性试验标准，满足门与框架、门与门、抽屉与框架、抽屉与门、抽屉与抽屉相邻表面间的距离偏差（非设计要求的距离）≤0.5mm；活动部件间安全距离≤5.0mm或≥25mm，同时抽屉、键盘、拉篮等推拉构件应有防脱落安全装置。</w:t>
            </w:r>
          </w:p>
        </w:tc>
        <w:tc>
          <w:tcPr>
            <w:tcW w:w="926" w:type="pct"/>
            <w:shd w:val="clear" w:color="000000" w:fill="FFFFFF"/>
            <w:noWrap w:val="0"/>
            <w:vAlign w:val="center"/>
          </w:tcPr>
          <w:p>
            <w:pPr>
              <w:adjustRightInd w:val="0"/>
              <w:snapToGrid w:val="0"/>
              <w:jc w:val="center"/>
              <w:rPr>
                <w:color w:val="auto"/>
              </w:rPr>
            </w:pPr>
            <w:r>
              <w:rPr>
                <w:color w:val="auto"/>
              </w:rPr>
              <w:t>10223*2400*750mm</w:t>
            </w:r>
          </w:p>
        </w:tc>
        <w:tc>
          <w:tcPr>
            <w:tcW w:w="312" w:type="pct"/>
            <w:shd w:val="clear" w:color="000000" w:fill="FFFFFF"/>
            <w:noWrap w:val="0"/>
            <w:vAlign w:val="center"/>
          </w:tcPr>
          <w:p>
            <w:pPr>
              <w:adjustRightInd w:val="0"/>
              <w:snapToGrid w:val="0"/>
              <w:jc w:val="center"/>
              <w:rPr>
                <w:color w:val="auto"/>
              </w:rPr>
            </w:pPr>
            <w:r>
              <w:rPr>
                <w:color w:val="auto"/>
              </w:rPr>
              <w:t>1</w:t>
            </w:r>
          </w:p>
        </w:tc>
        <w:tc>
          <w:tcPr>
            <w:tcW w:w="248" w:type="pct"/>
            <w:shd w:val="clear" w:color="000000" w:fill="FFFFFF"/>
            <w:noWrap w:val="0"/>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shd w:val="clear" w:color="000000" w:fill="FFFFFF"/>
            <w:noWrap/>
            <w:vAlign w:val="center"/>
          </w:tcPr>
          <w:p>
            <w:pPr>
              <w:adjustRightInd w:val="0"/>
              <w:snapToGrid w:val="0"/>
              <w:jc w:val="center"/>
              <w:rPr>
                <w:color w:val="auto"/>
              </w:rPr>
            </w:pPr>
            <w:r>
              <w:rPr>
                <w:color w:val="auto"/>
              </w:rPr>
              <w:t>7</w:t>
            </w:r>
          </w:p>
        </w:tc>
        <w:tc>
          <w:tcPr>
            <w:tcW w:w="378" w:type="pct"/>
            <w:shd w:val="clear" w:color="000000" w:fill="FFFFFF"/>
            <w:noWrap w:val="0"/>
            <w:vAlign w:val="center"/>
          </w:tcPr>
          <w:p>
            <w:pPr>
              <w:adjustRightInd w:val="0"/>
              <w:snapToGrid w:val="0"/>
              <w:jc w:val="center"/>
              <w:rPr>
                <w:color w:val="auto"/>
              </w:rPr>
            </w:pPr>
            <w:r>
              <w:rPr>
                <w:color w:val="auto"/>
              </w:rPr>
              <w:t>智能导光系统</w:t>
            </w:r>
          </w:p>
        </w:tc>
        <w:tc>
          <w:tcPr>
            <w:tcW w:w="2758" w:type="pct"/>
            <w:shd w:val="clear" w:color="000000" w:fill="FFFFFF"/>
            <w:noWrap w:val="0"/>
            <w:vAlign w:val="center"/>
          </w:tcPr>
          <w:p>
            <w:pPr>
              <w:adjustRightInd w:val="0"/>
              <w:snapToGrid w:val="0"/>
              <w:rPr>
                <w:color w:val="auto"/>
              </w:rPr>
            </w:pPr>
            <w:r>
              <w:rPr>
                <w:color w:val="auto"/>
              </w:rPr>
              <w:t>控制台的后屏风上设有导光板，采用亚克力导光胶板与可变色的节能LED灯条相结合结构，起到警示信号和美观的作用。LED灯可变换红、绿、蓝三种颜色，带控制盒，控制盒可通过按钮、遥控、网络等多种方式控制灯光变化。控制盒的网络功能通过RJ网口或WIFI接入电脑或手机。</w:t>
            </w:r>
          </w:p>
        </w:tc>
        <w:tc>
          <w:tcPr>
            <w:tcW w:w="926" w:type="pct"/>
            <w:shd w:val="clear" w:color="000000" w:fill="FFFFFF"/>
            <w:noWrap w:val="0"/>
            <w:vAlign w:val="center"/>
          </w:tcPr>
          <w:p>
            <w:pPr>
              <w:adjustRightInd w:val="0"/>
              <w:snapToGrid w:val="0"/>
              <w:jc w:val="center"/>
              <w:rPr>
                <w:color w:val="auto"/>
              </w:rPr>
            </w:pPr>
            <w:r>
              <w:rPr>
                <w:color w:val="auto"/>
              </w:rPr>
              <w:t>/</w:t>
            </w:r>
          </w:p>
        </w:tc>
        <w:tc>
          <w:tcPr>
            <w:tcW w:w="312" w:type="pct"/>
            <w:shd w:val="clear" w:color="000000" w:fill="FFFFFF"/>
            <w:noWrap/>
            <w:vAlign w:val="center"/>
          </w:tcPr>
          <w:p>
            <w:pPr>
              <w:adjustRightInd w:val="0"/>
              <w:snapToGrid w:val="0"/>
              <w:jc w:val="center"/>
              <w:rPr>
                <w:color w:val="auto"/>
              </w:rPr>
            </w:pPr>
            <w:r>
              <w:rPr>
                <w:color w:val="auto"/>
              </w:rPr>
              <w:t>6</w:t>
            </w:r>
          </w:p>
        </w:tc>
        <w:tc>
          <w:tcPr>
            <w:tcW w:w="248" w:type="pct"/>
            <w:shd w:val="clear" w:color="000000" w:fill="FFFFFF"/>
            <w:noWrap/>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shd w:val="clear" w:color="000000" w:fill="FFFFFF"/>
            <w:noWrap/>
            <w:vAlign w:val="center"/>
          </w:tcPr>
          <w:p>
            <w:pPr>
              <w:adjustRightInd w:val="0"/>
              <w:snapToGrid w:val="0"/>
              <w:jc w:val="center"/>
              <w:rPr>
                <w:color w:val="auto"/>
              </w:rPr>
            </w:pPr>
            <w:r>
              <w:rPr>
                <w:color w:val="auto"/>
              </w:rPr>
              <w:t>8</w:t>
            </w:r>
          </w:p>
        </w:tc>
        <w:tc>
          <w:tcPr>
            <w:tcW w:w="378" w:type="pct"/>
            <w:shd w:val="clear" w:color="000000" w:fill="FFFFFF"/>
            <w:noWrap w:val="0"/>
            <w:vAlign w:val="center"/>
          </w:tcPr>
          <w:p>
            <w:pPr>
              <w:adjustRightInd w:val="0"/>
              <w:snapToGrid w:val="0"/>
              <w:jc w:val="center"/>
              <w:rPr>
                <w:color w:val="auto"/>
              </w:rPr>
            </w:pPr>
            <w:r>
              <w:rPr>
                <w:color w:val="auto"/>
              </w:rPr>
              <w:t>单层显示器支架</w:t>
            </w:r>
          </w:p>
        </w:tc>
        <w:tc>
          <w:tcPr>
            <w:tcW w:w="2758" w:type="pct"/>
            <w:shd w:val="clear" w:color="000000" w:fill="FFFFFF"/>
            <w:noWrap w:val="0"/>
            <w:vAlign w:val="center"/>
          </w:tcPr>
          <w:p>
            <w:pPr>
              <w:adjustRightInd w:val="0"/>
              <w:snapToGrid w:val="0"/>
              <w:rPr>
                <w:color w:val="auto"/>
              </w:rPr>
            </w:pPr>
            <w:r>
              <w:rPr>
                <w:rFonts w:hint="eastAsia"/>
                <w:color w:val="auto"/>
              </w:rPr>
              <w:t>应采用压铸铝合金式显示器支撑臂，具备前后左右伸展能力，可在-10°~60°范围之间调整俯仰倾角。显示器支撑臂的安装底座，应可在不使用工具的条件下，手动在任意位置定位和固定。单层显示器支架要求至少可满足承重≥15KG。</w:t>
            </w:r>
          </w:p>
        </w:tc>
        <w:tc>
          <w:tcPr>
            <w:tcW w:w="926" w:type="pct"/>
            <w:shd w:val="clear" w:color="000000" w:fill="FFFFFF"/>
            <w:noWrap w:val="0"/>
            <w:vAlign w:val="center"/>
          </w:tcPr>
          <w:p>
            <w:pPr>
              <w:adjustRightInd w:val="0"/>
              <w:snapToGrid w:val="0"/>
              <w:jc w:val="center"/>
              <w:rPr>
                <w:color w:val="auto"/>
              </w:rPr>
            </w:pPr>
            <w:r>
              <w:rPr>
                <w:color w:val="auto"/>
              </w:rPr>
              <w:t>/</w:t>
            </w:r>
          </w:p>
        </w:tc>
        <w:tc>
          <w:tcPr>
            <w:tcW w:w="312" w:type="pct"/>
            <w:shd w:val="clear" w:color="000000" w:fill="FFFFFF"/>
            <w:noWrap/>
            <w:vAlign w:val="center"/>
          </w:tcPr>
          <w:p>
            <w:pPr>
              <w:adjustRightInd w:val="0"/>
              <w:snapToGrid w:val="0"/>
              <w:jc w:val="center"/>
              <w:rPr>
                <w:color w:val="auto"/>
              </w:rPr>
            </w:pPr>
            <w:r>
              <w:rPr>
                <w:color w:val="auto"/>
              </w:rPr>
              <w:t>68</w:t>
            </w:r>
          </w:p>
        </w:tc>
        <w:tc>
          <w:tcPr>
            <w:tcW w:w="248" w:type="pct"/>
            <w:shd w:val="clear" w:color="000000" w:fill="FFFFFF"/>
            <w:noWrap/>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shd w:val="clear" w:color="000000" w:fill="FFFFFF"/>
            <w:noWrap/>
            <w:vAlign w:val="center"/>
          </w:tcPr>
          <w:p>
            <w:pPr>
              <w:adjustRightInd w:val="0"/>
              <w:snapToGrid w:val="0"/>
              <w:jc w:val="center"/>
              <w:rPr>
                <w:color w:val="auto"/>
              </w:rPr>
            </w:pPr>
            <w:r>
              <w:rPr>
                <w:color w:val="auto"/>
              </w:rPr>
              <w:t>9</w:t>
            </w:r>
          </w:p>
        </w:tc>
        <w:tc>
          <w:tcPr>
            <w:tcW w:w="378" w:type="pct"/>
            <w:shd w:val="clear" w:color="000000" w:fill="FFFFFF"/>
            <w:noWrap w:val="0"/>
            <w:vAlign w:val="center"/>
          </w:tcPr>
          <w:p>
            <w:pPr>
              <w:adjustRightInd w:val="0"/>
              <w:snapToGrid w:val="0"/>
              <w:jc w:val="center"/>
              <w:rPr>
                <w:color w:val="auto"/>
              </w:rPr>
            </w:pPr>
            <w:r>
              <w:rPr>
                <w:color w:val="auto"/>
              </w:rPr>
              <w:t>电源条</w:t>
            </w:r>
          </w:p>
        </w:tc>
        <w:tc>
          <w:tcPr>
            <w:tcW w:w="2758" w:type="pct"/>
            <w:shd w:val="clear" w:color="000000" w:fill="FFFFFF"/>
            <w:noWrap w:val="0"/>
            <w:vAlign w:val="center"/>
          </w:tcPr>
          <w:p>
            <w:pPr>
              <w:adjustRightInd w:val="0"/>
              <w:snapToGrid w:val="0"/>
              <w:rPr>
                <w:color w:val="auto"/>
              </w:rPr>
            </w:pPr>
            <w:r>
              <w:rPr>
                <w:rFonts w:hint="eastAsia"/>
                <w:color w:val="auto"/>
              </w:rPr>
              <w:t>配置符合国标6位10A 250VAC五孔插座的电源插排，电气性能符合CCC认证标准。</w:t>
            </w:r>
          </w:p>
        </w:tc>
        <w:tc>
          <w:tcPr>
            <w:tcW w:w="926" w:type="pct"/>
            <w:shd w:val="clear" w:color="000000" w:fill="FFFFFF"/>
            <w:noWrap w:val="0"/>
            <w:vAlign w:val="center"/>
          </w:tcPr>
          <w:p>
            <w:pPr>
              <w:adjustRightInd w:val="0"/>
              <w:snapToGrid w:val="0"/>
              <w:jc w:val="center"/>
              <w:rPr>
                <w:color w:val="auto"/>
              </w:rPr>
            </w:pPr>
            <w:r>
              <w:rPr>
                <w:color w:val="auto"/>
              </w:rPr>
              <w:t>/</w:t>
            </w:r>
          </w:p>
        </w:tc>
        <w:tc>
          <w:tcPr>
            <w:tcW w:w="312" w:type="pct"/>
            <w:shd w:val="clear" w:color="000000" w:fill="FFFFFF"/>
            <w:noWrap/>
            <w:vAlign w:val="center"/>
          </w:tcPr>
          <w:p>
            <w:pPr>
              <w:adjustRightInd w:val="0"/>
              <w:snapToGrid w:val="0"/>
              <w:jc w:val="center"/>
              <w:rPr>
                <w:color w:val="auto"/>
              </w:rPr>
            </w:pPr>
            <w:r>
              <w:rPr>
                <w:color w:val="auto"/>
              </w:rPr>
              <w:t>43</w:t>
            </w:r>
          </w:p>
        </w:tc>
        <w:tc>
          <w:tcPr>
            <w:tcW w:w="248" w:type="pct"/>
            <w:shd w:val="clear" w:color="000000" w:fill="FFFFFF"/>
            <w:noWrap/>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shd w:val="clear" w:color="000000" w:fill="FFFFFF"/>
            <w:noWrap/>
            <w:vAlign w:val="center"/>
          </w:tcPr>
          <w:p>
            <w:pPr>
              <w:adjustRightInd w:val="0"/>
              <w:snapToGrid w:val="0"/>
              <w:jc w:val="center"/>
              <w:rPr>
                <w:color w:val="auto"/>
              </w:rPr>
            </w:pPr>
            <w:r>
              <w:rPr>
                <w:color w:val="auto"/>
              </w:rPr>
              <w:t>10</w:t>
            </w:r>
          </w:p>
        </w:tc>
        <w:tc>
          <w:tcPr>
            <w:tcW w:w="378" w:type="pct"/>
            <w:shd w:val="clear" w:color="000000" w:fill="FFFFFF"/>
            <w:noWrap w:val="0"/>
            <w:vAlign w:val="center"/>
          </w:tcPr>
          <w:p>
            <w:pPr>
              <w:adjustRightInd w:val="0"/>
              <w:snapToGrid w:val="0"/>
              <w:jc w:val="center"/>
              <w:rPr>
                <w:color w:val="auto"/>
              </w:rPr>
            </w:pPr>
            <w:r>
              <w:rPr>
                <w:color w:val="auto"/>
              </w:rPr>
              <w:t>键盘盆</w:t>
            </w:r>
          </w:p>
        </w:tc>
        <w:tc>
          <w:tcPr>
            <w:tcW w:w="2758" w:type="pct"/>
            <w:shd w:val="clear" w:color="000000" w:fill="FFFFFF"/>
            <w:noWrap w:val="0"/>
            <w:vAlign w:val="center"/>
          </w:tcPr>
          <w:p>
            <w:pPr>
              <w:adjustRightInd w:val="0"/>
              <w:snapToGrid w:val="0"/>
              <w:rPr>
                <w:color w:val="auto"/>
              </w:rPr>
            </w:pPr>
            <w:r>
              <w:rPr>
                <w:rFonts w:hint="eastAsia"/>
                <w:color w:val="auto"/>
              </w:rPr>
              <w:t>控制台应在台面下设抽拉式键盘托盆，键盘托盆可在左右方向任意调整安装位置。键盘托盆应采用金属材质制作，手枕应采用抗刮、耐磨、不导热的抗倍特板材质制作，不伤手。键盘托盆滑轨，须采用质量可靠的静音型滚珠导轨。键盘盆要求宽度不小于19寸，需可放置455mm键盘。</w:t>
            </w:r>
          </w:p>
        </w:tc>
        <w:tc>
          <w:tcPr>
            <w:tcW w:w="926" w:type="pct"/>
            <w:shd w:val="clear" w:color="000000" w:fill="FFFFFF"/>
            <w:noWrap w:val="0"/>
            <w:vAlign w:val="center"/>
          </w:tcPr>
          <w:p>
            <w:pPr>
              <w:adjustRightInd w:val="0"/>
              <w:snapToGrid w:val="0"/>
              <w:jc w:val="center"/>
              <w:rPr>
                <w:color w:val="auto"/>
              </w:rPr>
            </w:pPr>
            <w:r>
              <w:rPr>
                <w:color w:val="auto"/>
              </w:rPr>
              <w:t>/</w:t>
            </w:r>
          </w:p>
        </w:tc>
        <w:tc>
          <w:tcPr>
            <w:tcW w:w="312" w:type="pct"/>
            <w:shd w:val="clear" w:color="000000" w:fill="FFFFFF"/>
            <w:noWrap/>
            <w:vAlign w:val="center"/>
          </w:tcPr>
          <w:p>
            <w:pPr>
              <w:adjustRightInd w:val="0"/>
              <w:snapToGrid w:val="0"/>
              <w:jc w:val="center"/>
              <w:rPr>
                <w:color w:val="auto"/>
              </w:rPr>
            </w:pPr>
            <w:r>
              <w:rPr>
                <w:color w:val="auto"/>
              </w:rPr>
              <w:t>43</w:t>
            </w:r>
          </w:p>
        </w:tc>
        <w:tc>
          <w:tcPr>
            <w:tcW w:w="248" w:type="pct"/>
            <w:shd w:val="clear" w:color="000000" w:fill="FFFFFF"/>
            <w:noWrap/>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shd w:val="clear" w:color="000000" w:fill="FFFFFF"/>
            <w:noWrap/>
            <w:vAlign w:val="center"/>
          </w:tcPr>
          <w:p>
            <w:pPr>
              <w:adjustRightInd w:val="0"/>
              <w:snapToGrid w:val="0"/>
              <w:jc w:val="center"/>
              <w:rPr>
                <w:color w:val="auto"/>
              </w:rPr>
            </w:pPr>
            <w:r>
              <w:rPr>
                <w:color w:val="auto"/>
              </w:rPr>
              <w:t>11</w:t>
            </w:r>
          </w:p>
        </w:tc>
        <w:tc>
          <w:tcPr>
            <w:tcW w:w="378" w:type="pct"/>
            <w:shd w:val="clear" w:color="000000" w:fill="FFFFFF"/>
            <w:noWrap w:val="0"/>
            <w:vAlign w:val="center"/>
          </w:tcPr>
          <w:p>
            <w:pPr>
              <w:adjustRightInd w:val="0"/>
              <w:snapToGrid w:val="0"/>
              <w:jc w:val="center"/>
              <w:rPr>
                <w:color w:val="auto"/>
              </w:rPr>
            </w:pPr>
            <w:r>
              <w:rPr>
                <w:color w:val="auto"/>
              </w:rPr>
              <w:t>显示器</w:t>
            </w:r>
          </w:p>
        </w:tc>
        <w:tc>
          <w:tcPr>
            <w:tcW w:w="2758" w:type="pct"/>
            <w:shd w:val="clear" w:color="000000" w:fill="FFFFFF"/>
            <w:noWrap w:val="0"/>
            <w:vAlign w:val="center"/>
          </w:tcPr>
          <w:p>
            <w:pPr>
              <w:adjustRightInd w:val="0"/>
              <w:snapToGrid w:val="0"/>
              <w:rPr>
                <w:rFonts w:hint="eastAsia" w:eastAsia="宋体"/>
                <w:color w:val="auto"/>
                <w:lang w:eastAsia="zh-CN"/>
              </w:rPr>
            </w:pPr>
            <w:r>
              <w:rPr>
                <w:color w:val="auto"/>
              </w:rPr>
              <w:t>屏幕尺寸：≥21.5寸显示器</w:t>
            </w:r>
            <w:r>
              <w:rPr>
                <w:rFonts w:hint="eastAsia"/>
                <w:color w:val="auto"/>
              </w:rPr>
              <w:t>；</w:t>
            </w:r>
            <w:r>
              <w:rPr>
                <w:color w:val="auto"/>
              </w:rPr>
              <w:t>采用ips屏</w:t>
            </w:r>
            <w:r>
              <w:rPr>
                <w:rFonts w:hint="eastAsia"/>
                <w:color w:val="auto"/>
              </w:rPr>
              <w:t>；</w:t>
            </w:r>
            <w:r>
              <w:rPr>
                <w:color w:val="auto"/>
              </w:rPr>
              <w:t>支持HDMI/VGA接口</w:t>
            </w:r>
            <w:r>
              <w:rPr>
                <w:rFonts w:hint="eastAsia"/>
                <w:color w:val="auto"/>
              </w:rPr>
              <w:t>；</w:t>
            </w:r>
            <w:r>
              <w:rPr>
                <w:color w:val="auto"/>
              </w:rPr>
              <w:t>分辨率：≥1920*1080dpi</w:t>
            </w:r>
            <w:r>
              <w:rPr>
                <w:rFonts w:hint="eastAsia"/>
                <w:color w:val="auto"/>
                <w:lang w:eastAsia="zh-CN"/>
              </w:rPr>
              <w:t>。</w:t>
            </w:r>
          </w:p>
        </w:tc>
        <w:tc>
          <w:tcPr>
            <w:tcW w:w="926" w:type="pct"/>
            <w:shd w:val="clear" w:color="000000" w:fill="FFFFFF"/>
            <w:noWrap w:val="0"/>
            <w:vAlign w:val="center"/>
          </w:tcPr>
          <w:p>
            <w:pPr>
              <w:adjustRightInd w:val="0"/>
              <w:snapToGrid w:val="0"/>
              <w:jc w:val="center"/>
              <w:rPr>
                <w:color w:val="auto"/>
              </w:rPr>
            </w:pPr>
            <w:r>
              <w:rPr>
                <w:rFonts w:hint="eastAsia"/>
                <w:color w:val="auto"/>
              </w:rPr>
              <w:t>≥</w:t>
            </w:r>
            <w:r>
              <w:rPr>
                <w:color w:val="auto"/>
              </w:rPr>
              <w:t>21.5寸显示器</w:t>
            </w:r>
          </w:p>
        </w:tc>
        <w:tc>
          <w:tcPr>
            <w:tcW w:w="312" w:type="pct"/>
            <w:shd w:val="clear" w:color="000000" w:fill="FFFFFF"/>
            <w:noWrap w:val="0"/>
            <w:vAlign w:val="center"/>
          </w:tcPr>
          <w:p>
            <w:pPr>
              <w:adjustRightInd w:val="0"/>
              <w:snapToGrid w:val="0"/>
              <w:jc w:val="center"/>
              <w:rPr>
                <w:color w:val="auto"/>
              </w:rPr>
            </w:pPr>
            <w:r>
              <w:rPr>
                <w:color w:val="auto"/>
              </w:rPr>
              <w:t>68</w:t>
            </w:r>
          </w:p>
        </w:tc>
        <w:tc>
          <w:tcPr>
            <w:tcW w:w="248" w:type="pct"/>
            <w:shd w:val="clear" w:color="000000" w:fill="FFFFFF"/>
            <w:noWrap/>
            <w:vAlign w:val="center"/>
          </w:tcPr>
          <w:p>
            <w:pPr>
              <w:adjustRightInd w:val="0"/>
              <w:snapToGrid w:val="0"/>
              <w:jc w:val="center"/>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shd w:val="clear" w:color="000000" w:fill="FFFFFF"/>
            <w:noWrap/>
            <w:vAlign w:val="center"/>
          </w:tcPr>
          <w:p>
            <w:pPr>
              <w:adjustRightInd w:val="0"/>
              <w:snapToGrid w:val="0"/>
              <w:jc w:val="center"/>
              <w:rPr>
                <w:color w:val="auto"/>
              </w:rPr>
            </w:pPr>
            <w:r>
              <w:rPr>
                <w:color w:val="auto"/>
              </w:rPr>
              <w:t>12</w:t>
            </w:r>
          </w:p>
        </w:tc>
        <w:tc>
          <w:tcPr>
            <w:tcW w:w="378" w:type="pct"/>
            <w:shd w:val="clear" w:color="000000" w:fill="FFFFFF"/>
            <w:noWrap w:val="0"/>
            <w:vAlign w:val="center"/>
          </w:tcPr>
          <w:p>
            <w:pPr>
              <w:adjustRightInd w:val="0"/>
              <w:snapToGrid w:val="0"/>
              <w:jc w:val="center"/>
              <w:rPr>
                <w:color w:val="auto"/>
              </w:rPr>
            </w:pPr>
            <w:r>
              <w:rPr>
                <w:color w:val="auto"/>
              </w:rPr>
              <w:t>主机</w:t>
            </w:r>
          </w:p>
        </w:tc>
        <w:tc>
          <w:tcPr>
            <w:tcW w:w="2758" w:type="pct"/>
            <w:shd w:val="clear" w:color="000000" w:fill="FFFFFF"/>
            <w:noWrap w:val="0"/>
            <w:vAlign w:val="center"/>
          </w:tcPr>
          <w:p>
            <w:pPr>
              <w:adjustRightInd w:val="0"/>
              <w:snapToGrid w:val="0"/>
              <w:rPr>
                <w:rFonts w:hint="eastAsia" w:eastAsia="宋体"/>
                <w:color w:val="auto"/>
                <w:lang w:eastAsia="zh-CN"/>
              </w:rPr>
            </w:pPr>
            <w:r>
              <w:rPr>
                <w:rFonts w:hint="eastAsia"/>
                <w:color w:val="auto"/>
              </w:rPr>
              <w:t>自主可控C</w:t>
            </w:r>
            <w:r>
              <w:rPr>
                <w:color w:val="auto"/>
              </w:rPr>
              <w:t>PU：核数≥8</w:t>
            </w:r>
            <w:r>
              <w:rPr>
                <w:rFonts w:hint="eastAsia"/>
                <w:color w:val="auto"/>
              </w:rPr>
              <w:t>，</w:t>
            </w:r>
            <w:r>
              <w:rPr>
                <w:color w:val="auto"/>
              </w:rPr>
              <w:t>主频≥2.3GHz；内存：</w:t>
            </w:r>
            <w:r>
              <w:rPr>
                <w:rFonts w:hint="eastAsia"/>
                <w:color w:val="auto"/>
              </w:rPr>
              <w:t>≥</w:t>
            </w:r>
            <w:r>
              <w:rPr>
                <w:color w:val="auto"/>
              </w:rPr>
              <w:t xml:space="preserve">16GB </w:t>
            </w:r>
            <w:r>
              <w:rPr>
                <w:rFonts w:hint="eastAsia"/>
                <w:color w:val="auto"/>
              </w:rPr>
              <w:t>；</w:t>
            </w:r>
            <w:r>
              <w:rPr>
                <w:color w:val="auto"/>
              </w:rPr>
              <w:t>硬盘：</w:t>
            </w:r>
            <w:r>
              <w:rPr>
                <w:rFonts w:hint="eastAsia"/>
                <w:color w:val="auto"/>
              </w:rPr>
              <w:t>≥1</w:t>
            </w:r>
            <w:r>
              <w:rPr>
                <w:color w:val="auto"/>
              </w:rPr>
              <w:t>TB SSD+512SSD</w:t>
            </w:r>
            <w:r>
              <w:rPr>
                <w:rFonts w:hint="eastAsia"/>
                <w:color w:val="auto"/>
              </w:rPr>
              <w:t>；</w:t>
            </w:r>
            <w:r>
              <w:rPr>
                <w:color w:val="auto"/>
              </w:rPr>
              <w:t>显卡：</w:t>
            </w:r>
            <w:r>
              <w:rPr>
                <w:rFonts w:hint="eastAsia"/>
                <w:color w:val="auto"/>
              </w:rPr>
              <w:t>独立显卡，显存≥</w:t>
            </w:r>
            <w:r>
              <w:rPr>
                <w:color w:val="auto"/>
              </w:rPr>
              <w:t>4GB</w:t>
            </w:r>
            <w:r>
              <w:rPr>
                <w:rFonts w:hint="eastAsia"/>
                <w:color w:val="auto"/>
              </w:rPr>
              <w:t>，支持双屏和拼接功能；</w:t>
            </w:r>
            <w:r>
              <w:rPr>
                <w:color w:val="auto"/>
              </w:rPr>
              <w:t xml:space="preserve">显卡转接线：HDMI to HDMI(1.5m Cable) </w:t>
            </w:r>
            <w:r>
              <w:rPr>
                <w:rFonts w:hint="eastAsia"/>
                <w:color w:val="auto"/>
              </w:rPr>
              <w:t>；</w:t>
            </w:r>
            <w:r>
              <w:rPr>
                <w:color w:val="auto"/>
              </w:rPr>
              <w:t>网卡：集成网卡</w:t>
            </w:r>
            <w:r>
              <w:rPr>
                <w:rFonts w:hint="eastAsia"/>
                <w:color w:val="auto"/>
              </w:rPr>
              <w:t>；鼠标</w:t>
            </w:r>
            <w:r>
              <w:rPr>
                <w:color w:val="auto"/>
              </w:rPr>
              <w:t>键盘：USB</w:t>
            </w:r>
            <w:r>
              <w:rPr>
                <w:rFonts w:hint="eastAsia"/>
                <w:color w:val="auto"/>
              </w:rPr>
              <w:t>鼠标</w:t>
            </w:r>
            <w:r>
              <w:rPr>
                <w:color w:val="auto"/>
              </w:rPr>
              <w:t>键盘</w:t>
            </w:r>
            <w:r>
              <w:rPr>
                <w:rFonts w:hint="eastAsia"/>
                <w:color w:val="auto"/>
              </w:rPr>
              <w:t>；自主可控</w:t>
            </w:r>
            <w:r>
              <w:rPr>
                <w:color w:val="auto"/>
              </w:rPr>
              <w:t>操作系统</w:t>
            </w:r>
            <w:r>
              <w:rPr>
                <w:rFonts w:hint="eastAsia"/>
                <w:color w:val="auto"/>
                <w:lang w:eastAsia="zh-CN"/>
              </w:rPr>
              <w:t>。</w:t>
            </w:r>
          </w:p>
        </w:tc>
        <w:tc>
          <w:tcPr>
            <w:tcW w:w="926" w:type="pct"/>
            <w:shd w:val="clear" w:color="000000" w:fill="FFFFFF"/>
            <w:noWrap w:val="0"/>
            <w:vAlign w:val="center"/>
          </w:tcPr>
          <w:p>
            <w:pPr>
              <w:adjustRightInd w:val="0"/>
              <w:snapToGrid w:val="0"/>
              <w:jc w:val="center"/>
              <w:rPr>
                <w:color w:val="auto"/>
              </w:rPr>
            </w:pPr>
            <w:r>
              <w:rPr>
                <w:color w:val="auto"/>
              </w:rPr>
              <w:t>/</w:t>
            </w:r>
          </w:p>
        </w:tc>
        <w:tc>
          <w:tcPr>
            <w:tcW w:w="312" w:type="pct"/>
            <w:shd w:val="clear" w:color="000000" w:fill="FFFFFF"/>
            <w:noWrap w:val="0"/>
            <w:vAlign w:val="center"/>
          </w:tcPr>
          <w:p>
            <w:pPr>
              <w:adjustRightInd w:val="0"/>
              <w:snapToGrid w:val="0"/>
              <w:jc w:val="center"/>
              <w:rPr>
                <w:color w:val="auto"/>
              </w:rPr>
            </w:pPr>
            <w:r>
              <w:rPr>
                <w:color w:val="auto"/>
              </w:rPr>
              <w:t>34</w:t>
            </w:r>
          </w:p>
        </w:tc>
        <w:tc>
          <w:tcPr>
            <w:tcW w:w="248" w:type="pct"/>
            <w:shd w:val="clear" w:color="000000" w:fill="FFFFFF"/>
            <w:noWrap/>
            <w:vAlign w:val="center"/>
          </w:tcPr>
          <w:p>
            <w:pPr>
              <w:adjustRightInd w:val="0"/>
              <w:snapToGrid w:val="0"/>
              <w:jc w:val="center"/>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6"/>
            <w:shd w:val="clear" w:color="000000" w:fill="FFFFFF"/>
            <w:noWrap w:val="0"/>
            <w:vAlign w:val="center"/>
          </w:tcPr>
          <w:p>
            <w:pPr>
              <w:adjustRightInd w:val="0"/>
              <w:snapToGrid w:val="0"/>
              <w:rPr>
                <w:color w:val="auto"/>
              </w:rPr>
            </w:pPr>
            <w:r>
              <w:rPr>
                <w:color w:val="auto"/>
              </w:rPr>
              <w:t>二、办公及会议桌椅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noWrap/>
            <w:vAlign w:val="center"/>
          </w:tcPr>
          <w:p>
            <w:pPr>
              <w:adjustRightInd w:val="0"/>
              <w:snapToGrid w:val="0"/>
              <w:jc w:val="center"/>
              <w:rPr>
                <w:color w:val="auto"/>
              </w:rPr>
            </w:pPr>
            <w:r>
              <w:rPr>
                <w:color w:val="auto"/>
              </w:rPr>
              <w:t>1</w:t>
            </w:r>
          </w:p>
        </w:tc>
        <w:tc>
          <w:tcPr>
            <w:tcW w:w="378" w:type="pct"/>
            <w:noWrap w:val="0"/>
            <w:vAlign w:val="center"/>
          </w:tcPr>
          <w:p>
            <w:pPr>
              <w:adjustRightInd w:val="0"/>
              <w:snapToGrid w:val="0"/>
              <w:jc w:val="center"/>
              <w:rPr>
                <w:color w:val="auto"/>
              </w:rPr>
            </w:pPr>
            <w:r>
              <w:rPr>
                <w:color w:val="auto"/>
              </w:rPr>
              <w:t>定制办公椅</w:t>
            </w:r>
          </w:p>
        </w:tc>
        <w:tc>
          <w:tcPr>
            <w:tcW w:w="2758" w:type="pct"/>
            <w:noWrap w:val="0"/>
            <w:vAlign w:val="center"/>
          </w:tcPr>
          <w:p>
            <w:pPr>
              <w:adjustRightInd w:val="0"/>
              <w:snapToGrid w:val="0"/>
              <w:rPr>
                <w:color w:val="auto"/>
              </w:rPr>
            </w:pPr>
            <w:r>
              <w:rPr>
                <w:rFonts w:hint="eastAsia"/>
                <w:color w:val="auto"/>
              </w:rPr>
              <w:t xml:space="preserve">面料：网布，舒适、透气性好。海棉：合成乳胶(PU)发泡一体成型泡棉，曲度依照人体工程学背部曲线设计，密度36kg/m2，回弹力47%。柔软性能好、回弹性高。气压棒：采用气压棒，升降轻便灵活，螺旋机构的升降配合良好，气动升降平稳，无漏气，无燥音，升降20万次无故障。脚架：五星脚架。     </w:t>
            </w:r>
          </w:p>
        </w:tc>
        <w:tc>
          <w:tcPr>
            <w:tcW w:w="926" w:type="pct"/>
            <w:noWrap w:val="0"/>
            <w:vAlign w:val="center"/>
          </w:tcPr>
          <w:p>
            <w:pPr>
              <w:adjustRightInd w:val="0"/>
              <w:snapToGrid w:val="0"/>
              <w:jc w:val="center"/>
              <w:rPr>
                <w:color w:val="auto"/>
              </w:rPr>
            </w:pPr>
            <w:r>
              <w:rPr>
                <w:color w:val="auto"/>
              </w:rPr>
              <w:t>/</w:t>
            </w:r>
          </w:p>
        </w:tc>
        <w:tc>
          <w:tcPr>
            <w:tcW w:w="312" w:type="pct"/>
            <w:noWrap w:val="0"/>
            <w:vAlign w:val="center"/>
          </w:tcPr>
          <w:p>
            <w:pPr>
              <w:adjustRightInd w:val="0"/>
              <w:snapToGrid w:val="0"/>
              <w:jc w:val="center"/>
              <w:rPr>
                <w:color w:val="auto"/>
              </w:rPr>
            </w:pPr>
            <w:r>
              <w:rPr>
                <w:color w:val="auto"/>
              </w:rPr>
              <w:t>60</w:t>
            </w:r>
          </w:p>
        </w:tc>
        <w:tc>
          <w:tcPr>
            <w:tcW w:w="248" w:type="pct"/>
            <w:noWrap/>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noWrap/>
            <w:vAlign w:val="center"/>
          </w:tcPr>
          <w:p>
            <w:pPr>
              <w:adjustRightInd w:val="0"/>
              <w:snapToGrid w:val="0"/>
              <w:jc w:val="center"/>
              <w:rPr>
                <w:color w:val="auto"/>
              </w:rPr>
            </w:pPr>
            <w:r>
              <w:rPr>
                <w:color w:val="auto"/>
              </w:rPr>
              <w:t>2</w:t>
            </w:r>
          </w:p>
        </w:tc>
        <w:tc>
          <w:tcPr>
            <w:tcW w:w="378" w:type="pct"/>
            <w:noWrap w:val="0"/>
            <w:vAlign w:val="center"/>
          </w:tcPr>
          <w:p>
            <w:pPr>
              <w:adjustRightInd w:val="0"/>
              <w:snapToGrid w:val="0"/>
              <w:jc w:val="center"/>
              <w:rPr>
                <w:color w:val="auto"/>
              </w:rPr>
            </w:pPr>
            <w:r>
              <w:rPr>
                <w:color w:val="auto"/>
              </w:rPr>
              <w:t>定制会议椅</w:t>
            </w:r>
          </w:p>
        </w:tc>
        <w:tc>
          <w:tcPr>
            <w:tcW w:w="2758" w:type="pct"/>
            <w:noWrap w:val="0"/>
            <w:vAlign w:val="center"/>
          </w:tcPr>
          <w:p>
            <w:pPr>
              <w:adjustRightInd w:val="0"/>
              <w:snapToGrid w:val="0"/>
              <w:rPr>
                <w:color w:val="auto"/>
              </w:rPr>
            </w:pPr>
            <w:r>
              <w:rPr>
                <w:rFonts w:hint="eastAsia"/>
                <w:color w:val="auto"/>
              </w:rPr>
              <w:t>基材：环保木质基材；辅料：采用国产环保发泡高密度海绵，表面有一层保护面，可防氧化，防碎，经过HD测试不变形；面料：皮革；油漆：环保油漆；三合一连接件：金属表面耐腐蚀乙酸盐雾连续喷雾≧97小时，所有五金配件全部经过防锈、防腐处理。</w:t>
            </w:r>
          </w:p>
        </w:tc>
        <w:tc>
          <w:tcPr>
            <w:tcW w:w="926" w:type="pct"/>
            <w:noWrap w:val="0"/>
            <w:vAlign w:val="center"/>
          </w:tcPr>
          <w:p>
            <w:pPr>
              <w:adjustRightInd w:val="0"/>
              <w:snapToGrid w:val="0"/>
              <w:jc w:val="center"/>
              <w:rPr>
                <w:color w:val="auto"/>
              </w:rPr>
            </w:pPr>
            <w:r>
              <w:rPr>
                <w:color w:val="auto"/>
              </w:rPr>
              <w:t>/</w:t>
            </w:r>
          </w:p>
        </w:tc>
        <w:tc>
          <w:tcPr>
            <w:tcW w:w="312" w:type="pct"/>
            <w:noWrap w:val="0"/>
            <w:vAlign w:val="center"/>
          </w:tcPr>
          <w:p>
            <w:pPr>
              <w:adjustRightInd w:val="0"/>
              <w:snapToGrid w:val="0"/>
              <w:jc w:val="center"/>
              <w:rPr>
                <w:color w:val="auto"/>
              </w:rPr>
            </w:pPr>
            <w:r>
              <w:rPr>
                <w:color w:val="auto"/>
              </w:rPr>
              <w:t>96</w:t>
            </w:r>
          </w:p>
        </w:tc>
        <w:tc>
          <w:tcPr>
            <w:tcW w:w="248" w:type="pct"/>
            <w:noWrap/>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noWrap/>
            <w:vAlign w:val="center"/>
          </w:tcPr>
          <w:p>
            <w:pPr>
              <w:adjustRightInd w:val="0"/>
              <w:snapToGrid w:val="0"/>
              <w:jc w:val="center"/>
              <w:rPr>
                <w:color w:val="auto"/>
              </w:rPr>
            </w:pPr>
            <w:r>
              <w:rPr>
                <w:color w:val="auto"/>
              </w:rPr>
              <w:t>3</w:t>
            </w:r>
          </w:p>
        </w:tc>
        <w:tc>
          <w:tcPr>
            <w:tcW w:w="378" w:type="pct"/>
            <w:noWrap w:val="0"/>
            <w:vAlign w:val="center"/>
          </w:tcPr>
          <w:p>
            <w:pPr>
              <w:adjustRightInd w:val="0"/>
              <w:snapToGrid w:val="0"/>
              <w:jc w:val="center"/>
              <w:rPr>
                <w:color w:val="auto"/>
              </w:rPr>
            </w:pPr>
            <w:r>
              <w:rPr>
                <w:color w:val="auto"/>
              </w:rPr>
              <w:t>定制参会椅</w:t>
            </w:r>
          </w:p>
        </w:tc>
        <w:tc>
          <w:tcPr>
            <w:tcW w:w="2758" w:type="pct"/>
            <w:noWrap w:val="0"/>
            <w:vAlign w:val="center"/>
          </w:tcPr>
          <w:p>
            <w:pPr>
              <w:adjustRightInd w:val="0"/>
              <w:snapToGrid w:val="0"/>
              <w:rPr>
                <w:color w:val="auto"/>
              </w:rPr>
            </w:pPr>
            <w:r>
              <w:rPr>
                <w:rFonts w:hint="eastAsia"/>
                <w:color w:val="auto"/>
              </w:rPr>
              <w:t>材质：饰面用材：皮革材料，防污无毒，舒适透气；海绵：座垫、靠背采用高弹海绵，密度高于45度；脚架：形状四脚。</w:t>
            </w:r>
          </w:p>
        </w:tc>
        <w:tc>
          <w:tcPr>
            <w:tcW w:w="926" w:type="pct"/>
            <w:noWrap w:val="0"/>
            <w:vAlign w:val="center"/>
          </w:tcPr>
          <w:p>
            <w:pPr>
              <w:adjustRightInd w:val="0"/>
              <w:snapToGrid w:val="0"/>
              <w:jc w:val="center"/>
              <w:rPr>
                <w:color w:val="auto"/>
              </w:rPr>
            </w:pPr>
            <w:r>
              <w:rPr>
                <w:color w:val="auto"/>
              </w:rPr>
              <w:t>定制</w:t>
            </w:r>
          </w:p>
        </w:tc>
        <w:tc>
          <w:tcPr>
            <w:tcW w:w="312" w:type="pct"/>
            <w:noWrap w:val="0"/>
            <w:vAlign w:val="center"/>
          </w:tcPr>
          <w:p>
            <w:pPr>
              <w:adjustRightInd w:val="0"/>
              <w:snapToGrid w:val="0"/>
              <w:jc w:val="center"/>
              <w:rPr>
                <w:color w:val="auto"/>
              </w:rPr>
            </w:pPr>
            <w:r>
              <w:rPr>
                <w:color w:val="auto"/>
              </w:rPr>
              <w:t>302</w:t>
            </w:r>
          </w:p>
        </w:tc>
        <w:tc>
          <w:tcPr>
            <w:tcW w:w="248" w:type="pct"/>
            <w:noWrap/>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noWrap/>
            <w:vAlign w:val="center"/>
          </w:tcPr>
          <w:p>
            <w:pPr>
              <w:adjustRightInd w:val="0"/>
              <w:snapToGrid w:val="0"/>
              <w:jc w:val="center"/>
              <w:rPr>
                <w:color w:val="auto"/>
              </w:rPr>
            </w:pPr>
            <w:r>
              <w:rPr>
                <w:color w:val="auto"/>
              </w:rPr>
              <w:t>4</w:t>
            </w:r>
          </w:p>
        </w:tc>
        <w:tc>
          <w:tcPr>
            <w:tcW w:w="378" w:type="pct"/>
            <w:noWrap w:val="0"/>
            <w:vAlign w:val="center"/>
          </w:tcPr>
          <w:p>
            <w:pPr>
              <w:adjustRightInd w:val="0"/>
              <w:snapToGrid w:val="0"/>
              <w:jc w:val="center"/>
              <w:rPr>
                <w:color w:val="auto"/>
              </w:rPr>
            </w:pPr>
            <w:r>
              <w:rPr>
                <w:color w:val="auto"/>
              </w:rPr>
              <w:t>定制观摩席</w:t>
            </w:r>
          </w:p>
        </w:tc>
        <w:tc>
          <w:tcPr>
            <w:tcW w:w="2758" w:type="pct"/>
            <w:noWrap w:val="0"/>
            <w:vAlign w:val="center"/>
          </w:tcPr>
          <w:p>
            <w:pPr>
              <w:adjustRightInd w:val="0"/>
              <w:snapToGrid w:val="0"/>
              <w:rPr>
                <w:color w:val="auto"/>
              </w:rPr>
            </w:pPr>
            <w:r>
              <w:rPr>
                <w:rFonts w:hint="eastAsia"/>
                <w:color w:val="auto"/>
              </w:rPr>
              <w:t>基材采用多层高密度板，经高温防潮、防腐、防虫处理；均符合环保要求，达到新国家检测标准E1级；需经过18道手工工艺，采用五底三面的工艺，采用UV环保漆技术，在恒温、恒湿、高度防尘的汽车烤漆级别的面漆房中进行产品的喷涂面漆，保证产品的质量（木皮：木皮厚度0.2mm—0.6mm  开放漆采用0.6mm厚度的木皮,开放效果较好、木的质感和立体感强；封闭漆采用0.4木皮，平整度好、木纹纹理清晰、不起泡）。饰面：采用胡桃木皮贴面，厚度≥0.6mm，经过7-9 道涂研工艺处理；油漆：选用环保油漆，挥发性有机化合物含量≤650g/L,游离二异氰酸酯（TDI、HDI）含量总和≤0.1%,经五底三面八道工序，产品美观、无气味、不变色，光滑耐磨；表面光亮平整、无颗粒、无毒害、易清洁；采用高级环保胶粘剂，符合GB18583-2008环保标准；三合一连接件：金属表面耐腐蚀乙酸盐雾连续喷雾≧97小时，所有五金配件全部经过防锈、防腐处理。</w:t>
            </w:r>
          </w:p>
        </w:tc>
        <w:tc>
          <w:tcPr>
            <w:tcW w:w="926" w:type="pct"/>
            <w:noWrap w:val="0"/>
            <w:vAlign w:val="center"/>
          </w:tcPr>
          <w:p>
            <w:pPr>
              <w:adjustRightInd w:val="0"/>
              <w:snapToGrid w:val="0"/>
              <w:jc w:val="center"/>
              <w:rPr>
                <w:color w:val="auto"/>
              </w:rPr>
            </w:pPr>
            <w:r>
              <w:rPr>
                <w:color w:val="auto"/>
              </w:rPr>
              <w:t>1600*550*760mm</w:t>
            </w:r>
          </w:p>
        </w:tc>
        <w:tc>
          <w:tcPr>
            <w:tcW w:w="312" w:type="pct"/>
            <w:noWrap/>
            <w:vAlign w:val="center"/>
          </w:tcPr>
          <w:p>
            <w:pPr>
              <w:adjustRightInd w:val="0"/>
              <w:snapToGrid w:val="0"/>
              <w:jc w:val="center"/>
              <w:rPr>
                <w:color w:val="auto"/>
              </w:rPr>
            </w:pPr>
            <w:r>
              <w:rPr>
                <w:color w:val="auto"/>
              </w:rPr>
              <w:t>30</w:t>
            </w:r>
          </w:p>
        </w:tc>
        <w:tc>
          <w:tcPr>
            <w:tcW w:w="248" w:type="pct"/>
            <w:noWrap/>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78" w:type="pct"/>
            <w:noWrap/>
            <w:vAlign w:val="center"/>
          </w:tcPr>
          <w:p>
            <w:pPr>
              <w:adjustRightInd w:val="0"/>
              <w:snapToGrid w:val="0"/>
              <w:jc w:val="center"/>
              <w:rPr>
                <w:color w:val="auto"/>
              </w:rPr>
            </w:pPr>
            <w:r>
              <w:rPr>
                <w:color w:val="auto"/>
              </w:rPr>
              <w:t>5</w:t>
            </w:r>
          </w:p>
        </w:tc>
        <w:tc>
          <w:tcPr>
            <w:tcW w:w="378" w:type="pct"/>
            <w:noWrap w:val="0"/>
            <w:vAlign w:val="center"/>
          </w:tcPr>
          <w:p>
            <w:pPr>
              <w:adjustRightInd w:val="0"/>
              <w:snapToGrid w:val="0"/>
              <w:jc w:val="center"/>
              <w:rPr>
                <w:color w:val="auto"/>
              </w:rPr>
            </w:pPr>
            <w:r>
              <w:rPr>
                <w:color w:val="auto"/>
              </w:rPr>
              <w:t>定制领导席（19席位）</w:t>
            </w:r>
          </w:p>
        </w:tc>
        <w:tc>
          <w:tcPr>
            <w:tcW w:w="2758" w:type="pct"/>
            <w:noWrap w:val="0"/>
            <w:vAlign w:val="center"/>
          </w:tcPr>
          <w:p>
            <w:pPr>
              <w:adjustRightInd w:val="0"/>
              <w:snapToGrid w:val="0"/>
              <w:rPr>
                <w:color w:val="auto"/>
              </w:rPr>
            </w:pPr>
            <w:r>
              <w:rPr>
                <w:rFonts w:hint="eastAsia"/>
                <w:color w:val="auto"/>
              </w:rPr>
              <w:t>贴面材料：采用国产多层高密度板，符合环保要求，达到新国家检测标准E1级；需经过18道手工工艺，采用五底三面的工艺，采用UV环保漆技术，在恒温、恒湿、高度防尘的汽车烤漆级别的面漆房中进行产品的喷涂面漆，保证产品的质量（木皮：通过旋切或刨切木材而来，保留木材的天然质感，主要作用是用来做饰面，木皮厚度0.2mm—0.6mm  开放漆采用0.6mm厚度的木皮,开放效果较好、木的质感和立体感强；封闭漆采用0.4木皮，平整度好、木纹纹理清晰、不起泡）；绿色环保，甲醛含量≤1.0mg/L；密度≥760kg/m3,静曲张度≥51.2Mpa,吸水膨胀率≤8.1%；封边用材：与贴面用材种类相同或由客户指定的，与之相搭配的实木木材；油漆：面漆采用PU聚脂漆,底漆采用PE不饱和树脂漆；主要五金配件：采用国内五金配件。</w:t>
            </w:r>
          </w:p>
        </w:tc>
        <w:tc>
          <w:tcPr>
            <w:tcW w:w="926" w:type="pct"/>
            <w:noWrap w:val="0"/>
            <w:vAlign w:val="center"/>
          </w:tcPr>
          <w:p>
            <w:pPr>
              <w:adjustRightInd w:val="0"/>
              <w:snapToGrid w:val="0"/>
              <w:jc w:val="center"/>
              <w:rPr>
                <w:color w:val="auto"/>
              </w:rPr>
            </w:pPr>
            <w:r>
              <w:rPr>
                <w:color w:val="auto"/>
              </w:rPr>
              <w:t>1800*700*780mm</w:t>
            </w:r>
          </w:p>
        </w:tc>
        <w:tc>
          <w:tcPr>
            <w:tcW w:w="312" w:type="pct"/>
            <w:noWrap/>
            <w:vAlign w:val="center"/>
          </w:tcPr>
          <w:p>
            <w:pPr>
              <w:adjustRightInd w:val="0"/>
              <w:snapToGrid w:val="0"/>
              <w:jc w:val="center"/>
              <w:rPr>
                <w:color w:val="auto"/>
              </w:rPr>
            </w:pPr>
            <w:r>
              <w:rPr>
                <w:color w:val="auto"/>
              </w:rPr>
              <w:t>10</w:t>
            </w:r>
          </w:p>
        </w:tc>
        <w:tc>
          <w:tcPr>
            <w:tcW w:w="248" w:type="pct"/>
            <w:noWrap/>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noWrap/>
            <w:vAlign w:val="center"/>
          </w:tcPr>
          <w:p>
            <w:pPr>
              <w:adjustRightInd w:val="0"/>
              <w:snapToGrid w:val="0"/>
              <w:jc w:val="center"/>
              <w:rPr>
                <w:color w:val="auto"/>
              </w:rPr>
            </w:pPr>
            <w:r>
              <w:rPr>
                <w:color w:val="auto"/>
              </w:rPr>
              <w:t>6</w:t>
            </w:r>
          </w:p>
        </w:tc>
        <w:tc>
          <w:tcPr>
            <w:tcW w:w="378" w:type="pct"/>
            <w:noWrap w:val="0"/>
            <w:vAlign w:val="center"/>
          </w:tcPr>
          <w:p>
            <w:pPr>
              <w:adjustRightInd w:val="0"/>
              <w:snapToGrid w:val="0"/>
              <w:jc w:val="center"/>
              <w:rPr>
                <w:color w:val="auto"/>
              </w:rPr>
            </w:pPr>
            <w:r>
              <w:rPr>
                <w:color w:val="auto"/>
              </w:rPr>
              <w:t>定制观摩席</w:t>
            </w:r>
          </w:p>
        </w:tc>
        <w:tc>
          <w:tcPr>
            <w:tcW w:w="2758" w:type="pct"/>
            <w:noWrap w:val="0"/>
            <w:vAlign w:val="center"/>
          </w:tcPr>
          <w:p>
            <w:pPr>
              <w:adjustRightInd w:val="0"/>
              <w:snapToGrid w:val="0"/>
              <w:rPr>
                <w:color w:val="auto"/>
              </w:rPr>
            </w:pPr>
            <w:r>
              <w:rPr>
                <w:rFonts w:hint="eastAsia"/>
                <w:color w:val="auto"/>
              </w:rPr>
              <w:t>基材采用多层高密度板，经高温防潮、防腐、防虫处理；符合环保要求，达到新国家检测标准E1级；需经过18道手工工艺，采用五底三面的工艺，采用UV环保漆技术，在恒温、恒湿、高度防尘的汽车烤漆级别的面漆房中进行产品的喷涂面漆，保证产品的质量（木皮：通过旋切或刨切木材而来，保留木材的天然质感，主要作用是用来做饰面，木皮厚度0.2mm—0.6mm  开放漆采用0.6mm厚度的木皮,开放效果较好、木的质感和立体感强；封闭漆采用0.4木皮，平整度好、木纹纹理清晰、不起泡）。饰面：采用胡桃木皮贴面，厚度≥0.6mm，经过7-9 道涂研工艺处理；油漆：选用环保油漆，挥发性有机化合物含量≤650g/L,游离二异氰酸酯（TDI、HDI）含量总和≤0.1%,经五底三面八道工序，产品美观、无气味、不变色，光滑耐磨；表面光亮平整、无颗粒、无毒害、易清洁；采用高级环保胶粘剂，符合GB18583-2008环保标准；三合一连接件：金属表面耐腐蚀乙酸盐雾连续喷雾≧97小时，所有五金配件全部经过防锈、防腐处理。</w:t>
            </w:r>
          </w:p>
        </w:tc>
        <w:tc>
          <w:tcPr>
            <w:tcW w:w="926" w:type="pct"/>
            <w:noWrap w:val="0"/>
            <w:vAlign w:val="center"/>
          </w:tcPr>
          <w:p>
            <w:pPr>
              <w:adjustRightInd w:val="0"/>
              <w:snapToGrid w:val="0"/>
              <w:jc w:val="center"/>
              <w:rPr>
                <w:color w:val="auto"/>
              </w:rPr>
            </w:pPr>
            <w:r>
              <w:rPr>
                <w:color w:val="auto"/>
              </w:rPr>
              <w:t>1200*500*760mm</w:t>
            </w:r>
          </w:p>
        </w:tc>
        <w:tc>
          <w:tcPr>
            <w:tcW w:w="312" w:type="pct"/>
            <w:noWrap/>
            <w:vAlign w:val="center"/>
          </w:tcPr>
          <w:p>
            <w:pPr>
              <w:adjustRightInd w:val="0"/>
              <w:snapToGrid w:val="0"/>
              <w:jc w:val="center"/>
              <w:rPr>
                <w:color w:val="auto"/>
              </w:rPr>
            </w:pPr>
            <w:r>
              <w:rPr>
                <w:color w:val="auto"/>
              </w:rPr>
              <w:t>121</w:t>
            </w:r>
          </w:p>
        </w:tc>
        <w:tc>
          <w:tcPr>
            <w:tcW w:w="248" w:type="pct"/>
            <w:noWrap/>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noWrap/>
            <w:vAlign w:val="center"/>
          </w:tcPr>
          <w:p>
            <w:pPr>
              <w:adjustRightInd w:val="0"/>
              <w:snapToGrid w:val="0"/>
              <w:jc w:val="center"/>
              <w:rPr>
                <w:color w:val="auto"/>
              </w:rPr>
            </w:pPr>
            <w:r>
              <w:rPr>
                <w:color w:val="auto"/>
              </w:rPr>
              <w:t>7</w:t>
            </w:r>
          </w:p>
        </w:tc>
        <w:tc>
          <w:tcPr>
            <w:tcW w:w="378" w:type="pct"/>
            <w:noWrap w:val="0"/>
            <w:vAlign w:val="center"/>
          </w:tcPr>
          <w:p>
            <w:pPr>
              <w:adjustRightInd w:val="0"/>
              <w:snapToGrid w:val="0"/>
              <w:jc w:val="center"/>
              <w:rPr>
                <w:color w:val="auto"/>
              </w:rPr>
            </w:pPr>
            <w:r>
              <w:rPr>
                <w:color w:val="auto"/>
              </w:rPr>
              <w:t>定制办公桌</w:t>
            </w:r>
          </w:p>
        </w:tc>
        <w:tc>
          <w:tcPr>
            <w:tcW w:w="2758" w:type="pct"/>
            <w:noWrap w:val="0"/>
            <w:vAlign w:val="center"/>
          </w:tcPr>
          <w:p>
            <w:pPr>
              <w:adjustRightInd w:val="0"/>
              <w:snapToGrid w:val="0"/>
              <w:rPr>
                <w:color w:val="auto"/>
              </w:rPr>
            </w:pPr>
            <w:r>
              <w:rPr>
                <w:rFonts w:hint="eastAsia"/>
                <w:color w:val="auto"/>
              </w:rPr>
              <w:t>桌板：E0级刨花板，桌板厚25MM，同色PVC直封边，甲醛释放量≤0</w:t>
            </w:r>
            <w:r>
              <w:rPr>
                <w:color w:val="auto"/>
              </w:rPr>
              <w:t>.0</w:t>
            </w:r>
            <w:r>
              <w:rPr>
                <w:rFonts w:hint="eastAsia"/>
                <w:color w:val="auto"/>
              </w:rPr>
              <w:t>5mg/m</w:t>
            </w:r>
            <w:r>
              <w:rPr>
                <w:color w:val="auto"/>
                <w:vertAlign w:val="superscript"/>
              </w:rPr>
              <w:t>3</w:t>
            </w:r>
            <w:r>
              <w:rPr>
                <w:rFonts w:hint="eastAsia"/>
                <w:color w:val="auto"/>
              </w:rPr>
              <w:t>,符合国家GB18580-20</w:t>
            </w:r>
            <w:r>
              <w:rPr>
                <w:color w:val="auto"/>
              </w:rPr>
              <w:t>17</w:t>
            </w:r>
            <w:r>
              <w:rPr>
                <w:rFonts w:hint="eastAsia"/>
                <w:color w:val="auto"/>
              </w:rPr>
              <w:t>标准；五金配件：国产导轨、阻尼铰链、锁具，符合国家QB/T2530-2001标准；屏风：厚度40mm*40mm,铝合金框架，冷轧钢厚度不低于0.8mm，桌面以下及桌面以上25公分为钢板，桌上屏风内走线（预留一个强电、一个弱电孔位），桌下屏风内走线（预留两个强电、一个弱电孔位），达Q/BQB402-2009标准；键盘架：、无毒ABS工程塑料；主机架：冷轧钢；环保黏合剂：采用品牌粘合剂，符合国家标准要求黏合剂。游离甲醛符合GB18583-2008要求，≤0.5g/kg；苯符合GB18583-2008要求，≤</w:t>
            </w:r>
            <w:r>
              <w:rPr>
                <w:color w:val="auto"/>
              </w:rPr>
              <w:t>0.2</w:t>
            </w:r>
            <w:r>
              <w:rPr>
                <w:rFonts w:hint="eastAsia"/>
                <w:color w:val="auto"/>
              </w:rPr>
              <w:t>g/kg；甲苯、 二甲苯符合GB18583-2008要求，≤1000mg/kg；门脚：冷轧钢；成品符合国家标准QB/T1951.1-</w:t>
            </w:r>
            <w:r>
              <w:rPr>
                <w:color w:val="auto"/>
              </w:rPr>
              <w:t>2010</w:t>
            </w:r>
            <w:r>
              <w:rPr>
                <w:rFonts w:hint="eastAsia"/>
                <w:color w:val="auto"/>
              </w:rPr>
              <w:t>、GB18584-2001。</w:t>
            </w:r>
          </w:p>
        </w:tc>
        <w:tc>
          <w:tcPr>
            <w:tcW w:w="926" w:type="pct"/>
            <w:noWrap w:val="0"/>
            <w:vAlign w:val="center"/>
          </w:tcPr>
          <w:p>
            <w:pPr>
              <w:adjustRightInd w:val="0"/>
              <w:snapToGrid w:val="0"/>
              <w:jc w:val="center"/>
              <w:rPr>
                <w:rFonts w:hint="default" w:eastAsia="宋体"/>
                <w:color w:val="auto"/>
                <w:lang w:val="en-US" w:eastAsia="zh-CN"/>
              </w:rPr>
            </w:pPr>
            <w:r>
              <w:rPr>
                <w:color w:val="auto"/>
              </w:rPr>
              <w:t>1500*750*750</w:t>
            </w:r>
            <w:r>
              <w:rPr>
                <w:rFonts w:hint="default"/>
                <w:color w:val="auto"/>
                <w:lang w:val="en-US" w:eastAsia="zh-CN"/>
              </w:rPr>
              <w:t>mm</w:t>
            </w:r>
          </w:p>
        </w:tc>
        <w:tc>
          <w:tcPr>
            <w:tcW w:w="312" w:type="pct"/>
            <w:noWrap/>
            <w:vAlign w:val="center"/>
          </w:tcPr>
          <w:p>
            <w:pPr>
              <w:adjustRightInd w:val="0"/>
              <w:snapToGrid w:val="0"/>
              <w:jc w:val="center"/>
              <w:rPr>
                <w:color w:val="auto"/>
              </w:rPr>
            </w:pPr>
            <w:r>
              <w:rPr>
                <w:color w:val="auto"/>
              </w:rPr>
              <w:t>26</w:t>
            </w:r>
          </w:p>
        </w:tc>
        <w:tc>
          <w:tcPr>
            <w:tcW w:w="248" w:type="pct"/>
            <w:noWrap/>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noWrap/>
            <w:vAlign w:val="center"/>
          </w:tcPr>
          <w:p>
            <w:pPr>
              <w:adjustRightInd w:val="0"/>
              <w:snapToGrid w:val="0"/>
              <w:jc w:val="center"/>
              <w:rPr>
                <w:color w:val="auto"/>
              </w:rPr>
            </w:pPr>
            <w:r>
              <w:rPr>
                <w:color w:val="auto"/>
              </w:rPr>
              <w:t>8</w:t>
            </w:r>
          </w:p>
        </w:tc>
        <w:tc>
          <w:tcPr>
            <w:tcW w:w="378" w:type="pct"/>
            <w:noWrap w:val="0"/>
            <w:vAlign w:val="center"/>
          </w:tcPr>
          <w:p>
            <w:pPr>
              <w:adjustRightInd w:val="0"/>
              <w:snapToGrid w:val="0"/>
              <w:jc w:val="center"/>
              <w:rPr>
                <w:color w:val="auto"/>
              </w:rPr>
            </w:pPr>
            <w:r>
              <w:rPr>
                <w:color w:val="auto"/>
              </w:rPr>
              <w:t>定制会议桌</w:t>
            </w:r>
          </w:p>
        </w:tc>
        <w:tc>
          <w:tcPr>
            <w:tcW w:w="2758" w:type="pct"/>
            <w:noWrap w:val="0"/>
            <w:vAlign w:val="center"/>
          </w:tcPr>
          <w:p>
            <w:pPr>
              <w:adjustRightInd w:val="0"/>
              <w:snapToGrid w:val="0"/>
              <w:rPr>
                <w:color w:val="auto"/>
              </w:rPr>
            </w:pPr>
            <w:r>
              <w:rPr>
                <w:rFonts w:hint="eastAsia"/>
                <w:color w:val="auto"/>
              </w:rPr>
              <w:t>1、基材采用多层高密度板，经高温防潮、防腐、防虫处理；符合环保要求，达到新国家检测标准E1级；需经过18道手工工艺，采用五底三面的工艺，采用UV环保漆技术，在恒温、恒湿、高度防尘的汽车烤漆级别的面漆房中进行产品的喷涂面漆，保证产品的质量（木皮：通过旋切或刨切木材而来，保留木材的天然质感，主要作用是用来做饰面，木皮厚度0.2mm—0.6mm  开放漆采用0.6mm厚度的木皮,开放效果较好、木的质感和立体感强；封闭漆采用0.4木皮，平整度好、木纹纹理清晰、不起泡）。饰面：采用胡桃木皮贴面，厚度≥0.6mm，经过7-9 道涂研工艺处理；油漆：选用环保油漆，挥发性有机化合物含量≤650g/L,游离二异氰酸酯（TDI、HDI）含量总和≤0.1%,经五底三面八道工序，产品美观、无气味、不变色，光滑耐磨；表面光亮平整、无颗粒、无毒害、易清洁；采用高级环保胶粘剂，符合GB18583-2008环保标准；三合一连接件：金属表面耐腐蚀乙酸盐雾连续喷雾≧97小时，所有五金配件全部经过防锈、防腐处理。</w:t>
            </w:r>
          </w:p>
        </w:tc>
        <w:tc>
          <w:tcPr>
            <w:tcW w:w="926" w:type="pct"/>
            <w:noWrap w:val="0"/>
            <w:vAlign w:val="center"/>
          </w:tcPr>
          <w:p>
            <w:pPr>
              <w:adjustRightInd w:val="0"/>
              <w:snapToGrid w:val="0"/>
              <w:jc w:val="center"/>
              <w:rPr>
                <w:color w:val="auto"/>
              </w:rPr>
            </w:pPr>
            <w:r>
              <w:rPr>
                <w:color w:val="auto"/>
              </w:rPr>
              <w:t>2500*1600*750mm</w:t>
            </w:r>
          </w:p>
        </w:tc>
        <w:tc>
          <w:tcPr>
            <w:tcW w:w="312" w:type="pct"/>
            <w:noWrap/>
            <w:vAlign w:val="center"/>
          </w:tcPr>
          <w:p>
            <w:pPr>
              <w:adjustRightInd w:val="0"/>
              <w:snapToGrid w:val="0"/>
              <w:jc w:val="center"/>
              <w:rPr>
                <w:color w:val="auto"/>
              </w:rPr>
            </w:pPr>
            <w:r>
              <w:rPr>
                <w:color w:val="auto"/>
              </w:rPr>
              <w:t>1</w:t>
            </w:r>
          </w:p>
        </w:tc>
        <w:tc>
          <w:tcPr>
            <w:tcW w:w="248" w:type="pct"/>
            <w:noWrap/>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 w:type="pct"/>
            <w:noWrap/>
            <w:vAlign w:val="center"/>
          </w:tcPr>
          <w:p>
            <w:pPr>
              <w:adjustRightInd w:val="0"/>
              <w:snapToGrid w:val="0"/>
              <w:jc w:val="center"/>
              <w:rPr>
                <w:color w:val="auto"/>
              </w:rPr>
            </w:pPr>
            <w:r>
              <w:rPr>
                <w:color w:val="auto"/>
              </w:rPr>
              <w:t>9</w:t>
            </w:r>
          </w:p>
        </w:tc>
        <w:tc>
          <w:tcPr>
            <w:tcW w:w="378" w:type="pct"/>
            <w:noWrap w:val="0"/>
            <w:vAlign w:val="center"/>
          </w:tcPr>
          <w:p>
            <w:pPr>
              <w:adjustRightInd w:val="0"/>
              <w:snapToGrid w:val="0"/>
              <w:jc w:val="center"/>
              <w:rPr>
                <w:color w:val="auto"/>
              </w:rPr>
            </w:pPr>
            <w:r>
              <w:rPr>
                <w:color w:val="auto"/>
              </w:rPr>
              <w:t>定制会议桌</w:t>
            </w:r>
          </w:p>
        </w:tc>
        <w:tc>
          <w:tcPr>
            <w:tcW w:w="2758" w:type="pct"/>
            <w:noWrap w:val="0"/>
            <w:vAlign w:val="center"/>
          </w:tcPr>
          <w:p>
            <w:pPr>
              <w:adjustRightInd w:val="0"/>
              <w:snapToGrid w:val="0"/>
              <w:rPr>
                <w:color w:val="auto"/>
              </w:rPr>
            </w:pPr>
            <w:r>
              <w:rPr>
                <w:rFonts w:hint="eastAsia"/>
                <w:color w:val="auto"/>
              </w:rPr>
              <w:t>基材采用多层高密度板，经高温防潮、防腐、防虫处理；符合环保要求，达到新国家检测标准E1级；需经过18道手工工艺，采用五底三面的工艺，采用UV环保漆技术，在恒温、恒湿、高度防尘的汽车烤漆级别的面漆房中进行产品的喷涂面漆，保证产品的质量（木皮：通过旋切或刨切木材而来，保留木材的天然质感，主要作用是用来做饰面，木皮厚度0.2mm—0.6mm  开放漆采用0.6mm厚度的木皮,开放效果较好、木的质感和立体感强；封闭漆采用0.4木皮，平整度好、木纹纹理清晰、不起泡）。饰面：采用胡桃木皮贴面，厚度≥0.6mm，经过7-9 道涂研工艺处理；油漆：选用环保油漆，挥发性有机化合物含量≤650g/L,游离二异氰酸酯（TDI、HDI）含量总和≤0.1%,经五底三面八道工序，产品美观、无气味、不变色，光滑耐磨；表面光亮平整、无颗粒、无毒害、易清洁；采用高级环保胶粘剂，符合GB18583-2008环保标准；三合一连接件：金属表面耐腐蚀乙酸盐雾连续喷雾≧97小时，所有五金配件全部经过防锈、防腐处理。</w:t>
            </w:r>
          </w:p>
        </w:tc>
        <w:tc>
          <w:tcPr>
            <w:tcW w:w="926" w:type="pct"/>
            <w:noWrap w:val="0"/>
            <w:vAlign w:val="center"/>
          </w:tcPr>
          <w:p>
            <w:pPr>
              <w:adjustRightInd w:val="0"/>
              <w:snapToGrid w:val="0"/>
              <w:jc w:val="center"/>
              <w:rPr>
                <w:color w:val="auto"/>
              </w:rPr>
            </w:pPr>
            <w:r>
              <w:rPr>
                <w:color w:val="auto"/>
              </w:rPr>
              <w:t>8000*2500*750mm</w:t>
            </w:r>
          </w:p>
        </w:tc>
        <w:tc>
          <w:tcPr>
            <w:tcW w:w="312" w:type="pct"/>
            <w:noWrap/>
            <w:vAlign w:val="center"/>
          </w:tcPr>
          <w:p>
            <w:pPr>
              <w:adjustRightInd w:val="0"/>
              <w:snapToGrid w:val="0"/>
              <w:jc w:val="center"/>
              <w:rPr>
                <w:color w:val="auto"/>
              </w:rPr>
            </w:pPr>
            <w:r>
              <w:rPr>
                <w:color w:val="auto"/>
              </w:rPr>
              <w:t>1</w:t>
            </w:r>
          </w:p>
        </w:tc>
        <w:tc>
          <w:tcPr>
            <w:tcW w:w="248" w:type="pct"/>
            <w:noWrap/>
            <w:vAlign w:val="center"/>
          </w:tcPr>
          <w:p>
            <w:pPr>
              <w:adjustRightInd w:val="0"/>
              <w:snapToGrid w:val="0"/>
              <w:jc w:val="center"/>
              <w:rPr>
                <w:color w:val="auto"/>
              </w:rPr>
            </w:pPr>
            <w:r>
              <w:rPr>
                <w:color w:val="auto"/>
              </w:rPr>
              <w:t>套</w:t>
            </w:r>
          </w:p>
        </w:tc>
      </w:tr>
    </w:tbl>
    <w:p>
      <w:pPr>
        <w:ind w:firstLine="420" w:firstLineChars="200"/>
        <w:rPr>
          <w:rFonts w:cs="Times New Roman"/>
          <w:color w:val="auto"/>
        </w:rPr>
      </w:pPr>
    </w:p>
    <w:p>
      <w:pPr>
        <w:pStyle w:val="8"/>
        <w:widowControl/>
        <w:spacing w:beforeAutospacing="0" w:afterAutospacing="0" w:line="360" w:lineRule="auto"/>
        <w:jc w:val="both"/>
        <w:rPr>
          <w:rFonts w:ascii="宋体" w:hAnsi="宋体" w:eastAsia="宋体" w:cs="Times New Roman"/>
          <w:b/>
          <w:bCs/>
          <w:color w:val="auto"/>
          <w:shd w:val="clear" w:color="auto" w:fill="FFFFFF"/>
        </w:rPr>
      </w:pPr>
      <w:r>
        <w:rPr>
          <w:rFonts w:hint="eastAsia" w:ascii="宋体" w:hAnsi="宋体" w:eastAsia="宋体" w:cs="Times New Roman"/>
          <w:b/>
          <w:bCs/>
          <w:color w:val="auto"/>
          <w:shd w:val="clear" w:color="auto" w:fill="FFFFFF"/>
        </w:rPr>
        <w:t>3.1</w:t>
      </w:r>
      <w:r>
        <w:rPr>
          <w:rFonts w:ascii="宋体" w:hAnsi="宋体" w:eastAsia="宋体" w:cs="Times New Roman"/>
          <w:b/>
          <w:bCs/>
          <w:color w:val="auto"/>
          <w:shd w:val="clear" w:color="auto" w:fill="FFFFFF"/>
        </w:rPr>
        <w:t>.4 视频会议系统</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672"/>
        <w:gridCol w:w="6544"/>
        <w:gridCol w:w="321"/>
        <w:gridCol w:w="3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 w:type="pct"/>
            <w:shd w:val="clear" w:color="000000" w:fill="FFFFFF"/>
            <w:noWrap/>
            <w:vAlign w:val="center"/>
          </w:tcPr>
          <w:p>
            <w:pPr>
              <w:adjustRightInd w:val="0"/>
              <w:snapToGrid w:val="0"/>
              <w:jc w:val="center"/>
              <w:rPr>
                <w:color w:val="auto"/>
              </w:rPr>
            </w:pPr>
            <w:r>
              <w:rPr>
                <w:color w:val="auto"/>
              </w:rPr>
              <w:t>序号</w:t>
            </w:r>
          </w:p>
        </w:tc>
        <w:tc>
          <w:tcPr>
            <w:tcW w:w="394" w:type="pct"/>
            <w:shd w:val="clear" w:color="000000" w:fill="FFFFFF"/>
            <w:noWrap/>
            <w:vAlign w:val="center"/>
          </w:tcPr>
          <w:p>
            <w:pPr>
              <w:adjustRightInd w:val="0"/>
              <w:snapToGrid w:val="0"/>
              <w:jc w:val="center"/>
              <w:rPr>
                <w:color w:val="auto"/>
              </w:rPr>
            </w:pPr>
            <w:r>
              <w:rPr>
                <w:color w:val="auto"/>
              </w:rPr>
              <w:t>名称</w:t>
            </w:r>
          </w:p>
        </w:tc>
        <w:tc>
          <w:tcPr>
            <w:tcW w:w="3839" w:type="pct"/>
            <w:shd w:val="clear" w:color="000000" w:fill="FFFFFF"/>
            <w:noWrap/>
            <w:vAlign w:val="center"/>
          </w:tcPr>
          <w:p>
            <w:pPr>
              <w:adjustRightInd w:val="0"/>
              <w:snapToGrid w:val="0"/>
              <w:jc w:val="center"/>
              <w:rPr>
                <w:color w:val="auto"/>
              </w:rPr>
            </w:pPr>
            <w:r>
              <w:rPr>
                <w:color w:val="auto"/>
              </w:rPr>
              <w:t>技术要求</w:t>
            </w:r>
          </w:p>
        </w:tc>
        <w:tc>
          <w:tcPr>
            <w:tcW w:w="188" w:type="pct"/>
            <w:shd w:val="clear" w:color="000000" w:fill="FFFFFF"/>
            <w:noWrap/>
            <w:vAlign w:val="center"/>
          </w:tcPr>
          <w:p>
            <w:pPr>
              <w:adjustRightInd w:val="0"/>
              <w:snapToGrid w:val="0"/>
              <w:jc w:val="center"/>
              <w:rPr>
                <w:color w:val="auto"/>
              </w:rPr>
            </w:pPr>
            <w:r>
              <w:rPr>
                <w:color w:val="auto"/>
              </w:rPr>
              <w:t>数量</w:t>
            </w:r>
          </w:p>
        </w:tc>
        <w:tc>
          <w:tcPr>
            <w:tcW w:w="186" w:type="pct"/>
            <w:shd w:val="clear" w:color="000000" w:fill="FFFFFF"/>
            <w:noWrap/>
            <w:vAlign w:val="center"/>
          </w:tcPr>
          <w:p>
            <w:pPr>
              <w:adjustRightInd w:val="0"/>
              <w:snapToGrid w:val="0"/>
              <w:jc w:val="center"/>
              <w:rPr>
                <w:color w:val="auto"/>
              </w:rPr>
            </w:pPr>
            <w:r>
              <w:rPr>
                <w:color w:val="auto"/>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4" w:type="pct"/>
            <w:gridSpan w:val="3"/>
            <w:shd w:val="clear" w:color="000000" w:fill="FFFFFF"/>
            <w:noWrap/>
            <w:vAlign w:val="center"/>
          </w:tcPr>
          <w:p>
            <w:pPr>
              <w:adjustRightInd w:val="0"/>
              <w:snapToGrid w:val="0"/>
              <w:rPr>
                <w:color w:val="auto"/>
              </w:rPr>
            </w:pPr>
            <w:r>
              <w:rPr>
                <w:color w:val="auto"/>
              </w:rPr>
              <w:t>一、指挥中心</w:t>
            </w:r>
          </w:p>
        </w:tc>
        <w:tc>
          <w:tcPr>
            <w:tcW w:w="188" w:type="pct"/>
            <w:shd w:val="clear" w:color="000000" w:fill="FFFFFF"/>
            <w:noWrap/>
            <w:vAlign w:val="center"/>
          </w:tcPr>
          <w:p>
            <w:pPr>
              <w:adjustRightInd w:val="0"/>
              <w:snapToGrid w:val="0"/>
              <w:rPr>
                <w:color w:val="auto"/>
              </w:rPr>
            </w:pPr>
          </w:p>
        </w:tc>
        <w:tc>
          <w:tcPr>
            <w:tcW w:w="186" w:type="pct"/>
            <w:shd w:val="clear" w:color="000000" w:fill="FFFFFF"/>
            <w:noWrap/>
            <w:vAlign w:val="center"/>
          </w:tcPr>
          <w:p>
            <w:pPr>
              <w:adjustRightInd w:val="0"/>
              <w:snapToGrid w:val="0"/>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 w:type="pct"/>
            <w:shd w:val="clear" w:color="000000" w:fill="FFFFFF"/>
            <w:noWrap/>
            <w:vAlign w:val="center"/>
          </w:tcPr>
          <w:p>
            <w:pPr>
              <w:adjustRightInd w:val="0"/>
              <w:snapToGrid w:val="0"/>
              <w:rPr>
                <w:color w:val="auto"/>
              </w:rPr>
            </w:pPr>
            <w:r>
              <w:rPr>
                <w:color w:val="auto"/>
              </w:rPr>
              <w:t>1</w:t>
            </w:r>
          </w:p>
        </w:tc>
        <w:tc>
          <w:tcPr>
            <w:tcW w:w="394" w:type="pct"/>
            <w:shd w:val="clear" w:color="000000" w:fill="FFFFFF"/>
            <w:noWrap/>
            <w:vAlign w:val="center"/>
          </w:tcPr>
          <w:p>
            <w:pPr>
              <w:adjustRightInd w:val="0"/>
              <w:snapToGrid w:val="0"/>
              <w:rPr>
                <w:color w:val="auto"/>
              </w:rPr>
            </w:pPr>
            <w:r>
              <w:rPr>
                <w:color w:val="auto"/>
              </w:rPr>
              <w:t>高清分体终端</w:t>
            </w:r>
          </w:p>
        </w:tc>
        <w:tc>
          <w:tcPr>
            <w:tcW w:w="3839" w:type="pct"/>
            <w:shd w:val="clear" w:color="000000" w:fill="FFFFFF"/>
            <w:noWrap w:val="0"/>
            <w:vAlign w:val="center"/>
          </w:tcPr>
          <w:p>
            <w:pPr>
              <w:adjustRightInd w:val="0"/>
              <w:snapToGrid w:val="0"/>
              <w:rPr>
                <w:rFonts w:hint="eastAsia" w:eastAsia="宋体"/>
                <w:color w:val="auto"/>
                <w:lang w:eastAsia="zh-CN"/>
              </w:rPr>
            </w:pPr>
            <w:r>
              <w:rPr>
                <w:rFonts w:hint="eastAsia"/>
                <w:color w:val="auto"/>
              </w:rPr>
              <w:t>1、</w:t>
            </w:r>
            <w:r>
              <w:rPr>
                <w:color w:val="auto"/>
              </w:rPr>
              <w:t>支持接入云视频综合服务平台；采用嵌入式操作系统、非PC架构，产品稳定可靠，支持7×24小时开机运行；配置</w:t>
            </w:r>
            <w:r>
              <w:rPr>
                <w:rFonts w:hint="eastAsia"/>
                <w:color w:val="auto"/>
              </w:rPr>
              <w:t>≥</w:t>
            </w:r>
            <w:r>
              <w:rPr>
                <w:color w:val="auto"/>
              </w:rPr>
              <w:t>6个高清视频输入接口（包含网络输入接口及HDMI接口）</w:t>
            </w:r>
            <w:r>
              <w:rPr>
                <w:rFonts w:hint="eastAsia"/>
                <w:color w:val="auto"/>
              </w:rPr>
              <w:t>，≥</w:t>
            </w:r>
            <w:r>
              <w:rPr>
                <w:color w:val="auto"/>
              </w:rPr>
              <w:t>2个高清视频输出接口，</w:t>
            </w:r>
            <w:r>
              <w:rPr>
                <w:rFonts w:hint="eastAsia"/>
                <w:color w:val="auto"/>
              </w:rPr>
              <w:t>≥</w:t>
            </w:r>
            <w:r>
              <w:rPr>
                <w:color w:val="auto"/>
              </w:rPr>
              <w:t>2个XLR输入接口，</w:t>
            </w:r>
            <w:r>
              <w:rPr>
                <w:rFonts w:hint="eastAsia"/>
                <w:color w:val="auto"/>
              </w:rPr>
              <w:t>≥</w:t>
            </w:r>
            <w:r>
              <w:rPr>
                <w:color w:val="auto"/>
              </w:rPr>
              <w:t>1个RCA输入接口,</w:t>
            </w:r>
            <w:r>
              <w:rPr>
                <w:rFonts w:hint="eastAsia"/>
                <w:color w:val="auto"/>
              </w:rPr>
              <w:t xml:space="preserve"> ≥</w:t>
            </w:r>
            <w:r>
              <w:rPr>
                <w:color w:val="auto"/>
              </w:rPr>
              <w:t>1个RCA输出接口（提供设备背板接口）；支持RJ45高清视频输入接口，一根网线即可实现为摄像机供电、视频传输、控制信号传输，传输距离</w:t>
            </w:r>
            <w:r>
              <w:rPr>
                <w:rFonts w:hint="eastAsia"/>
                <w:color w:val="auto"/>
              </w:rPr>
              <w:t>≥</w:t>
            </w:r>
            <w:r>
              <w:rPr>
                <w:color w:val="auto"/>
              </w:rPr>
              <w:t>100米，简化布线的同时方便与会议室其他视频系统集成。视频编码：支持H.264 SVC、H.265编码技术，能够适应不同线路带宽、不同设备能力、不同网络环境的组网需求；支持宽频高保真语音技术，支持OPUS、G.711、G.722音频编解码协议；</w:t>
            </w:r>
            <w:r>
              <w:rPr>
                <w:color w:val="auto"/>
              </w:rPr>
              <w:br w:type="textWrapping"/>
            </w:r>
            <w:r>
              <w:rPr>
                <w:color w:val="auto"/>
              </w:rPr>
              <w:t>▲2</w:t>
            </w:r>
            <w:r>
              <w:rPr>
                <w:rFonts w:hint="eastAsia"/>
                <w:color w:val="auto"/>
              </w:rPr>
              <w:t>、</w:t>
            </w:r>
            <w:r>
              <w:rPr>
                <w:color w:val="auto"/>
              </w:rPr>
              <w:t>支持并配置4K、1080P60fps、720P60fps、720P30fps、360P30fps、180P30fps分辨率接入；（须提供第三方检测机构出具的检测报告）</w:t>
            </w:r>
            <w:r>
              <w:rPr>
                <w:color w:val="auto"/>
              </w:rPr>
              <w:br w:type="textWrapping"/>
            </w:r>
            <w:r>
              <w:rPr>
                <w:color w:val="auto"/>
              </w:rPr>
              <w:t>3</w:t>
            </w:r>
            <w:r>
              <w:rPr>
                <w:rFonts w:hint="eastAsia"/>
                <w:color w:val="auto"/>
              </w:rPr>
              <w:t>、</w:t>
            </w:r>
            <w:r>
              <w:rPr>
                <w:color w:val="auto"/>
              </w:rPr>
              <w:t>支持语音优化：回声消除、自动降噪、自动增益控制、自动增强、突出人声，支持唇音同步技术；支持用遥控器选择通信录的会议室加入会议</w:t>
            </w:r>
            <w:r>
              <w:rPr>
                <w:rFonts w:hint="eastAsia"/>
                <w:color w:val="auto"/>
              </w:rPr>
              <w:t>；</w:t>
            </w:r>
            <w:r>
              <w:rPr>
                <w:color w:val="auto"/>
              </w:rPr>
              <w:t>支持日程管理，预约会议后在日程中可进行查看，选择对应日程的内容即可加入会议；支持终端开机画面及首页logo的更改；支持通过终端遥控器对显示的画面进行翻页，实现终端查看全部会场的画面；支持通过遥控器选择视频终端菜单即可建立直播；配置无线传屏器，插入电脑USB接口即可实现电脑数据和音频通过无线方式发送到视频终端，实现多方视频会议的数据共享</w:t>
            </w:r>
            <w:r>
              <w:rPr>
                <w:rFonts w:hint="eastAsia"/>
                <w:color w:val="auto"/>
                <w:lang w:eastAsia="zh-CN"/>
              </w:rPr>
              <w:t>。</w:t>
            </w:r>
          </w:p>
        </w:tc>
        <w:tc>
          <w:tcPr>
            <w:tcW w:w="188" w:type="pct"/>
            <w:shd w:val="clear" w:color="000000" w:fill="FFFFFF"/>
            <w:noWrap/>
            <w:vAlign w:val="center"/>
          </w:tcPr>
          <w:p>
            <w:pPr>
              <w:adjustRightInd w:val="0"/>
              <w:snapToGrid w:val="0"/>
              <w:rPr>
                <w:color w:val="auto"/>
              </w:rPr>
            </w:pPr>
            <w:r>
              <w:rPr>
                <w:color w:val="auto"/>
              </w:rPr>
              <w:t>1</w:t>
            </w:r>
          </w:p>
        </w:tc>
        <w:tc>
          <w:tcPr>
            <w:tcW w:w="186" w:type="pct"/>
            <w:shd w:val="clear" w:color="000000" w:fill="FFFFFF"/>
            <w:noWrap/>
            <w:vAlign w:val="center"/>
          </w:tcPr>
          <w:p>
            <w:pPr>
              <w:adjustRightInd w:val="0"/>
              <w:snapToGrid w:val="0"/>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 w:type="pct"/>
            <w:shd w:val="clear" w:color="000000" w:fill="FFFFFF"/>
            <w:noWrap/>
            <w:vAlign w:val="center"/>
          </w:tcPr>
          <w:p>
            <w:pPr>
              <w:adjustRightInd w:val="0"/>
              <w:snapToGrid w:val="0"/>
              <w:rPr>
                <w:color w:val="auto"/>
              </w:rPr>
            </w:pPr>
            <w:r>
              <w:rPr>
                <w:color w:val="auto"/>
              </w:rPr>
              <w:t>2</w:t>
            </w:r>
          </w:p>
        </w:tc>
        <w:tc>
          <w:tcPr>
            <w:tcW w:w="394" w:type="pct"/>
            <w:shd w:val="clear" w:color="000000" w:fill="FFFFFF"/>
            <w:noWrap w:val="0"/>
            <w:vAlign w:val="center"/>
          </w:tcPr>
          <w:p>
            <w:pPr>
              <w:adjustRightInd w:val="0"/>
              <w:snapToGrid w:val="0"/>
              <w:rPr>
                <w:color w:val="auto"/>
              </w:rPr>
            </w:pPr>
            <w:r>
              <w:rPr>
                <w:color w:val="auto"/>
              </w:rPr>
              <w:t>4K高清摄像机（12X）</w:t>
            </w:r>
          </w:p>
        </w:tc>
        <w:tc>
          <w:tcPr>
            <w:tcW w:w="3839" w:type="pct"/>
            <w:shd w:val="clear" w:color="000000" w:fill="FFFFFF"/>
            <w:noWrap w:val="0"/>
            <w:vAlign w:val="center"/>
          </w:tcPr>
          <w:p>
            <w:pPr>
              <w:adjustRightInd w:val="0"/>
              <w:snapToGrid w:val="0"/>
              <w:rPr>
                <w:rFonts w:hint="eastAsia" w:eastAsia="宋体"/>
                <w:color w:val="auto"/>
                <w:lang w:eastAsia="zh-CN"/>
              </w:rPr>
            </w:pPr>
            <w:r>
              <w:rPr>
                <w:color w:val="auto"/>
              </w:rPr>
              <w:t>1</w:t>
            </w:r>
            <w:r>
              <w:rPr>
                <w:rFonts w:hint="eastAsia"/>
                <w:color w:val="auto"/>
              </w:rPr>
              <w:t>、</w:t>
            </w:r>
            <w:r>
              <w:rPr>
                <w:color w:val="auto"/>
              </w:rPr>
              <w:t>PTZ高清云台摄像头；</w:t>
            </w:r>
            <w:r>
              <w:rPr>
                <w:rFonts w:hint="eastAsia"/>
                <w:color w:val="auto"/>
              </w:rPr>
              <w:t>应</w:t>
            </w:r>
            <w:r>
              <w:rPr>
                <w:color w:val="auto"/>
              </w:rPr>
              <w:t>采用HDCMOS传感器，</w:t>
            </w:r>
            <w:r>
              <w:rPr>
                <w:rFonts w:hint="eastAsia"/>
                <w:color w:val="auto"/>
              </w:rPr>
              <w:t>≥</w:t>
            </w:r>
            <w:r>
              <w:rPr>
                <w:color w:val="auto"/>
              </w:rPr>
              <w:t>800万有效像素。支持4K/30</w:t>
            </w:r>
            <w:r>
              <w:rPr>
                <w:rFonts w:hint="eastAsia"/>
                <w:color w:val="auto"/>
              </w:rPr>
              <w:t>、</w:t>
            </w:r>
            <w:r>
              <w:rPr>
                <w:color w:val="auto"/>
              </w:rPr>
              <w:t>1080p/60</w:t>
            </w:r>
            <w:r>
              <w:rPr>
                <w:rFonts w:hint="eastAsia"/>
                <w:color w:val="auto"/>
              </w:rPr>
              <w:t>、</w:t>
            </w:r>
            <w:r>
              <w:rPr>
                <w:color w:val="auto"/>
              </w:rPr>
              <w:t xml:space="preserve"> 1080p/30</w:t>
            </w:r>
            <w:r>
              <w:rPr>
                <w:rFonts w:hint="eastAsia"/>
                <w:color w:val="auto"/>
              </w:rPr>
              <w:t>、</w:t>
            </w:r>
            <w:r>
              <w:rPr>
                <w:color w:val="auto"/>
              </w:rPr>
              <w:t xml:space="preserve"> 720p/60</w:t>
            </w:r>
            <w:r>
              <w:rPr>
                <w:rFonts w:hint="eastAsia"/>
                <w:color w:val="auto"/>
              </w:rPr>
              <w:t>、</w:t>
            </w:r>
            <w:r>
              <w:rPr>
                <w:color w:val="auto"/>
              </w:rPr>
              <w:t>720p/30活动图像采集和输出；配置摄像机支持至少12倍光学变焦，水平视角不小于72°；水平转动范围±170°，垂直转动范围±30°；支持倒装；摄像机支持RJ45、HDMI、SDI高清视频输出接口；支持视频、控制和电源共用一根RJ45 网线与终端完成连接部署</w:t>
            </w:r>
            <w:r>
              <w:rPr>
                <w:rFonts w:hint="eastAsia"/>
                <w:color w:val="auto"/>
                <w:lang w:eastAsia="zh-CN"/>
              </w:rPr>
              <w:t>。</w:t>
            </w:r>
          </w:p>
        </w:tc>
        <w:tc>
          <w:tcPr>
            <w:tcW w:w="188" w:type="pct"/>
            <w:shd w:val="clear" w:color="000000" w:fill="FFFFFF"/>
            <w:noWrap/>
            <w:vAlign w:val="center"/>
          </w:tcPr>
          <w:p>
            <w:pPr>
              <w:adjustRightInd w:val="0"/>
              <w:snapToGrid w:val="0"/>
              <w:rPr>
                <w:color w:val="auto"/>
              </w:rPr>
            </w:pPr>
            <w:r>
              <w:rPr>
                <w:color w:val="auto"/>
              </w:rPr>
              <w:t>3</w:t>
            </w:r>
          </w:p>
        </w:tc>
        <w:tc>
          <w:tcPr>
            <w:tcW w:w="186" w:type="pct"/>
            <w:shd w:val="clear" w:color="000000" w:fill="FFFFFF"/>
            <w:noWrap/>
            <w:vAlign w:val="center"/>
          </w:tcPr>
          <w:p>
            <w:pPr>
              <w:adjustRightInd w:val="0"/>
              <w:snapToGrid w:val="0"/>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 w:type="pct"/>
            <w:shd w:val="clear" w:color="000000" w:fill="FFFFFF"/>
            <w:noWrap/>
            <w:vAlign w:val="center"/>
          </w:tcPr>
          <w:p>
            <w:pPr>
              <w:adjustRightInd w:val="0"/>
              <w:snapToGrid w:val="0"/>
              <w:rPr>
                <w:color w:val="auto"/>
              </w:rPr>
            </w:pPr>
            <w:r>
              <w:rPr>
                <w:color w:val="auto"/>
              </w:rPr>
              <w:t>3</w:t>
            </w:r>
          </w:p>
        </w:tc>
        <w:tc>
          <w:tcPr>
            <w:tcW w:w="394" w:type="pct"/>
            <w:shd w:val="clear" w:color="000000" w:fill="FFFFFF"/>
            <w:noWrap/>
            <w:vAlign w:val="center"/>
          </w:tcPr>
          <w:p>
            <w:pPr>
              <w:adjustRightInd w:val="0"/>
              <w:snapToGrid w:val="0"/>
              <w:rPr>
                <w:color w:val="auto"/>
              </w:rPr>
            </w:pPr>
            <w:r>
              <w:rPr>
                <w:color w:val="auto"/>
              </w:rPr>
              <w:t>数字全向麦克风</w:t>
            </w:r>
          </w:p>
        </w:tc>
        <w:tc>
          <w:tcPr>
            <w:tcW w:w="3839" w:type="pct"/>
            <w:shd w:val="clear" w:color="000000" w:fill="FFFFFF"/>
            <w:noWrap w:val="0"/>
            <w:vAlign w:val="center"/>
          </w:tcPr>
          <w:p>
            <w:pPr>
              <w:adjustRightInd w:val="0"/>
              <w:snapToGrid w:val="0"/>
              <w:rPr>
                <w:color w:val="auto"/>
              </w:rPr>
            </w:pPr>
            <w:r>
              <w:rPr>
                <w:rFonts w:hint="eastAsia"/>
                <w:color w:val="auto"/>
              </w:rPr>
              <w:t>应</w:t>
            </w:r>
            <w:r>
              <w:rPr>
                <w:color w:val="auto"/>
              </w:rPr>
              <w:t>支持360°全向拾音，高保真智能降噪，</w:t>
            </w:r>
            <w:r>
              <w:rPr>
                <w:rFonts w:hint="eastAsia"/>
                <w:color w:val="auto"/>
              </w:rPr>
              <w:t>≥</w:t>
            </w:r>
            <w:r>
              <w:rPr>
                <w:color w:val="auto"/>
              </w:rPr>
              <w:t>8米有效拾音距离。</w:t>
            </w:r>
          </w:p>
        </w:tc>
        <w:tc>
          <w:tcPr>
            <w:tcW w:w="188" w:type="pct"/>
            <w:shd w:val="clear" w:color="000000" w:fill="FFFFFF"/>
            <w:noWrap/>
            <w:vAlign w:val="center"/>
          </w:tcPr>
          <w:p>
            <w:pPr>
              <w:adjustRightInd w:val="0"/>
              <w:snapToGrid w:val="0"/>
              <w:rPr>
                <w:color w:val="auto"/>
              </w:rPr>
            </w:pPr>
            <w:r>
              <w:rPr>
                <w:color w:val="auto"/>
              </w:rPr>
              <w:t>2</w:t>
            </w:r>
          </w:p>
        </w:tc>
        <w:tc>
          <w:tcPr>
            <w:tcW w:w="186" w:type="pct"/>
            <w:shd w:val="clear" w:color="000000" w:fill="FFFFFF"/>
            <w:noWrap/>
            <w:vAlign w:val="center"/>
          </w:tcPr>
          <w:p>
            <w:pPr>
              <w:adjustRightInd w:val="0"/>
              <w:snapToGrid w:val="0"/>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 w:type="pct"/>
            <w:shd w:val="clear" w:color="000000" w:fill="FFFFFF"/>
            <w:noWrap/>
            <w:vAlign w:val="center"/>
          </w:tcPr>
          <w:p>
            <w:pPr>
              <w:adjustRightInd w:val="0"/>
              <w:snapToGrid w:val="0"/>
              <w:rPr>
                <w:color w:val="auto"/>
              </w:rPr>
            </w:pPr>
            <w:r>
              <w:rPr>
                <w:color w:val="auto"/>
              </w:rPr>
              <w:t>4</w:t>
            </w:r>
          </w:p>
        </w:tc>
        <w:tc>
          <w:tcPr>
            <w:tcW w:w="394" w:type="pct"/>
            <w:shd w:val="clear" w:color="000000" w:fill="FFFFFF"/>
            <w:noWrap/>
            <w:vAlign w:val="center"/>
          </w:tcPr>
          <w:p>
            <w:pPr>
              <w:adjustRightInd w:val="0"/>
              <w:snapToGrid w:val="0"/>
              <w:rPr>
                <w:color w:val="auto"/>
              </w:rPr>
            </w:pPr>
            <w:r>
              <w:rPr>
                <w:color w:val="auto"/>
              </w:rPr>
              <w:t>网传</w:t>
            </w:r>
          </w:p>
        </w:tc>
        <w:tc>
          <w:tcPr>
            <w:tcW w:w="3839" w:type="pct"/>
            <w:shd w:val="clear" w:color="000000" w:fill="FFFFFF"/>
            <w:noWrap w:val="0"/>
            <w:vAlign w:val="center"/>
          </w:tcPr>
          <w:p>
            <w:pPr>
              <w:adjustRightInd w:val="0"/>
              <w:snapToGrid w:val="0"/>
              <w:rPr>
                <w:rFonts w:hint="eastAsia" w:eastAsia="宋体"/>
                <w:color w:val="auto"/>
                <w:lang w:eastAsia="zh-CN"/>
              </w:rPr>
            </w:pPr>
            <w:r>
              <w:rPr>
                <w:color w:val="auto"/>
              </w:rPr>
              <w:t>高清无压缩视频信号分辨率最高可达到1920*1200@60Hz；支持外接一路正向模拟立体声音频信号传输；支持串口数据双向传输，自适应波特率；兼容HDMI 1.0标准；符合HDCP 1.2标准 – 高带宽数字内容保护技术；能够自动识别和配置各种显示模式；内置自动均衡系统，画面流畅，清晰，稳定；内置ESD静电保护电路，全方位保护系统安全；安装简单方便，即插即用，无需设置</w:t>
            </w:r>
            <w:r>
              <w:rPr>
                <w:rFonts w:hint="eastAsia"/>
                <w:color w:val="auto"/>
                <w:lang w:eastAsia="zh-CN"/>
              </w:rPr>
              <w:t>。</w:t>
            </w:r>
          </w:p>
        </w:tc>
        <w:tc>
          <w:tcPr>
            <w:tcW w:w="188" w:type="pct"/>
            <w:shd w:val="clear" w:color="000000" w:fill="FFFFFF"/>
            <w:noWrap/>
            <w:vAlign w:val="center"/>
          </w:tcPr>
          <w:p>
            <w:pPr>
              <w:adjustRightInd w:val="0"/>
              <w:snapToGrid w:val="0"/>
              <w:rPr>
                <w:color w:val="auto"/>
              </w:rPr>
            </w:pPr>
            <w:r>
              <w:rPr>
                <w:color w:val="auto"/>
              </w:rPr>
              <w:t>3</w:t>
            </w:r>
          </w:p>
        </w:tc>
        <w:tc>
          <w:tcPr>
            <w:tcW w:w="186" w:type="pct"/>
            <w:shd w:val="clear" w:color="000000" w:fill="FFFFFF"/>
            <w:noWrap/>
            <w:vAlign w:val="center"/>
          </w:tcPr>
          <w:p>
            <w:pPr>
              <w:adjustRightInd w:val="0"/>
              <w:snapToGrid w:val="0"/>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 w:type="pct"/>
            <w:shd w:val="clear" w:color="000000" w:fill="FFFFFF"/>
            <w:noWrap/>
            <w:vAlign w:val="center"/>
          </w:tcPr>
          <w:p>
            <w:pPr>
              <w:adjustRightInd w:val="0"/>
              <w:snapToGrid w:val="0"/>
              <w:rPr>
                <w:color w:val="auto"/>
              </w:rPr>
            </w:pPr>
            <w:r>
              <w:rPr>
                <w:color w:val="auto"/>
              </w:rPr>
              <w:t>5</w:t>
            </w:r>
          </w:p>
        </w:tc>
        <w:tc>
          <w:tcPr>
            <w:tcW w:w="394" w:type="pct"/>
            <w:shd w:val="clear" w:color="000000" w:fill="FFFFFF"/>
            <w:noWrap/>
            <w:vAlign w:val="center"/>
          </w:tcPr>
          <w:p>
            <w:pPr>
              <w:adjustRightInd w:val="0"/>
              <w:snapToGrid w:val="0"/>
              <w:rPr>
                <w:color w:val="auto"/>
              </w:rPr>
            </w:pPr>
            <w:r>
              <w:rPr>
                <w:color w:val="auto"/>
              </w:rPr>
              <w:t>辅材</w:t>
            </w:r>
          </w:p>
        </w:tc>
        <w:tc>
          <w:tcPr>
            <w:tcW w:w="3839" w:type="pct"/>
            <w:shd w:val="clear" w:color="000000" w:fill="FFFFFF"/>
            <w:noWrap w:val="0"/>
            <w:vAlign w:val="center"/>
          </w:tcPr>
          <w:p>
            <w:pPr>
              <w:adjustRightInd w:val="0"/>
              <w:snapToGrid w:val="0"/>
              <w:rPr>
                <w:rFonts w:hint="eastAsia" w:eastAsia="宋体"/>
                <w:color w:val="auto"/>
                <w:lang w:eastAsia="zh-CN"/>
              </w:rPr>
            </w:pPr>
            <w:r>
              <w:rPr>
                <w:color w:val="auto"/>
              </w:rPr>
              <w:t>含光纤线、高清线、电源线等</w:t>
            </w:r>
            <w:r>
              <w:rPr>
                <w:rFonts w:hint="eastAsia"/>
                <w:color w:val="auto"/>
                <w:lang w:eastAsia="zh-CN"/>
              </w:rPr>
              <w:t>。</w:t>
            </w:r>
          </w:p>
        </w:tc>
        <w:tc>
          <w:tcPr>
            <w:tcW w:w="188" w:type="pct"/>
            <w:shd w:val="clear" w:color="000000" w:fill="FFFFFF"/>
            <w:noWrap/>
            <w:vAlign w:val="center"/>
          </w:tcPr>
          <w:p>
            <w:pPr>
              <w:adjustRightInd w:val="0"/>
              <w:snapToGrid w:val="0"/>
              <w:rPr>
                <w:color w:val="auto"/>
              </w:rPr>
            </w:pPr>
            <w:r>
              <w:rPr>
                <w:color w:val="auto"/>
              </w:rPr>
              <w:t>1</w:t>
            </w:r>
          </w:p>
        </w:tc>
        <w:tc>
          <w:tcPr>
            <w:tcW w:w="186" w:type="pct"/>
            <w:shd w:val="clear" w:color="000000" w:fill="FFFFFF"/>
            <w:noWrap/>
            <w:vAlign w:val="center"/>
          </w:tcPr>
          <w:p>
            <w:pPr>
              <w:adjustRightInd w:val="0"/>
              <w:snapToGrid w:val="0"/>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shd w:val="clear" w:color="000000" w:fill="FFFFFF"/>
            <w:noWrap/>
            <w:vAlign w:val="center"/>
          </w:tcPr>
          <w:p>
            <w:pPr>
              <w:adjustRightInd w:val="0"/>
              <w:snapToGrid w:val="0"/>
              <w:rPr>
                <w:color w:val="auto"/>
              </w:rPr>
            </w:pPr>
            <w:r>
              <w:rPr>
                <w:color w:val="auto"/>
              </w:rPr>
              <w:t>二、视频会议中心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 w:type="pct"/>
            <w:shd w:val="clear" w:color="000000" w:fill="FFFFFF"/>
            <w:noWrap w:val="0"/>
            <w:vAlign w:val="center"/>
          </w:tcPr>
          <w:p>
            <w:pPr>
              <w:adjustRightInd w:val="0"/>
              <w:snapToGrid w:val="0"/>
              <w:rPr>
                <w:color w:val="auto"/>
              </w:rPr>
            </w:pPr>
            <w:r>
              <w:rPr>
                <w:color w:val="auto"/>
              </w:rPr>
              <w:t>1</w:t>
            </w:r>
          </w:p>
        </w:tc>
        <w:tc>
          <w:tcPr>
            <w:tcW w:w="394" w:type="pct"/>
            <w:shd w:val="clear" w:color="auto" w:fill="auto"/>
            <w:noWrap w:val="0"/>
            <w:vAlign w:val="center"/>
          </w:tcPr>
          <w:p>
            <w:pPr>
              <w:adjustRightInd w:val="0"/>
              <w:snapToGrid w:val="0"/>
              <w:rPr>
                <w:color w:val="auto"/>
              </w:rPr>
            </w:pPr>
            <w:r>
              <w:rPr>
                <w:color w:val="auto"/>
              </w:rPr>
              <w:t xml:space="preserve"> 高清分体终端 </w:t>
            </w:r>
          </w:p>
        </w:tc>
        <w:tc>
          <w:tcPr>
            <w:tcW w:w="3839" w:type="pct"/>
            <w:shd w:val="clear" w:color="000000" w:fill="FFFFFF"/>
            <w:noWrap w:val="0"/>
            <w:vAlign w:val="center"/>
          </w:tcPr>
          <w:p>
            <w:pPr>
              <w:adjustRightInd w:val="0"/>
              <w:snapToGrid w:val="0"/>
              <w:rPr>
                <w:rFonts w:hint="eastAsia" w:eastAsia="宋体"/>
                <w:color w:val="auto"/>
                <w:lang w:eastAsia="zh-CN"/>
              </w:rPr>
            </w:pPr>
            <w:r>
              <w:rPr>
                <w:color w:val="auto"/>
              </w:rPr>
              <w:t>支持接入云视频综合服务平台；采用嵌入式操作系统、非PC架构，产品稳定可靠，支持7×24小时开机运行；配置</w:t>
            </w:r>
            <w:r>
              <w:rPr>
                <w:rFonts w:hint="eastAsia"/>
                <w:color w:val="auto"/>
              </w:rPr>
              <w:t>≥</w:t>
            </w:r>
            <w:r>
              <w:rPr>
                <w:color w:val="auto"/>
              </w:rPr>
              <w:t>6个高清视频输入接口（包含网络输入接口及HDMI接口）</w:t>
            </w:r>
            <w:r>
              <w:rPr>
                <w:rFonts w:hint="eastAsia"/>
                <w:color w:val="auto"/>
              </w:rPr>
              <w:t>，≥</w:t>
            </w:r>
            <w:r>
              <w:rPr>
                <w:color w:val="auto"/>
              </w:rPr>
              <w:t>2个高清视频输出接口，</w:t>
            </w:r>
            <w:r>
              <w:rPr>
                <w:rFonts w:hint="eastAsia"/>
                <w:color w:val="auto"/>
              </w:rPr>
              <w:t>≥</w:t>
            </w:r>
            <w:r>
              <w:rPr>
                <w:color w:val="auto"/>
              </w:rPr>
              <w:t>2个XLR输入接口，</w:t>
            </w:r>
            <w:r>
              <w:rPr>
                <w:rFonts w:hint="eastAsia"/>
                <w:color w:val="auto"/>
              </w:rPr>
              <w:t>≥</w:t>
            </w:r>
            <w:r>
              <w:rPr>
                <w:color w:val="auto"/>
              </w:rPr>
              <w:t>1个RCA输入接口,</w:t>
            </w:r>
            <w:r>
              <w:rPr>
                <w:rFonts w:hint="eastAsia"/>
                <w:color w:val="auto"/>
              </w:rPr>
              <w:t xml:space="preserve"> ≥</w:t>
            </w:r>
            <w:r>
              <w:rPr>
                <w:color w:val="auto"/>
              </w:rPr>
              <w:t>1个RCA输出接口（提供设备背板接口）；支持RJ45高清视频输入接口，一根网线即可实现为摄像机供电、视频传输、控制信号传输，传输距离</w:t>
            </w:r>
            <w:r>
              <w:rPr>
                <w:rFonts w:hint="eastAsia"/>
                <w:color w:val="auto"/>
              </w:rPr>
              <w:t>≥</w:t>
            </w:r>
            <w:r>
              <w:rPr>
                <w:color w:val="auto"/>
              </w:rPr>
              <w:t>100米，简化布线的同时方便与会议室其他视频系统集成。视频编码：支持H.264 SVC、H.265编码技术，能够适应不同线路带宽、不同设备能力、不同网络环境的组网需求；支持宽频高保真语音技术，支持OPUS、G.711、G.722音频编解码协议；支持并配置4K、1080P60fps、720P60fps、720P30fps、360P30fps、180P30fps分辨率接入；支持语音优化：回声消除、自动降噪、自动增益控制、自动增强、突出人声，支持唇音同步技术；支持用遥控器选择通信录的会议室加入会议</w:t>
            </w:r>
            <w:r>
              <w:rPr>
                <w:rFonts w:hint="eastAsia"/>
                <w:color w:val="auto"/>
              </w:rPr>
              <w:t>；</w:t>
            </w:r>
            <w:r>
              <w:rPr>
                <w:color w:val="auto"/>
              </w:rPr>
              <w:t>支持日程管理，预约会议后在日程中可进行查看，选择对应日程的内容即可加入会议；支持终端开机画面及首页logo的更改；支持通过终端遥控器对显示的画面进行翻页，实现终端查看全部会场的画面；支持通过遥控器选择视频终端菜单即可建立直播；配置无线传屏器，插入电脑USB接口即可实现电脑数据和音频通过无线方式发送到视频终端，实现多方视频会议的数据共享</w:t>
            </w:r>
            <w:r>
              <w:rPr>
                <w:rFonts w:hint="eastAsia"/>
                <w:color w:val="auto"/>
                <w:lang w:eastAsia="zh-CN"/>
              </w:rPr>
              <w:t>。</w:t>
            </w:r>
          </w:p>
        </w:tc>
        <w:tc>
          <w:tcPr>
            <w:tcW w:w="188" w:type="pct"/>
            <w:shd w:val="clear" w:color="auto" w:fill="auto"/>
            <w:noWrap w:val="0"/>
            <w:vAlign w:val="center"/>
          </w:tcPr>
          <w:p>
            <w:pPr>
              <w:adjustRightInd w:val="0"/>
              <w:snapToGrid w:val="0"/>
              <w:rPr>
                <w:color w:val="auto"/>
              </w:rPr>
            </w:pPr>
            <w:r>
              <w:rPr>
                <w:color w:val="auto"/>
              </w:rPr>
              <w:t>1</w:t>
            </w:r>
          </w:p>
        </w:tc>
        <w:tc>
          <w:tcPr>
            <w:tcW w:w="186" w:type="pct"/>
            <w:shd w:val="clear" w:color="000000" w:fill="FFFFFF"/>
            <w:noWrap/>
            <w:vAlign w:val="center"/>
          </w:tcPr>
          <w:p>
            <w:pPr>
              <w:adjustRightInd w:val="0"/>
              <w:snapToGrid w:val="0"/>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 w:type="pct"/>
            <w:shd w:val="clear" w:color="000000" w:fill="FFFFFF"/>
            <w:noWrap w:val="0"/>
            <w:vAlign w:val="center"/>
          </w:tcPr>
          <w:p>
            <w:pPr>
              <w:adjustRightInd w:val="0"/>
              <w:snapToGrid w:val="0"/>
              <w:rPr>
                <w:color w:val="auto"/>
              </w:rPr>
            </w:pPr>
            <w:r>
              <w:rPr>
                <w:color w:val="auto"/>
              </w:rPr>
              <w:t>2</w:t>
            </w:r>
          </w:p>
        </w:tc>
        <w:tc>
          <w:tcPr>
            <w:tcW w:w="394" w:type="pct"/>
            <w:shd w:val="clear" w:color="000000" w:fill="FFFFFF"/>
            <w:noWrap w:val="0"/>
            <w:vAlign w:val="center"/>
          </w:tcPr>
          <w:p>
            <w:pPr>
              <w:adjustRightInd w:val="0"/>
              <w:snapToGrid w:val="0"/>
              <w:rPr>
                <w:color w:val="auto"/>
              </w:rPr>
            </w:pPr>
            <w:r>
              <w:rPr>
                <w:color w:val="auto"/>
              </w:rPr>
              <w:t>4K高清摄像机（12X）</w:t>
            </w:r>
          </w:p>
        </w:tc>
        <w:tc>
          <w:tcPr>
            <w:tcW w:w="3839" w:type="pct"/>
            <w:shd w:val="clear" w:color="000000" w:fill="FFFFFF"/>
            <w:noWrap w:val="0"/>
            <w:vAlign w:val="center"/>
          </w:tcPr>
          <w:p>
            <w:pPr>
              <w:adjustRightInd w:val="0"/>
              <w:snapToGrid w:val="0"/>
              <w:rPr>
                <w:rFonts w:hint="eastAsia" w:eastAsia="宋体"/>
                <w:color w:val="auto"/>
                <w:lang w:eastAsia="zh-CN"/>
              </w:rPr>
            </w:pPr>
            <w:r>
              <w:rPr>
                <w:color w:val="auto"/>
              </w:rPr>
              <w:t>PTZ高清云台摄像头；</w:t>
            </w:r>
            <w:r>
              <w:rPr>
                <w:rFonts w:hint="eastAsia"/>
                <w:color w:val="auto"/>
              </w:rPr>
              <w:t>应</w:t>
            </w:r>
            <w:r>
              <w:rPr>
                <w:color w:val="auto"/>
              </w:rPr>
              <w:t>采用HDCMOS传感器，</w:t>
            </w:r>
            <w:r>
              <w:rPr>
                <w:rFonts w:hint="eastAsia"/>
                <w:color w:val="auto"/>
              </w:rPr>
              <w:t>≥</w:t>
            </w:r>
            <w:r>
              <w:rPr>
                <w:color w:val="auto"/>
              </w:rPr>
              <w:t>800万有效像素。支持4K/30</w:t>
            </w:r>
            <w:r>
              <w:rPr>
                <w:rFonts w:hint="eastAsia"/>
                <w:color w:val="auto"/>
              </w:rPr>
              <w:t>、</w:t>
            </w:r>
            <w:r>
              <w:rPr>
                <w:color w:val="auto"/>
              </w:rPr>
              <w:t>1080p/60</w:t>
            </w:r>
            <w:r>
              <w:rPr>
                <w:rFonts w:hint="eastAsia"/>
                <w:color w:val="auto"/>
              </w:rPr>
              <w:t>、</w:t>
            </w:r>
            <w:r>
              <w:rPr>
                <w:color w:val="auto"/>
              </w:rPr>
              <w:t>1080p/30</w:t>
            </w:r>
            <w:r>
              <w:rPr>
                <w:rFonts w:hint="eastAsia"/>
                <w:color w:val="auto"/>
              </w:rPr>
              <w:t>、</w:t>
            </w:r>
            <w:r>
              <w:rPr>
                <w:color w:val="auto"/>
              </w:rPr>
              <w:t>720p/60</w:t>
            </w:r>
            <w:r>
              <w:rPr>
                <w:rFonts w:hint="eastAsia"/>
                <w:color w:val="auto"/>
              </w:rPr>
              <w:t>、</w:t>
            </w:r>
            <w:r>
              <w:rPr>
                <w:color w:val="auto"/>
              </w:rPr>
              <w:t>720p/30活动图像采集和输出；配置摄像机支持至少12倍光学变焦，水平视角不小于72°；水平转动范围±170°，垂直转动范围±30°；支持倒装；摄像机支持RJ45、HDMI、SDI高清视频输出接口，支持视频、控制和电源共用一根RJ45 网线与终端完成连接部署</w:t>
            </w:r>
            <w:r>
              <w:rPr>
                <w:rFonts w:hint="eastAsia"/>
                <w:color w:val="auto"/>
                <w:lang w:eastAsia="zh-CN"/>
              </w:rPr>
              <w:t>。</w:t>
            </w:r>
          </w:p>
        </w:tc>
        <w:tc>
          <w:tcPr>
            <w:tcW w:w="188" w:type="pct"/>
            <w:shd w:val="clear" w:color="auto" w:fill="auto"/>
            <w:noWrap w:val="0"/>
            <w:vAlign w:val="center"/>
          </w:tcPr>
          <w:p>
            <w:pPr>
              <w:adjustRightInd w:val="0"/>
              <w:snapToGrid w:val="0"/>
              <w:rPr>
                <w:color w:val="auto"/>
              </w:rPr>
            </w:pPr>
            <w:r>
              <w:rPr>
                <w:color w:val="auto"/>
              </w:rPr>
              <w:t>3</w:t>
            </w:r>
          </w:p>
        </w:tc>
        <w:tc>
          <w:tcPr>
            <w:tcW w:w="186" w:type="pct"/>
            <w:shd w:val="clear" w:color="000000" w:fill="FFFFFF"/>
            <w:noWrap/>
            <w:vAlign w:val="center"/>
          </w:tcPr>
          <w:p>
            <w:pPr>
              <w:adjustRightInd w:val="0"/>
              <w:snapToGrid w:val="0"/>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 w:type="pct"/>
            <w:shd w:val="clear" w:color="000000" w:fill="FFFFFF"/>
            <w:noWrap w:val="0"/>
            <w:vAlign w:val="center"/>
          </w:tcPr>
          <w:p>
            <w:pPr>
              <w:adjustRightInd w:val="0"/>
              <w:snapToGrid w:val="0"/>
              <w:rPr>
                <w:color w:val="auto"/>
              </w:rPr>
            </w:pPr>
            <w:r>
              <w:rPr>
                <w:color w:val="auto"/>
              </w:rPr>
              <w:t>3</w:t>
            </w:r>
          </w:p>
        </w:tc>
        <w:tc>
          <w:tcPr>
            <w:tcW w:w="394" w:type="pct"/>
            <w:shd w:val="clear" w:color="auto" w:fill="auto"/>
            <w:noWrap w:val="0"/>
            <w:vAlign w:val="center"/>
          </w:tcPr>
          <w:p>
            <w:pPr>
              <w:adjustRightInd w:val="0"/>
              <w:snapToGrid w:val="0"/>
              <w:rPr>
                <w:color w:val="auto"/>
              </w:rPr>
            </w:pPr>
            <w:r>
              <w:rPr>
                <w:color w:val="auto"/>
              </w:rPr>
              <w:t xml:space="preserve"> 数字全向麦克风 </w:t>
            </w:r>
          </w:p>
        </w:tc>
        <w:tc>
          <w:tcPr>
            <w:tcW w:w="3839" w:type="pct"/>
            <w:shd w:val="clear" w:color="000000" w:fill="FFFFFF"/>
            <w:noWrap w:val="0"/>
            <w:vAlign w:val="center"/>
          </w:tcPr>
          <w:p>
            <w:pPr>
              <w:adjustRightInd w:val="0"/>
              <w:snapToGrid w:val="0"/>
              <w:rPr>
                <w:color w:val="auto"/>
              </w:rPr>
            </w:pPr>
            <w:r>
              <w:rPr>
                <w:rFonts w:hint="eastAsia"/>
                <w:color w:val="auto"/>
              </w:rPr>
              <w:t>应</w:t>
            </w:r>
            <w:r>
              <w:rPr>
                <w:color w:val="auto"/>
              </w:rPr>
              <w:t>支持360°全向拾音，高保真智能降噪，</w:t>
            </w:r>
            <w:r>
              <w:rPr>
                <w:rFonts w:hint="eastAsia"/>
                <w:color w:val="auto"/>
              </w:rPr>
              <w:t>≥</w:t>
            </w:r>
            <w:r>
              <w:rPr>
                <w:color w:val="auto"/>
              </w:rPr>
              <w:t>8米有效拾音距离。</w:t>
            </w:r>
          </w:p>
        </w:tc>
        <w:tc>
          <w:tcPr>
            <w:tcW w:w="188" w:type="pct"/>
            <w:shd w:val="clear" w:color="auto" w:fill="auto"/>
            <w:noWrap w:val="0"/>
            <w:vAlign w:val="center"/>
          </w:tcPr>
          <w:p>
            <w:pPr>
              <w:adjustRightInd w:val="0"/>
              <w:snapToGrid w:val="0"/>
              <w:rPr>
                <w:color w:val="auto"/>
              </w:rPr>
            </w:pPr>
            <w:r>
              <w:rPr>
                <w:color w:val="auto"/>
              </w:rPr>
              <w:t>2</w:t>
            </w:r>
          </w:p>
        </w:tc>
        <w:tc>
          <w:tcPr>
            <w:tcW w:w="186" w:type="pct"/>
            <w:shd w:val="clear" w:color="000000" w:fill="FFFFFF"/>
            <w:noWrap/>
            <w:vAlign w:val="center"/>
          </w:tcPr>
          <w:p>
            <w:pPr>
              <w:adjustRightInd w:val="0"/>
              <w:snapToGrid w:val="0"/>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 w:type="pct"/>
            <w:shd w:val="clear" w:color="000000" w:fill="FFFFFF"/>
            <w:noWrap w:val="0"/>
            <w:vAlign w:val="center"/>
          </w:tcPr>
          <w:p>
            <w:pPr>
              <w:adjustRightInd w:val="0"/>
              <w:snapToGrid w:val="0"/>
              <w:rPr>
                <w:color w:val="auto"/>
              </w:rPr>
            </w:pPr>
            <w:r>
              <w:rPr>
                <w:color w:val="auto"/>
              </w:rPr>
              <w:t>4</w:t>
            </w:r>
          </w:p>
        </w:tc>
        <w:tc>
          <w:tcPr>
            <w:tcW w:w="394" w:type="pct"/>
            <w:shd w:val="clear" w:color="auto" w:fill="auto"/>
            <w:noWrap w:val="0"/>
            <w:vAlign w:val="center"/>
          </w:tcPr>
          <w:p>
            <w:pPr>
              <w:adjustRightInd w:val="0"/>
              <w:snapToGrid w:val="0"/>
              <w:rPr>
                <w:color w:val="auto"/>
              </w:rPr>
            </w:pPr>
            <w:r>
              <w:rPr>
                <w:color w:val="auto"/>
              </w:rPr>
              <w:t>网传</w:t>
            </w:r>
          </w:p>
        </w:tc>
        <w:tc>
          <w:tcPr>
            <w:tcW w:w="3839" w:type="pct"/>
            <w:shd w:val="clear" w:color="000000" w:fill="FFFFFF"/>
            <w:noWrap w:val="0"/>
            <w:vAlign w:val="center"/>
          </w:tcPr>
          <w:p>
            <w:pPr>
              <w:adjustRightInd w:val="0"/>
              <w:snapToGrid w:val="0"/>
              <w:rPr>
                <w:rFonts w:hint="eastAsia" w:eastAsia="宋体"/>
                <w:color w:val="auto"/>
                <w:lang w:eastAsia="zh-CN"/>
              </w:rPr>
            </w:pPr>
            <w:r>
              <w:rPr>
                <w:color w:val="auto"/>
              </w:rPr>
              <w:t>高清无压缩视频信号分辨率最高可达到1920*1200@60Hz；支持外接一路正向模拟立体声音频信号传输；支持串口数据双向传输，自适应波特率；兼容HDMI 1.0标准；符合HDCP 1.2标准 – 高带宽数字内容保护技术；能够自动识别和配置各种显示模式；内置自动均衡系统，画面流畅，清晰，稳定；内置ESD静电保护电路，全方位保护系统安全；安装简单方便，即插即用，无需设置</w:t>
            </w:r>
            <w:r>
              <w:rPr>
                <w:rFonts w:hint="eastAsia"/>
                <w:color w:val="auto"/>
                <w:lang w:eastAsia="zh-CN"/>
              </w:rPr>
              <w:t>。</w:t>
            </w:r>
          </w:p>
        </w:tc>
        <w:tc>
          <w:tcPr>
            <w:tcW w:w="188" w:type="pct"/>
            <w:shd w:val="clear" w:color="auto" w:fill="auto"/>
            <w:noWrap w:val="0"/>
            <w:vAlign w:val="center"/>
          </w:tcPr>
          <w:p>
            <w:pPr>
              <w:adjustRightInd w:val="0"/>
              <w:snapToGrid w:val="0"/>
              <w:rPr>
                <w:color w:val="auto"/>
              </w:rPr>
            </w:pPr>
            <w:r>
              <w:rPr>
                <w:color w:val="auto"/>
              </w:rPr>
              <w:t>3</w:t>
            </w:r>
          </w:p>
        </w:tc>
        <w:tc>
          <w:tcPr>
            <w:tcW w:w="186" w:type="pct"/>
            <w:shd w:val="clear" w:color="000000" w:fill="FFFFFF"/>
            <w:noWrap/>
            <w:vAlign w:val="center"/>
          </w:tcPr>
          <w:p>
            <w:pPr>
              <w:adjustRightInd w:val="0"/>
              <w:snapToGrid w:val="0"/>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0" w:type="pct"/>
            <w:shd w:val="clear" w:color="auto" w:fill="auto"/>
            <w:noWrap/>
            <w:vAlign w:val="center"/>
          </w:tcPr>
          <w:p>
            <w:pPr>
              <w:adjustRightInd w:val="0"/>
              <w:snapToGrid w:val="0"/>
              <w:rPr>
                <w:color w:val="auto"/>
              </w:rPr>
            </w:pPr>
            <w:r>
              <w:rPr>
                <w:color w:val="auto"/>
              </w:rPr>
              <w:drawing>
                <wp:anchor distT="0" distB="0" distL="114300" distR="114300" simplePos="0" relativeHeight="251823104" behindDoc="0" locked="0" layoutInCell="1" allowOverlap="1">
                  <wp:simplePos x="0" y="0"/>
                  <wp:positionH relativeFrom="column">
                    <wp:posOffset>0</wp:posOffset>
                  </wp:positionH>
                  <wp:positionV relativeFrom="paragraph">
                    <wp:posOffset>165100</wp:posOffset>
                  </wp:positionV>
                  <wp:extent cx="88900" cy="889000"/>
                  <wp:effectExtent l="0" t="0" r="0" b="0"/>
                  <wp:wrapNone/>
                  <wp:docPr id="116" name="Text Box 38"/>
                  <wp:cNvGraphicFramePr/>
                  <a:graphic xmlns:a="http://schemas.openxmlformats.org/drawingml/2006/main">
                    <a:graphicData uri="http://schemas.openxmlformats.org/drawingml/2006/picture">
                      <pic:pic xmlns:pic="http://schemas.openxmlformats.org/drawingml/2006/picture">
                        <pic:nvPicPr>
                          <pic:cNvPr id="116" name="Text Box 38"/>
                          <pic:cNvPicPr/>
                        </pic:nvPicPr>
                        <pic:blipFill>
                          <a:blip r:embed="rId9"/>
                          <a:stretch>
                            <a:fillRect/>
                          </a:stretch>
                        </pic:blipFill>
                        <pic:spPr>
                          <a:xfrm>
                            <a:off x="0" y="0"/>
                            <a:ext cx="88900" cy="889000"/>
                          </a:xfrm>
                          <a:prstGeom prst="rect">
                            <a:avLst/>
                          </a:prstGeom>
                          <a:noFill/>
                          <a:ln>
                            <a:noFill/>
                          </a:ln>
                        </pic:spPr>
                      </pic:pic>
                    </a:graphicData>
                  </a:graphic>
                </wp:anchor>
              </w:drawing>
            </w:r>
            <w:r>
              <w:rPr>
                <w:color w:val="auto"/>
              </w:rPr>
              <w:drawing>
                <wp:anchor distT="0" distB="0" distL="114300" distR="114300" simplePos="0" relativeHeight="251822080" behindDoc="0" locked="0" layoutInCell="1" allowOverlap="1">
                  <wp:simplePos x="0" y="0"/>
                  <wp:positionH relativeFrom="column">
                    <wp:posOffset>0</wp:posOffset>
                  </wp:positionH>
                  <wp:positionV relativeFrom="paragraph">
                    <wp:posOffset>165100</wp:posOffset>
                  </wp:positionV>
                  <wp:extent cx="88900" cy="952500"/>
                  <wp:effectExtent l="0" t="0" r="0" b="0"/>
                  <wp:wrapNone/>
                  <wp:docPr id="109" name="图片 356"/>
                  <wp:cNvGraphicFramePr/>
                  <a:graphic xmlns:a="http://schemas.openxmlformats.org/drawingml/2006/main">
                    <a:graphicData uri="http://schemas.openxmlformats.org/drawingml/2006/picture">
                      <pic:pic xmlns:pic="http://schemas.openxmlformats.org/drawingml/2006/picture">
                        <pic:nvPicPr>
                          <pic:cNvPr id="109" name="图片 356"/>
                          <pic:cNvPicPr/>
                        </pic:nvPicPr>
                        <pic:blipFill>
                          <a:blip r:embed="rId10"/>
                          <a:stretch>
                            <a:fillRect/>
                          </a:stretch>
                        </pic:blipFill>
                        <pic:spPr>
                          <a:xfrm>
                            <a:off x="0" y="0"/>
                            <a:ext cx="88900" cy="952500"/>
                          </a:xfrm>
                          <a:prstGeom prst="rect">
                            <a:avLst/>
                          </a:prstGeom>
                          <a:noFill/>
                          <a:ln>
                            <a:noFill/>
                          </a:ln>
                        </pic:spPr>
                      </pic:pic>
                    </a:graphicData>
                  </a:graphic>
                </wp:anchor>
              </w:drawing>
            </w:r>
            <w:r>
              <w:rPr>
                <w:color w:val="auto"/>
              </w:rPr>
              <w:drawing>
                <wp:anchor distT="0" distB="0" distL="114300" distR="114300" simplePos="0" relativeHeight="251821056" behindDoc="0" locked="0" layoutInCell="1" allowOverlap="1">
                  <wp:simplePos x="0" y="0"/>
                  <wp:positionH relativeFrom="column">
                    <wp:posOffset>0</wp:posOffset>
                  </wp:positionH>
                  <wp:positionV relativeFrom="paragraph">
                    <wp:posOffset>165100</wp:posOffset>
                  </wp:positionV>
                  <wp:extent cx="88900" cy="952500"/>
                  <wp:effectExtent l="0" t="0" r="0" b="0"/>
                  <wp:wrapNone/>
                  <wp:docPr id="117" name="图片 355"/>
                  <wp:cNvGraphicFramePr/>
                  <a:graphic xmlns:a="http://schemas.openxmlformats.org/drawingml/2006/main">
                    <a:graphicData uri="http://schemas.openxmlformats.org/drawingml/2006/picture">
                      <pic:pic xmlns:pic="http://schemas.openxmlformats.org/drawingml/2006/picture">
                        <pic:nvPicPr>
                          <pic:cNvPr id="117" name="图片 355"/>
                          <pic:cNvPicPr/>
                        </pic:nvPicPr>
                        <pic:blipFill>
                          <a:blip r:embed="rId10"/>
                          <a:stretch>
                            <a:fillRect/>
                          </a:stretch>
                        </pic:blipFill>
                        <pic:spPr>
                          <a:xfrm>
                            <a:off x="0" y="0"/>
                            <a:ext cx="88900" cy="952500"/>
                          </a:xfrm>
                          <a:prstGeom prst="rect">
                            <a:avLst/>
                          </a:prstGeom>
                          <a:noFill/>
                          <a:ln>
                            <a:noFill/>
                          </a:ln>
                        </pic:spPr>
                      </pic:pic>
                    </a:graphicData>
                  </a:graphic>
                </wp:anchor>
              </w:drawing>
            </w:r>
            <w:r>
              <w:rPr>
                <w:color w:val="auto"/>
              </w:rPr>
              <w:drawing>
                <wp:anchor distT="0" distB="0" distL="114300" distR="114300" simplePos="0" relativeHeight="251820032" behindDoc="0" locked="0" layoutInCell="1" allowOverlap="1">
                  <wp:simplePos x="0" y="0"/>
                  <wp:positionH relativeFrom="column">
                    <wp:posOffset>0</wp:posOffset>
                  </wp:positionH>
                  <wp:positionV relativeFrom="paragraph">
                    <wp:posOffset>165100</wp:posOffset>
                  </wp:positionV>
                  <wp:extent cx="88900" cy="952500"/>
                  <wp:effectExtent l="0" t="0" r="0" b="0"/>
                  <wp:wrapNone/>
                  <wp:docPr id="108" name="图片 354"/>
                  <wp:cNvGraphicFramePr/>
                  <a:graphic xmlns:a="http://schemas.openxmlformats.org/drawingml/2006/main">
                    <a:graphicData uri="http://schemas.openxmlformats.org/drawingml/2006/picture">
                      <pic:pic xmlns:pic="http://schemas.openxmlformats.org/drawingml/2006/picture">
                        <pic:nvPicPr>
                          <pic:cNvPr id="108" name="图片 354"/>
                          <pic:cNvPicPr/>
                        </pic:nvPicPr>
                        <pic:blipFill>
                          <a:blip r:embed="rId10"/>
                          <a:stretch>
                            <a:fillRect/>
                          </a:stretch>
                        </pic:blipFill>
                        <pic:spPr>
                          <a:xfrm>
                            <a:off x="0" y="0"/>
                            <a:ext cx="88900" cy="952500"/>
                          </a:xfrm>
                          <a:prstGeom prst="rect">
                            <a:avLst/>
                          </a:prstGeom>
                          <a:noFill/>
                          <a:ln>
                            <a:noFill/>
                          </a:ln>
                        </pic:spPr>
                      </pic:pic>
                    </a:graphicData>
                  </a:graphic>
                </wp:anchor>
              </w:drawing>
            </w:r>
            <w:r>
              <w:rPr>
                <w:color w:val="auto"/>
              </w:rPr>
              <w:drawing>
                <wp:anchor distT="0" distB="0" distL="114300" distR="114300" simplePos="0" relativeHeight="251819008" behindDoc="0" locked="0" layoutInCell="1" allowOverlap="1">
                  <wp:simplePos x="0" y="0"/>
                  <wp:positionH relativeFrom="column">
                    <wp:posOffset>0</wp:posOffset>
                  </wp:positionH>
                  <wp:positionV relativeFrom="paragraph">
                    <wp:posOffset>165100</wp:posOffset>
                  </wp:positionV>
                  <wp:extent cx="88900" cy="952500"/>
                  <wp:effectExtent l="0" t="0" r="0" b="0"/>
                  <wp:wrapNone/>
                  <wp:docPr id="114" name="图片 353"/>
                  <wp:cNvGraphicFramePr/>
                  <a:graphic xmlns:a="http://schemas.openxmlformats.org/drawingml/2006/main">
                    <a:graphicData uri="http://schemas.openxmlformats.org/drawingml/2006/picture">
                      <pic:pic xmlns:pic="http://schemas.openxmlformats.org/drawingml/2006/picture">
                        <pic:nvPicPr>
                          <pic:cNvPr id="114" name="图片 353"/>
                          <pic:cNvPicPr/>
                        </pic:nvPicPr>
                        <pic:blipFill>
                          <a:blip r:embed="rId10"/>
                          <a:stretch>
                            <a:fillRect/>
                          </a:stretch>
                        </pic:blipFill>
                        <pic:spPr>
                          <a:xfrm>
                            <a:off x="0" y="0"/>
                            <a:ext cx="88900" cy="952500"/>
                          </a:xfrm>
                          <a:prstGeom prst="rect">
                            <a:avLst/>
                          </a:prstGeom>
                          <a:noFill/>
                          <a:ln>
                            <a:noFill/>
                          </a:ln>
                        </pic:spPr>
                      </pic:pic>
                    </a:graphicData>
                  </a:graphic>
                </wp:anchor>
              </w:drawing>
            </w:r>
            <w:r>
              <w:rPr>
                <w:color w:val="auto"/>
              </w:rPr>
              <w:drawing>
                <wp:anchor distT="0" distB="0" distL="114300" distR="114300" simplePos="0" relativeHeight="251817984" behindDoc="0" locked="0" layoutInCell="1" allowOverlap="1">
                  <wp:simplePos x="0" y="0"/>
                  <wp:positionH relativeFrom="column">
                    <wp:posOffset>0</wp:posOffset>
                  </wp:positionH>
                  <wp:positionV relativeFrom="paragraph">
                    <wp:posOffset>165100</wp:posOffset>
                  </wp:positionV>
                  <wp:extent cx="88900" cy="952500"/>
                  <wp:effectExtent l="0" t="0" r="0" b="0"/>
                  <wp:wrapNone/>
                  <wp:docPr id="110" name="图片 352"/>
                  <wp:cNvGraphicFramePr/>
                  <a:graphic xmlns:a="http://schemas.openxmlformats.org/drawingml/2006/main">
                    <a:graphicData uri="http://schemas.openxmlformats.org/drawingml/2006/picture">
                      <pic:pic xmlns:pic="http://schemas.openxmlformats.org/drawingml/2006/picture">
                        <pic:nvPicPr>
                          <pic:cNvPr id="110" name="图片 352"/>
                          <pic:cNvPicPr/>
                        </pic:nvPicPr>
                        <pic:blipFill>
                          <a:blip r:embed="rId10"/>
                          <a:stretch>
                            <a:fillRect/>
                          </a:stretch>
                        </pic:blipFill>
                        <pic:spPr>
                          <a:xfrm>
                            <a:off x="0" y="0"/>
                            <a:ext cx="88900" cy="952500"/>
                          </a:xfrm>
                          <a:prstGeom prst="rect">
                            <a:avLst/>
                          </a:prstGeom>
                          <a:noFill/>
                          <a:ln>
                            <a:noFill/>
                          </a:ln>
                        </pic:spPr>
                      </pic:pic>
                    </a:graphicData>
                  </a:graphic>
                </wp:anchor>
              </w:drawing>
            </w:r>
            <w:r>
              <w:rPr>
                <w:color w:val="auto"/>
              </w:rPr>
              <w:drawing>
                <wp:anchor distT="0" distB="0" distL="114300" distR="114300" simplePos="0" relativeHeight="251816960"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05" name="Text Box 51"/>
                  <wp:cNvGraphicFramePr/>
                  <a:graphic xmlns:a="http://schemas.openxmlformats.org/drawingml/2006/main">
                    <a:graphicData uri="http://schemas.openxmlformats.org/drawingml/2006/picture">
                      <pic:pic xmlns:pic="http://schemas.openxmlformats.org/drawingml/2006/picture">
                        <pic:nvPicPr>
                          <pic:cNvPr id="105" name="Text Box 51"/>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815936"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97" name="Text Box 52"/>
                  <wp:cNvGraphicFramePr/>
                  <a:graphic xmlns:a="http://schemas.openxmlformats.org/drawingml/2006/main">
                    <a:graphicData uri="http://schemas.openxmlformats.org/drawingml/2006/picture">
                      <pic:pic xmlns:pic="http://schemas.openxmlformats.org/drawingml/2006/picture">
                        <pic:nvPicPr>
                          <pic:cNvPr id="97" name="Text Box 52"/>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814912"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18" name="Text Box 53"/>
                  <wp:cNvGraphicFramePr/>
                  <a:graphic xmlns:a="http://schemas.openxmlformats.org/drawingml/2006/main">
                    <a:graphicData uri="http://schemas.openxmlformats.org/drawingml/2006/picture">
                      <pic:pic xmlns:pic="http://schemas.openxmlformats.org/drawingml/2006/picture">
                        <pic:nvPicPr>
                          <pic:cNvPr id="118" name="Text Box 53"/>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813888"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06" name="Text Box 55"/>
                  <wp:cNvGraphicFramePr/>
                  <a:graphic xmlns:a="http://schemas.openxmlformats.org/drawingml/2006/main">
                    <a:graphicData uri="http://schemas.openxmlformats.org/drawingml/2006/picture">
                      <pic:pic xmlns:pic="http://schemas.openxmlformats.org/drawingml/2006/picture">
                        <pic:nvPicPr>
                          <pic:cNvPr id="106" name="Text Box 55"/>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812864"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19" name="Text Box 56"/>
                  <wp:cNvGraphicFramePr/>
                  <a:graphic xmlns:a="http://schemas.openxmlformats.org/drawingml/2006/main">
                    <a:graphicData uri="http://schemas.openxmlformats.org/drawingml/2006/picture">
                      <pic:pic xmlns:pic="http://schemas.openxmlformats.org/drawingml/2006/picture">
                        <pic:nvPicPr>
                          <pic:cNvPr id="119" name="Text Box 56"/>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811840"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15" name="图片 346"/>
                  <wp:cNvGraphicFramePr/>
                  <a:graphic xmlns:a="http://schemas.openxmlformats.org/drawingml/2006/main">
                    <a:graphicData uri="http://schemas.openxmlformats.org/drawingml/2006/picture">
                      <pic:pic xmlns:pic="http://schemas.openxmlformats.org/drawingml/2006/picture">
                        <pic:nvPicPr>
                          <pic:cNvPr id="115" name="图片 346"/>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810816"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98" name="图片 345"/>
                  <wp:cNvGraphicFramePr/>
                  <a:graphic xmlns:a="http://schemas.openxmlformats.org/drawingml/2006/main">
                    <a:graphicData uri="http://schemas.openxmlformats.org/drawingml/2006/picture">
                      <pic:pic xmlns:pic="http://schemas.openxmlformats.org/drawingml/2006/picture">
                        <pic:nvPicPr>
                          <pic:cNvPr id="98" name="图片 345"/>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809792"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99" name="图片 344"/>
                  <wp:cNvGraphicFramePr/>
                  <a:graphic xmlns:a="http://schemas.openxmlformats.org/drawingml/2006/main">
                    <a:graphicData uri="http://schemas.openxmlformats.org/drawingml/2006/picture">
                      <pic:pic xmlns:pic="http://schemas.openxmlformats.org/drawingml/2006/picture">
                        <pic:nvPicPr>
                          <pic:cNvPr id="99" name="图片 344"/>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808768"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00" name="图片 343"/>
                  <wp:cNvGraphicFramePr/>
                  <a:graphic xmlns:a="http://schemas.openxmlformats.org/drawingml/2006/main">
                    <a:graphicData uri="http://schemas.openxmlformats.org/drawingml/2006/picture">
                      <pic:pic xmlns:pic="http://schemas.openxmlformats.org/drawingml/2006/picture">
                        <pic:nvPicPr>
                          <pic:cNvPr id="100" name="图片 343"/>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807744"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07" name="图片 342"/>
                  <wp:cNvGraphicFramePr/>
                  <a:graphic xmlns:a="http://schemas.openxmlformats.org/drawingml/2006/main">
                    <a:graphicData uri="http://schemas.openxmlformats.org/drawingml/2006/picture">
                      <pic:pic xmlns:pic="http://schemas.openxmlformats.org/drawingml/2006/picture">
                        <pic:nvPicPr>
                          <pic:cNvPr id="107" name="图片 342"/>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806720"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04" name="图片 341"/>
                  <wp:cNvGraphicFramePr/>
                  <a:graphic xmlns:a="http://schemas.openxmlformats.org/drawingml/2006/main">
                    <a:graphicData uri="http://schemas.openxmlformats.org/drawingml/2006/picture">
                      <pic:pic xmlns:pic="http://schemas.openxmlformats.org/drawingml/2006/picture">
                        <pic:nvPicPr>
                          <pic:cNvPr id="104" name="图片 341"/>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805696"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11" name="图片 340"/>
                  <wp:cNvGraphicFramePr/>
                  <a:graphic xmlns:a="http://schemas.openxmlformats.org/drawingml/2006/main">
                    <a:graphicData uri="http://schemas.openxmlformats.org/drawingml/2006/picture">
                      <pic:pic xmlns:pic="http://schemas.openxmlformats.org/drawingml/2006/picture">
                        <pic:nvPicPr>
                          <pic:cNvPr id="111" name="图片 340"/>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804672"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03" name="图片 339"/>
                  <wp:cNvGraphicFramePr/>
                  <a:graphic xmlns:a="http://schemas.openxmlformats.org/drawingml/2006/main">
                    <a:graphicData uri="http://schemas.openxmlformats.org/drawingml/2006/picture">
                      <pic:pic xmlns:pic="http://schemas.openxmlformats.org/drawingml/2006/picture">
                        <pic:nvPicPr>
                          <pic:cNvPr id="103" name="图片 339"/>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803648"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12" name="图片 338"/>
                  <wp:cNvGraphicFramePr/>
                  <a:graphic xmlns:a="http://schemas.openxmlformats.org/drawingml/2006/main">
                    <a:graphicData uri="http://schemas.openxmlformats.org/drawingml/2006/picture">
                      <pic:pic xmlns:pic="http://schemas.openxmlformats.org/drawingml/2006/picture">
                        <pic:nvPicPr>
                          <pic:cNvPr id="112" name="图片 338"/>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802624"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13" name="图片 337"/>
                  <wp:cNvGraphicFramePr/>
                  <a:graphic xmlns:a="http://schemas.openxmlformats.org/drawingml/2006/main">
                    <a:graphicData uri="http://schemas.openxmlformats.org/drawingml/2006/picture">
                      <pic:pic xmlns:pic="http://schemas.openxmlformats.org/drawingml/2006/picture">
                        <pic:nvPicPr>
                          <pic:cNvPr id="113" name="图片 337"/>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801600"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01" name="图片 336"/>
                  <wp:cNvGraphicFramePr/>
                  <a:graphic xmlns:a="http://schemas.openxmlformats.org/drawingml/2006/main">
                    <a:graphicData uri="http://schemas.openxmlformats.org/drawingml/2006/picture">
                      <pic:pic xmlns:pic="http://schemas.openxmlformats.org/drawingml/2006/picture">
                        <pic:nvPicPr>
                          <pic:cNvPr id="101" name="图片 336"/>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800576"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02" name="图片 335"/>
                  <wp:cNvGraphicFramePr/>
                  <a:graphic xmlns:a="http://schemas.openxmlformats.org/drawingml/2006/main">
                    <a:graphicData uri="http://schemas.openxmlformats.org/drawingml/2006/picture">
                      <pic:pic xmlns:pic="http://schemas.openxmlformats.org/drawingml/2006/picture">
                        <pic:nvPicPr>
                          <pic:cNvPr id="102" name="图片 335"/>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99552"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20" name="图片 334"/>
                  <wp:cNvGraphicFramePr/>
                  <a:graphic xmlns:a="http://schemas.openxmlformats.org/drawingml/2006/main">
                    <a:graphicData uri="http://schemas.openxmlformats.org/drawingml/2006/picture">
                      <pic:pic xmlns:pic="http://schemas.openxmlformats.org/drawingml/2006/picture">
                        <pic:nvPicPr>
                          <pic:cNvPr id="120" name="图片 334"/>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98528"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32" name="图片 333"/>
                  <wp:cNvGraphicFramePr/>
                  <a:graphic xmlns:a="http://schemas.openxmlformats.org/drawingml/2006/main">
                    <a:graphicData uri="http://schemas.openxmlformats.org/drawingml/2006/picture">
                      <pic:pic xmlns:pic="http://schemas.openxmlformats.org/drawingml/2006/picture">
                        <pic:nvPicPr>
                          <pic:cNvPr id="132" name="图片 333"/>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97504"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49" name="图片 332"/>
                  <wp:cNvGraphicFramePr/>
                  <a:graphic xmlns:a="http://schemas.openxmlformats.org/drawingml/2006/main">
                    <a:graphicData uri="http://schemas.openxmlformats.org/drawingml/2006/picture">
                      <pic:pic xmlns:pic="http://schemas.openxmlformats.org/drawingml/2006/picture">
                        <pic:nvPicPr>
                          <pic:cNvPr id="149" name="图片 332"/>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96480" behindDoc="0" locked="0" layoutInCell="1" allowOverlap="1">
                  <wp:simplePos x="0" y="0"/>
                  <wp:positionH relativeFrom="column">
                    <wp:posOffset>0</wp:posOffset>
                  </wp:positionH>
                  <wp:positionV relativeFrom="paragraph">
                    <wp:posOffset>165100</wp:posOffset>
                  </wp:positionV>
                  <wp:extent cx="88900" cy="965200"/>
                  <wp:effectExtent l="0" t="0" r="0" b="0"/>
                  <wp:wrapNone/>
                  <wp:docPr id="138" name="图片 331"/>
                  <wp:cNvGraphicFramePr/>
                  <a:graphic xmlns:a="http://schemas.openxmlformats.org/drawingml/2006/main">
                    <a:graphicData uri="http://schemas.openxmlformats.org/drawingml/2006/picture">
                      <pic:pic xmlns:pic="http://schemas.openxmlformats.org/drawingml/2006/picture">
                        <pic:nvPicPr>
                          <pic:cNvPr id="138" name="图片 331"/>
                          <pic:cNvPicPr/>
                        </pic:nvPicPr>
                        <pic:blipFill>
                          <a:blip r:embed="rId12"/>
                          <a:stretch>
                            <a:fillRect/>
                          </a:stretch>
                        </pic:blipFill>
                        <pic:spPr>
                          <a:xfrm>
                            <a:off x="0" y="0"/>
                            <a:ext cx="88900" cy="965200"/>
                          </a:xfrm>
                          <a:prstGeom prst="rect">
                            <a:avLst/>
                          </a:prstGeom>
                          <a:noFill/>
                          <a:ln>
                            <a:noFill/>
                          </a:ln>
                        </pic:spPr>
                      </pic:pic>
                    </a:graphicData>
                  </a:graphic>
                </wp:anchor>
              </w:drawing>
            </w:r>
            <w:r>
              <w:rPr>
                <w:color w:val="auto"/>
              </w:rPr>
              <w:drawing>
                <wp:anchor distT="0" distB="0" distL="114300" distR="114300" simplePos="0" relativeHeight="251795456" behindDoc="0" locked="0" layoutInCell="1" allowOverlap="1">
                  <wp:simplePos x="0" y="0"/>
                  <wp:positionH relativeFrom="column">
                    <wp:posOffset>0</wp:posOffset>
                  </wp:positionH>
                  <wp:positionV relativeFrom="paragraph">
                    <wp:posOffset>165100</wp:posOffset>
                  </wp:positionV>
                  <wp:extent cx="88900" cy="965200"/>
                  <wp:effectExtent l="0" t="0" r="0" b="0"/>
                  <wp:wrapNone/>
                  <wp:docPr id="150" name="图片 330"/>
                  <wp:cNvGraphicFramePr/>
                  <a:graphic xmlns:a="http://schemas.openxmlformats.org/drawingml/2006/main">
                    <a:graphicData uri="http://schemas.openxmlformats.org/drawingml/2006/picture">
                      <pic:pic xmlns:pic="http://schemas.openxmlformats.org/drawingml/2006/picture">
                        <pic:nvPicPr>
                          <pic:cNvPr id="150" name="图片 330"/>
                          <pic:cNvPicPr/>
                        </pic:nvPicPr>
                        <pic:blipFill>
                          <a:blip r:embed="rId12"/>
                          <a:stretch>
                            <a:fillRect/>
                          </a:stretch>
                        </pic:blipFill>
                        <pic:spPr>
                          <a:xfrm>
                            <a:off x="0" y="0"/>
                            <a:ext cx="88900" cy="965200"/>
                          </a:xfrm>
                          <a:prstGeom prst="rect">
                            <a:avLst/>
                          </a:prstGeom>
                          <a:noFill/>
                          <a:ln>
                            <a:noFill/>
                          </a:ln>
                        </pic:spPr>
                      </pic:pic>
                    </a:graphicData>
                  </a:graphic>
                </wp:anchor>
              </w:drawing>
            </w:r>
            <w:r>
              <w:rPr>
                <w:color w:val="auto"/>
              </w:rPr>
              <w:drawing>
                <wp:anchor distT="0" distB="0" distL="114300" distR="114300" simplePos="0" relativeHeight="251794432" behindDoc="0" locked="0" layoutInCell="1" allowOverlap="1">
                  <wp:simplePos x="0" y="0"/>
                  <wp:positionH relativeFrom="column">
                    <wp:posOffset>0</wp:posOffset>
                  </wp:positionH>
                  <wp:positionV relativeFrom="paragraph">
                    <wp:posOffset>165100</wp:posOffset>
                  </wp:positionV>
                  <wp:extent cx="88900" cy="965200"/>
                  <wp:effectExtent l="0" t="0" r="0" b="0"/>
                  <wp:wrapNone/>
                  <wp:docPr id="148" name="图片 329"/>
                  <wp:cNvGraphicFramePr/>
                  <a:graphic xmlns:a="http://schemas.openxmlformats.org/drawingml/2006/main">
                    <a:graphicData uri="http://schemas.openxmlformats.org/drawingml/2006/picture">
                      <pic:pic xmlns:pic="http://schemas.openxmlformats.org/drawingml/2006/picture">
                        <pic:nvPicPr>
                          <pic:cNvPr id="148" name="图片 329"/>
                          <pic:cNvPicPr/>
                        </pic:nvPicPr>
                        <pic:blipFill>
                          <a:blip r:embed="rId12"/>
                          <a:stretch>
                            <a:fillRect/>
                          </a:stretch>
                        </pic:blipFill>
                        <pic:spPr>
                          <a:xfrm>
                            <a:off x="0" y="0"/>
                            <a:ext cx="88900" cy="965200"/>
                          </a:xfrm>
                          <a:prstGeom prst="rect">
                            <a:avLst/>
                          </a:prstGeom>
                          <a:noFill/>
                          <a:ln>
                            <a:noFill/>
                          </a:ln>
                        </pic:spPr>
                      </pic:pic>
                    </a:graphicData>
                  </a:graphic>
                </wp:anchor>
              </w:drawing>
            </w:r>
            <w:r>
              <w:rPr>
                <w:color w:val="auto"/>
              </w:rPr>
              <w:drawing>
                <wp:anchor distT="0" distB="0" distL="114300" distR="114300" simplePos="0" relativeHeight="251793408" behindDoc="0" locked="0" layoutInCell="1" allowOverlap="1">
                  <wp:simplePos x="0" y="0"/>
                  <wp:positionH relativeFrom="column">
                    <wp:posOffset>0</wp:posOffset>
                  </wp:positionH>
                  <wp:positionV relativeFrom="paragraph">
                    <wp:posOffset>165100</wp:posOffset>
                  </wp:positionV>
                  <wp:extent cx="88900" cy="965200"/>
                  <wp:effectExtent l="0" t="0" r="0" b="0"/>
                  <wp:wrapNone/>
                  <wp:docPr id="136" name="图片 328"/>
                  <wp:cNvGraphicFramePr/>
                  <a:graphic xmlns:a="http://schemas.openxmlformats.org/drawingml/2006/main">
                    <a:graphicData uri="http://schemas.openxmlformats.org/drawingml/2006/picture">
                      <pic:pic xmlns:pic="http://schemas.openxmlformats.org/drawingml/2006/picture">
                        <pic:nvPicPr>
                          <pic:cNvPr id="136" name="图片 328"/>
                          <pic:cNvPicPr/>
                        </pic:nvPicPr>
                        <pic:blipFill>
                          <a:blip r:embed="rId12"/>
                          <a:stretch>
                            <a:fillRect/>
                          </a:stretch>
                        </pic:blipFill>
                        <pic:spPr>
                          <a:xfrm>
                            <a:off x="0" y="0"/>
                            <a:ext cx="88900" cy="965200"/>
                          </a:xfrm>
                          <a:prstGeom prst="rect">
                            <a:avLst/>
                          </a:prstGeom>
                          <a:noFill/>
                          <a:ln>
                            <a:noFill/>
                          </a:ln>
                        </pic:spPr>
                      </pic:pic>
                    </a:graphicData>
                  </a:graphic>
                </wp:anchor>
              </w:drawing>
            </w:r>
            <w:r>
              <w:rPr>
                <w:color w:val="auto"/>
              </w:rPr>
              <w:drawing>
                <wp:anchor distT="0" distB="0" distL="114300" distR="114300" simplePos="0" relativeHeight="251792384" behindDoc="0" locked="0" layoutInCell="1" allowOverlap="1">
                  <wp:simplePos x="0" y="0"/>
                  <wp:positionH relativeFrom="column">
                    <wp:posOffset>0</wp:posOffset>
                  </wp:positionH>
                  <wp:positionV relativeFrom="paragraph">
                    <wp:posOffset>165100</wp:posOffset>
                  </wp:positionV>
                  <wp:extent cx="88900" cy="965200"/>
                  <wp:effectExtent l="0" t="0" r="0" b="0"/>
                  <wp:wrapNone/>
                  <wp:docPr id="141" name="图片 327"/>
                  <wp:cNvGraphicFramePr/>
                  <a:graphic xmlns:a="http://schemas.openxmlformats.org/drawingml/2006/main">
                    <a:graphicData uri="http://schemas.openxmlformats.org/drawingml/2006/picture">
                      <pic:pic xmlns:pic="http://schemas.openxmlformats.org/drawingml/2006/picture">
                        <pic:nvPicPr>
                          <pic:cNvPr id="141" name="图片 327"/>
                          <pic:cNvPicPr/>
                        </pic:nvPicPr>
                        <pic:blipFill>
                          <a:blip r:embed="rId12"/>
                          <a:stretch>
                            <a:fillRect/>
                          </a:stretch>
                        </pic:blipFill>
                        <pic:spPr>
                          <a:xfrm>
                            <a:off x="0" y="0"/>
                            <a:ext cx="88900" cy="965200"/>
                          </a:xfrm>
                          <a:prstGeom prst="rect">
                            <a:avLst/>
                          </a:prstGeom>
                          <a:noFill/>
                          <a:ln>
                            <a:noFill/>
                          </a:ln>
                        </pic:spPr>
                      </pic:pic>
                    </a:graphicData>
                  </a:graphic>
                </wp:anchor>
              </w:drawing>
            </w:r>
            <w:r>
              <w:rPr>
                <w:color w:val="auto"/>
              </w:rPr>
              <w:drawing>
                <wp:anchor distT="0" distB="0" distL="114300" distR="114300" simplePos="0" relativeHeight="251791360"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51" name="图片 326"/>
                  <wp:cNvGraphicFramePr/>
                  <a:graphic xmlns:a="http://schemas.openxmlformats.org/drawingml/2006/main">
                    <a:graphicData uri="http://schemas.openxmlformats.org/drawingml/2006/picture">
                      <pic:pic xmlns:pic="http://schemas.openxmlformats.org/drawingml/2006/picture">
                        <pic:nvPicPr>
                          <pic:cNvPr id="151" name="图片 326"/>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90336"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47" name="图片 325"/>
                  <wp:cNvGraphicFramePr/>
                  <a:graphic xmlns:a="http://schemas.openxmlformats.org/drawingml/2006/main">
                    <a:graphicData uri="http://schemas.openxmlformats.org/drawingml/2006/picture">
                      <pic:pic xmlns:pic="http://schemas.openxmlformats.org/drawingml/2006/picture">
                        <pic:nvPicPr>
                          <pic:cNvPr id="147" name="图片 325"/>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89312"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37" name="图片 324"/>
                  <wp:cNvGraphicFramePr/>
                  <a:graphic xmlns:a="http://schemas.openxmlformats.org/drawingml/2006/main">
                    <a:graphicData uri="http://schemas.openxmlformats.org/drawingml/2006/picture">
                      <pic:pic xmlns:pic="http://schemas.openxmlformats.org/drawingml/2006/picture">
                        <pic:nvPicPr>
                          <pic:cNvPr id="137" name="图片 324"/>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88288"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25" name="图片 323"/>
                  <wp:cNvGraphicFramePr/>
                  <a:graphic xmlns:a="http://schemas.openxmlformats.org/drawingml/2006/main">
                    <a:graphicData uri="http://schemas.openxmlformats.org/drawingml/2006/picture">
                      <pic:pic xmlns:pic="http://schemas.openxmlformats.org/drawingml/2006/picture">
                        <pic:nvPicPr>
                          <pic:cNvPr id="125" name="图片 323"/>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87264"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26" name="图片 322"/>
                  <wp:cNvGraphicFramePr/>
                  <a:graphic xmlns:a="http://schemas.openxmlformats.org/drawingml/2006/main">
                    <a:graphicData uri="http://schemas.openxmlformats.org/drawingml/2006/picture">
                      <pic:pic xmlns:pic="http://schemas.openxmlformats.org/drawingml/2006/picture">
                        <pic:nvPicPr>
                          <pic:cNvPr id="126" name="图片 322"/>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86240"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27" name="图片 321"/>
                  <wp:cNvGraphicFramePr/>
                  <a:graphic xmlns:a="http://schemas.openxmlformats.org/drawingml/2006/main">
                    <a:graphicData uri="http://schemas.openxmlformats.org/drawingml/2006/picture">
                      <pic:pic xmlns:pic="http://schemas.openxmlformats.org/drawingml/2006/picture">
                        <pic:nvPicPr>
                          <pic:cNvPr id="127" name="图片 321"/>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85216"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28" name="图片 320"/>
                  <wp:cNvGraphicFramePr/>
                  <a:graphic xmlns:a="http://schemas.openxmlformats.org/drawingml/2006/main">
                    <a:graphicData uri="http://schemas.openxmlformats.org/drawingml/2006/picture">
                      <pic:pic xmlns:pic="http://schemas.openxmlformats.org/drawingml/2006/picture">
                        <pic:nvPicPr>
                          <pic:cNvPr id="128" name="图片 320"/>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84192"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21" name="图片 319"/>
                  <wp:cNvGraphicFramePr/>
                  <a:graphic xmlns:a="http://schemas.openxmlformats.org/drawingml/2006/main">
                    <a:graphicData uri="http://schemas.openxmlformats.org/drawingml/2006/picture">
                      <pic:pic xmlns:pic="http://schemas.openxmlformats.org/drawingml/2006/picture">
                        <pic:nvPicPr>
                          <pic:cNvPr id="121" name="图片 319"/>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83168"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52" name="图片 318"/>
                  <wp:cNvGraphicFramePr/>
                  <a:graphic xmlns:a="http://schemas.openxmlformats.org/drawingml/2006/main">
                    <a:graphicData uri="http://schemas.openxmlformats.org/drawingml/2006/picture">
                      <pic:pic xmlns:pic="http://schemas.openxmlformats.org/drawingml/2006/picture">
                        <pic:nvPicPr>
                          <pic:cNvPr id="152" name="图片 318"/>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82144"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39" name="图片 317"/>
                  <wp:cNvGraphicFramePr/>
                  <a:graphic xmlns:a="http://schemas.openxmlformats.org/drawingml/2006/main">
                    <a:graphicData uri="http://schemas.openxmlformats.org/drawingml/2006/picture">
                      <pic:pic xmlns:pic="http://schemas.openxmlformats.org/drawingml/2006/picture">
                        <pic:nvPicPr>
                          <pic:cNvPr id="139" name="图片 317"/>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81120"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30" name="图片 316"/>
                  <wp:cNvGraphicFramePr/>
                  <a:graphic xmlns:a="http://schemas.openxmlformats.org/drawingml/2006/main">
                    <a:graphicData uri="http://schemas.openxmlformats.org/drawingml/2006/picture">
                      <pic:pic xmlns:pic="http://schemas.openxmlformats.org/drawingml/2006/picture">
                        <pic:nvPicPr>
                          <pic:cNvPr id="130" name="图片 316"/>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80096"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33" name="图片 315"/>
                  <wp:cNvGraphicFramePr/>
                  <a:graphic xmlns:a="http://schemas.openxmlformats.org/drawingml/2006/main">
                    <a:graphicData uri="http://schemas.openxmlformats.org/drawingml/2006/picture">
                      <pic:pic xmlns:pic="http://schemas.openxmlformats.org/drawingml/2006/picture">
                        <pic:nvPicPr>
                          <pic:cNvPr id="133" name="图片 315"/>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79072"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45" name="图片 314"/>
                  <wp:cNvGraphicFramePr/>
                  <a:graphic xmlns:a="http://schemas.openxmlformats.org/drawingml/2006/main">
                    <a:graphicData uri="http://schemas.openxmlformats.org/drawingml/2006/picture">
                      <pic:pic xmlns:pic="http://schemas.openxmlformats.org/drawingml/2006/picture">
                        <pic:nvPicPr>
                          <pic:cNvPr id="145" name="图片 314"/>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78048"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40" name="图片 313"/>
                  <wp:cNvGraphicFramePr/>
                  <a:graphic xmlns:a="http://schemas.openxmlformats.org/drawingml/2006/main">
                    <a:graphicData uri="http://schemas.openxmlformats.org/drawingml/2006/picture">
                      <pic:pic xmlns:pic="http://schemas.openxmlformats.org/drawingml/2006/picture">
                        <pic:nvPicPr>
                          <pic:cNvPr id="140" name="图片 313"/>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77024"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24" name="图片 312"/>
                  <wp:cNvGraphicFramePr/>
                  <a:graphic xmlns:a="http://schemas.openxmlformats.org/drawingml/2006/main">
                    <a:graphicData uri="http://schemas.openxmlformats.org/drawingml/2006/picture">
                      <pic:pic xmlns:pic="http://schemas.openxmlformats.org/drawingml/2006/picture">
                        <pic:nvPicPr>
                          <pic:cNvPr id="124" name="图片 312"/>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76000"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43" name="图片 311"/>
                  <wp:cNvGraphicFramePr/>
                  <a:graphic xmlns:a="http://schemas.openxmlformats.org/drawingml/2006/main">
                    <a:graphicData uri="http://schemas.openxmlformats.org/drawingml/2006/picture">
                      <pic:pic xmlns:pic="http://schemas.openxmlformats.org/drawingml/2006/picture">
                        <pic:nvPicPr>
                          <pic:cNvPr id="143" name="图片 311"/>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74976"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29" name="图片 310"/>
                  <wp:cNvGraphicFramePr/>
                  <a:graphic xmlns:a="http://schemas.openxmlformats.org/drawingml/2006/main">
                    <a:graphicData uri="http://schemas.openxmlformats.org/drawingml/2006/picture">
                      <pic:pic xmlns:pic="http://schemas.openxmlformats.org/drawingml/2006/picture">
                        <pic:nvPicPr>
                          <pic:cNvPr id="129" name="图片 310"/>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73952"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31" name="图片 309"/>
                  <wp:cNvGraphicFramePr/>
                  <a:graphic xmlns:a="http://schemas.openxmlformats.org/drawingml/2006/main">
                    <a:graphicData uri="http://schemas.openxmlformats.org/drawingml/2006/picture">
                      <pic:pic xmlns:pic="http://schemas.openxmlformats.org/drawingml/2006/picture">
                        <pic:nvPicPr>
                          <pic:cNvPr id="131" name="图片 309"/>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72928"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44" name="图片 308"/>
                  <wp:cNvGraphicFramePr/>
                  <a:graphic xmlns:a="http://schemas.openxmlformats.org/drawingml/2006/main">
                    <a:graphicData uri="http://schemas.openxmlformats.org/drawingml/2006/picture">
                      <pic:pic xmlns:pic="http://schemas.openxmlformats.org/drawingml/2006/picture">
                        <pic:nvPicPr>
                          <pic:cNvPr id="144" name="图片 308"/>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71904"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34" name="图片 307"/>
                  <wp:cNvGraphicFramePr/>
                  <a:graphic xmlns:a="http://schemas.openxmlformats.org/drawingml/2006/main">
                    <a:graphicData uri="http://schemas.openxmlformats.org/drawingml/2006/picture">
                      <pic:pic xmlns:pic="http://schemas.openxmlformats.org/drawingml/2006/picture">
                        <pic:nvPicPr>
                          <pic:cNvPr id="134" name="图片 307"/>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70880" behindDoc="0" locked="0" layoutInCell="1" allowOverlap="1">
                  <wp:simplePos x="0" y="0"/>
                  <wp:positionH relativeFrom="column">
                    <wp:posOffset>0</wp:posOffset>
                  </wp:positionH>
                  <wp:positionV relativeFrom="paragraph">
                    <wp:posOffset>165100</wp:posOffset>
                  </wp:positionV>
                  <wp:extent cx="88900" cy="838200"/>
                  <wp:effectExtent l="0" t="0" r="0" b="0"/>
                  <wp:wrapNone/>
                  <wp:docPr id="122" name="图片 306"/>
                  <wp:cNvGraphicFramePr/>
                  <a:graphic xmlns:a="http://schemas.openxmlformats.org/drawingml/2006/main">
                    <a:graphicData uri="http://schemas.openxmlformats.org/drawingml/2006/picture">
                      <pic:pic xmlns:pic="http://schemas.openxmlformats.org/drawingml/2006/picture">
                        <pic:nvPicPr>
                          <pic:cNvPr id="122" name="图片 306"/>
                          <pic:cNvPicPr/>
                        </pic:nvPicPr>
                        <pic:blipFill>
                          <a:blip r:embed="rId13"/>
                          <a:stretch>
                            <a:fillRect/>
                          </a:stretch>
                        </pic:blipFill>
                        <pic:spPr>
                          <a:xfrm>
                            <a:off x="0" y="0"/>
                            <a:ext cx="88900" cy="838200"/>
                          </a:xfrm>
                          <a:prstGeom prst="rect">
                            <a:avLst/>
                          </a:prstGeom>
                          <a:noFill/>
                          <a:ln>
                            <a:noFill/>
                          </a:ln>
                        </pic:spPr>
                      </pic:pic>
                    </a:graphicData>
                  </a:graphic>
                </wp:anchor>
              </w:drawing>
            </w:r>
            <w:r>
              <w:rPr>
                <w:color w:val="auto"/>
              </w:rPr>
              <w:drawing>
                <wp:anchor distT="0" distB="0" distL="114300" distR="114300" simplePos="0" relativeHeight="251769856" behindDoc="0" locked="0" layoutInCell="1" allowOverlap="1">
                  <wp:simplePos x="0" y="0"/>
                  <wp:positionH relativeFrom="column">
                    <wp:posOffset>0</wp:posOffset>
                  </wp:positionH>
                  <wp:positionV relativeFrom="paragraph">
                    <wp:posOffset>165100</wp:posOffset>
                  </wp:positionV>
                  <wp:extent cx="88900" cy="838200"/>
                  <wp:effectExtent l="0" t="0" r="0" b="0"/>
                  <wp:wrapNone/>
                  <wp:docPr id="135" name="图片 305"/>
                  <wp:cNvGraphicFramePr/>
                  <a:graphic xmlns:a="http://schemas.openxmlformats.org/drawingml/2006/main">
                    <a:graphicData uri="http://schemas.openxmlformats.org/drawingml/2006/picture">
                      <pic:pic xmlns:pic="http://schemas.openxmlformats.org/drawingml/2006/picture">
                        <pic:nvPicPr>
                          <pic:cNvPr id="135" name="图片 305"/>
                          <pic:cNvPicPr/>
                        </pic:nvPicPr>
                        <pic:blipFill>
                          <a:blip r:embed="rId13"/>
                          <a:stretch>
                            <a:fillRect/>
                          </a:stretch>
                        </pic:blipFill>
                        <pic:spPr>
                          <a:xfrm>
                            <a:off x="0" y="0"/>
                            <a:ext cx="88900" cy="838200"/>
                          </a:xfrm>
                          <a:prstGeom prst="rect">
                            <a:avLst/>
                          </a:prstGeom>
                          <a:noFill/>
                          <a:ln>
                            <a:noFill/>
                          </a:ln>
                        </pic:spPr>
                      </pic:pic>
                    </a:graphicData>
                  </a:graphic>
                </wp:anchor>
              </w:drawing>
            </w:r>
            <w:r>
              <w:rPr>
                <w:color w:val="auto"/>
              </w:rPr>
              <w:drawing>
                <wp:anchor distT="0" distB="0" distL="114300" distR="114300" simplePos="0" relativeHeight="251768832" behindDoc="0" locked="0" layoutInCell="1" allowOverlap="1">
                  <wp:simplePos x="0" y="0"/>
                  <wp:positionH relativeFrom="column">
                    <wp:posOffset>0</wp:posOffset>
                  </wp:positionH>
                  <wp:positionV relativeFrom="paragraph">
                    <wp:posOffset>165100</wp:posOffset>
                  </wp:positionV>
                  <wp:extent cx="88900" cy="838200"/>
                  <wp:effectExtent l="0" t="0" r="0" b="0"/>
                  <wp:wrapNone/>
                  <wp:docPr id="146" name="图片 304"/>
                  <wp:cNvGraphicFramePr/>
                  <a:graphic xmlns:a="http://schemas.openxmlformats.org/drawingml/2006/main">
                    <a:graphicData uri="http://schemas.openxmlformats.org/drawingml/2006/picture">
                      <pic:pic xmlns:pic="http://schemas.openxmlformats.org/drawingml/2006/picture">
                        <pic:nvPicPr>
                          <pic:cNvPr id="146" name="图片 304"/>
                          <pic:cNvPicPr/>
                        </pic:nvPicPr>
                        <pic:blipFill>
                          <a:blip r:embed="rId13"/>
                          <a:stretch>
                            <a:fillRect/>
                          </a:stretch>
                        </pic:blipFill>
                        <pic:spPr>
                          <a:xfrm>
                            <a:off x="0" y="0"/>
                            <a:ext cx="88900" cy="838200"/>
                          </a:xfrm>
                          <a:prstGeom prst="rect">
                            <a:avLst/>
                          </a:prstGeom>
                          <a:noFill/>
                          <a:ln>
                            <a:noFill/>
                          </a:ln>
                        </pic:spPr>
                      </pic:pic>
                    </a:graphicData>
                  </a:graphic>
                </wp:anchor>
              </w:drawing>
            </w:r>
            <w:r>
              <w:rPr>
                <w:color w:val="auto"/>
              </w:rPr>
              <w:drawing>
                <wp:anchor distT="0" distB="0" distL="114300" distR="114300" simplePos="0" relativeHeight="251767808" behindDoc="0" locked="0" layoutInCell="1" allowOverlap="1">
                  <wp:simplePos x="0" y="0"/>
                  <wp:positionH relativeFrom="column">
                    <wp:posOffset>0</wp:posOffset>
                  </wp:positionH>
                  <wp:positionV relativeFrom="paragraph">
                    <wp:posOffset>165100</wp:posOffset>
                  </wp:positionV>
                  <wp:extent cx="88900" cy="838200"/>
                  <wp:effectExtent l="0" t="0" r="0" b="0"/>
                  <wp:wrapNone/>
                  <wp:docPr id="123" name="图片 303"/>
                  <wp:cNvGraphicFramePr/>
                  <a:graphic xmlns:a="http://schemas.openxmlformats.org/drawingml/2006/main">
                    <a:graphicData uri="http://schemas.openxmlformats.org/drawingml/2006/picture">
                      <pic:pic xmlns:pic="http://schemas.openxmlformats.org/drawingml/2006/picture">
                        <pic:nvPicPr>
                          <pic:cNvPr id="123" name="图片 303"/>
                          <pic:cNvPicPr/>
                        </pic:nvPicPr>
                        <pic:blipFill>
                          <a:blip r:embed="rId13"/>
                          <a:stretch>
                            <a:fillRect/>
                          </a:stretch>
                        </pic:blipFill>
                        <pic:spPr>
                          <a:xfrm>
                            <a:off x="0" y="0"/>
                            <a:ext cx="88900" cy="838200"/>
                          </a:xfrm>
                          <a:prstGeom prst="rect">
                            <a:avLst/>
                          </a:prstGeom>
                          <a:noFill/>
                          <a:ln>
                            <a:noFill/>
                          </a:ln>
                        </pic:spPr>
                      </pic:pic>
                    </a:graphicData>
                  </a:graphic>
                </wp:anchor>
              </w:drawing>
            </w:r>
            <w:r>
              <w:rPr>
                <w:color w:val="auto"/>
              </w:rPr>
              <w:drawing>
                <wp:anchor distT="0" distB="0" distL="114300" distR="114300" simplePos="0" relativeHeight="251766784" behindDoc="0" locked="0" layoutInCell="1" allowOverlap="1">
                  <wp:simplePos x="0" y="0"/>
                  <wp:positionH relativeFrom="column">
                    <wp:posOffset>0</wp:posOffset>
                  </wp:positionH>
                  <wp:positionV relativeFrom="paragraph">
                    <wp:posOffset>165100</wp:posOffset>
                  </wp:positionV>
                  <wp:extent cx="88900" cy="838200"/>
                  <wp:effectExtent l="0" t="0" r="0" b="0"/>
                  <wp:wrapNone/>
                  <wp:docPr id="142" name="图片 302"/>
                  <wp:cNvGraphicFramePr/>
                  <a:graphic xmlns:a="http://schemas.openxmlformats.org/drawingml/2006/main">
                    <a:graphicData uri="http://schemas.openxmlformats.org/drawingml/2006/picture">
                      <pic:pic xmlns:pic="http://schemas.openxmlformats.org/drawingml/2006/picture">
                        <pic:nvPicPr>
                          <pic:cNvPr id="142" name="图片 302"/>
                          <pic:cNvPicPr/>
                        </pic:nvPicPr>
                        <pic:blipFill>
                          <a:blip r:embed="rId13"/>
                          <a:stretch>
                            <a:fillRect/>
                          </a:stretch>
                        </pic:blipFill>
                        <pic:spPr>
                          <a:xfrm>
                            <a:off x="0" y="0"/>
                            <a:ext cx="88900" cy="838200"/>
                          </a:xfrm>
                          <a:prstGeom prst="rect">
                            <a:avLst/>
                          </a:prstGeom>
                          <a:noFill/>
                          <a:ln>
                            <a:noFill/>
                          </a:ln>
                        </pic:spPr>
                      </pic:pic>
                    </a:graphicData>
                  </a:graphic>
                </wp:anchor>
              </w:drawing>
            </w:r>
            <w:r>
              <w:rPr>
                <w:color w:val="auto"/>
              </w:rPr>
              <w:drawing>
                <wp:anchor distT="0" distB="0" distL="114300" distR="114300" simplePos="0" relativeHeight="251765760" behindDoc="0" locked="0" layoutInCell="1" allowOverlap="1">
                  <wp:simplePos x="0" y="0"/>
                  <wp:positionH relativeFrom="column">
                    <wp:posOffset>0</wp:posOffset>
                  </wp:positionH>
                  <wp:positionV relativeFrom="paragraph">
                    <wp:posOffset>165100</wp:posOffset>
                  </wp:positionV>
                  <wp:extent cx="88900" cy="838200"/>
                  <wp:effectExtent l="0" t="0" r="0" b="0"/>
                  <wp:wrapNone/>
                  <wp:docPr id="153" name="图片 301"/>
                  <wp:cNvGraphicFramePr/>
                  <a:graphic xmlns:a="http://schemas.openxmlformats.org/drawingml/2006/main">
                    <a:graphicData uri="http://schemas.openxmlformats.org/drawingml/2006/picture">
                      <pic:pic xmlns:pic="http://schemas.openxmlformats.org/drawingml/2006/picture">
                        <pic:nvPicPr>
                          <pic:cNvPr id="153" name="图片 301"/>
                          <pic:cNvPicPr/>
                        </pic:nvPicPr>
                        <pic:blipFill>
                          <a:blip r:embed="rId13"/>
                          <a:stretch>
                            <a:fillRect/>
                          </a:stretch>
                        </pic:blipFill>
                        <pic:spPr>
                          <a:xfrm>
                            <a:off x="0" y="0"/>
                            <a:ext cx="88900" cy="838200"/>
                          </a:xfrm>
                          <a:prstGeom prst="rect">
                            <a:avLst/>
                          </a:prstGeom>
                          <a:noFill/>
                          <a:ln>
                            <a:noFill/>
                          </a:ln>
                        </pic:spPr>
                      </pic:pic>
                    </a:graphicData>
                  </a:graphic>
                </wp:anchor>
              </w:drawing>
            </w:r>
            <w:r>
              <w:rPr>
                <w:color w:val="auto"/>
              </w:rPr>
              <w:drawing>
                <wp:anchor distT="0" distB="0" distL="114300" distR="114300" simplePos="0" relativeHeight="251764736" behindDoc="0" locked="0" layoutInCell="1" allowOverlap="1">
                  <wp:simplePos x="0" y="0"/>
                  <wp:positionH relativeFrom="column">
                    <wp:posOffset>0</wp:posOffset>
                  </wp:positionH>
                  <wp:positionV relativeFrom="paragraph">
                    <wp:posOffset>165100</wp:posOffset>
                  </wp:positionV>
                  <wp:extent cx="88900" cy="838200"/>
                  <wp:effectExtent l="0" t="0" r="0" b="0"/>
                  <wp:wrapNone/>
                  <wp:docPr id="158" name="图片 300"/>
                  <wp:cNvGraphicFramePr/>
                  <a:graphic xmlns:a="http://schemas.openxmlformats.org/drawingml/2006/main">
                    <a:graphicData uri="http://schemas.openxmlformats.org/drawingml/2006/picture">
                      <pic:pic xmlns:pic="http://schemas.openxmlformats.org/drawingml/2006/picture">
                        <pic:nvPicPr>
                          <pic:cNvPr id="158" name="图片 300"/>
                          <pic:cNvPicPr/>
                        </pic:nvPicPr>
                        <pic:blipFill>
                          <a:blip r:embed="rId13"/>
                          <a:stretch>
                            <a:fillRect/>
                          </a:stretch>
                        </pic:blipFill>
                        <pic:spPr>
                          <a:xfrm>
                            <a:off x="0" y="0"/>
                            <a:ext cx="88900" cy="838200"/>
                          </a:xfrm>
                          <a:prstGeom prst="rect">
                            <a:avLst/>
                          </a:prstGeom>
                          <a:noFill/>
                          <a:ln>
                            <a:noFill/>
                          </a:ln>
                        </pic:spPr>
                      </pic:pic>
                    </a:graphicData>
                  </a:graphic>
                </wp:anchor>
              </w:drawing>
            </w:r>
            <w:r>
              <w:rPr>
                <w:color w:val="auto"/>
              </w:rPr>
              <w:drawing>
                <wp:anchor distT="0" distB="0" distL="114300" distR="114300" simplePos="0" relativeHeight="251763712" behindDoc="0" locked="0" layoutInCell="1" allowOverlap="1">
                  <wp:simplePos x="0" y="0"/>
                  <wp:positionH relativeFrom="column">
                    <wp:posOffset>0</wp:posOffset>
                  </wp:positionH>
                  <wp:positionV relativeFrom="paragraph">
                    <wp:posOffset>165100</wp:posOffset>
                  </wp:positionV>
                  <wp:extent cx="88900" cy="838200"/>
                  <wp:effectExtent l="0" t="0" r="0" b="0"/>
                  <wp:wrapNone/>
                  <wp:docPr id="154" name="图片 299"/>
                  <wp:cNvGraphicFramePr/>
                  <a:graphic xmlns:a="http://schemas.openxmlformats.org/drawingml/2006/main">
                    <a:graphicData uri="http://schemas.openxmlformats.org/drawingml/2006/picture">
                      <pic:pic xmlns:pic="http://schemas.openxmlformats.org/drawingml/2006/picture">
                        <pic:nvPicPr>
                          <pic:cNvPr id="154" name="图片 299"/>
                          <pic:cNvPicPr/>
                        </pic:nvPicPr>
                        <pic:blipFill>
                          <a:blip r:embed="rId13"/>
                          <a:stretch>
                            <a:fillRect/>
                          </a:stretch>
                        </pic:blipFill>
                        <pic:spPr>
                          <a:xfrm>
                            <a:off x="0" y="0"/>
                            <a:ext cx="88900" cy="838200"/>
                          </a:xfrm>
                          <a:prstGeom prst="rect">
                            <a:avLst/>
                          </a:prstGeom>
                          <a:noFill/>
                          <a:ln>
                            <a:noFill/>
                          </a:ln>
                        </pic:spPr>
                      </pic:pic>
                    </a:graphicData>
                  </a:graphic>
                </wp:anchor>
              </w:drawing>
            </w:r>
            <w:r>
              <w:rPr>
                <w:color w:val="auto"/>
              </w:rPr>
              <w:drawing>
                <wp:anchor distT="0" distB="0" distL="114300" distR="114300" simplePos="0" relativeHeight="251762688" behindDoc="0" locked="0" layoutInCell="1" allowOverlap="1">
                  <wp:simplePos x="0" y="0"/>
                  <wp:positionH relativeFrom="column">
                    <wp:posOffset>0</wp:posOffset>
                  </wp:positionH>
                  <wp:positionV relativeFrom="paragraph">
                    <wp:posOffset>165100</wp:posOffset>
                  </wp:positionV>
                  <wp:extent cx="88900" cy="838200"/>
                  <wp:effectExtent l="0" t="0" r="0" b="0"/>
                  <wp:wrapNone/>
                  <wp:docPr id="159" name="图片 298"/>
                  <wp:cNvGraphicFramePr/>
                  <a:graphic xmlns:a="http://schemas.openxmlformats.org/drawingml/2006/main">
                    <a:graphicData uri="http://schemas.openxmlformats.org/drawingml/2006/picture">
                      <pic:pic xmlns:pic="http://schemas.openxmlformats.org/drawingml/2006/picture">
                        <pic:nvPicPr>
                          <pic:cNvPr id="159" name="图片 298"/>
                          <pic:cNvPicPr/>
                        </pic:nvPicPr>
                        <pic:blipFill>
                          <a:blip r:embed="rId13"/>
                          <a:stretch>
                            <a:fillRect/>
                          </a:stretch>
                        </pic:blipFill>
                        <pic:spPr>
                          <a:xfrm>
                            <a:off x="0" y="0"/>
                            <a:ext cx="88900" cy="838200"/>
                          </a:xfrm>
                          <a:prstGeom prst="rect">
                            <a:avLst/>
                          </a:prstGeom>
                          <a:noFill/>
                          <a:ln>
                            <a:noFill/>
                          </a:ln>
                        </pic:spPr>
                      </pic:pic>
                    </a:graphicData>
                  </a:graphic>
                </wp:anchor>
              </w:drawing>
            </w:r>
            <w:r>
              <w:rPr>
                <w:color w:val="auto"/>
              </w:rPr>
              <w:drawing>
                <wp:anchor distT="0" distB="0" distL="114300" distR="114300" simplePos="0" relativeHeight="251761664" behindDoc="0" locked="0" layoutInCell="1" allowOverlap="1">
                  <wp:simplePos x="0" y="0"/>
                  <wp:positionH relativeFrom="column">
                    <wp:posOffset>0</wp:posOffset>
                  </wp:positionH>
                  <wp:positionV relativeFrom="paragraph">
                    <wp:posOffset>165100</wp:posOffset>
                  </wp:positionV>
                  <wp:extent cx="88900" cy="838200"/>
                  <wp:effectExtent l="0" t="0" r="0" b="0"/>
                  <wp:wrapNone/>
                  <wp:docPr id="160" name="图片 297"/>
                  <wp:cNvGraphicFramePr/>
                  <a:graphic xmlns:a="http://schemas.openxmlformats.org/drawingml/2006/main">
                    <a:graphicData uri="http://schemas.openxmlformats.org/drawingml/2006/picture">
                      <pic:pic xmlns:pic="http://schemas.openxmlformats.org/drawingml/2006/picture">
                        <pic:nvPicPr>
                          <pic:cNvPr id="160" name="图片 297"/>
                          <pic:cNvPicPr/>
                        </pic:nvPicPr>
                        <pic:blipFill>
                          <a:blip r:embed="rId13"/>
                          <a:stretch>
                            <a:fillRect/>
                          </a:stretch>
                        </pic:blipFill>
                        <pic:spPr>
                          <a:xfrm>
                            <a:off x="0" y="0"/>
                            <a:ext cx="88900" cy="838200"/>
                          </a:xfrm>
                          <a:prstGeom prst="rect">
                            <a:avLst/>
                          </a:prstGeom>
                          <a:noFill/>
                          <a:ln>
                            <a:noFill/>
                          </a:ln>
                        </pic:spPr>
                      </pic:pic>
                    </a:graphicData>
                  </a:graphic>
                </wp:anchor>
              </w:drawing>
            </w:r>
            <w:r>
              <w:rPr>
                <w:color w:val="auto"/>
              </w:rPr>
              <w:drawing>
                <wp:anchor distT="0" distB="0" distL="114300" distR="114300" simplePos="0" relativeHeight="251760640"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55" name="图片 296"/>
                  <wp:cNvGraphicFramePr/>
                  <a:graphic xmlns:a="http://schemas.openxmlformats.org/drawingml/2006/main">
                    <a:graphicData uri="http://schemas.openxmlformats.org/drawingml/2006/picture">
                      <pic:pic xmlns:pic="http://schemas.openxmlformats.org/drawingml/2006/picture">
                        <pic:nvPicPr>
                          <pic:cNvPr id="155" name="图片 296"/>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59616"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61" name="图片 295"/>
                  <wp:cNvGraphicFramePr/>
                  <a:graphic xmlns:a="http://schemas.openxmlformats.org/drawingml/2006/main">
                    <a:graphicData uri="http://schemas.openxmlformats.org/drawingml/2006/picture">
                      <pic:pic xmlns:pic="http://schemas.openxmlformats.org/drawingml/2006/picture">
                        <pic:nvPicPr>
                          <pic:cNvPr id="161" name="图片 295"/>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58592"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56" name="图片 294"/>
                  <wp:cNvGraphicFramePr/>
                  <a:graphic xmlns:a="http://schemas.openxmlformats.org/drawingml/2006/main">
                    <a:graphicData uri="http://schemas.openxmlformats.org/drawingml/2006/picture">
                      <pic:pic xmlns:pic="http://schemas.openxmlformats.org/drawingml/2006/picture">
                        <pic:nvPicPr>
                          <pic:cNvPr id="156" name="图片 294"/>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57568"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57" name="图片 293"/>
                  <wp:cNvGraphicFramePr/>
                  <a:graphic xmlns:a="http://schemas.openxmlformats.org/drawingml/2006/main">
                    <a:graphicData uri="http://schemas.openxmlformats.org/drawingml/2006/picture">
                      <pic:pic xmlns:pic="http://schemas.openxmlformats.org/drawingml/2006/picture">
                        <pic:nvPicPr>
                          <pic:cNvPr id="157" name="图片 293"/>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56544"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96" name="图片 292"/>
                  <wp:cNvGraphicFramePr/>
                  <a:graphic xmlns:a="http://schemas.openxmlformats.org/drawingml/2006/main">
                    <a:graphicData uri="http://schemas.openxmlformats.org/drawingml/2006/picture">
                      <pic:pic xmlns:pic="http://schemas.openxmlformats.org/drawingml/2006/picture">
                        <pic:nvPicPr>
                          <pic:cNvPr id="96" name="图片 292"/>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55520"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95" name="图片 291"/>
                  <wp:cNvGraphicFramePr/>
                  <a:graphic xmlns:a="http://schemas.openxmlformats.org/drawingml/2006/main">
                    <a:graphicData uri="http://schemas.openxmlformats.org/drawingml/2006/picture">
                      <pic:pic xmlns:pic="http://schemas.openxmlformats.org/drawingml/2006/picture">
                        <pic:nvPicPr>
                          <pic:cNvPr id="95" name="图片 291"/>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54496"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88" name="图片 290"/>
                  <wp:cNvGraphicFramePr/>
                  <a:graphic xmlns:a="http://schemas.openxmlformats.org/drawingml/2006/main">
                    <a:graphicData uri="http://schemas.openxmlformats.org/drawingml/2006/picture">
                      <pic:pic xmlns:pic="http://schemas.openxmlformats.org/drawingml/2006/picture">
                        <pic:nvPicPr>
                          <pic:cNvPr id="88" name="图片 290"/>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53472"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89" name="图片 289"/>
                  <wp:cNvGraphicFramePr/>
                  <a:graphic xmlns:a="http://schemas.openxmlformats.org/drawingml/2006/main">
                    <a:graphicData uri="http://schemas.openxmlformats.org/drawingml/2006/picture">
                      <pic:pic xmlns:pic="http://schemas.openxmlformats.org/drawingml/2006/picture">
                        <pic:nvPicPr>
                          <pic:cNvPr id="89" name="图片 289"/>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52448"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90" name="图片 288"/>
                  <wp:cNvGraphicFramePr/>
                  <a:graphic xmlns:a="http://schemas.openxmlformats.org/drawingml/2006/main">
                    <a:graphicData uri="http://schemas.openxmlformats.org/drawingml/2006/picture">
                      <pic:pic xmlns:pic="http://schemas.openxmlformats.org/drawingml/2006/picture">
                        <pic:nvPicPr>
                          <pic:cNvPr id="90" name="图片 288"/>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51424"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91" name="图片 287"/>
                  <wp:cNvGraphicFramePr/>
                  <a:graphic xmlns:a="http://schemas.openxmlformats.org/drawingml/2006/main">
                    <a:graphicData uri="http://schemas.openxmlformats.org/drawingml/2006/picture">
                      <pic:pic xmlns:pic="http://schemas.openxmlformats.org/drawingml/2006/picture">
                        <pic:nvPicPr>
                          <pic:cNvPr id="91" name="图片 287"/>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50400" behindDoc="0" locked="0" layoutInCell="1" allowOverlap="1">
                  <wp:simplePos x="0" y="0"/>
                  <wp:positionH relativeFrom="column">
                    <wp:posOffset>0</wp:posOffset>
                  </wp:positionH>
                  <wp:positionV relativeFrom="paragraph">
                    <wp:posOffset>165100</wp:posOffset>
                  </wp:positionV>
                  <wp:extent cx="88900" cy="774700"/>
                  <wp:effectExtent l="0" t="0" r="0" b="0"/>
                  <wp:wrapNone/>
                  <wp:docPr id="92" name="图片 286"/>
                  <wp:cNvGraphicFramePr/>
                  <a:graphic xmlns:a="http://schemas.openxmlformats.org/drawingml/2006/main">
                    <a:graphicData uri="http://schemas.openxmlformats.org/drawingml/2006/picture">
                      <pic:pic xmlns:pic="http://schemas.openxmlformats.org/drawingml/2006/picture">
                        <pic:nvPicPr>
                          <pic:cNvPr id="92" name="图片 286"/>
                          <pic:cNvPicPr/>
                        </pic:nvPicPr>
                        <pic:blipFill>
                          <a:blip r:embed="rId14"/>
                          <a:stretch>
                            <a:fillRect/>
                          </a:stretch>
                        </pic:blipFill>
                        <pic:spPr>
                          <a:xfrm>
                            <a:off x="0" y="0"/>
                            <a:ext cx="88900" cy="774700"/>
                          </a:xfrm>
                          <a:prstGeom prst="rect">
                            <a:avLst/>
                          </a:prstGeom>
                          <a:noFill/>
                          <a:ln>
                            <a:noFill/>
                          </a:ln>
                        </pic:spPr>
                      </pic:pic>
                    </a:graphicData>
                  </a:graphic>
                </wp:anchor>
              </w:drawing>
            </w:r>
            <w:r>
              <w:rPr>
                <w:color w:val="auto"/>
              </w:rPr>
              <w:drawing>
                <wp:anchor distT="0" distB="0" distL="114300" distR="114300" simplePos="0" relativeHeight="251749376" behindDoc="0" locked="0" layoutInCell="1" allowOverlap="1">
                  <wp:simplePos x="0" y="0"/>
                  <wp:positionH relativeFrom="column">
                    <wp:posOffset>0</wp:posOffset>
                  </wp:positionH>
                  <wp:positionV relativeFrom="paragraph">
                    <wp:posOffset>165100</wp:posOffset>
                  </wp:positionV>
                  <wp:extent cx="88900" cy="774700"/>
                  <wp:effectExtent l="0" t="0" r="0" b="0"/>
                  <wp:wrapNone/>
                  <wp:docPr id="93" name="图片 285"/>
                  <wp:cNvGraphicFramePr/>
                  <a:graphic xmlns:a="http://schemas.openxmlformats.org/drawingml/2006/main">
                    <a:graphicData uri="http://schemas.openxmlformats.org/drawingml/2006/picture">
                      <pic:pic xmlns:pic="http://schemas.openxmlformats.org/drawingml/2006/picture">
                        <pic:nvPicPr>
                          <pic:cNvPr id="93" name="图片 285"/>
                          <pic:cNvPicPr/>
                        </pic:nvPicPr>
                        <pic:blipFill>
                          <a:blip r:embed="rId14"/>
                          <a:stretch>
                            <a:fillRect/>
                          </a:stretch>
                        </pic:blipFill>
                        <pic:spPr>
                          <a:xfrm>
                            <a:off x="0" y="0"/>
                            <a:ext cx="88900" cy="774700"/>
                          </a:xfrm>
                          <a:prstGeom prst="rect">
                            <a:avLst/>
                          </a:prstGeom>
                          <a:noFill/>
                          <a:ln>
                            <a:noFill/>
                          </a:ln>
                        </pic:spPr>
                      </pic:pic>
                    </a:graphicData>
                  </a:graphic>
                </wp:anchor>
              </w:drawing>
            </w:r>
            <w:r>
              <w:rPr>
                <w:color w:val="auto"/>
              </w:rPr>
              <w:drawing>
                <wp:anchor distT="0" distB="0" distL="114300" distR="114300" simplePos="0" relativeHeight="251748352" behindDoc="0" locked="0" layoutInCell="1" allowOverlap="1">
                  <wp:simplePos x="0" y="0"/>
                  <wp:positionH relativeFrom="column">
                    <wp:posOffset>0</wp:posOffset>
                  </wp:positionH>
                  <wp:positionV relativeFrom="paragraph">
                    <wp:posOffset>165100</wp:posOffset>
                  </wp:positionV>
                  <wp:extent cx="88900" cy="774700"/>
                  <wp:effectExtent l="0" t="0" r="0" b="0"/>
                  <wp:wrapNone/>
                  <wp:docPr id="94" name="图片 284"/>
                  <wp:cNvGraphicFramePr/>
                  <a:graphic xmlns:a="http://schemas.openxmlformats.org/drawingml/2006/main">
                    <a:graphicData uri="http://schemas.openxmlformats.org/drawingml/2006/picture">
                      <pic:pic xmlns:pic="http://schemas.openxmlformats.org/drawingml/2006/picture">
                        <pic:nvPicPr>
                          <pic:cNvPr id="94" name="图片 284"/>
                          <pic:cNvPicPr/>
                        </pic:nvPicPr>
                        <pic:blipFill>
                          <a:blip r:embed="rId14"/>
                          <a:stretch>
                            <a:fillRect/>
                          </a:stretch>
                        </pic:blipFill>
                        <pic:spPr>
                          <a:xfrm>
                            <a:off x="0" y="0"/>
                            <a:ext cx="88900" cy="774700"/>
                          </a:xfrm>
                          <a:prstGeom prst="rect">
                            <a:avLst/>
                          </a:prstGeom>
                          <a:noFill/>
                          <a:ln>
                            <a:noFill/>
                          </a:ln>
                        </pic:spPr>
                      </pic:pic>
                    </a:graphicData>
                  </a:graphic>
                </wp:anchor>
              </w:drawing>
            </w:r>
            <w:r>
              <w:rPr>
                <w:color w:val="auto"/>
              </w:rPr>
              <w:drawing>
                <wp:anchor distT="0" distB="0" distL="114300" distR="114300" simplePos="0" relativeHeight="251747328" behindDoc="0" locked="0" layoutInCell="1" allowOverlap="1">
                  <wp:simplePos x="0" y="0"/>
                  <wp:positionH relativeFrom="column">
                    <wp:posOffset>0</wp:posOffset>
                  </wp:positionH>
                  <wp:positionV relativeFrom="paragraph">
                    <wp:posOffset>165100</wp:posOffset>
                  </wp:positionV>
                  <wp:extent cx="88900" cy="774700"/>
                  <wp:effectExtent l="0" t="0" r="0" b="0"/>
                  <wp:wrapNone/>
                  <wp:docPr id="1" name="图片 283"/>
                  <wp:cNvGraphicFramePr/>
                  <a:graphic xmlns:a="http://schemas.openxmlformats.org/drawingml/2006/main">
                    <a:graphicData uri="http://schemas.openxmlformats.org/drawingml/2006/picture">
                      <pic:pic xmlns:pic="http://schemas.openxmlformats.org/drawingml/2006/picture">
                        <pic:nvPicPr>
                          <pic:cNvPr id="1" name="图片 283"/>
                          <pic:cNvPicPr/>
                        </pic:nvPicPr>
                        <pic:blipFill>
                          <a:blip r:embed="rId14"/>
                          <a:stretch>
                            <a:fillRect/>
                          </a:stretch>
                        </pic:blipFill>
                        <pic:spPr>
                          <a:xfrm>
                            <a:off x="0" y="0"/>
                            <a:ext cx="88900" cy="774700"/>
                          </a:xfrm>
                          <a:prstGeom prst="rect">
                            <a:avLst/>
                          </a:prstGeom>
                          <a:noFill/>
                          <a:ln>
                            <a:noFill/>
                          </a:ln>
                        </pic:spPr>
                      </pic:pic>
                    </a:graphicData>
                  </a:graphic>
                </wp:anchor>
              </w:drawing>
            </w:r>
            <w:r>
              <w:rPr>
                <w:color w:val="auto"/>
              </w:rPr>
              <w:drawing>
                <wp:anchor distT="0" distB="0" distL="114300" distR="114300" simplePos="0" relativeHeight="251746304" behindDoc="0" locked="0" layoutInCell="1" allowOverlap="1">
                  <wp:simplePos x="0" y="0"/>
                  <wp:positionH relativeFrom="column">
                    <wp:posOffset>0</wp:posOffset>
                  </wp:positionH>
                  <wp:positionV relativeFrom="paragraph">
                    <wp:posOffset>165100</wp:posOffset>
                  </wp:positionV>
                  <wp:extent cx="88900" cy="774700"/>
                  <wp:effectExtent l="0" t="0" r="0" b="0"/>
                  <wp:wrapNone/>
                  <wp:docPr id="2" name="图片 282"/>
                  <wp:cNvGraphicFramePr/>
                  <a:graphic xmlns:a="http://schemas.openxmlformats.org/drawingml/2006/main">
                    <a:graphicData uri="http://schemas.openxmlformats.org/drawingml/2006/picture">
                      <pic:pic xmlns:pic="http://schemas.openxmlformats.org/drawingml/2006/picture">
                        <pic:nvPicPr>
                          <pic:cNvPr id="2" name="图片 282"/>
                          <pic:cNvPicPr/>
                        </pic:nvPicPr>
                        <pic:blipFill>
                          <a:blip r:embed="rId14"/>
                          <a:stretch>
                            <a:fillRect/>
                          </a:stretch>
                        </pic:blipFill>
                        <pic:spPr>
                          <a:xfrm>
                            <a:off x="0" y="0"/>
                            <a:ext cx="88900" cy="774700"/>
                          </a:xfrm>
                          <a:prstGeom prst="rect">
                            <a:avLst/>
                          </a:prstGeom>
                          <a:noFill/>
                          <a:ln>
                            <a:noFill/>
                          </a:ln>
                        </pic:spPr>
                      </pic:pic>
                    </a:graphicData>
                  </a:graphic>
                </wp:anchor>
              </w:drawing>
            </w:r>
            <w:r>
              <w:rPr>
                <w:color w:val="auto"/>
              </w:rPr>
              <w:drawing>
                <wp:anchor distT="0" distB="0" distL="114300" distR="114300" simplePos="0" relativeHeight="251745280" behindDoc="0" locked="0" layoutInCell="1" allowOverlap="1">
                  <wp:simplePos x="0" y="0"/>
                  <wp:positionH relativeFrom="column">
                    <wp:posOffset>0</wp:posOffset>
                  </wp:positionH>
                  <wp:positionV relativeFrom="paragraph">
                    <wp:posOffset>165100</wp:posOffset>
                  </wp:positionV>
                  <wp:extent cx="88900" cy="774700"/>
                  <wp:effectExtent l="0" t="0" r="0" b="0"/>
                  <wp:wrapNone/>
                  <wp:docPr id="17" name="图片 281"/>
                  <wp:cNvGraphicFramePr/>
                  <a:graphic xmlns:a="http://schemas.openxmlformats.org/drawingml/2006/main">
                    <a:graphicData uri="http://schemas.openxmlformats.org/drawingml/2006/picture">
                      <pic:pic xmlns:pic="http://schemas.openxmlformats.org/drawingml/2006/picture">
                        <pic:nvPicPr>
                          <pic:cNvPr id="17" name="图片 281"/>
                          <pic:cNvPicPr/>
                        </pic:nvPicPr>
                        <pic:blipFill>
                          <a:blip r:embed="rId14"/>
                          <a:stretch>
                            <a:fillRect/>
                          </a:stretch>
                        </pic:blipFill>
                        <pic:spPr>
                          <a:xfrm>
                            <a:off x="0" y="0"/>
                            <a:ext cx="88900" cy="774700"/>
                          </a:xfrm>
                          <a:prstGeom prst="rect">
                            <a:avLst/>
                          </a:prstGeom>
                          <a:noFill/>
                          <a:ln>
                            <a:noFill/>
                          </a:ln>
                        </pic:spPr>
                      </pic:pic>
                    </a:graphicData>
                  </a:graphic>
                </wp:anchor>
              </w:drawing>
            </w:r>
            <w:r>
              <w:rPr>
                <w:color w:val="auto"/>
              </w:rPr>
              <w:drawing>
                <wp:anchor distT="0" distB="0" distL="114300" distR="114300" simplePos="0" relativeHeight="251744256" behindDoc="0" locked="0" layoutInCell="1" allowOverlap="1">
                  <wp:simplePos x="0" y="0"/>
                  <wp:positionH relativeFrom="column">
                    <wp:posOffset>0</wp:posOffset>
                  </wp:positionH>
                  <wp:positionV relativeFrom="paragraph">
                    <wp:posOffset>165100</wp:posOffset>
                  </wp:positionV>
                  <wp:extent cx="88900" cy="774700"/>
                  <wp:effectExtent l="0" t="0" r="0" b="0"/>
                  <wp:wrapNone/>
                  <wp:docPr id="32" name="图片 280"/>
                  <wp:cNvGraphicFramePr/>
                  <a:graphic xmlns:a="http://schemas.openxmlformats.org/drawingml/2006/main">
                    <a:graphicData uri="http://schemas.openxmlformats.org/drawingml/2006/picture">
                      <pic:pic xmlns:pic="http://schemas.openxmlformats.org/drawingml/2006/picture">
                        <pic:nvPicPr>
                          <pic:cNvPr id="32" name="图片 280"/>
                          <pic:cNvPicPr/>
                        </pic:nvPicPr>
                        <pic:blipFill>
                          <a:blip r:embed="rId14"/>
                          <a:stretch>
                            <a:fillRect/>
                          </a:stretch>
                        </pic:blipFill>
                        <pic:spPr>
                          <a:xfrm>
                            <a:off x="0" y="0"/>
                            <a:ext cx="88900" cy="774700"/>
                          </a:xfrm>
                          <a:prstGeom prst="rect">
                            <a:avLst/>
                          </a:prstGeom>
                          <a:noFill/>
                          <a:ln>
                            <a:noFill/>
                          </a:ln>
                        </pic:spPr>
                      </pic:pic>
                    </a:graphicData>
                  </a:graphic>
                </wp:anchor>
              </w:drawing>
            </w:r>
            <w:r>
              <w:rPr>
                <w:color w:val="auto"/>
              </w:rPr>
              <w:drawing>
                <wp:anchor distT="0" distB="0" distL="114300" distR="114300" simplePos="0" relativeHeight="251743232" behindDoc="0" locked="0" layoutInCell="1" allowOverlap="1">
                  <wp:simplePos x="0" y="0"/>
                  <wp:positionH relativeFrom="column">
                    <wp:posOffset>0</wp:posOffset>
                  </wp:positionH>
                  <wp:positionV relativeFrom="paragraph">
                    <wp:posOffset>165100</wp:posOffset>
                  </wp:positionV>
                  <wp:extent cx="88900" cy="774700"/>
                  <wp:effectExtent l="0" t="0" r="0" b="0"/>
                  <wp:wrapNone/>
                  <wp:docPr id="10" name="图片 279"/>
                  <wp:cNvGraphicFramePr/>
                  <a:graphic xmlns:a="http://schemas.openxmlformats.org/drawingml/2006/main">
                    <a:graphicData uri="http://schemas.openxmlformats.org/drawingml/2006/picture">
                      <pic:pic xmlns:pic="http://schemas.openxmlformats.org/drawingml/2006/picture">
                        <pic:nvPicPr>
                          <pic:cNvPr id="10" name="图片 279"/>
                          <pic:cNvPicPr/>
                        </pic:nvPicPr>
                        <pic:blipFill>
                          <a:blip r:embed="rId14"/>
                          <a:stretch>
                            <a:fillRect/>
                          </a:stretch>
                        </pic:blipFill>
                        <pic:spPr>
                          <a:xfrm>
                            <a:off x="0" y="0"/>
                            <a:ext cx="88900" cy="774700"/>
                          </a:xfrm>
                          <a:prstGeom prst="rect">
                            <a:avLst/>
                          </a:prstGeom>
                          <a:noFill/>
                          <a:ln>
                            <a:noFill/>
                          </a:ln>
                        </pic:spPr>
                      </pic:pic>
                    </a:graphicData>
                  </a:graphic>
                </wp:anchor>
              </w:drawing>
            </w:r>
            <w:r>
              <w:rPr>
                <w:color w:val="auto"/>
              </w:rPr>
              <w:drawing>
                <wp:anchor distT="0" distB="0" distL="114300" distR="114300" simplePos="0" relativeHeight="251742208" behindDoc="0" locked="0" layoutInCell="1" allowOverlap="1">
                  <wp:simplePos x="0" y="0"/>
                  <wp:positionH relativeFrom="column">
                    <wp:posOffset>0</wp:posOffset>
                  </wp:positionH>
                  <wp:positionV relativeFrom="paragraph">
                    <wp:posOffset>165100</wp:posOffset>
                  </wp:positionV>
                  <wp:extent cx="88900" cy="774700"/>
                  <wp:effectExtent l="0" t="0" r="0" b="0"/>
                  <wp:wrapNone/>
                  <wp:docPr id="11" name="图片 278"/>
                  <wp:cNvGraphicFramePr/>
                  <a:graphic xmlns:a="http://schemas.openxmlformats.org/drawingml/2006/main">
                    <a:graphicData uri="http://schemas.openxmlformats.org/drawingml/2006/picture">
                      <pic:pic xmlns:pic="http://schemas.openxmlformats.org/drawingml/2006/picture">
                        <pic:nvPicPr>
                          <pic:cNvPr id="11" name="图片 278"/>
                          <pic:cNvPicPr/>
                        </pic:nvPicPr>
                        <pic:blipFill>
                          <a:blip r:embed="rId14"/>
                          <a:stretch>
                            <a:fillRect/>
                          </a:stretch>
                        </pic:blipFill>
                        <pic:spPr>
                          <a:xfrm>
                            <a:off x="0" y="0"/>
                            <a:ext cx="88900" cy="774700"/>
                          </a:xfrm>
                          <a:prstGeom prst="rect">
                            <a:avLst/>
                          </a:prstGeom>
                          <a:noFill/>
                          <a:ln>
                            <a:noFill/>
                          </a:ln>
                        </pic:spPr>
                      </pic:pic>
                    </a:graphicData>
                  </a:graphic>
                </wp:anchor>
              </w:drawing>
            </w:r>
            <w:r>
              <w:rPr>
                <w:color w:val="auto"/>
              </w:rPr>
              <w:drawing>
                <wp:anchor distT="0" distB="0" distL="114300" distR="114300" simplePos="0" relativeHeight="251741184" behindDoc="0" locked="0" layoutInCell="1" allowOverlap="1">
                  <wp:simplePos x="0" y="0"/>
                  <wp:positionH relativeFrom="column">
                    <wp:posOffset>0</wp:posOffset>
                  </wp:positionH>
                  <wp:positionV relativeFrom="paragraph">
                    <wp:posOffset>165100</wp:posOffset>
                  </wp:positionV>
                  <wp:extent cx="88900" cy="774700"/>
                  <wp:effectExtent l="0" t="0" r="0" b="0"/>
                  <wp:wrapNone/>
                  <wp:docPr id="18" name="图片 277"/>
                  <wp:cNvGraphicFramePr/>
                  <a:graphic xmlns:a="http://schemas.openxmlformats.org/drawingml/2006/main">
                    <a:graphicData uri="http://schemas.openxmlformats.org/drawingml/2006/picture">
                      <pic:pic xmlns:pic="http://schemas.openxmlformats.org/drawingml/2006/picture">
                        <pic:nvPicPr>
                          <pic:cNvPr id="18" name="图片 277"/>
                          <pic:cNvPicPr/>
                        </pic:nvPicPr>
                        <pic:blipFill>
                          <a:blip r:embed="rId14"/>
                          <a:stretch>
                            <a:fillRect/>
                          </a:stretch>
                        </pic:blipFill>
                        <pic:spPr>
                          <a:xfrm>
                            <a:off x="0" y="0"/>
                            <a:ext cx="88900" cy="774700"/>
                          </a:xfrm>
                          <a:prstGeom prst="rect">
                            <a:avLst/>
                          </a:prstGeom>
                          <a:noFill/>
                          <a:ln>
                            <a:noFill/>
                          </a:ln>
                        </pic:spPr>
                      </pic:pic>
                    </a:graphicData>
                  </a:graphic>
                </wp:anchor>
              </w:drawing>
            </w:r>
            <w:r>
              <w:rPr>
                <w:color w:val="auto"/>
              </w:rPr>
              <w:drawing>
                <wp:anchor distT="0" distB="0" distL="114300" distR="114300" simplePos="0" relativeHeight="251740160" behindDoc="0" locked="0" layoutInCell="1" allowOverlap="1">
                  <wp:simplePos x="0" y="0"/>
                  <wp:positionH relativeFrom="column">
                    <wp:posOffset>0</wp:posOffset>
                  </wp:positionH>
                  <wp:positionV relativeFrom="paragraph">
                    <wp:posOffset>165100</wp:posOffset>
                  </wp:positionV>
                  <wp:extent cx="88900" cy="965200"/>
                  <wp:effectExtent l="0" t="0" r="0" b="0"/>
                  <wp:wrapNone/>
                  <wp:docPr id="19" name="图片 276"/>
                  <wp:cNvGraphicFramePr/>
                  <a:graphic xmlns:a="http://schemas.openxmlformats.org/drawingml/2006/main">
                    <a:graphicData uri="http://schemas.openxmlformats.org/drawingml/2006/picture">
                      <pic:pic xmlns:pic="http://schemas.openxmlformats.org/drawingml/2006/picture">
                        <pic:nvPicPr>
                          <pic:cNvPr id="19" name="图片 276"/>
                          <pic:cNvPicPr/>
                        </pic:nvPicPr>
                        <pic:blipFill>
                          <a:blip r:embed="rId12"/>
                          <a:stretch>
                            <a:fillRect/>
                          </a:stretch>
                        </pic:blipFill>
                        <pic:spPr>
                          <a:xfrm>
                            <a:off x="0" y="0"/>
                            <a:ext cx="88900" cy="965200"/>
                          </a:xfrm>
                          <a:prstGeom prst="rect">
                            <a:avLst/>
                          </a:prstGeom>
                          <a:noFill/>
                          <a:ln>
                            <a:noFill/>
                          </a:ln>
                        </pic:spPr>
                      </pic:pic>
                    </a:graphicData>
                  </a:graphic>
                </wp:anchor>
              </w:drawing>
            </w:r>
            <w:r>
              <w:rPr>
                <w:color w:val="auto"/>
              </w:rPr>
              <w:drawing>
                <wp:anchor distT="0" distB="0" distL="114300" distR="114300" simplePos="0" relativeHeight="251739136" behindDoc="0" locked="0" layoutInCell="1" allowOverlap="1">
                  <wp:simplePos x="0" y="0"/>
                  <wp:positionH relativeFrom="column">
                    <wp:posOffset>0</wp:posOffset>
                  </wp:positionH>
                  <wp:positionV relativeFrom="paragraph">
                    <wp:posOffset>165100</wp:posOffset>
                  </wp:positionV>
                  <wp:extent cx="88900" cy="965200"/>
                  <wp:effectExtent l="0" t="0" r="0" b="0"/>
                  <wp:wrapNone/>
                  <wp:docPr id="33" name="图片 275"/>
                  <wp:cNvGraphicFramePr/>
                  <a:graphic xmlns:a="http://schemas.openxmlformats.org/drawingml/2006/main">
                    <a:graphicData uri="http://schemas.openxmlformats.org/drawingml/2006/picture">
                      <pic:pic xmlns:pic="http://schemas.openxmlformats.org/drawingml/2006/picture">
                        <pic:nvPicPr>
                          <pic:cNvPr id="33" name="图片 275"/>
                          <pic:cNvPicPr/>
                        </pic:nvPicPr>
                        <pic:blipFill>
                          <a:blip r:embed="rId12"/>
                          <a:stretch>
                            <a:fillRect/>
                          </a:stretch>
                        </pic:blipFill>
                        <pic:spPr>
                          <a:xfrm>
                            <a:off x="0" y="0"/>
                            <a:ext cx="88900" cy="965200"/>
                          </a:xfrm>
                          <a:prstGeom prst="rect">
                            <a:avLst/>
                          </a:prstGeom>
                          <a:noFill/>
                          <a:ln>
                            <a:noFill/>
                          </a:ln>
                        </pic:spPr>
                      </pic:pic>
                    </a:graphicData>
                  </a:graphic>
                </wp:anchor>
              </w:drawing>
            </w:r>
            <w:r>
              <w:rPr>
                <w:color w:val="auto"/>
              </w:rPr>
              <w:drawing>
                <wp:anchor distT="0" distB="0" distL="114300" distR="114300" simplePos="0" relativeHeight="251738112" behindDoc="0" locked="0" layoutInCell="1" allowOverlap="1">
                  <wp:simplePos x="0" y="0"/>
                  <wp:positionH relativeFrom="column">
                    <wp:posOffset>0</wp:posOffset>
                  </wp:positionH>
                  <wp:positionV relativeFrom="paragraph">
                    <wp:posOffset>165100</wp:posOffset>
                  </wp:positionV>
                  <wp:extent cx="88900" cy="965200"/>
                  <wp:effectExtent l="0" t="0" r="0" b="0"/>
                  <wp:wrapNone/>
                  <wp:docPr id="21" name="图片 274"/>
                  <wp:cNvGraphicFramePr/>
                  <a:graphic xmlns:a="http://schemas.openxmlformats.org/drawingml/2006/main">
                    <a:graphicData uri="http://schemas.openxmlformats.org/drawingml/2006/picture">
                      <pic:pic xmlns:pic="http://schemas.openxmlformats.org/drawingml/2006/picture">
                        <pic:nvPicPr>
                          <pic:cNvPr id="21" name="图片 274"/>
                          <pic:cNvPicPr/>
                        </pic:nvPicPr>
                        <pic:blipFill>
                          <a:blip r:embed="rId12"/>
                          <a:stretch>
                            <a:fillRect/>
                          </a:stretch>
                        </pic:blipFill>
                        <pic:spPr>
                          <a:xfrm>
                            <a:off x="0" y="0"/>
                            <a:ext cx="88900" cy="965200"/>
                          </a:xfrm>
                          <a:prstGeom prst="rect">
                            <a:avLst/>
                          </a:prstGeom>
                          <a:noFill/>
                          <a:ln>
                            <a:noFill/>
                          </a:ln>
                        </pic:spPr>
                      </pic:pic>
                    </a:graphicData>
                  </a:graphic>
                </wp:anchor>
              </w:drawing>
            </w:r>
            <w:r>
              <w:rPr>
                <w:color w:val="auto"/>
              </w:rPr>
              <w:drawing>
                <wp:anchor distT="0" distB="0" distL="114300" distR="114300" simplePos="0" relativeHeight="251737088" behindDoc="0" locked="0" layoutInCell="1" allowOverlap="1">
                  <wp:simplePos x="0" y="0"/>
                  <wp:positionH relativeFrom="column">
                    <wp:posOffset>0</wp:posOffset>
                  </wp:positionH>
                  <wp:positionV relativeFrom="paragraph">
                    <wp:posOffset>165100</wp:posOffset>
                  </wp:positionV>
                  <wp:extent cx="88900" cy="965200"/>
                  <wp:effectExtent l="0" t="0" r="0" b="0"/>
                  <wp:wrapNone/>
                  <wp:docPr id="24" name="图片 273"/>
                  <wp:cNvGraphicFramePr/>
                  <a:graphic xmlns:a="http://schemas.openxmlformats.org/drawingml/2006/main">
                    <a:graphicData uri="http://schemas.openxmlformats.org/drawingml/2006/picture">
                      <pic:pic xmlns:pic="http://schemas.openxmlformats.org/drawingml/2006/picture">
                        <pic:nvPicPr>
                          <pic:cNvPr id="24" name="图片 273"/>
                          <pic:cNvPicPr/>
                        </pic:nvPicPr>
                        <pic:blipFill>
                          <a:blip r:embed="rId12"/>
                          <a:stretch>
                            <a:fillRect/>
                          </a:stretch>
                        </pic:blipFill>
                        <pic:spPr>
                          <a:xfrm>
                            <a:off x="0" y="0"/>
                            <a:ext cx="88900" cy="965200"/>
                          </a:xfrm>
                          <a:prstGeom prst="rect">
                            <a:avLst/>
                          </a:prstGeom>
                          <a:noFill/>
                          <a:ln>
                            <a:noFill/>
                          </a:ln>
                        </pic:spPr>
                      </pic:pic>
                    </a:graphicData>
                  </a:graphic>
                </wp:anchor>
              </w:drawing>
            </w:r>
            <w:r>
              <w:rPr>
                <w:color w:val="auto"/>
              </w:rPr>
              <w:drawing>
                <wp:anchor distT="0" distB="0" distL="114300" distR="114300" simplePos="0" relativeHeight="251736064" behindDoc="0" locked="0" layoutInCell="1" allowOverlap="1">
                  <wp:simplePos x="0" y="0"/>
                  <wp:positionH relativeFrom="column">
                    <wp:posOffset>0</wp:posOffset>
                  </wp:positionH>
                  <wp:positionV relativeFrom="paragraph">
                    <wp:posOffset>165100</wp:posOffset>
                  </wp:positionV>
                  <wp:extent cx="88900" cy="965200"/>
                  <wp:effectExtent l="0" t="0" r="0" b="0"/>
                  <wp:wrapNone/>
                  <wp:docPr id="34" name="图片 272"/>
                  <wp:cNvGraphicFramePr/>
                  <a:graphic xmlns:a="http://schemas.openxmlformats.org/drawingml/2006/main">
                    <a:graphicData uri="http://schemas.openxmlformats.org/drawingml/2006/picture">
                      <pic:pic xmlns:pic="http://schemas.openxmlformats.org/drawingml/2006/picture">
                        <pic:nvPicPr>
                          <pic:cNvPr id="34" name="图片 272"/>
                          <pic:cNvPicPr/>
                        </pic:nvPicPr>
                        <pic:blipFill>
                          <a:blip r:embed="rId12"/>
                          <a:stretch>
                            <a:fillRect/>
                          </a:stretch>
                        </pic:blipFill>
                        <pic:spPr>
                          <a:xfrm>
                            <a:off x="0" y="0"/>
                            <a:ext cx="88900" cy="965200"/>
                          </a:xfrm>
                          <a:prstGeom prst="rect">
                            <a:avLst/>
                          </a:prstGeom>
                          <a:noFill/>
                          <a:ln>
                            <a:noFill/>
                          </a:ln>
                        </pic:spPr>
                      </pic:pic>
                    </a:graphicData>
                  </a:graphic>
                </wp:anchor>
              </w:drawing>
            </w:r>
            <w:r>
              <w:rPr>
                <w:color w:val="auto"/>
              </w:rPr>
              <w:drawing>
                <wp:anchor distT="0" distB="0" distL="114300" distR="114300" simplePos="0" relativeHeight="251735040"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2" name="图片 271"/>
                  <wp:cNvGraphicFramePr/>
                  <a:graphic xmlns:a="http://schemas.openxmlformats.org/drawingml/2006/main">
                    <a:graphicData uri="http://schemas.openxmlformats.org/drawingml/2006/picture">
                      <pic:pic xmlns:pic="http://schemas.openxmlformats.org/drawingml/2006/picture">
                        <pic:nvPicPr>
                          <pic:cNvPr id="12" name="图片 271"/>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34016"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5" name="图片 270"/>
                  <wp:cNvGraphicFramePr/>
                  <a:graphic xmlns:a="http://schemas.openxmlformats.org/drawingml/2006/main">
                    <a:graphicData uri="http://schemas.openxmlformats.org/drawingml/2006/picture">
                      <pic:pic xmlns:pic="http://schemas.openxmlformats.org/drawingml/2006/picture">
                        <pic:nvPicPr>
                          <pic:cNvPr id="5" name="图片 270"/>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32992"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31" name="图片 269"/>
                  <wp:cNvGraphicFramePr/>
                  <a:graphic xmlns:a="http://schemas.openxmlformats.org/drawingml/2006/main">
                    <a:graphicData uri="http://schemas.openxmlformats.org/drawingml/2006/picture">
                      <pic:pic xmlns:pic="http://schemas.openxmlformats.org/drawingml/2006/picture">
                        <pic:nvPicPr>
                          <pic:cNvPr id="31" name="图片 269"/>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31968"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3" name="图片 268"/>
                  <wp:cNvGraphicFramePr/>
                  <a:graphic xmlns:a="http://schemas.openxmlformats.org/drawingml/2006/main">
                    <a:graphicData uri="http://schemas.openxmlformats.org/drawingml/2006/picture">
                      <pic:pic xmlns:pic="http://schemas.openxmlformats.org/drawingml/2006/picture">
                        <pic:nvPicPr>
                          <pic:cNvPr id="3" name="图片 268"/>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30944"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28" name="图片 267"/>
                  <wp:cNvGraphicFramePr/>
                  <a:graphic xmlns:a="http://schemas.openxmlformats.org/drawingml/2006/main">
                    <a:graphicData uri="http://schemas.openxmlformats.org/drawingml/2006/picture">
                      <pic:pic xmlns:pic="http://schemas.openxmlformats.org/drawingml/2006/picture">
                        <pic:nvPicPr>
                          <pic:cNvPr id="28" name="图片 267"/>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29920"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5" name="图片 266"/>
                  <wp:cNvGraphicFramePr/>
                  <a:graphic xmlns:a="http://schemas.openxmlformats.org/drawingml/2006/main">
                    <a:graphicData uri="http://schemas.openxmlformats.org/drawingml/2006/picture">
                      <pic:pic xmlns:pic="http://schemas.openxmlformats.org/drawingml/2006/picture">
                        <pic:nvPicPr>
                          <pic:cNvPr id="15" name="图片 266"/>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28896"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3" name="图片 265"/>
                  <wp:cNvGraphicFramePr/>
                  <a:graphic xmlns:a="http://schemas.openxmlformats.org/drawingml/2006/main">
                    <a:graphicData uri="http://schemas.openxmlformats.org/drawingml/2006/picture">
                      <pic:pic xmlns:pic="http://schemas.openxmlformats.org/drawingml/2006/picture">
                        <pic:nvPicPr>
                          <pic:cNvPr id="13" name="图片 265"/>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27872"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20" name="图片 264"/>
                  <wp:cNvGraphicFramePr/>
                  <a:graphic xmlns:a="http://schemas.openxmlformats.org/drawingml/2006/main">
                    <a:graphicData uri="http://schemas.openxmlformats.org/drawingml/2006/picture">
                      <pic:pic xmlns:pic="http://schemas.openxmlformats.org/drawingml/2006/picture">
                        <pic:nvPicPr>
                          <pic:cNvPr id="20" name="图片 264"/>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26848"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22" name="图片 263"/>
                  <wp:cNvGraphicFramePr/>
                  <a:graphic xmlns:a="http://schemas.openxmlformats.org/drawingml/2006/main">
                    <a:graphicData uri="http://schemas.openxmlformats.org/drawingml/2006/picture">
                      <pic:pic xmlns:pic="http://schemas.openxmlformats.org/drawingml/2006/picture">
                        <pic:nvPicPr>
                          <pic:cNvPr id="22" name="图片 263"/>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25824"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4" name="图片 262"/>
                  <wp:cNvGraphicFramePr/>
                  <a:graphic xmlns:a="http://schemas.openxmlformats.org/drawingml/2006/main">
                    <a:graphicData uri="http://schemas.openxmlformats.org/drawingml/2006/picture">
                      <pic:pic xmlns:pic="http://schemas.openxmlformats.org/drawingml/2006/picture">
                        <pic:nvPicPr>
                          <pic:cNvPr id="4" name="图片 262"/>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24800"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8" name="图片 261"/>
                  <wp:cNvGraphicFramePr/>
                  <a:graphic xmlns:a="http://schemas.openxmlformats.org/drawingml/2006/main">
                    <a:graphicData uri="http://schemas.openxmlformats.org/drawingml/2006/picture">
                      <pic:pic xmlns:pic="http://schemas.openxmlformats.org/drawingml/2006/picture">
                        <pic:nvPicPr>
                          <pic:cNvPr id="8" name="图片 261"/>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23776"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29" name="图片 260"/>
                  <wp:cNvGraphicFramePr/>
                  <a:graphic xmlns:a="http://schemas.openxmlformats.org/drawingml/2006/main">
                    <a:graphicData uri="http://schemas.openxmlformats.org/drawingml/2006/picture">
                      <pic:pic xmlns:pic="http://schemas.openxmlformats.org/drawingml/2006/picture">
                        <pic:nvPicPr>
                          <pic:cNvPr id="29" name="图片 260"/>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22752"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6" name="图片 259"/>
                  <wp:cNvGraphicFramePr/>
                  <a:graphic xmlns:a="http://schemas.openxmlformats.org/drawingml/2006/main">
                    <a:graphicData uri="http://schemas.openxmlformats.org/drawingml/2006/picture">
                      <pic:pic xmlns:pic="http://schemas.openxmlformats.org/drawingml/2006/picture">
                        <pic:nvPicPr>
                          <pic:cNvPr id="6" name="图片 259"/>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21728"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4" name="图片 258"/>
                  <wp:cNvGraphicFramePr/>
                  <a:graphic xmlns:a="http://schemas.openxmlformats.org/drawingml/2006/main">
                    <a:graphicData uri="http://schemas.openxmlformats.org/drawingml/2006/picture">
                      <pic:pic xmlns:pic="http://schemas.openxmlformats.org/drawingml/2006/picture">
                        <pic:nvPicPr>
                          <pic:cNvPr id="14" name="图片 258"/>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20704"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23" name="图片 257"/>
                  <wp:cNvGraphicFramePr/>
                  <a:graphic xmlns:a="http://schemas.openxmlformats.org/drawingml/2006/main">
                    <a:graphicData uri="http://schemas.openxmlformats.org/drawingml/2006/picture">
                      <pic:pic xmlns:pic="http://schemas.openxmlformats.org/drawingml/2006/picture">
                        <pic:nvPicPr>
                          <pic:cNvPr id="23" name="图片 257"/>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19680"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25" name="图片 256"/>
                  <wp:cNvGraphicFramePr/>
                  <a:graphic xmlns:a="http://schemas.openxmlformats.org/drawingml/2006/main">
                    <a:graphicData uri="http://schemas.openxmlformats.org/drawingml/2006/picture">
                      <pic:pic xmlns:pic="http://schemas.openxmlformats.org/drawingml/2006/picture">
                        <pic:nvPicPr>
                          <pic:cNvPr id="25" name="图片 256"/>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18656"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26" name="图片 255"/>
                  <wp:cNvGraphicFramePr/>
                  <a:graphic xmlns:a="http://schemas.openxmlformats.org/drawingml/2006/main">
                    <a:graphicData uri="http://schemas.openxmlformats.org/drawingml/2006/picture">
                      <pic:pic xmlns:pic="http://schemas.openxmlformats.org/drawingml/2006/picture">
                        <pic:nvPicPr>
                          <pic:cNvPr id="26" name="图片 255"/>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17632"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16" name="图片 254"/>
                  <wp:cNvGraphicFramePr/>
                  <a:graphic xmlns:a="http://schemas.openxmlformats.org/drawingml/2006/main">
                    <a:graphicData uri="http://schemas.openxmlformats.org/drawingml/2006/picture">
                      <pic:pic xmlns:pic="http://schemas.openxmlformats.org/drawingml/2006/picture">
                        <pic:nvPicPr>
                          <pic:cNvPr id="16" name="图片 254"/>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16608"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27" name="图片 253"/>
                  <wp:cNvGraphicFramePr/>
                  <a:graphic xmlns:a="http://schemas.openxmlformats.org/drawingml/2006/main">
                    <a:graphicData uri="http://schemas.openxmlformats.org/drawingml/2006/picture">
                      <pic:pic xmlns:pic="http://schemas.openxmlformats.org/drawingml/2006/picture">
                        <pic:nvPicPr>
                          <pic:cNvPr id="27" name="图片 253"/>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15584"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7" name="图片 252"/>
                  <wp:cNvGraphicFramePr/>
                  <a:graphic xmlns:a="http://schemas.openxmlformats.org/drawingml/2006/main">
                    <a:graphicData uri="http://schemas.openxmlformats.org/drawingml/2006/picture">
                      <pic:pic xmlns:pic="http://schemas.openxmlformats.org/drawingml/2006/picture">
                        <pic:nvPicPr>
                          <pic:cNvPr id="7" name="图片 252"/>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14560"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9" name="图片 251"/>
                  <wp:cNvGraphicFramePr/>
                  <a:graphic xmlns:a="http://schemas.openxmlformats.org/drawingml/2006/main">
                    <a:graphicData uri="http://schemas.openxmlformats.org/drawingml/2006/picture">
                      <pic:pic xmlns:pic="http://schemas.openxmlformats.org/drawingml/2006/picture">
                        <pic:nvPicPr>
                          <pic:cNvPr id="9" name="图片 251"/>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13536"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30" name="图片 250"/>
                  <wp:cNvGraphicFramePr/>
                  <a:graphic xmlns:a="http://schemas.openxmlformats.org/drawingml/2006/main">
                    <a:graphicData uri="http://schemas.openxmlformats.org/drawingml/2006/picture">
                      <pic:pic xmlns:pic="http://schemas.openxmlformats.org/drawingml/2006/picture">
                        <pic:nvPicPr>
                          <pic:cNvPr id="30" name="图片 250"/>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12512"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65" name="图片 249"/>
                  <wp:cNvGraphicFramePr/>
                  <a:graphic xmlns:a="http://schemas.openxmlformats.org/drawingml/2006/main">
                    <a:graphicData uri="http://schemas.openxmlformats.org/drawingml/2006/picture">
                      <pic:pic xmlns:pic="http://schemas.openxmlformats.org/drawingml/2006/picture">
                        <pic:nvPicPr>
                          <pic:cNvPr id="65" name="图片 249"/>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11488"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35" name="图片 248"/>
                  <wp:cNvGraphicFramePr/>
                  <a:graphic xmlns:a="http://schemas.openxmlformats.org/drawingml/2006/main">
                    <a:graphicData uri="http://schemas.openxmlformats.org/drawingml/2006/picture">
                      <pic:pic xmlns:pic="http://schemas.openxmlformats.org/drawingml/2006/picture">
                        <pic:nvPicPr>
                          <pic:cNvPr id="35" name="图片 248"/>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10464"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40" name="图片 247"/>
                  <wp:cNvGraphicFramePr/>
                  <a:graphic xmlns:a="http://schemas.openxmlformats.org/drawingml/2006/main">
                    <a:graphicData uri="http://schemas.openxmlformats.org/drawingml/2006/picture">
                      <pic:pic xmlns:pic="http://schemas.openxmlformats.org/drawingml/2006/picture">
                        <pic:nvPicPr>
                          <pic:cNvPr id="40" name="图片 247"/>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09440"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41" name="图片 246"/>
                  <wp:cNvGraphicFramePr/>
                  <a:graphic xmlns:a="http://schemas.openxmlformats.org/drawingml/2006/main">
                    <a:graphicData uri="http://schemas.openxmlformats.org/drawingml/2006/picture">
                      <pic:pic xmlns:pic="http://schemas.openxmlformats.org/drawingml/2006/picture">
                        <pic:nvPicPr>
                          <pic:cNvPr id="41" name="图片 246"/>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08416"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50" name="图片 245"/>
                  <wp:cNvGraphicFramePr/>
                  <a:graphic xmlns:a="http://schemas.openxmlformats.org/drawingml/2006/main">
                    <a:graphicData uri="http://schemas.openxmlformats.org/drawingml/2006/picture">
                      <pic:pic xmlns:pic="http://schemas.openxmlformats.org/drawingml/2006/picture">
                        <pic:nvPicPr>
                          <pic:cNvPr id="50" name="图片 245"/>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07392"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61" name="图片 244"/>
                  <wp:cNvGraphicFramePr/>
                  <a:graphic xmlns:a="http://schemas.openxmlformats.org/drawingml/2006/main">
                    <a:graphicData uri="http://schemas.openxmlformats.org/drawingml/2006/picture">
                      <pic:pic xmlns:pic="http://schemas.openxmlformats.org/drawingml/2006/picture">
                        <pic:nvPicPr>
                          <pic:cNvPr id="61" name="图片 244"/>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06368"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44" name="图片 243"/>
                  <wp:cNvGraphicFramePr/>
                  <a:graphic xmlns:a="http://schemas.openxmlformats.org/drawingml/2006/main">
                    <a:graphicData uri="http://schemas.openxmlformats.org/drawingml/2006/picture">
                      <pic:pic xmlns:pic="http://schemas.openxmlformats.org/drawingml/2006/picture">
                        <pic:nvPicPr>
                          <pic:cNvPr id="44" name="图片 243"/>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05344" behindDoc="0" locked="0" layoutInCell="1" allowOverlap="1">
                  <wp:simplePos x="0" y="0"/>
                  <wp:positionH relativeFrom="column">
                    <wp:posOffset>0</wp:posOffset>
                  </wp:positionH>
                  <wp:positionV relativeFrom="paragraph">
                    <wp:posOffset>165100</wp:posOffset>
                  </wp:positionV>
                  <wp:extent cx="88900" cy="533400"/>
                  <wp:effectExtent l="0" t="0" r="0" b="0"/>
                  <wp:wrapNone/>
                  <wp:docPr id="64" name="图片 242"/>
                  <wp:cNvGraphicFramePr/>
                  <a:graphic xmlns:a="http://schemas.openxmlformats.org/drawingml/2006/main">
                    <a:graphicData uri="http://schemas.openxmlformats.org/drawingml/2006/picture">
                      <pic:pic xmlns:pic="http://schemas.openxmlformats.org/drawingml/2006/picture">
                        <pic:nvPicPr>
                          <pic:cNvPr id="64" name="图片 242"/>
                          <pic:cNvPicPr/>
                        </pic:nvPicPr>
                        <pic:blipFill>
                          <a:blip r:embed="rId11"/>
                          <a:stretch>
                            <a:fillRect/>
                          </a:stretch>
                        </pic:blipFill>
                        <pic:spPr>
                          <a:xfrm>
                            <a:off x="0" y="0"/>
                            <a:ext cx="88900" cy="533400"/>
                          </a:xfrm>
                          <a:prstGeom prst="rect">
                            <a:avLst/>
                          </a:prstGeom>
                          <a:noFill/>
                          <a:ln>
                            <a:noFill/>
                          </a:ln>
                        </pic:spPr>
                      </pic:pic>
                    </a:graphicData>
                  </a:graphic>
                </wp:anchor>
              </w:drawing>
            </w:r>
            <w:r>
              <w:rPr>
                <w:color w:val="auto"/>
              </w:rPr>
              <w:drawing>
                <wp:anchor distT="0" distB="0" distL="114300" distR="114300" simplePos="0" relativeHeight="251704320" behindDoc="0" locked="0" layoutInCell="1" allowOverlap="1">
                  <wp:simplePos x="0" y="0"/>
                  <wp:positionH relativeFrom="column">
                    <wp:posOffset>0</wp:posOffset>
                  </wp:positionH>
                  <wp:positionV relativeFrom="paragraph">
                    <wp:posOffset>165100</wp:posOffset>
                  </wp:positionV>
                  <wp:extent cx="88900" cy="774700"/>
                  <wp:effectExtent l="0" t="0" r="0" b="0"/>
                  <wp:wrapNone/>
                  <wp:docPr id="36" name="图片 241"/>
                  <wp:cNvGraphicFramePr/>
                  <a:graphic xmlns:a="http://schemas.openxmlformats.org/drawingml/2006/main">
                    <a:graphicData uri="http://schemas.openxmlformats.org/drawingml/2006/picture">
                      <pic:pic xmlns:pic="http://schemas.openxmlformats.org/drawingml/2006/picture">
                        <pic:nvPicPr>
                          <pic:cNvPr id="36" name="图片 241"/>
                          <pic:cNvPicPr/>
                        </pic:nvPicPr>
                        <pic:blipFill>
                          <a:blip r:embed="rId14"/>
                          <a:stretch>
                            <a:fillRect/>
                          </a:stretch>
                        </pic:blipFill>
                        <pic:spPr>
                          <a:xfrm>
                            <a:off x="0" y="0"/>
                            <a:ext cx="88900" cy="774700"/>
                          </a:xfrm>
                          <a:prstGeom prst="rect">
                            <a:avLst/>
                          </a:prstGeom>
                          <a:noFill/>
                          <a:ln>
                            <a:noFill/>
                          </a:ln>
                        </pic:spPr>
                      </pic:pic>
                    </a:graphicData>
                  </a:graphic>
                </wp:anchor>
              </w:drawing>
            </w:r>
            <w:r>
              <w:rPr>
                <w:color w:val="auto"/>
              </w:rPr>
              <w:drawing>
                <wp:anchor distT="0" distB="0" distL="114300" distR="114300" simplePos="0" relativeHeight="251703296" behindDoc="0" locked="0" layoutInCell="1" allowOverlap="1">
                  <wp:simplePos x="0" y="0"/>
                  <wp:positionH relativeFrom="column">
                    <wp:posOffset>0</wp:posOffset>
                  </wp:positionH>
                  <wp:positionV relativeFrom="paragraph">
                    <wp:posOffset>165100</wp:posOffset>
                  </wp:positionV>
                  <wp:extent cx="88900" cy="774700"/>
                  <wp:effectExtent l="0" t="0" r="0" b="0"/>
                  <wp:wrapNone/>
                  <wp:docPr id="59" name="图片 240"/>
                  <wp:cNvGraphicFramePr/>
                  <a:graphic xmlns:a="http://schemas.openxmlformats.org/drawingml/2006/main">
                    <a:graphicData uri="http://schemas.openxmlformats.org/drawingml/2006/picture">
                      <pic:pic xmlns:pic="http://schemas.openxmlformats.org/drawingml/2006/picture">
                        <pic:nvPicPr>
                          <pic:cNvPr id="59" name="图片 240"/>
                          <pic:cNvPicPr/>
                        </pic:nvPicPr>
                        <pic:blipFill>
                          <a:blip r:embed="rId14"/>
                          <a:stretch>
                            <a:fillRect/>
                          </a:stretch>
                        </pic:blipFill>
                        <pic:spPr>
                          <a:xfrm>
                            <a:off x="0" y="0"/>
                            <a:ext cx="88900" cy="774700"/>
                          </a:xfrm>
                          <a:prstGeom prst="rect">
                            <a:avLst/>
                          </a:prstGeom>
                          <a:noFill/>
                          <a:ln>
                            <a:noFill/>
                          </a:ln>
                        </pic:spPr>
                      </pic:pic>
                    </a:graphicData>
                  </a:graphic>
                </wp:anchor>
              </w:drawing>
            </w:r>
            <w:r>
              <w:rPr>
                <w:color w:val="auto"/>
              </w:rPr>
              <w:drawing>
                <wp:anchor distT="0" distB="0" distL="114300" distR="114300" simplePos="0" relativeHeight="251702272" behindDoc="0" locked="0" layoutInCell="1" allowOverlap="1">
                  <wp:simplePos x="0" y="0"/>
                  <wp:positionH relativeFrom="column">
                    <wp:posOffset>0</wp:posOffset>
                  </wp:positionH>
                  <wp:positionV relativeFrom="paragraph">
                    <wp:posOffset>165100</wp:posOffset>
                  </wp:positionV>
                  <wp:extent cx="88900" cy="774700"/>
                  <wp:effectExtent l="0" t="0" r="0" b="0"/>
                  <wp:wrapNone/>
                  <wp:docPr id="48" name="图片 239"/>
                  <wp:cNvGraphicFramePr/>
                  <a:graphic xmlns:a="http://schemas.openxmlformats.org/drawingml/2006/main">
                    <a:graphicData uri="http://schemas.openxmlformats.org/drawingml/2006/picture">
                      <pic:pic xmlns:pic="http://schemas.openxmlformats.org/drawingml/2006/picture">
                        <pic:nvPicPr>
                          <pic:cNvPr id="48" name="图片 239"/>
                          <pic:cNvPicPr/>
                        </pic:nvPicPr>
                        <pic:blipFill>
                          <a:blip r:embed="rId14"/>
                          <a:stretch>
                            <a:fillRect/>
                          </a:stretch>
                        </pic:blipFill>
                        <pic:spPr>
                          <a:xfrm>
                            <a:off x="0" y="0"/>
                            <a:ext cx="88900" cy="774700"/>
                          </a:xfrm>
                          <a:prstGeom prst="rect">
                            <a:avLst/>
                          </a:prstGeom>
                          <a:noFill/>
                          <a:ln>
                            <a:noFill/>
                          </a:ln>
                        </pic:spPr>
                      </pic:pic>
                    </a:graphicData>
                  </a:graphic>
                </wp:anchor>
              </w:drawing>
            </w:r>
            <w:r>
              <w:rPr>
                <w:color w:val="auto"/>
              </w:rPr>
              <w:drawing>
                <wp:anchor distT="0" distB="0" distL="114300" distR="114300" simplePos="0" relativeHeight="251701248" behindDoc="0" locked="0" layoutInCell="1" allowOverlap="1">
                  <wp:simplePos x="0" y="0"/>
                  <wp:positionH relativeFrom="column">
                    <wp:posOffset>0</wp:posOffset>
                  </wp:positionH>
                  <wp:positionV relativeFrom="paragraph">
                    <wp:posOffset>165100</wp:posOffset>
                  </wp:positionV>
                  <wp:extent cx="88900" cy="774700"/>
                  <wp:effectExtent l="0" t="0" r="0" b="0"/>
                  <wp:wrapNone/>
                  <wp:docPr id="66" name="图片 238"/>
                  <wp:cNvGraphicFramePr/>
                  <a:graphic xmlns:a="http://schemas.openxmlformats.org/drawingml/2006/main">
                    <a:graphicData uri="http://schemas.openxmlformats.org/drawingml/2006/picture">
                      <pic:pic xmlns:pic="http://schemas.openxmlformats.org/drawingml/2006/picture">
                        <pic:nvPicPr>
                          <pic:cNvPr id="66" name="图片 238"/>
                          <pic:cNvPicPr/>
                        </pic:nvPicPr>
                        <pic:blipFill>
                          <a:blip r:embed="rId14"/>
                          <a:stretch>
                            <a:fillRect/>
                          </a:stretch>
                        </pic:blipFill>
                        <pic:spPr>
                          <a:xfrm>
                            <a:off x="0" y="0"/>
                            <a:ext cx="88900" cy="774700"/>
                          </a:xfrm>
                          <a:prstGeom prst="rect">
                            <a:avLst/>
                          </a:prstGeom>
                          <a:noFill/>
                          <a:ln>
                            <a:noFill/>
                          </a:ln>
                        </pic:spPr>
                      </pic:pic>
                    </a:graphicData>
                  </a:graphic>
                </wp:anchor>
              </w:drawing>
            </w:r>
            <w:r>
              <w:rPr>
                <w:color w:val="auto"/>
              </w:rPr>
              <w:drawing>
                <wp:anchor distT="0" distB="0" distL="114300" distR="114300" simplePos="0" relativeHeight="251700224" behindDoc="0" locked="0" layoutInCell="1" allowOverlap="1">
                  <wp:simplePos x="0" y="0"/>
                  <wp:positionH relativeFrom="column">
                    <wp:posOffset>0</wp:posOffset>
                  </wp:positionH>
                  <wp:positionV relativeFrom="paragraph">
                    <wp:posOffset>165100</wp:posOffset>
                  </wp:positionV>
                  <wp:extent cx="88900" cy="774700"/>
                  <wp:effectExtent l="0" t="0" r="0" b="0"/>
                  <wp:wrapNone/>
                  <wp:docPr id="37" name="图片 237"/>
                  <wp:cNvGraphicFramePr/>
                  <a:graphic xmlns:a="http://schemas.openxmlformats.org/drawingml/2006/main">
                    <a:graphicData uri="http://schemas.openxmlformats.org/drawingml/2006/picture">
                      <pic:pic xmlns:pic="http://schemas.openxmlformats.org/drawingml/2006/picture">
                        <pic:nvPicPr>
                          <pic:cNvPr id="37" name="图片 237"/>
                          <pic:cNvPicPr/>
                        </pic:nvPicPr>
                        <pic:blipFill>
                          <a:blip r:embed="rId14"/>
                          <a:stretch>
                            <a:fillRect/>
                          </a:stretch>
                        </pic:blipFill>
                        <pic:spPr>
                          <a:xfrm>
                            <a:off x="0" y="0"/>
                            <a:ext cx="88900" cy="774700"/>
                          </a:xfrm>
                          <a:prstGeom prst="rect">
                            <a:avLst/>
                          </a:prstGeom>
                          <a:noFill/>
                          <a:ln>
                            <a:noFill/>
                          </a:ln>
                        </pic:spPr>
                      </pic:pic>
                    </a:graphicData>
                  </a:graphic>
                </wp:anchor>
              </w:drawing>
            </w:r>
            <w:r>
              <w:rPr>
                <w:color w:val="auto"/>
              </w:rPr>
              <w:drawing>
                <wp:anchor distT="0" distB="0" distL="114300" distR="114300" simplePos="0" relativeHeight="251699200" behindDoc="0" locked="0" layoutInCell="1" allowOverlap="1">
                  <wp:simplePos x="0" y="0"/>
                  <wp:positionH relativeFrom="column">
                    <wp:posOffset>0</wp:posOffset>
                  </wp:positionH>
                  <wp:positionV relativeFrom="paragraph">
                    <wp:posOffset>165100</wp:posOffset>
                  </wp:positionV>
                  <wp:extent cx="88900" cy="774700"/>
                  <wp:effectExtent l="0" t="0" r="0" b="0"/>
                  <wp:wrapNone/>
                  <wp:docPr id="51" name="图片 236"/>
                  <wp:cNvGraphicFramePr/>
                  <a:graphic xmlns:a="http://schemas.openxmlformats.org/drawingml/2006/main">
                    <a:graphicData uri="http://schemas.openxmlformats.org/drawingml/2006/picture">
                      <pic:pic xmlns:pic="http://schemas.openxmlformats.org/drawingml/2006/picture">
                        <pic:nvPicPr>
                          <pic:cNvPr id="51" name="图片 236"/>
                          <pic:cNvPicPr/>
                        </pic:nvPicPr>
                        <pic:blipFill>
                          <a:blip r:embed="rId14"/>
                          <a:stretch>
                            <a:fillRect/>
                          </a:stretch>
                        </pic:blipFill>
                        <pic:spPr>
                          <a:xfrm>
                            <a:off x="0" y="0"/>
                            <a:ext cx="88900" cy="774700"/>
                          </a:xfrm>
                          <a:prstGeom prst="rect">
                            <a:avLst/>
                          </a:prstGeom>
                          <a:noFill/>
                          <a:ln>
                            <a:noFill/>
                          </a:ln>
                        </pic:spPr>
                      </pic:pic>
                    </a:graphicData>
                  </a:graphic>
                </wp:anchor>
              </w:drawing>
            </w:r>
            <w:r>
              <w:rPr>
                <w:color w:val="auto"/>
              </w:rPr>
              <w:drawing>
                <wp:anchor distT="0" distB="0" distL="114300" distR="114300" simplePos="0" relativeHeight="251698176" behindDoc="0" locked="0" layoutInCell="1" allowOverlap="1">
                  <wp:simplePos x="0" y="0"/>
                  <wp:positionH relativeFrom="column">
                    <wp:posOffset>0</wp:posOffset>
                  </wp:positionH>
                  <wp:positionV relativeFrom="paragraph">
                    <wp:posOffset>165100</wp:posOffset>
                  </wp:positionV>
                  <wp:extent cx="88900" cy="774700"/>
                  <wp:effectExtent l="0" t="0" r="0" b="0"/>
                  <wp:wrapNone/>
                  <wp:docPr id="39" name="图片 235"/>
                  <wp:cNvGraphicFramePr/>
                  <a:graphic xmlns:a="http://schemas.openxmlformats.org/drawingml/2006/main">
                    <a:graphicData uri="http://schemas.openxmlformats.org/drawingml/2006/picture">
                      <pic:pic xmlns:pic="http://schemas.openxmlformats.org/drawingml/2006/picture">
                        <pic:nvPicPr>
                          <pic:cNvPr id="39" name="图片 235"/>
                          <pic:cNvPicPr/>
                        </pic:nvPicPr>
                        <pic:blipFill>
                          <a:blip r:embed="rId14"/>
                          <a:stretch>
                            <a:fillRect/>
                          </a:stretch>
                        </pic:blipFill>
                        <pic:spPr>
                          <a:xfrm>
                            <a:off x="0" y="0"/>
                            <a:ext cx="88900" cy="774700"/>
                          </a:xfrm>
                          <a:prstGeom prst="rect">
                            <a:avLst/>
                          </a:prstGeom>
                          <a:noFill/>
                          <a:ln>
                            <a:noFill/>
                          </a:ln>
                        </pic:spPr>
                      </pic:pic>
                    </a:graphicData>
                  </a:graphic>
                </wp:anchor>
              </w:drawing>
            </w:r>
            <w:r>
              <w:rPr>
                <w:color w:val="auto"/>
              </w:rPr>
              <w:drawing>
                <wp:anchor distT="0" distB="0" distL="114300" distR="114300" simplePos="0" relativeHeight="251697152" behindDoc="0" locked="0" layoutInCell="1" allowOverlap="1">
                  <wp:simplePos x="0" y="0"/>
                  <wp:positionH relativeFrom="column">
                    <wp:posOffset>0</wp:posOffset>
                  </wp:positionH>
                  <wp:positionV relativeFrom="paragraph">
                    <wp:posOffset>165100</wp:posOffset>
                  </wp:positionV>
                  <wp:extent cx="88900" cy="774700"/>
                  <wp:effectExtent l="0" t="0" r="0" b="0"/>
                  <wp:wrapNone/>
                  <wp:docPr id="45" name="图片 234"/>
                  <wp:cNvGraphicFramePr/>
                  <a:graphic xmlns:a="http://schemas.openxmlformats.org/drawingml/2006/main">
                    <a:graphicData uri="http://schemas.openxmlformats.org/drawingml/2006/picture">
                      <pic:pic xmlns:pic="http://schemas.openxmlformats.org/drawingml/2006/picture">
                        <pic:nvPicPr>
                          <pic:cNvPr id="45" name="图片 234"/>
                          <pic:cNvPicPr/>
                        </pic:nvPicPr>
                        <pic:blipFill>
                          <a:blip r:embed="rId14"/>
                          <a:stretch>
                            <a:fillRect/>
                          </a:stretch>
                        </pic:blipFill>
                        <pic:spPr>
                          <a:xfrm>
                            <a:off x="0" y="0"/>
                            <a:ext cx="88900" cy="774700"/>
                          </a:xfrm>
                          <a:prstGeom prst="rect">
                            <a:avLst/>
                          </a:prstGeom>
                          <a:noFill/>
                          <a:ln>
                            <a:noFill/>
                          </a:ln>
                        </pic:spPr>
                      </pic:pic>
                    </a:graphicData>
                  </a:graphic>
                </wp:anchor>
              </w:drawing>
            </w:r>
            <w:r>
              <w:rPr>
                <w:color w:val="auto"/>
              </w:rPr>
              <w:drawing>
                <wp:anchor distT="0" distB="0" distL="114300" distR="114300" simplePos="0" relativeHeight="251696128" behindDoc="0" locked="0" layoutInCell="1" allowOverlap="1">
                  <wp:simplePos x="0" y="0"/>
                  <wp:positionH relativeFrom="column">
                    <wp:posOffset>0</wp:posOffset>
                  </wp:positionH>
                  <wp:positionV relativeFrom="paragraph">
                    <wp:posOffset>165100</wp:posOffset>
                  </wp:positionV>
                  <wp:extent cx="88900" cy="774700"/>
                  <wp:effectExtent l="0" t="0" r="0" b="0"/>
                  <wp:wrapNone/>
                  <wp:docPr id="38" name="图片 233"/>
                  <wp:cNvGraphicFramePr/>
                  <a:graphic xmlns:a="http://schemas.openxmlformats.org/drawingml/2006/main">
                    <a:graphicData uri="http://schemas.openxmlformats.org/drawingml/2006/picture">
                      <pic:pic xmlns:pic="http://schemas.openxmlformats.org/drawingml/2006/picture">
                        <pic:nvPicPr>
                          <pic:cNvPr id="38" name="图片 233"/>
                          <pic:cNvPicPr/>
                        </pic:nvPicPr>
                        <pic:blipFill>
                          <a:blip r:embed="rId14"/>
                          <a:stretch>
                            <a:fillRect/>
                          </a:stretch>
                        </pic:blipFill>
                        <pic:spPr>
                          <a:xfrm>
                            <a:off x="0" y="0"/>
                            <a:ext cx="88900" cy="774700"/>
                          </a:xfrm>
                          <a:prstGeom prst="rect">
                            <a:avLst/>
                          </a:prstGeom>
                          <a:noFill/>
                          <a:ln>
                            <a:noFill/>
                          </a:ln>
                        </pic:spPr>
                      </pic:pic>
                    </a:graphicData>
                  </a:graphic>
                </wp:anchor>
              </w:drawing>
            </w:r>
            <w:r>
              <w:rPr>
                <w:color w:val="auto"/>
              </w:rPr>
              <w:drawing>
                <wp:anchor distT="0" distB="0" distL="114300" distR="114300" simplePos="0" relativeHeight="251695104" behindDoc="0" locked="0" layoutInCell="1" allowOverlap="1">
                  <wp:simplePos x="0" y="0"/>
                  <wp:positionH relativeFrom="column">
                    <wp:posOffset>0</wp:posOffset>
                  </wp:positionH>
                  <wp:positionV relativeFrom="paragraph">
                    <wp:posOffset>165100</wp:posOffset>
                  </wp:positionV>
                  <wp:extent cx="88900" cy="774700"/>
                  <wp:effectExtent l="0" t="0" r="0" b="0"/>
                  <wp:wrapNone/>
                  <wp:docPr id="47" name="图片 232"/>
                  <wp:cNvGraphicFramePr/>
                  <a:graphic xmlns:a="http://schemas.openxmlformats.org/drawingml/2006/main">
                    <a:graphicData uri="http://schemas.openxmlformats.org/drawingml/2006/picture">
                      <pic:pic xmlns:pic="http://schemas.openxmlformats.org/drawingml/2006/picture">
                        <pic:nvPicPr>
                          <pic:cNvPr id="47" name="图片 232"/>
                          <pic:cNvPicPr/>
                        </pic:nvPicPr>
                        <pic:blipFill>
                          <a:blip r:embed="rId14"/>
                          <a:stretch>
                            <a:fillRect/>
                          </a:stretch>
                        </pic:blipFill>
                        <pic:spPr>
                          <a:xfrm>
                            <a:off x="0" y="0"/>
                            <a:ext cx="88900" cy="774700"/>
                          </a:xfrm>
                          <a:prstGeom prst="rect">
                            <a:avLst/>
                          </a:prstGeom>
                          <a:noFill/>
                          <a:ln>
                            <a:noFill/>
                          </a:ln>
                        </pic:spPr>
                      </pic:pic>
                    </a:graphicData>
                  </a:graphic>
                </wp:anchor>
              </w:drawing>
            </w:r>
            <w:r>
              <w:rPr>
                <w:color w:val="auto"/>
              </w:rPr>
              <w:drawing>
                <wp:anchor distT="0" distB="0" distL="114300" distR="114300" simplePos="0" relativeHeight="251694080" behindDoc="0" locked="0" layoutInCell="1" allowOverlap="1">
                  <wp:simplePos x="0" y="0"/>
                  <wp:positionH relativeFrom="column">
                    <wp:posOffset>0</wp:posOffset>
                  </wp:positionH>
                  <wp:positionV relativeFrom="paragraph">
                    <wp:posOffset>165100</wp:posOffset>
                  </wp:positionV>
                  <wp:extent cx="88900" cy="876300"/>
                  <wp:effectExtent l="0" t="0" r="0" b="0"/>
                  <wp:wrapNone/>
                  <wp:docPr id="58" name="图片 231"/>
                  <wp:cNvGraphicFramePr/>
                  <a:graphic xmlns:a="http://schemas.openxmlformats.org/drawingml/2006/main">
                    <a:graphicData uri="http://schemas.openxmlformats.org/drawingml/2006/picture">
                      <pic:pic xmlns:pic="http://schemas.openxmlformats.org/drawingml/2006/picture">
                        <pic:nvPicPr>
                          <pic:cNvPr id="58" name="图片 231"/>
                          <pic:cNvPicPr/>
                        </pic:nvPicPr>
                        <pic:blipFill>
                          <a:blip r:embed="rId15"/>
                          <a:stretch>
                            <a:fillRect/>
                          </a:stretch>
                        </pic:blipFill>
                        <pic:spPr>
                          <a:xfrm>
                            <a:off x="0" y="0"/>
                            <a:ext cx="88900" cy="876300"/>
                          </a:xfrm>
                          <a:prstGeom prst="rect">
                            <a:avLst/>
                          </a:prstGeom>
                          <a:noFill/>
                          <a:ln>
                            <a:noFill/>
                          </a:ln>
                        </pic:spPr>
                      </pic:pic>
                    </a:graphicData>
                  </a:graphic>
                </wp:anchor>
              </w:drawing>
            </w:r>
            <w:r>
              <w:rPr>
                <w:color w:val="auto"/>
              </w:rPr>
              <w:drawing>
                <wp:anchor distT="0" distB="0" distL="114300" distR="114300" simplePos="0" relativeHeight="251693056" behindDoc="0" locked="0" layoutInCell="1" allowOverlap="1">
                  <wp:simplePos x="0" y="0"/>
                  <wp:positionH relativeFrom="column">
                    <wp:posOffset>0</wp:posOffset>
                  </wp:positionH>
                  <wp:positionV relativeFrom="paragraph">
                    <wp:posOffset>165100</wp:posOffset>
                  </wp:positionV>
                  <wp:extent cx="88900" cy="876300"/>
                  <wp:effectExtent l="0" t="0" r="0" b="0"/>
                  <wp:wrapNone/>
                  <wp:docPr id="63" name="图片 230"/>
                  <wp:cNvGraphicFramePr/>
                  <a:graphic xmlns:a="http://schemas.openxmlformats.org/drawingml/2006/main">
                    <a:graphicData uri="http://schemas.openxmlformats.org/drawingml/2006/picture">
                      <pic:pic xmlns:pic="http://schemas.openxmlformats.org/drawingml/2006/picture">
                        <pic:nvPicPr>
                          <pic:cNvPr id="63" name="图片 230"/>
                          <pic:cNvPicPr/>
                        </pic:nvPicPr>
                        <pic:blipFill>
                          <a:blip r:embed="rId15"/>
                          <a:stretch>
                            <a:fillRect/>
                          </a:stretch>
                        </pic:blipFill>
                        <pic:spPr>
                          <a:xfrm>
                            <a:off x="0" y="0"/>
                            <a:ext cx="88900" cy="876300"/>
                          </a:xfrm>
                          <a:prstGeom prst="rect">
                            <a:avLst/>
                          </a:prstGeom>
                          <a:noFill/>
                          <a:ln>
                            <a:noFill/>
                          </a:ln>
                        </pic:spPr>
                      </pic:pic>
                    </a:graphicData>
                  </a:graphic>
                </wp:anchor>
              </w:drawing>
            </w:r>
            <w:r>
              <w:rPr>
                <w:color w:val="auto"/>
              </w:rPr>
              <w:drawing>
                <wp:anchor distT="0" distB="0" distL="114300" distR="114300" simplePos="0" relativeHeight="251692032" behindDoc="0" locked="0" layoutInCell="1" allowOverlap="1">
                  <wp:simplePos x="0" y="0"/>
                  <wp:positionH relativeFrom="column">
                    <wp:posOffset>0</wp:posOffset>
                  </wp:positionH>
                  <wp:positionV relativeFrom="paragraph">
                    <wp:posOffset>165100</wp:posOffset>
                  </wp:positionV>
                  <wp:extent cx="88900" cy="876300"/>
                  <wp:effectExtent l="0" t="0" r="0" b="0"/>
                  <wp:wrapNone/>
                  <wp:docPr id="49" name="图片 229"/>
                  <wp:cNvGraphicFramePr/>
                  <a:graphic xmlns:a="http://schemas.openxmlformats.org/drawingml/2006/main">
                    <a:graphicData uri="http://schemas.openxmlformats.org/drawingml/2006/picture">
                      <pic:pic xmlns:pic="http://schemas.openxmlformats.org/drawingml/2006/picture">
                        <pic:nvPicPr>
                          <pic:cNvPr id="49" name="图片 229"/>
                          <pic:cNvPicPr/>
                        </pic:nvPicPr>
                        <pic:blipFill>
                          <a:blip r:embed="rId15"/>
                          <a:stretch>
                            <a:fillRect/>
                          </a:stretch>
                        </pic:blipFill>
                        <pic:spPr>
                          <a:xfrm>
                            <a:off x="0" y="0"/>
                            <a:ext cx="88900" cy="876300"/>
                          </a:xfrm>
                          <a:prstGeom prst="rect">
                            <a:avLst/>
                          </a:prstGeom>
                          <a:noFill/>
                          <a:ln>
                            <a:noFill/>
                          </a:ln>
                        </pic:spPr>
                      </pic:pic>
                    </a:graphicData>
                  </a:graphic>
                </wp:anchor>
              </w:drawing>
            </w:r>
            <w:r>
              <w:rPr>
                <w:color w:val="auto"/>
              </w:rPr>
              <w:drawing>
                <wp:anchor distT="0" distB="0" distL="114300" distR="114300" simplePos="0" relativeHeight="251691008" behindDoc="0" locked="0" layoutInCell="1" allowOverlap="1">
                  <wp:simplePos x="0" y="0"/>
                  <wp:positionH relativeFrom="column">
                    <wp:posOffset>0</wp:posOffset>
                  </wp:positionH>
                  <wp:positionV relativeFrom="paragraph">
                    <wp:posOffset>165100</wp:posOffset>
                  </wp:positionV>
                  <wp:extent cx="88900" cy="876300"/>
                  <wp:effectExtent l="0" t="0" r="0" b="0"/>
                  <wp:wrapNone/>
                  <wp:docPr id="60" name="图片 228"/>
                  <wp:cNvGraphicFramePr/>
                  <a:graphic xmlns:a="http://schemas.openxmlformats.org/drawingml/2006/main">
                    <a:graphicData uri="http://schemas.openxmlformats.org/drawingml/2006/picture">
                      <pic:pic xmlns:pic="http://schemas.openxmlformats.org/drawingml/2006/picture">
                        <pic:nvPicPr>
                          <pic:cNvPr id="60" name="图片 228"/>
                          <pic:cNvPicPr/>
                        </pic:nvPicPr>
                        <pic:blipFill>
                          <a:blip r:embed="rId15"/>
                          <a:stretch>
                            <a:fillRect/>
                          </a:stretch>
                        </pic:blipFill>
                        <pic:spPr>
                          <a:xfrm>
                            <a:off x="0" y="0"/>
                            <a:ext cx="88900" cy="876300"/>
                          </a:xfrm>
                          <a:prstGeom prst="rect">
                            <a:avLst/>
                          </a:prstGeom>
                          <a:noFill/>
                          <a:ln>
                            <a:noFill/>
                          </a:ln>
                        </pic:spPr>
                      </pic:pic>
                    </a:graphicData>
                  </a:graphic>
                </wp:anchor>
              </w:drawing>
            </w:r>
            <w:r>
              <w:rPr>
                <w:color w:val="auto"/>
              </w:rPr>
              <w:drawing>
                <wp:anchor distT="0" distB="0" distL="114300" distR="114300" simplePos="0" relativeHeight="251689984" behindDoc="0" locked="0" layoutInCell="1" allowOverlap="1">
                  <wp:simplePos x="0" y="0"/>
                  <wp:positionH relativeFrom="column">
                    <wp:posOffset>0</wp:posOffset>
                  </wp:positionH>
                  <wp:positionV relativeFrom="paragraph">
                    <wp:posOffset>165100</wp:posOffset>
                  </wp:positionV>
                  <wp:extent cx="88900" cy="876300"/>
                  <wp:effectExtent l="0" t="0" r="0" b="0"/>
                  <wp:wrapNone/>
                  <wp:docPr id="62" name="图片 227"/>
                  <wp:cNvGraphicFramePr/>
                  <a:graphic xmlns:a="http://schemas.openxmlformats.org/drawingml/2006/main">
                    <a:graphicData uri="http://schemas.openxmlformats.org/drawingml/2006/picture">
                      <pic:pic xmlns:pic="http://schemas.openxmlformats.org/drawingml/2006/picture">
                        <pic:nvPicPr>
                          <pic:cNvPr id="62" name="图片 227"/>
                          <pic:cNvPicPr/>
                        </pic:nvPicPr>
                        <pic:blipFill>
                          <a:blip r:embed="rId15"/>
                          <a:stretch>
                            <a:fillRect/>
                          </a:stretch>
                        </pic:blipFill>
                        <pic:spPr>
                          <a:xfrm>
                            <a:off x="0" y="0"/>
                            <a:ext cx="88900" cy="876300"/>
                          </a:xfrm>
                          <a:prstGeom prst="rect">
                            <a:avLst/>
                          </a:prstGeom>
                          <a:noFill/>
                          <a:ln>
                            <a:noFill/>
                          </a:ln>
                        </pic:spPr>
                      </pic:pic>
                    </a:graphicData>
                  </a:graphic>
                </wp:anchor>
              </w:drawing>
            </w:r>
            <w:r>
              <w:rPr>
                <w:color w:val="auto"/>
              </w:rPr>
              <w:drawing>
                <wp:anchor distT="0" distB="0" distL="114300" distR="114300" simplePos="0" relativeHeight="251688960" behindDoc="0" locked="0" layoutInCell="1" allowOverlap="1">
                  <wp:simplePos x="0" y="0"/>
                  <wp:positionH relativeFrom="column">
                    <wp:posOffset>0</wp:posOffset>
                  </wp:positionH>
                  <wp:positionV relativeFrom="paragraph">
                    <wp:posOffset>165100</wp:posOffset>
                  </wp:positionV>
                  <wp:extent cx="88900" cy="876300"/>
                  <wp:effectExtent l="0" t="0" r="0" b="0"/>
                  <wp:wrapNone/>
                  <wp:docPr id="42" name="图片 226"/>
                  <wp:cNvGraphicFramePr/>
                  <a:graphic xmlns:a="http://schemas.openxmlformats.org/drawingml/2006/main">
                    <a:graphicData uri="http://schemas.openxmlformats.org/drawingml/2006/picture">
                      <pic:pic xmlns:pic="http://schemas.openxmlformats.org/drawingml/2006/picture">
                        <pic:nvPicPr>
                          <pic:cNvPr id="42" name="图片 226"/>
                          <pic:cNvPicPr/>
                        </pic:nvPicPr>
                        <pic:blipFill>
                          <a:blip r:embed="rId15"/>
                          <a:stretch>
                            <a:fillRect/>
                          </a:stretch>
                        </pic:blipFill>
                        <pic:spPr>
                          <a:xfrm>
                            <a:off x="0" y="0"/>
                            <a:ext cx="88900" cy="876300"/>
                          </a:xfrm>
                          <a:prstGeom prst="rect">
                            <a:avLst/>
                          </a:prstGeom>
                          <a:noFill/>
                          <a:ln>
                            <a:noFill/>
                          </a:ln>
                        </pic:spPr>
                      </pic:pic>
                    </a:graphicData>
                  </a:graphic>
                </wp:anchor>
              </w:drawing>
            </w:r>
            <w:r>
              <w:rPr>
                <w:color w:val="auto"/>
              </w:rPr>
              <w:drawing>
                <wp:anchor distT="0" distB="0" distL="114300" distR="114300" simplePos="0" relativeHeight="251687936" behindDoc="0" locked="0" layoutInCell="1" allowOverlap="1">
                  <wp:simplePos x="0" y="0"/>
                  <wp:positionH relativeFrom="column">
                    <wp:posOffset>0</wp:posOffset>
                  </wp:positionH>
                  <wp:positionV relativeFrom="paragraph">
                    <wp:posOffset>165100</wp:posOffset>
                  </wp:positionV>
                  <wp:extent cx="88900" cy="876300"/>
                  <wp:effectExtent l="0" t="0" r="0" b="0"/>
                  <wp:wrapNone/>
                  <wp:docPr id="43" name="图片 225"/>
                  <wp:cNvGraphicFramePr/>
                  <a:graphic xmlns:a="http://schemas.openxmlformats.org/drawingml/2006/main">
                    <a:graphicData uri="http://schemas.openxmlformats.org/drawingml/2006/picture">
                      <pic:pic xmlns:pic="http://schemas.openxmlformats.org/drawingml/2006/picture">
                        <pic:nvPicPr>
                          <pic:cNvPr id="43" name="图片 225"/>
                          <pic:cNvPicPr/>
                        </pic:nvPicPr>
                        <pic:blipFill>
                          <a:blip r:embed="rId15"/>
                          <a:stretch>
                            <a:fillRect/>
                          </a:stretch>
                        </pic:blipFill>
                        <pic:spPr>
                          <a:xfrm>
                            <a:off x="0" y="0"/>
                            <a:ext cx="88900" cy="876300"/>
                          </a:xfrm>
                          <a:prstGeom prst="rect">
                            <a:avLst/>
                          </a:prstGeom>
                          <a:noFill/>
                          <a:ln>
                            <a:noFill/>
                          </a:ln>
                        </pic:spPr>
                      </pic:pic>
                    </a:graphicData>
                  </a:graphic>
                </wp:anchor>
              </w:drawing>
            </w:r>
            <w:r>
              <w:rPr>
                <w:color w:val="auto"/>
              </w:rPr>
              <w:drawing>
                <wp:anchor distT="0" distB="0" distL="114300" distR="114300" simplePos="0" relativeHeight="251686912" behindDoc="0" locked="0" layoutInCell="1" allowOverlap="1">
                  <wp:simplePos x="0" y="0"/>
                  <wp:positionH relativeFrom="column">
                    <wp:posOffset>0</wp:posOffset>
                  </wp:positionH>
                  <wp:positionV relativeFrom="paragraph">
                    <wp:posOffset>165100</wp:posOffset>
                  </wp:positionV>
                  <wp:extent cx="88900" cy="876300"/>
                  <wp:effectExtent l="0" t="0" r="0" b="0"/>
                  <wp:wrapNone/>
                  <wp:docPr id="52" name="图片 224"/>
                  <wp:cNvGraphicFramePr/>
                  <a:graphic xmlns:a="http://schemas.openxmlformats.org/drawingml/2006/main">
                    <a:graphicData uri="http://schemas.openxmlformats.org/drawingml/2006/picture">
                      <pic:pic xmlns:pic="http://schemas.openxmlformats.org/drawingml/2006/picture">
                        <pic:nvPicPr>
                          <pic:cNvPr id="52" name="图片 224"/>
                          <pic:cNvPicPr/>
                        </pic:nvPicPr>
                        <pic:blipFill>
                          <a:blip r:embed="rId15"/>
                          <a:stretch>
                            <a:fillRect/>
                          </a:stretch>
                        </pic:blipFill>
                        <pic:spPr>
                          <a:xfrm>
                            <a:off x="0" y="0"/>
                            <a:ext cx="88900" cy="876300"/>
                          </a:xfrm>
                          <a:prstGeom prst="rect">
                            <a:avLst/>
                          </a:prstGeom>
                          <a:noFill/>
                          <a:ln>
                            <a:noFill/>
                          </a:ln>
                        </pic:spPr>
                      </pic:pic>
                    </a:graphicData>
                  </a:graphic>
                </wp:anchor>
              </w:drawing>
            </w:r>
            <w:r>
              <w:rPr>
                <w:color w:val="auto"/>
              </w:rPr>
              <w:drawing>
                <wp:anchor distT="0" distB="0" distL="114300" distR="114300" simplePos="0" relativeHeight="251685888" behindDoc="0" locked="0" layoutInCell="1" allowOverlap="1">
                  <wp:simplePos x="0" y="0"/>
                  <wp:positionH relativeFrom="column">
                    <wp:posOffset>0</wp:posOffset>
                  </wp:positionH>
                  <wp:positionV relativeFrom="paragraph">
                    <wp:posOffset>165100</wp:posOffset>
                  </wp:positionV>
                  <wp:extent cx="88900" cy="876300"/>
                  <wp:effectExtent l="0" t="0" r="0" b="0"/>
                  <wp:wrapNone/>
                  <wp:docPr id="46" name="图片 223"/>
                  <wp:cNvGraphicFramePr/>
                  <a:graphic xmlns:a="http://schemas.openxmlformats.org/drawingml/2006/main">
                    <a:graphicData uri="http://schemas.openxmlformats.org/drawingml/2006/picture">
                      <pic:pic xmlns:pic="http://schemas.openxmlformats.org/drawingml/2006/picture">
                        <pic:nvPicPr>
                          <pic:cNvPr id="46" name="图片 223"/>
                          <pic:cNvPicPr/>
                        </pic:nvPicPr>
                        <pic:blipFill>
                          <a:blip r:embed="rId15"/>
                          <a:stretch>
                            <a:fillRect/>
                          </a:stretch>
                        </pic:blipFill>
                        <pic:spPr>
                          <a:xfrm>
                            <a:off x="0" y="0"/>
                            <a:ext cx="88900" cy="876300"/>
                          </a:xfrm>
                          <a:prstGeom prst="rect">
                            <a:avLst/>
                          </a:prstGeom>
                          <a:noFill/>
                          <a:ln>
                            <a:noFill/>
                          </a:ln>
                        </pic:spPr>
                      </pic:pic>
                    </a:graphicData>
                  </a:graphic>
                </wp:anchor>
              </w:drawing>
            </w:r>
            <w:r>
              <w:rPr>
                <w:color w:val="auto"/>
              </w:rPr>
              <w:drawing>
                <wp:anchor distT="0" distB="0" distL="114300" distR="114300" simplePos="0" relativeHeight="251684864" behindDoc="0" locked="0" layoutInCell="1" allowOverlap="1">
                  <wp:simplePos x="0" y="0"/>
                  <wp:positionH relativeFrom="column">
                    <wp:posOffset>0</wp:posOffset>
                  </wp:positionH>
                  <wp:positionV relativeFrom="paragraph">
                    <wp:posOffset>165100</wp:posOffset>
                  </wp:positionV>
                  <wp:extent cx="88900" cy="876300"/>
                  <wp:effectExtent l="0" t="0" r="0" b="0"/>
                  <wp:wrapNone/>
                  <wp:docPr id="53" name="图片 222"/>
                  <wp:cNvGraphicFramePr/>
                  <a:graphic xmlns:a="http://schemas.openxmlformats.org/drawingml/2006/main">
                    <a:graphicData uri="http://schemas.openxmlformats.org/drawingml/2006/picture">
                      <pic:pic xmlns:pic="http://schemas.openxmlformats.org/drawingml/2006/picture">
                        <pic:nvPicPr>
                          <pic:cNvPr id="53" name="图片 222"/>
                          <pic:cNvPicPr/>
                        </pic:nvPicPr>
                        <pic:blipFill>
                          <a:blip r:embed="rId15"/>
                          <a:stretch>
                            <a:fillRect/>
                          </a:stretch>
                        </pic:blipFill>
                        <pic:spPr>
                          <a:xfrm>
                            <a:off x="0" y="0"/>
                            <a:ext cx="88900" cy="876300"/>
                          </a:xfrm>
                          <a:prstGeom prst="rect">
                            <a:avLst/>
                          </a:prstGeom>
                          <a:noFill/>
                          <a:ln>
                            <a:noFill/>
                          </a:ln>
                        </pic:spPr>
                      </pic:pic>
                    </a:graphicData>
                  </a:graphic>
                </wp:anchor>
              </w:drawing>
            </w:r>
            <w:r>
              <w:rPr>
                <w:color w:val="auto"/>
              </w:rPr>
              <w:drawing>
                <wp:anchor distT="0" distB="0" distL="114300" distR="114300" simplePos="0" relativeHeight="251683840" behindDoc="0" locked="0" layoutInCell="1" allowOverlap="1">
                  <wp:simplePos x="0" y="0"/>
                  <wp:positionH relativeFrom="column">
                    <wp:posOffset>0</wp:posOffset>
                  </wp:positionH>
                  <wp:positionV relativeFrom="paragraph">
                    <wp:posOffset>165100</wp:posOffset>
                  </wp:positionV>
                  <wp:extent cx="88900" cy="889000"/>
                  <wp:effectExtent l="0" t="0" r="0" b="0"/>
                  <wp:wrapNone/>
                  <wp:docPr id="54" name="图片 221"/>
                  <wp:cNvGraphicFramePr/>
                  <a:graphic xmlns:a="http://schemas.openxmlformats.org/drawingml/2006/main">
                    <a:graphicData uri="http://schemas.openxmlformats.org/drawingml/2006/picture">
                      <pic:pic xmlns:pic="http://schemas.openxmlformats.org/drawingml/2006/picture">
                        <pic:nvPicPr>
                          <pic:cNvPr id="54" name="图片 221"/>
                          <pic:cNvPicPr/>
                        </pic:nvPicPr>
                        <pic:blipFill>
                          <a:blip r:embed="rId9"/>
                          <a:stretch>
                            <a:fillRect/>
                          </a:stretch>
                        </pic:blipFill>
                        <pic:spPr>
                          <a:xfrm>
                            <a:off x="0" y="0"/>
                            <a:ext cx="88900" cy="889000"/>
                          </a:xfrm>
                          <a:prstGeom prst="rect">
                            <a:avLst/>
                          </a:prstGeom>
                          <a:noFill/>
                          <a:ln>
                            <a:noFill/>
                          </a:ln>
                        </pic:spPr>
                      </pic:pic>
                    </a:graphicData>
                  </a:graphic>
                </wp:anchor>
              </w:drawing>
            </w:r>
            <w:r>
              <w:rPr>
                <w:color w:val="auto"/>
              </w:rPr>
              <w:drawing>
                <wp:anchor distT="0" distB="0" distL="114300" distR="114300" simplePos="0" relativeHeight="251682816" behindDoc="0" locked="0" layoutInCell="1" allowOverlap="1">
                  <wp:simplePos x="0" y="0"/>
                  <wp:positionH relativeFrom="column">
                    <wp:posOffset>0</wp:posOffset>
                  </wp:positionH>
                  <wp:positionV relativeFrom="paragraph">
                    <wp:posOffset>165100</wp:posOffset>
                  </wp:positionV>
                  <wp:extent cx="88900" cy="889000"/>
                  <wp:effectExtent l="0" t="0" r="0" b="0"/>
                  <wp:wrapNone/>
                  <wp:docPr id="55" name="图片 220"/>
                  <wp:cNvGraphicFramePr/>
                  <a:graphic xmlns:a="http://schemas.openxmlformats.org/drawingml/2006/main">
                    <a:graphicData uri="http://schemas.openxmlformats.org/drawingml/2006/picture">
                      <pic:pic xmlns:pic="http://schemas.openxmlformats.org/drawingml/2006/picture">
                        <pic:nvPicPr>
                          <pic:cNvPr id="55" name="图片 220"/>
                          <pic:cNvPicPr/>
                        </pic:nvPicPr>
                        <pic:blipFill>
                          <a:blip r:embed="rId9"/>
                          <a:stretch>
                            <a:fillRect/>
                          </a:stretch>
                        </pic:blipFill>
                        <pic:spPr>
                          <a:xfrm>
                            <a:off x="0" y="0"/>
                            <a:ext cx="88900" cy="889000"/>
                          </a:xfrm>
                          <a:prstGeom prst="rect">
                            <a:avLst/>
                          </a:prstGeom>
                          <a:noFill/>
                          <a:ln>
                            <a:noFill/>
                          </a:ln>
                        </pic:spPr>
                      </pic:pic>
                    </a:graphicData>
                  </a:graphic>
                </wp:anchor>
              </w:drawing>
            </w:r>
            <w:r>
              <w:rPr>
                <w:color w:val="auto"/>
              </w:rPr>
              <w:drawing>
                <wp:anchor distT="0" distB="0" distL="114300" distR="114300" simplePos="0" relativeHeight="251681792" behindDoc="0" locked="0" layoutInCell="1" allowOverlap="1">
                  <wp:simplePos x="0" y="0"/>
                  <wp:positionH relativeFrom="column">
                    <wp:posOffset>0</wp:posOffset>
                  </wp:positionH>
                  <wp:positionV relativeFrom="paragraph">
                    <wp:posOffset>165100</wp:posOffset>
                  </wp:positionV>
                  <wp:extent cx="88900" cy="889000"/>
                  <wp:effectExtent l="0" t="0" r="0" b="0"/>
                  <wp:wrapNone/>
                  <wp:docPr id="56" name="图片 219"/>
                  <wp:cNvGraphicFramePr/>
                  <a:graphic xmlns:a="http://schemas.openxmlformats.org/drawingml/2006/main">
                    <a:graphicData uri="http://schemas.openxmlformats.org/drawingml/2006/picture">
                      <pic:pic xmlns:pic="http://schemas.openxmlformats.org/drawingml/2006/picture">
                        <pic:nvPicPr>
                          <pic:cNvPr id="56" name="图片 219"/>
                          <pic:cNvPicPr/>
                        </pic:nvPicPr>
                        <pic:blipFill>
                          <a:blip r:embed="rId9"/>
                          <a:stretch>
                            <a:fillRect/>
                          </a:stretch>
                        </pic:blipFill>
                        <pic:spPr>
                          <a:xfrm>
                            <a:off x="0" y="0"/>
                            <a:ext cx="88900" cy="889000"/>
                          </a:xfrm>
                          <a:prstGeom prst="rect">
                            <a:avLst/>
                          </a:prstGeom>
                          <a:noFill/>
                          <a:ln>
                            <a:noFill/>
                          </a:ln>
                        </pic:spPr>
                      </pic:pic>
                    </a:graphicData>
                  </a:graphic>
                </wp:anchor>
              </w:drawing>
            </w:r>
            <w:r>
              <w:rPr>
                <w:color w:val="auto"/>
              </w:rPr>
              <w:drawing>
                <wp:anchor distT="0" distB="0" distL="114300" distR="114300" simplePos="0" relativeHeight="251680768" behindDoc="0" locked="0" layoutInCell="1" allowOverlap="1">
                  <wp:simplePos x="0" y="0"/>
                  <wp:positionH relativeFrom="column">
                    <wp:posOffset>0</wp:posOffset>
                  </wp:positionH>
                  <wp:positionV relativeFrom="paragraph">
                    <wp:posOffset>165100</wp:posOffset>
                  </wp:positionV>
                  <wp:extent cx="88900" cy="889000"/>
                  <wp:effectExtent l="0" t="0" r="0" b="0"/>
                  <wp:wrapNone/>
                  <wp:docPr id="57" name="图片 218"/>
                  <wp:cNvGraphicFramePr/>
                  <a:graphic xmlns:a="http://schemas.openxmlformats.org/drawingml/2006/main">
                    <a:graphicData uri="http://schemas.openxmlformats.org/drawingml/2006/picture">
                      <pic:pic xmlns:pic="http://schemas.openxmlformats.org/drawingml/2006/picture">
                        <pic:nvPicPr>
                          <pic:cNvPr id="57" name="图片 218"/>
                          <pic:cNvPicPr/>
                        </pic:nvPicPr>
                        <pic:blipFill>
                          <a:blip r:embed="rId9"/>
                          <a:stretch>
                            <a:fillRect/>
                          </a:stretch>
                        </pic:blipFill>
                        <pic:spPr>
                          <a:xfrm>
                            <a:off x="0" y="0"/>
                            <a:ext cx="88900" cy="889000"/>
                          </a:xfrm>
                          <a:prstGeom prst="rect">
                            <a:avLst/>
                          </a:prstGeom>
                          <a:noFill/>
                          <a:ln>
                            <a:noFill/>
                          </a:ln>
                        </pic:spPr>
                      </pic:pic>
                    </a:graphicData>
                  </a:graphic>
                </wp:anchor>
              </w:drawing>
            </w:r>
            <w:r>
              <w:rPr>
                <w:color w:val="auto"/>
              </w:rPr>
              <w:drawing>
                <wp:anchor distT="0" distB="0" distL="114300" distR="114300" simplePos="0" relativeHeight="251679744" behindDoc="0" locked="0" layoutInCell="1" allowOverlap="1">
                  <wp:simplePos x="0" y="0"/>
                  <wp:positionH relativeFrom="column">
                    <wp:posOffset>0</wp:posOffset>
                  </wp:positionH>
                  <wp:positionV relativeFrom="paragraph">
                    <wp:posOffset>165100</wp:posOffset>
                  </wp:positionV>
                  <wp:extent cx="88900" cy="889000"/>
                  <wp:effectExtent l="0" t="0" r="0" b="0"/>
                  <wp:wrapNone/>
                  <wp:docPr id="76" name="图片 217"/>
                  <wp:cNvGraphicFramePr/>
                  <a:graphic xmlns:a="http://schemas.openxmlformats.org/drawingml/2006/main">
                    <a:graphicData uri="http://schemas.openxmlformats.org/drawingml/2006/picture">
                      <pic:pic xmlns:pic="http://schemas.openxmlformats.org/drawingml/2006/picture">
                        <pic:nvPicPr>
                          <pic:cNvPr id="76" name="图片 217"/>
                          <pic:cNvPicPr/>
                        </pic:nvPicPr>
                        <pic:blipFill>
                          <a:blip r:embed="rId9"/>
                          <a:stretch>
                            <a:fillRect/>
                          </a:stretch>
                        </pic:blipFill>
                        <pic:spPr>
                          <a:xfrm>
                            <a:off x="0" y="0"/>
                            <a:ext cx="88900" cy="889000"/>
                          </a:xfrm>
                          <a:prstGeom prst="rect">
                            <a:avLst/>
                          </a:prstGeom>
                          <a:noFill/>
                          <a:ln>
                            <a:noFill/>
                          </a:ln>
                        </pic:spPr>
                      </pic:pic>
                    </a:graphicData>
                  </a:graphic>
                </wp:anchor>
              </w:drawing>
            </w:r>
            <w:r>
              <w:rPr>
                <w:color w:val="auto"/>
              </w:rPr>
              <w:drawing>
                <wp:anchor distT="0" distB="0" distL="114300" distR="114300" simplePos="0" relativeHeight="251678720" behindDoc="0" locked="0" layoutInCell="1" allowOverlap="1">
                  <wp:simplePos x="0" y="0"/>
                  <wp:positionH relativeFrom="column">
                    <wp:posOffset>0</wp:posOffset>
                  </wp:positionH>
                  <wp:positionV relativeFrom="paragraph">
                    <wp:posOffset>165100</wp:posOffset>
                  </wp:positionV>
                  <wp:extent cx="88900" cy="889000"/>
                  <wp:effectExtent l="0" t="0" r="0" b="0"/>
                  <wp:wrapNone/>
                  <wp:docPr id="68" name="图片 216"/>
                  <wp:cNvGraphicFramePr/>
                  <a:graphic xmlns:a="http://schemas.openxmlformats.org/drawingml/2006/main">
                    <a:graphicData uri="http://schemas.openxmlformats.org/drawingml/2006/picture">
                      <pic:pic xmlns:pic="http://schemas.openxmlformats.org/drawingml/2006/picture">
                        <pic:nvPicPr>
                          <pic:cNvPr id="68" name="图片 216"/>
                          <pic:cNvPicPr/>
                        </pic:nvPicPr>
                        <pic:blipFill>
                          <a:blip r:embed="rId9"/>
                          <a:stretch>
                            <a:fillRect/>
                          </a:stretch>
                        </pic:blipFill>
                        <pic:spPr>
                          <a:xfrm>
                            <a:off x="0" y="0"/>
                            <a:ext cx="88900" cy="889000"/>
                          </a:xfrm>
                          <a:prstGeom prst="rect">
                            <a:avLst/>
                          </a:prstGeom>
                          <a:noFill/>
                          <a:ln>
                            <a:noFill/>
                          </a:ln>
                        </pic:spPr>
                      </pic:pic>
                    </a:graphicData>
                  </a:graphic>
                </wp:anchor>
              </w:drawing>
            </w:r>
            <w:r>
              <w:rPr>
                <w:color w:val="auto"/>
              </w:rPr>
              <w:drawing>
                <wp:anchor distT="0" distB="0" distL="114300" distR="114300" simplePos="0" relativeHeight="251677696" behindDoc="0" locked="0" layoutInCell="1" allowOverlap="1">
                  <wp:simplePos x="0" y="0"/>
                  <wp:positionH relativeFrom="column">
                    <wp:posOffset>0</wp:posOffset>
                  </wp:positionH>
                  <wp:positionV relativeFrom="paragraph">
                    <wp:posOffset>165100</wp:posOffset>
                  </wp:positionV>
                  <wp:extent cx="88900" cy="889000"/>
                  <wp:effectExtent l="0" t="0" r="0" b="0"/>
                  <wp:wrapNone/>
                  <wp:docPr id="82" name="图片 144"/>
                  <wp:cNvGraphicFramePr/>
                  <a:graphic xmlns:a="http://schemas.openxmlformats.org/drawingml/2006/main">
                    <a:graphicData uri="http://schemas.openxmlformats.org/drawingml/2006/picture">
                      <pic:pic xmlns:pic="http://schemas.openxmlformats.org/drawingml/2006/picture">
                        <pic:nvPicPr>
                          <pic:cNvPr id="82" name="图片 144"/>
                          <pic:cNvPicPr/>
                        </pic:nvPicPr>
                        <pic:blipFill>
                          <a:blip r:embed="rId9"/>
                          <a:stretch>
                            <a:fillRect/>
                          </a:stretch>
                        </pic:blipFill>
                        <pic:spPr>
                          <a:xfrm>
                            <a:off x="0" y="0"/>
                            <a:ext cx="88900" cy="889000"/>
                          </a:xfrm>
                          <a:prstGeom prst="rect">
                            <a:avLst/>
                          </a:prstGeom>
                          <a:noFill/>
                          <a:ln>
                            <a:noFill/>
                          </a:ln>
                        </pic:spPr>
                      </pic:pic>
                    </a:graphicData>
                  </a:graphic>
                </wp:anchor>
              </w:drawing>
            </w:r>
            <w:r>
              <w:rPr>
                <w:color w:val="auto"/>
              </w:rPr>
              <w:drawing>
                <wp:anchor distT="0" distB="0" distL="114300" distR="114300" simplePos="0" relativeHeight="251676672" behindDoc="0" locked="0" layoutInCell="1" allowOverlap="1">
                  <wp:simplePos x="0" y="0"/>
                  <wp:positionH relativeFrom="column">
                    <wp:posOffset>0</wp:posOffset>
                  </wp:positionH>
                  <wp:positionV relativeFrom="paragraph">
                    <wp:posOffset>165100</wp:posOffset>
                  </wp:positionV>
                  <wp:extent cx="88900" cy="889000"/>
                  <wp:effectExtent l="0" t="0" r="0" b="0"/>
                  <wp:wrapNone/>
                  <wp:docPr id="77" name="图片 214"/>
                  <wp:cNvGraphicFramePr/>
                  <a:graphic xmlns:a="http://schemas.openxmlformats.org/drawingml/2006/main">
                    <a:graphicData uri="http://schemas.openxmlformats.org/drawingml/2006/picture">
                      <pic:pic xmlns:pic="http://schemas.openxmlformats.org/drawingml/2006/picture">
                        <pic:nvPicPr>
                          <pic:cNvPr id="77" name="图片 214"/>
                          <pic:cNvPicPr/>
                        </pic:nvPicPr>
                        <pic:blipFill>
                          <a:blip r:embed="rId9"/>
                          <a:stretch>
                            <a:fillRect/>
                          </a:stretch>
                        </pic:blipFill>
                        <pic:spPr>
                          <a:xfrm>
                            <a:off x="0" y="0"/>
                            <a:ext cx="88900" cy="889000"/>
                          </a:xfrm>
                          <a:prstGeom prst="rect">
                            <a:avLst/>
                          </a:prstGeom>
                          <a:noFill/>
                          <a:ln>
                            <a:noFill/>
                          </a:ln>
                        </pic:spPr>
                      </pic:pic>
                    </a:graphicData>
                  </a:graphic>
                </wp:anchor>
              </w:drawing>
            </w:r>
            <w:r>
              <w:rPr>
                <w:color w:val="auto"/>
              </w:rPr>
              <w:drawing>
                <wp:anchor distT="0" distB="0" distL="114300" distR="114300" simplePos="0" relativeHeight="251675648" behindDoc="0" locked="0" layoutInCell="1" allowOverlap="1">
                  <wp:simplePos x="0" y="0"/>
                  <wp:positionH relativeFrom="column">
                    <wp:posOffset>0</wp:posOffset>
                  </wp:positionH>
                  <wp:positionV relativeFrom="paragraph">
                    <wp:posOffset>165100</wp:posOffset>
                  </wp:positionV>
                  <wp:extent cx="88900" cy="889000"/>
                  <wp:effectExtent l="0" t="0" r="0" b="0"/>
                  <wp:wrapNone/>
                  <wp:docPr id="87" name="图片 213"/>
                  <wp:cNvGraphicFramePr/>
                  <a:graphic xmlns:a="http://schemas.openxmlformats.org/drawingml/2006/main">
                    <a:graphicData uri="http://schemas.openxmlformats.org/drawingml/2006/picture">
                      <pic:pic xmlns:pic="http://schemas.openxmlformats.org/drawingml/2006/picture">
                        <pic:nvPicPr>
                          <pic:cNvPr id="87" name="图片 213"/>
                          <pic:cNvPicPr/>
                        </pic:nvPicPr>
                        <pic:blipFill>
                          <a:blip r:embed="rId9"/>
                          <a:stretch>
                            <a:fillRect/>
                          </a:stretch>
                        </pic:blipFill>
                        <pic:spPr>
                          <a:xfrm>
                            <a:off x="0" y="0"/>
                            <a:ext cx="88900" cy="889000"/>
                          </a:xfrm>
                          <a:prstGeom prst="rect">
                            <a:avLst/>
                          </a:prstGeom>
                          <a:noFill/>
                          <a:ln>
                            <a:noFill/>
                          </a:ln>
                        </pic:spPr>
                      </pic:pic>
                    </a:graphicData>
                  </a:graphic>
                </wp:anchor>
              </w:drawing>
            </w:r>
            <w:r>
              <w:rPr>
                <w:color w:val="auto"/>
              </w:rPr>
              <w:drawing>
                <wp:anchor distT="0" distB="0" distL="114300" distR="114300" simplePos="0" relativeHeight="251674624" behindDoc="0" locked="0" layoutInCell="1" allowOverlap="1">
                  <wp:simplePos x="0" y="0"/>
                  <wp:positionH relativeFrom="column">
                    <wp:posOffset>0</wp:posOffset>
                  </wp:positionH>
                  <wp:positionV relativeFrom="paragraph">
                    <wp:posOffset>165100</wp:posOffset>
                  </wp:positionV>
                  <wp:extent cx="88900" cy="889000"/>
                  <wp:effectExtent l="0" t="0" r="0" b="0"/>
                  <wp:wrapNone/>
                  <wp:docPr id="69" name="图片 212"/>
                  <wp:cNvGraphicFramePr/>
                  <a:graphic xmlns:a="http://schemas.openxmlformats.org/drawingml/2006/main">
                    <a:graphicData uri="http://schemas.openxmlformats.org/drawingml/2006/picture">
                      <pic:pic xmlns:pic="http://schemas.openxmlformats.org/drawingml/2006/picture">
                        <pic:nvPicPr>
                          <pic:cNvPr id="69" name="图片 212"/>
                          <pic:cNvPicPr/>
                        </pic:nvPicPr>
                        <pic:blipFill>
                          <a:blip r:embed="rId9"/>
                          <a:stretch>
                            <a:fillRect/>
                          </a:stretch>
                        </pic:blipFill>
                        <pic:spPr>
                          <a:xfrm>
                            <a:off x="0" y="0"/>
                            <a:ext cx="88900" cy="889000"/>
                          </a:xfrm>
                          <a:prstGeom prst="rect">
                            <a:avLst/>
                          </a:prstGeom>
                          <a:noFill/>
                          <a:ln>
                            <a:noFill/>
                          </a:ln>
                        </pic:spPr>
                      </pic:pic>
                    </a:graphicData>
                  </a:graphic>
                </wp:anchor>
              </w:drawing>
            </w:r>
            <w:r>
              <w:rPr>
                <w:color w:val="auto"/>
              </w:rPr>
              <w:drawing>
                <wp:anchor distT="0" distB="0" distL="114300" distR="114300" simplePos="0" relativeHeight="251673600" behindDoc="0" locked="0" layoutInCell="1" allowOverlap="1">
                  <wp:simplePos x="0" y="0"/>
                  <wp:positionH relativeFrom="column">
                    <wp:posOffset>0</wp:posOffset>
                  </wp:positionH>
                  <wp:positionV relativeFrom="paragraph">
                    <wp:posOffset>165100</wp:posOffset>
                  </wp:positionV>
                  <wp:extent cx="88900" cy="254000"/>
                  <wp:effectExtent l="0" t="0" r="0" b="0"/>
                  <wp:wrapNone/>
                  <wp:docPr id="86" name="图片 211"/>
                  <wp:cNvGraphicFramePr/>
                  <a:graphic xmlns:a="http://schemas.openxmlformats.org/drawingml/2006/main">
                    <a:graphicData uri="http://schemas.openxmlformats.org/drawingml/2006/picture">
                      <pic:pic xmlns:pic="http://schemas.openxmlformats.org/drawingml/2006/picture">
                        <pic:nvPicPr>
                          <pic:cNvPr id="86" name="图片 211"/>
                          <pic:cNvPicPr/>
                        </pic:nvPicPr>
                        <pic:blipFill>
                          <a:blip r:embed="rId16"/>
                          <a:stretch>
                            <a:fillRect/>
                          </a:stretch>
                        </pic:blipFill>
                        <pic:spPr>
                          <a:xfrm>
                            <a:off x="0" y="0"/>
                            <a:ext cx="88900" cy="254000"/>
                          </a:xfrm>
                          <a:prstGeom prst="rect">
                            <a:avLst/>
                          </a:prstGeom>
                          <a:noFill/>
                          <a:ln>
                            <a:noFill/>
                          </a:ln>
                        </pic:spPr>
                      </pic:pic>
                    </a:graphicData>
                  </a:graphic>
                </wp:anchor>
              </w:drawing>
            </w:r>
            <w:r>
              <w:rPr>
                <w:color w:val="auto"/>
              </w:rPr>
              <w:drawing>
                <wp:anchor distT="0" distB="0" distL="114300" distR="114300" simplePos="0" relativeHeight="251672576" behindDoc="0" locked="0" layoutInCell="1" allowOverlap="1">
                  <wp:simplePos x="0" y="0"/>
                  <wp:positionH relativeFrom="column">
                    <wp:posOffset>0</wp:posOffset>
                  </wp:positionH>
                  <wp:positionV relativeFrom="paragraph">
                    <wp:posOffset>165100</wp:posOffset>
                  </wp:positionV>
                  <wp:extent cx="88900" cy="254000"/>
                  <wp:effectExtent l="0" t="0" r="0" b="0"/>
                  <wp:wrapNone/>
                  <wp:docPr id="73" name="图片 210"/>
                  <wp:cNvGraphicFramePr/>
                  <a:graphic xmlns:a="http://schemas.openxmlformats.org/drawingml/2006/main">
                    <a:graphicData uri="http://schemas.openxmlformats.org/drawingml/2006/picture">
                      <pic:pic xmlns:pic="http://schemas.openxmlformats.org/drawingml/2006/picture">
                        <pic:nvPicPr>
                          <pic:cNvPr id="73" name="图片 210"/>
                          <pic:cNvPicPr/>
                        </pic:nvPicPr>
                        <pic:blipFill>
                          <a:blip r:embed="rId16"/>
                          <a:stretch>
                            <a:fillRect/>
                          </a:stretch>
                        </pic:blipFill>
                        <pic:spPr>
                          <a:xfrm>
                            <a:off x="0" y="0"/>
                            <a:ext cx="88900" cy="254000"/>
                          </a:xfrm>
                          <a:prstGeom prst="rect">
                            <a:avLst/>
                          </a:prstGeom>
                          <a:noFill/>
                          <a:ln>
                            <a:noFill/>
                          </a:ln>
                        </pic:spPr>
                      </pic:pic>
                    </a:graphicData>
                  </a:graphic>
                </wp:anchor>
              </w:drawing>
            </w:r>
            <w:r>
              <w:rPr>
                <w:color w:val="auto"/>
              </w:rPr>
              <w:drawing>
                <wp:anchor distT="0" distB="0" distL="114300" distR="114300" simplePos="0" relativeHeight="251671552" behindDoc="0" locked="0" layoutInCell="1" allowOverlap="1">
                  <wp:simplePos x="0" y="0"/>
                  <wp:positionH relativeFrom="column">
                    <wp:posOffset>0</wp:posOffset>
                  </wp:positionH>
                  <wp:positionV relativeFrom="paragraph">
                    <wp:posOffset>165100</wp:posOffset>
                  </wp:positionV>
                  <wp:extent cx="88900" cy="254000"/>
                  <wp:effectExtent l="0" t="0" r="0" b="0"/>
                  <wp:wrapNone/>
                  <wp:docPr id="84" name="图片 209"/>
                  <wp:cNvGraphicFramePr/>
                  <a:graphic xmlns:a="http://schemas.openxmlformats.org/drawingml/2006/main">
                    <a:graphicData uri="http://schemas.openxmlformats.org/drawingml/2006/picture">
                      <pic:pic xmlns:pic="http://schemas.openxmlformats.org/drawingml/2006/picture">
                        <pic:nvPicPr>
                          <pic:cNvPr id="84" name="图片 209"/>
                          <pic:cNvPicPr/>
                        </pic:nvPicPr>
                        <pic:blipFill>
                          <a:blip r:embed="rId16"/>
                          <a:stretch>
                            <a:fillRect/>
                          </a:stretch>
                        </pic:blipFill>
                        <pic:spPr>
                          <a:xfrm>
                            <a:off x="0" y="0"/>
                            <a:ext cx="88900" cy="254000"/>
                          </a:xfrm>
                          <a:prstGeom prst="rect">
                            <a:avLst/>
                          </a:prstGeom>
                          <a:noFill/>
                          <a:ln>
                            <a:noFill/>
                          </a:ln>
                        </pic:spPr>
                      </pic:pic>
                    </a:graphicData>
                  </a:graphic>
                </wp:anchor>
              </w:drawing>
            </w:r>
            <w:r>
              <w:rPr>
                <w:color w:val="auto"/>
              </w:rPr>
              <w:drawing>
                <wp:anchor distT="0" distB="0" distL="114300" distR="114300" simplePos="0" relativeHeight="251670528" behindDoc="0" locked="0" layoutInCell="1" allowOverlap="1">
                  <wp:simplePos x="0" y="0"/>
                  <wp:positionH relativeFrom="column">
                    <wp:posOffset>0</wp:posOffset>
                  </wp:positionH>
                  <wp:positionV relativeFrom="paragraph">
                    <wp:posOffset>165100</wp:posOffset>
                  </wp:positionV>
                  <wp:extent cx="88900" cy="254000"/>
                  <wp:effectExtent l="0" t="0" r="0" b="0"/>
                  <wp:wrapNone/>
                  <wp:docPr id="83" name="图片 208"/>
                  <wp:cNvGraphicFramePr/>
                  <a:graphic xmlns:a="http://schemas.openxmlformats.org/drawingml/2006/main">
                    <a:graphicData uri="http://schemas.openxmlformats.org/drawingml/2006/picture">
                      <pic:pic xmlns:pic="http://schemas.openxmlformats.org/drawingml/2006/picture">
                        <pic:nvPicPr>
                          <pic:cNvPr id="83" name="图片 208"/>
                          <pic:cNvPicPr/>
                        </pic:nvPicPr>
                        <pic:blipFill>
                          <a:blip r:embed="rId16"/>
                          <a:stretch>
                            <a:fillRect/>
                          </a:stretch>
                        </pic:blipFill>
                        <pic:spPr>
                          <a:xfrm>
                            <a:off x="0" y="0"/>
                            <a:ext cx="88900" cy="254000"/>
                          </a:xfrm>
                          <a:prstGeom prst="rect">
                            <a:avLst/>
                          </a:prstGeom>
                          <a:noFill/>
                          <a:ln>
                            <a:noFill/>
                          </a:ln>
                        </pic:spPr>
                      </pic:pic>
                    </a:graphicData>
                  </a:graphic>
                </wp:anchor>
              </w:drawing>
            </w:r>
            <w:r>
              <w:rPr>
                <w:color w:val="auto"/>
              </w:rPr>
              <w:drawing>
                <wp:anchor distT="0" distB="0" distL="114300" distR="114300" simplePos="0" relativeHeight="251669504" behindDoc="0" locked="0" layoutInCell="1" allowOverlap="1">
                  <wp:simplePos x="0" y="0"/>
                  <wp:positionH relativeFrom="column">
                    <wp:posOffset>0</wp:posOffset>
                  </wp:positionH>
                  <wp:positionV relativeFrom="paragraph">
                    <wp:posOffset>165100</wp:posOffset>
                  </wp:positionV>
                  <wp:extent cx="88900" cy="254000"/>
                  <wp:effectExtent l="0" t="0" r="0" b="0"/>
                  <wp:wrapNone/>
                  <wp:docPr id="75" name="图片 207"/>
                  <wp:cNvGraphicFramePr/>
                  <a:graphic xmlns:a="http://schemas.openxmlformats.org/drawingml/2006/main">
                    <a:graphicData uri="http://schemas.openxmlformats.org/drawingml/2006/picture">
                      <pic:pic xmlns:pic="http://schemas.openxmlformats.org/drawingml/2006/picture">
                        <pic:nvPicPr>
                          <pic:cNvPr id="75" name="图片 207"/>
                          <pic:cNvPicPr/>
                        </pic:nvPicPr>
                        <pic:blipFill>
                          <a:blip r:embed="rId16"/>
                          <a:stretch>
                            <a:fillRect/>
                          </a:stretch>
                        </pic:blipFill>
                        <pic:spPr>
                          <a:xfrm>
                            <a:off x="0" y="0"/>
                            <a:ext cx="88900" cy="254000"/>
                          </a:xfrm>
                          <a:prstGeom prst="rect">
                            <a:avLst/>
                          </a:prstGeom>
                          <a:noFill/>
                          <a:ln>
                            <a:noFill/>
                          </a:ln>
                        </pic:spPr>
                      </pic:pic>
                    </a:graphicData>
                  </a:graphic>
                </wp:anchor>
              </w:drawing>
            </w:r>
            <w:r>
              <w:rPr>
                <w:color w:val="auto"/>
              </w:rPr>
              <w:drawing>
                <wp:anchor distT="0" distB="0" distL="114300" distR="114300" simplePos="0" relativeHeight="251668480" behindDoc="0" locked="0" layoutInCell="1" allowOverlap="1">
                  <wp:simplePos x="0" y="0"/>
                  <wp:positionH relativeFrom="column">
                    <wp:posOffset>0</wp:posOffset>
                  </wp:positionH>
                  <wp:positionV relativeFrom="paragraph">
                    <wp:posOffset>165100</wp:posOffset>
                  </wp:positionV>
                  <wp:extent cx="88900" cy="889000"/>
                  <wp:effectExtent l="0" t="0" r="0" b="0"/>
                  <wp:wrapNone/>
                  <wp:docPr id="80" name="图片 206"/>
                  <wp:cNvGraphicFramePr/>
                  <a:graphic xmlns:a="http://schemas.openxmlformats.org/drawingml/2006/main">
                    <a:graphicData uri="http://schemas.openxmlformats.org/drawingml/2006/picture">
                      <pic:pic xmlns:pic="http://schemas.openxmlformats.org/drawingml/2006/picture">
                        <pic:nvPicPr>
                          <pic:cNvPr id="80" name="图片 206"/>
                          <pic:cNvPicPr/>
                        </pic:nvPicPr>
                        <pic:blipFill>
                          <a:blip r:embed="rId9"/>
                          <a:stretch>
                            <a:fillRect/>
                          </a:stretch>
                        </pic:blipFill>
                        <pic:spPr>
                          <a:xfrm>
                            <a:off x="0" y="0"/>
                            <a:ext cx="88900" cy="889000"/>
                          </a:xfrm>
                          <a:prstGeom prst="rect">
                            <a:avLst/>
                          </a:prstGeom>
                          <a:noFill/>
                          <a:ln>
                            <a:noFill/>
                          </a:ln>
                        </pic:spPr>
                      </pic:pic>
                    </a:graphicData>
                  </a:graphic>
                </wp:anchor>
              </w:drawing>
            </w:r>
            <w:r>
              <w:rPr>
                <w:color w:val="auto"/>
              </w:rPr>
              <w:drawing>
                <wp:anchor distT="0" distB="0" distL="114300" distR="114300" simplePos="0" relativeHeight="251667456" behindDoc="0" locked="0" layoutInCell="1" allowOverlap="1">
                  <wp:simplePos x="0" y="0"/>
                  <wp:positionH relativeFrom="column">
                    <wp:posOffset>0</wp:posOffset>
                  </wp:positionH>
                  <wp:positionV relativeFrom="paragraph">
                    <wp:posOffset>165100</wp:posOffset>
                  </wp:positionV>
                  <wp:extent cx="88900" cy="889000"/>
                  <wp:effectExtent l="0" t="0" r="0" b="0"/>
                  <wp:wrapNone/>
                  <wp:docPr id="70" name="图片 205"/>
                  <wp:cNvGraphicFramePr/>
                  <a:graphic xmlns:a="http://schemas.openxmlformats.org/drawingml/2006/main">
                    <a:graphicData uri="http://schemas.openxmlformats.org/drawingml/2006/picture">
                      <pic:pic xmlns:pic="http://schemas.openxmlformats.org/drawingml/2006/picture">
                        <pic:nvPicPr>
                          <pic:cNvPr id="70" name="图片 205"/>
                          <pic:cNvPicPr/>
                        </pic:nvPicPr>
                        <pic:blipFill>
                          <a:blip r:embed="rId9"/>
                          <a:stretch>
                            <a:fillRect/>
                          </a:stretch>
                        </pic:blipFill>
                        <pic:spPr>
                          <a:xfrm>
                            <a:off x="0" y="0"/>
                            <a:ext cx="88900" cy="889000"/>
                          </a:xfrm>
                          <a:prstGeom prst="rect">
                            <a:avLst/>
                          </a:prstGeom>
                          <a:noFill/>
                          <a:ln>
                            <a:noFill/>
                          </a:ln>
                        </pic:spPr>
                      </pic:pic>
                    </a:graphicData>
                  </a:graphic>
                </wp:anchor>
              </w:drawing>
            </w:r>
            <w:r>
              <w:rPr>
                <w:color w:val="auto"/>
              </w:rPr>
              <w:drawing>
                <wp:anchor distT="0" distB="0" distL="114300" distR="114300" simplePos="0" relativeHeight="251666432" behindDoc="0" locked="0" layoutInCell="1" allowOverlap="1">
                  <wp:simplePos x="0" y="0"/>
                  <wp:positionH relativeFrom="column">
                    <wp:posOffset>0</wp:posOffset>
                  </wp:positionH>
                  <wp:positionV relativeFrom="paragraph">
                    <wp:posOffset>165100</wp:posOffset>
                  </wp:positionV>
                  <wp:extent cx="88900" cy="889000"/>
                  <wp:effectExtent l="0" t="0" r="0" b="0"/>
                  <wp:wrapNone/>
                  <wp:docPr id="74" name="图片 204"/>
                  <wp:cNvGraphicFramePr/>
                  <a:graphic xmlns:a="http://schemas.openxmlformats.org/drawingml/2006/main">
                    <a:graphicData uri="http://schemas.openxmlformats.org/drawingml/2006/picture">
                      <pic:pic xmlns:pic="http://schemas.openxmlformats.org/drawingml/2006/picture">
                        <pic:nvPicPr>
                          <pic:cNvPr id="74" name="图片 204"/>
                          <pic:cNvPicPr/>
                        </pic:nvPicPr>
                        <pic:blipFill>
                          <a:blip r:embed="rId9"/>
                          <a:stretch>
                            <a:fillRect/>
                          </a:stretch>
                        </pic:blipFill>
                        <pic:spPr>
                          <a:xfrm>
                            <a:off x="0" y="0"/>
                            <a:ext cx="88900" cy="889000"/>
                          </a:xfrm>
                          <a:prstGeom prst="rect">
                            <a:avLst/>
                          </a:prstGeom>
                          <a:noFill/>
                          <a:ln>
                            <a:noFill/>
                          </a:ln>
                        </pic:spPr>
                      </pic:pic>
                    </a:graphicData>
                  </a:graphic>
                </wp:anchor>
              </w:drawing>
            </w:r>
            <w:r>
              <w:rPr>
                <w:color w:val="auto"/>
              </w:rPr>
              <w:drawing>
                <wp:anchor distT="0" distB="0" distL="114300" distR="114300" simplePos="0" relativeHeight="251665408" behindDoc="0" locked="0" layoutInCell="1" allowOverlap="1">
                  <wp:simplePos x="0" y="0"/>
                  <wp:positionH relativeFrom="column">
                    <wp:posOffset>0</wp:posOffset>
                  </wp:positionH>
                  <wp:positionV relativeFrom="paragraph">
                    <wp:posOffset>165100</wp:posOffset>
                  </wp:positionV>
                  <wp:extent cx="88900" cy="889000"/>
                  <wp:effectExtent l="0" t="0" r="0" b="0"/>
                  <wp:wrapNone/>
                  <wp:docPr id="72" name="图片 203"/>
                  <wp:cNvGraphicFramePr/>
                  <a:graphic xmlns:a="http://schemas.openxmlformats.org/drawingml/2006/main">
                    <a:graphicData uri="http://schemas.openxmlformats.org/drawingml/2006/picture">
                      <pic:pic xmlns:pic="http://schemas.openxmlformats.org/drawingml/2006/picture">
                        <pic:nvPicPr>
                          <pic:cNvPr id="72" name="图片 203"/>
                          <pic:cNvPicPr/>
                        </pic:nvPicPr>
                        <pic:blipFill>
                          <a:blip r:embed="rId9"/>
                          <a:stretch>
                            <a:fillRect/>
                          </a:stretch>
                        </pic:blipFill>
                        <pic:spPr>
                          <a:xfrm>
                            <a:off x="0" y="0"/>
                            <a:ext cx="88900" cy="889000"/>
                          </a:xfrm>
                          <a:prstGeom prst="rect">
                            <a:avLst/>
                          </a:prstGeom>
                          <a:noFill/>
                          <a:ln>
                            <a:noFill/>
                          </a:ln>
                        </pic:spPr>
                      </pic:pic>
                    </a:graphicData>
                  </a:graphic>
                </wp:anchor>
              </w:drawing>
            </w:r>
            <w:r>
              <w:rPr>
                <w:color w:val="auto"/>
              </w:rPr>
              <w:drawing>
                <wp:anchor distT="0" distB="0" distL="114300" distR="114300" simplePos="0" relativeHeight="251664384" behindDoc="0" locked="0" layoutInCell="1" allowOverlap="1">
                  <wp:simplePos x="0" y="0"/>
                  <wp:positionH relativeFrom="column">
                    <wp:posOffset>0</wp:posOffset>
                  </wp:positionH>
                  <wp:positionV relativeFrom="paragraph">
                    <wp:posOffset>165100</wp:posOffset>
                  </wp:positionV>
                  <wp:extent cx="88900" cy="889000"/>
                  <wp:effectExtent l="0" t="0" r="0" b="0"/>
                  <wp:wrapNone/>
                  <wp:docPr id="71" name="图片 202"/>
                  <wp:cNvGraphicFramePr/>
                  <a:graphic xmlns:a="http://schemas.openxmlformats.org/drawingml/2006/main">
                    <a:graphicData uri="http://schemas.openxmlformats.org/drawingml/2006/picture">
                      <pic:pic xmlns:pic="http://schemas.openxmlformats.org/drawingml/2006/picture">
                        <pic:nvPicPr>
                          <pic:cNvPr id="71" name="图片 202"/>
                          <pic:cNvPicPr/>
                        </pic:nvPicPr>
                        <pic:blipFill>
                          <a:blip r:embed="rId9"/>
                          <a:stretch>
                            <a:fillRect/>
                          </a:stretch>
                        </pic:blipFill>
                        <pic:spPr>
                          <a:xfrm>
                            <a:off x="0" y="0"/>
                            <a:ext cx="88900" cy="889000"/>
                          </a:xfrm>
                          <a:prstGeom prst="rect">
                            <a:avLst/>
                          </a:prstGeom>
                          <a:noFill/>
                          <a:ln>
                            <a:noFill/>
                          </a:ln>
                        </pic:spPr>
                      </pic:pic>
                    </a:graphicData>
                  </a:graphic>
                </wp:anchor>
              </w:drawing>
            </w:r>
            <w:r>
              <w:rPr>
                <w:color w:val="auto"/>
              </w:rPr>
              <w:drawing>
                <wp:anchor distT="0" distB="0" distL="114300" distR="114300" simplePos="0" relativeHeight="251663360" behindDoc="0" locked="0" layoutInCell="1" allowOverlap="1">
                  <wp:simplePos x="0" y="0"/>
                  <wp:positionH relativeFrom="column">
                    <wp:posOffset>0</wp:posOffset>
                  </wp:positionH>
                  <wp:positionV relativeFrom="paragraph">
                    <wp:posOffset>165100</wp:posOffset>
                  </wp:positionV>
                  <wp:extent cx="88900" cy="889000"/>
                  <wp:effectExtent l="0" t="0" r="0" b="0"/>
                  <wp:wrapNone/>
                  <wp:docPr id="67" name="图片 201"/>
                  <wp:cNvGraphicFramePr/>
                  <a:graphic xmlns:a="http://schemas.openxmlformats.org/drawingml/2006/main">
                    <a:graphicData uri="http://schemas.openxmlformats.org/drawingml/2006/picture">
                      <pic:pic xmlns:pic="http://schemas.openxmlformats.org/drawingml/2006/picture">
                        <pic:nvPicPr>
                          <pic:cNvPr id="67" name="图片 201"/>
                          <pic:cNvPicPr/>
                        </pic:nvPicPr>
                        <pic:blipFill>
                          <a:blip r:embed="rId9"/>
                          <a:stretch>
                            <a:fillRect/>
                          </a:stretch>
                        </pic:blipFill>
                        <pic:spPr>
                          <a:xfrm>
                            <a:off x="0" y="0"/>
                            <a:ext cx="88900" cy="889000"/>
                          </a:xfrm>
                          <a:prstGeom prst="rect">
                            <a:avLst/>
                          </a:prstGeom>
                          <a:noFill/>
                          <a:ln>
                            <a:noFill/>
                          </a:ln>
                        </pic:spPr>
                      </pic:pic>
                    </a:graphicData>
                  </a:graphic>
                </wp:anchor>
              </w:drawing>
            </w:r>
            <w:r>
              <w:rPr>
                <w:color w:val="auto"/>
              </w:rPr>
              <w:drawing>
                <wp:anchor distT="0" distB="0" distL="114300" distR="114300" simplePos="0" relativeHeight="251662336" behindDoc="0" locked="0" layoutInCell="1" allowOverlap="1">
                  <wp:simplePos x="0" y="0"/>
                  <wp:positionH relativeFrom="column">
                    <wp:posOffset>0</wp:posOffset>
                  </wp:positionH>
                  <wp:positionV relativeFrom="paragraph">
                    <wp:posOffset>165100</wp:posOffset>
                  </wp:positionV>
                  <wp:extent cx="88900" cy="889000"/>
                  <wp:effectExtent l="0" t="0" r="0" b="0"/>
                  <wp:wrapNone/>
                  <wp:docPr id="78" name="图片 200"/>
                  <wp:cNvGraphicFramePr/>
                  <a:graphic xmlns:a="http://schemas.openxmlformats.org/drawingml/2006/main">
                    <a:graphicData uri="http://schemas.openxmlformats.org/drawingml/2006/picture">
                      <pic:pic xmlns:pic="http://schemas.openxmlformats.org/drawingml/2006/picture">
                        <pic:nvPicPr>
                          <pic:cNvPr id="78" name="图片 200"/>
                          <pic:cNvPicPr/>
                        </pic:nvPicPr>
                        <pic:blipFill>
                          <a:blip r:embed="rId9"/>
                          <a:stretch>
                            <a:fillRect/>
                          </a:stretch>
                        </pic:blipFill>
                        <pic:spPr>
                          <a:xfrm>
                            <a:off x="0" y="0"/>
                            <a:ext cx="88900" cy="889000"/>
                          </a:xfrm>
                          <a:prstGeom prst="rect">
                            <a:avLst/>
                          </a:prstGeom>
                          <a:noFill/>
                          <a:ln>
                            <a:noFill/>
                          </a:ln>
                        </pic:spPr>
                      </pic:pic>
                    </a:graphicData>
                  </a:graphic>
                </wp:anchor>
              </w:drawing>
            </w:r>
            <w:r>
              <w:rPr>
                <w:color w:val="auto"/>
              </w:rPr>
              <w:drawing>
                <wp:anchor distT="0" distB="0" distL="114300" distR="114300" simplePos="0" relativeHeight="251661312" behindDoc="0" locked="0" layoutInCell="1" allowOverlap="1">
                  <wp:simplePos x="0" y="0"/>
                  <wp:positionH relativeFrom="column">
                    <wp:posOffset>0</wp:posOffset>
                  </wp:positionH>
                  <wp:positionV relativeFrom="paragraph">
                    <wp:posOffset>165100</wp:posOffset>
                  </wp:positionV>
                  <wp:extent cx="88900" cy="889000"/>
                  <wp:effectExtent l="0" t="0" r="0" b="0"/>
                  <wp:wrapNone/>
                  <wp:docPr id="85" name="图片 199"/>
                  <wp:cNvGraphicFramePr/>
                  <a:graphic xmlns:a="http://schemas.openxmlformats.org/drawingml/2006/main">
                    <a:graphicData uri="http://schemas.openxmlformats.org/drawingml/2006/picture">
                      <pic:pic xmlns:pic="http://schemas.openxmlformats.org/drawingml/2006/picture">
                        <pic:nvPicPr>
                          <pic:cNvPr id="85" name="图片 199"/>
                          <pic:cNvPicPr/>
                        </pic:nvPicPr>
                        <pic:blipFill>
                          <a:blip r:embed="rId9"/>
                          <a:stretch>
                            <a:fillRect/>
                          </a:stretch>
                        </pic:blipFill>
                        <pic:spPr>
                          <a:xfrm>
                            <a:off x="0" y="0"/>
                            <a:ext cx="88900" cy="889000"/>
                          </a:xfrm>
                          <a:prstGeom prst="rect">
                            <a:avLst/>
                          </a:prstGeom>
                          <a:noFill/>
                          <a:ln>
                            <a:noFill/>
                          </a:ln>
                        </pic:spPr>
                      </pic:pic>
                    </a:graphicData>
                  </a:graphic>
                </wp:anchor>
              </w:drawing>
            </w:r>
            <w:r>
              <w:rPr>
                <w:color w:val="auto"/>
              </w:rPr>
              <w:drawing>
                <wp:anchor distT="0" distB="0" distL="114300" distR="114300" simplePos="0" relativeHeight="251660288" behindDoc="0" locked="0" layoutInCell="1" allowOverlap="1">
                  <wp:simplePos x="0" y="0"/>
                  <wp:positionH relativeFrom="column">
                    <wp:posOffset>0</wp:posOffset>
                  </wp:positionH>
                  <wp:positionV relativeFrom="paragraph">
                    <wp:posOffset>165100</wp:posOffset>
                  </wp:positionV>
                  <wp:extent cx="88900" cy="889000"/>
                  <wp:effectExtent l="0" t="0" r="0" b="0"/>
                  <wp:wrapNone/>
                  <wp:docPr id="79" name="图片 198"/>
                  <wp:cNvGraphicFramePr/>
                  <a:graphic xmlns:a="http://schemas.openxmlformats.org/drawingml/2006/main">
                    <a:graphicData uri="http://schemas.openxmlformats.org/drawingml/2006/picture">
                      <pic:pic xmlns:pic="http://schemas.openxmlformats.org/drawingml/2006/picture">
                        <pic:nvPicPr>
                          <pic:cNvPr id="79" name="图片 198"/>
                          <pic:cNvPicPr/>
                        </pic:nvPicPr>
                        <pic:blipFill>
                          <a:blip r:embed="rId9"/>
                          <a:stretch>
                            <a:fillRect/>
                          </a:stretch>
                        </pic:blipFill>
                        <pic:spPr>
                          <a:xfrm>
                            <a:off x="0" y="0"/>
                            <a:ext cx="88900" cy="889000"/>
                          </a:xfrm>
                          <a:prstGeom prst="rect">
                            <a:avLst/>
                          </a:prstGeom>
                          <a:noFill/>
                          <a:ln>
                            <a:noFill/>
                          </a:ln>
                        </pic:spPr>
                      </pic:pic>
                    </a:graphicData>
                  </a:graphic>
                </wp:anchor>
              </w:drawing>
            </w:r>
            <w:r>
              <w:rPr>
                <w:color w:val="auto"/>
              </w:rPr>
              <w:drawing>
                <wp:anchor distT="0" distB="0" distL="114300" distR="114300" simplePos="0" relativeHeight="251659264" behindDoc="0" locked="0" layoutInCell="1" allowOverlap="1">
                  <wp:simplePos x="0" y="0"/>
                  <wp:positionH relativeFrom="column">
                    <wp:posOffset>0</wp:posOffset>
                  </wp:positionH>
                  <wp:positionV relativeFrom="paragraph">
                    <wp:posOffset>165100</wp:posOffset>
                  </wp:positionV>
                  <wp:extent cx="88900" cy="889000"/>
                  <wp:effectExtent l="0" t="0" r="0" b="0"/>
                  <wp:wrapNone/>
                  <wp:docPr id="81" name="图片 197"/>
                  <wp:cNvGraphicFramePr/>
                  <a:graphic xmlns:a="http://schemas.openxmlformats.org/drawingml/2006/main">
                    <a:graphicData uri="http://schemas.openxmlformats.org/drawingml/2006/picture">
                      <pic:pic xmlns:pic="http://schemas.openxmlformats.org/drawingml/2006/picture">
                        <pic:nvPicPr>
                          <pic:cNvPr id="81" name="图片 197"/>
                          <pic:cNvPicPr/>
                        </pic:nvPicPr>
                        <pic:blipFill>
                          <a:blip r:embed="rId9"/>
                          <a:stretch>
                            <a:fillRect/>
                          </a:stretch>
                        </pic:blipFill>
                        <pic:spPr>
                          <a:xfrm>
                            <a:off x="0" y="0"/>
                            <a:ext cx="88900" cy="889000"/>
                          </a:xfrm>
                          <a:prstGeom prst="rect">
                            <a:avLst/>
                          </a:prstGeom>
                          <a:noFill/>
                          <a:ln>
                            <a:noFill/>
                          </a:ln>
                        </pic:spPr>
                      </pic:pic>
                    </a:graphicData>
                  </a:graphic>
                </wp:anchor>
              </w:drawing>
            </w:r>
            <w:r>
              <w:rPr>
                <w:color w:val="auto"/>
              </w:rPr>
              <w:t>5</w:t>
            </w:r>
          </w:p>
        </w:tc>
        <w:tc>
          <w:tcPr>
            <w:tcW w:w="394" w:type="pct"/>
            <w:shd w:val="clear" w:color="auto" w:fill="auto"/>
            <w:noWrap w:val="0"/>
            <w:vAlign w:val="center"/>
          </w:tcPr>
          <w:p>
            <w:pPr>
              <w:adjustRightInd w:val="0"/>
              <w:snapToGrid w:val="0"/>
              <w:rPr>
                <w:color w:val="auto"/>
              </w:rPr>
            </w:pPr>
            <w:r>
              <w:rPr>
                <w:color w:val="auto"/>
              </w:rPr>
              <w:t>辅材</w:t>
            </w:r>
          </w:p>
        </w:tc>
        <w:tc>
          <w:tcPr>
            <w:tcW w:w="3839" w:type="pct"/>
            <w:shd w:val="clear" w:color="000000" w:fill="FFFFFF"/>
            <w:noWrap w:val="0"/>
            <w:vAlign w:val="center"/>
          </w:tcPr>
          <w:p>
            <w:pPr>
              <w:adjustRightInd w:val="0"/>
              <w:snapToGrid w:val="0"/>
              <w:rPr>
                <w:rFonts w:hint="eastAsia" w:eastAsia="宋体"/>
                <w:color w:val="auto"/>
                <w:lang w:eastAsia="zh-CN"/>
              </w:rPr>
            </w:pPr>
            <w:r>
              <w:rPr>
                <w:color w:val="auto"/>
              </w:rPr>
              <w:t>含光纤线、高清线、电源线等</w:t>
            </w:r>
            <w:r>
              <w:rPr>
                <w:rFonts w:hint="eastAsia"/>
                <w:color w:val="auto"/>
                <w:lang w:eastAsia="zh-CN"/>
              </w:rPr>
              <w:t>。</w:t>
            </w:r>
          </w:p>
        </w:tc>
        <w:tc>
          <w:tcPr>
            <w:tcW w:w="188" w:type="pct"/>
            <w:noWrap w:val="0"/>
            <w:vAlign w:val="center"/>
          </w:tcPr>
          <w:p>
            <w:pPr>
              <w:adjustRightInd w:val="0"/>
              <w:snapToGrid w:val="0"/>
              <w:rPr>
                <w:color w:val="auto"/>
              </w:rPr>
            </w:pPr>
            <w:r>
              <w:rPr>
                <w:color w:val="auto"/>
              </w:rPr>
              <w:t>1</w:t>
            </w:r>
          </w:p>
        </w:tc>
        <w:tc>
          <w:tcPr>
            <w:tcW w:w="186" w:type="pct"/>
            <w:noWrap w:val="0"/>
            <w:vAlign w:val="center"/>
          </w:tcPr>
          <w:p>
            <w:pPr>
              <w:adjustRightInd w:val="0"/>
              <w:snapToGrid w:val="0"/>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noWrap/>
            <w:vAlign w:val="center"/>
          </w:tcPr>
          <w:p>
            <w:pPr>
              <w:adjustRightInd w:val="0"/>
              <w:snapToGrid w:val="0"/>
              <w:rPr>
                <w:color w:val="auto"/>
              </w:rPr>
            </w:pPr>
            <w:r>
              <w:rPr>
                <w:color w:val="auto"/>
              </w:rPr>
              <w:t>三、视频会议系统平台（支持500路1080P并发）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390" w:type="pct"/>
            <w:shd w:val="clear" w:color="000000" w:fill="FFFFFF"/>
            <w:noWrap w:val="0"/>
            <w:vAlign w:val="center"/>
          </w:tcPr>
          <w:p>
            <w:pPr>
              <w:adjustRightInd w:val="0"/>
              <w:snapToGrid w:val="0"/>
              <w:rPr>
                <w:color w:val="auto"/>
              </w:rPr>
            </w:pPr>
            <w:r>
              <w:rPr>
                <w:color w:val="auto"/>
              </w:rPr>
              <w:t>1</w:t>
            </w:r>
          </w:p>
        </w:tc>
        <w:tc>
          <w:tcPr>
            <w:tcW w:w="394" w:type="pct"/>
            <w:shd w:val="clear" w:color="auto" w:fill="auto"/>
            <w:noWrap w:val="0"/>
            <w:vAlign w:val="center"/>
          </w:tcPr>
          <w:p>
            <w:pPr>
              <w:adjustRightInd w:val="0"/>
              <w:snapToGrid w:val="0"/>
              <w:rPr>
                <w:color w:val="auto"/>
              </w:rPr>
            </w:pPr>
            <w:r>
              <w:rPr>
                <w:color w:val="auto"/>
              </w:rPr>
              <w:t>云视频平台</w:t>
            </w:r>
          </w:p>
        </w:tc>
        <w:tc>
          <w:tcPr>
            <w:tcW w:w="3839" w:type="pct"/>
            <w:shd w:val="clear" w:color="auto" w:fill="auto"/>
            <w:noWrap/>
            <w:vAlign w:val="center"/>
          </w:tcPr>
          <w:p>
            <w:pPr>
              <w:adjustRightInd w:val="0"/>
              <w:snapToGrid w:val="0"/>
              <w:rPr>
                <w:color w:val="auto"/>
              </w:rPr>
            </w:pPr>
            <w:r>
              <w:rPr>
                <w:color w:val="auto"/>
              </w:rPr>
              <w:t>1</w:t>
            </w:r>
            <w:r>
              <w:rPr>
                <w:rFonts w:hint="eastAsia"/>
                <w:color w:val="auto"/>
              </w:rPr>
              <w:t>、</w:t>
            </w:r>
            <w:r>
              <w:rPr>
                <w:color w:val="auto"/>
              </w:rPr>
              <w:t>采用虚拟化方式部署在本地机房云主机上实现视频的接入及录制存储；需支持通用云主机，对云主机虚层无限制。</w:t>
            </w:r>
            <w:r>
              <w:rPr>
                <w:color w:val="auto"/>
              </w:rPr>
              <w:br w:type="textWrapping"/>
            </w:r>
            <w:r>
              <w:rPr>
                <w:color w:val="auto"/>
              </w:rPr>
              <w:t>▲2</w:t>
            </w:r>
            <w:r>
              <w:rPr>
                <w:rFonts w:hint="eastAsia"/>
                <w:color w:val="auto"/>
              </w:rPr>
              <w:t>、</w:t>
            </w:r>
            <w:r>
              <w:rPr>
                <w:color w:val="auto"/>
              </w:rPr>
              <w:t>配置4C8G即可支持200方高清视频接入</w:t>
            </w:r>
            <w:r>
              <w:rPr>
                <w:rFonts w:hint="eastAsia"/>
                <w:color w:val="auto"/>
              </w:rPr>
              <w:t>。（提供第三方检测机构出具的检测报告复印件）</w:t>
            </w:r>
            <w:r>
              <w:rPr>
                <w:color w:val="auto"/>
              </w:rPr>
              <w:br w:type="textWrapping"/>
            </w:r>
            <w:r>
              <w:rPr>
                <w:color w:val="auto"/>
              </w:rPr>
              <w:t>3</w:t>
            </w:r>
            <w:r>
              <w:rPr>
                <w:rFonts w:hint="eastAsia"/>
                <w:color w:val="auto"/>
              </w:rPr>
              <w:t>、</w:t>
            </w:r>
            <w:r>
              <w:rPr>
                <w:color w:val="auto"/>
              </w:rPr>
              <w:t xml:space="preserve">配置支持500方1080P高清视频的并发接入，支持任意带宽、任意分辨率视频的接入，可同时召集任意组会议； </w:t>
            </w:r>
          </w:p>
          <w:p>
            <w:pPr>
              <w:adjustRightInd w:val="0"/>
              <w:snapToGrid w:val="0"/>
              <w:rPr>
                <w:color w:val="auto"/>
              </w:rPr>
            </w:pPr>
            <w:r>
              <w:rPr>
                <w:color w:val="auto"/>
              </w:rPr>
              <w:t>4.全部配置的视频支持180p、360p、720p、1080p、4K等分辨率；音频支持G.711、G.722、OPUS协议，支持48K采样率的全带音频；内容支持XGA、SXGA、WXGA、720P、1080P等分辨率的共享内容；</w:t>
            </w:r>
          </w:p>
          <w:p>
            <w:pPr>
              <w:adjustRightInd w:val="0"/>
              <w:snapToGrid w:val="0"/>
              <w:rPr>
                <w:color w:val="auto"/>
              </w:rPr>
            </w:pPr>
            <w:r>
              <w:rPr>
                <w:color w:val="auto"/>
              </w:rPr>
              <w:t>▲5</w:t>
            </w:r>
            <w:r>
              <w:rPr>
                <w:rFonts w:hint="eastAsia"/>
                <w:color w:val="auto"/>
              </w:rPr>
              <w:t>、</w:t>
            </w:r>
            <w:r>
              <w:rPr>
                <w:color w:val="auto"/>
              </w:rPr>
              <w:t>支持信创操作系统的软件客户端；</w:t>
            </w:r>
            <w:r>
              <w:rPr>
                <w:rFonts w:hint="eastAsia"/>
                <w:color w:val="auto"/>
              </w:rPr>
              <w:t>（提供第三方检测机构出具的检测报告复印件）</w:t>
            </w:r>
          </w:p>
          <w:p>
            <w:pPr>
              <w:adjustRightInd w:val="0"/>
              <w:snapToGrid w:val="0"/>
              <w:rPr>
                <w:color w:val="auto"/>
              </w:rPr>
            </w:pPr>
            <w:r>
              <w:rPr>
                <w:color w:val="auto"/>
              </w:rPr>
              <w:t>▲6</w:t>
            </w:r>
            <w:r>
              <w:rPr>
                <w:rFonts w:hint="eastAsia"/>
                <w:color w:val="auto"/>
              </w:rPr>
              <w:t>、</w:t>
            </w:r>
            <w:r>
              <w:rPr>
                <w:color w:val="auto"/>
              </w:rPr>
              <w:t>采用高可用的云平台架构，支持多台服务器部署，支持资源池负载均衡和故障备份，单节点出现故障，会议可在5秒内恢复正常；支持高效率的SVC智能路由及负载均衡，可弹性容量扩展，可支持万方会议的同时接入；支持网络抗丢包算法，在丢包率50%的情况下能保证视频会议正常进行，传输帧率不低于25帧/秒，在在丢包率80%的情况下音频连贯（MOS_LQO不低于3）；</w:t>
            </w:r>
            <w:r>
              <w:rPr>
                <w:rFonts w:hint="eastAsia"/>
                <w:color w:val="auto"/>
              </w:rPr>
              <w:t>（提供第三方检测机构出具的检测报告复印件）</w:t>
            </w:r>
            <w:r>
              <w:rPr>
                <w:color w:val="auto"/>
              </w:rPr>
              <w:br w:type="textWrapping"/>
            </w:r>
            <w:r>
              <w:rPr>
                <w:color w:val="auto"/>
              </w:rPr>
              <w:t>7</w:t>
            </w:r>
            <w:r>
              <w:rPr>
                <w:rFonts w:hint="eastAsia"/>
                <w:color w:val="auto"/>
              </w:rPr>
              <w:t>、</w:t>
            </w:r>
            <w:r>
              <w:rPr>
                <w:color w:val="auto"/>
              </w:rPr>
              <w:t>支持会议室终端接入、PC/手机移动接入；录播、直播支持720P、1080P的高清效果；支持扫描系统实时分享的二维码或者通过软终端点击实现会议签到。后台自动统计签到结果，签到人员与未签到人员分组显示；可以在会议中发起答题，参会人员通过软件客户端进行在线答题，会议管理平台可以统计公布答题结果，可以导出答题数据；</w:t>
            </w:r>
          </w:p>
          <w:p>
            <w:pPr>
              <w:adjustRightInd w:val="0"/>
              <w:snapToGrid w:val="0"/>
              <w:rPr>
                <w:color w:val="auto"/>
              </w:rPr>
            </w:pPr>
            <w:r>
              <w:rPr>
                <w:color w:val="auto"/>
              </w:rPr>
              <w:t>8</w:t>
            </w:r>
            <w:r>
              <w:rPr>
                <w:rFonts w:hint="eastAsia"/>
                <w:color w:val="auto"/>
              </w:rPr>
              <w:t>、</w:t>
            </w:r>
            <w:r>
              <w:rPr>
                <w:color w:val="auto"/>
              </w:rPr>
              <w:t>终端可以通过不同的协议、带宽、分辨率、帧率参加同一组会议，每个终端可以设置独立显示不同的多画面。</w:t>
            </w:r>
          </w:p>
        </w:tc>
        <w:tc>
          <w:tcPr>
            <w:tcW w:w="188" w:type="pct"/>
            <w:shd w:val="clear" w:color="auto" w:fill="auto"/>
            <w:noWrap w:val="0"/>
            <w:vAlign w:val="center"/>
          </w:tcPr>
          <w:p>
            <w:pPr>
              <w:adjustRightInd w:val="0"/>
              <w:snapToGrid w:val="0"/>
              <w:rPr>
                <w:color w:val="auto"/>
              </w:rPr>
            </w:pPr>
            <w:r>
              <w:rPr>
                <w:color w:val="auto"/>
              </w:rPr>
              <w:t>1</w:t>
            </w:r>
          </w:p>
        </w:tc>
        <w:tc>
          <w:tcPr>
            <w:tcW w:w="186" w:type="pct"/>
            <w:shd w:val="clear" w:color="000000" w:fill="FFFFFF"/>
            <w:noWrap/>
            <w:vAlign w:val="center"/>
          </w:tcPr>
          <w:p>
            <w:pPr>
              <w:adjustRightInd w:val="0"/>
              <w:snapToGrid w:val="0"/>
              <w:rPr>
                <w:color w:val="auto"/>
              </w:rPr>
            </w:pPr>
            <w:r>
              <w:rPr>
                <w:color w:val="auto"/>
              </w:rPr>
              <w:t>台</w:t>
            </w:r>
          </w:p>
        </w:tc>
      </w:tr>
    </w:tbl>
    <w:p>
      <w:pPr>
        <w:pStyle w:val="8"/>
        <w:widowControl/>
        <w:spacing w:beforeAutospacing="0" w:afterAutospacing="0" w:line="360" w:lineRule="auto"/>
        <w:jc w:val="both"/>
        <w:rPr>
          <w:rFonts w:ascii="宋体" w:hAnsi="宋体" w:eastAsia="宋体" w:cs="Times New Roman"/>
          <w:b/>
          <w:bCs/>
          <w:color w:val="auto"/>
          <w:shd w:val="clear" w:color="auto" w:fill="FFFFFF"/>
        </w:rPr>
      </w:pPr>
      <w:r>
        <w:rPr>
          <w:rFonts w:hint="eastAsia" w:ascii="宋体" w:hAnsi="宋体" w:eastAsia="宋体" w:cs="Times New Roman"/>
          <w:b/>
          <w:bCs/>
          <w:color w:val="auto"/>
          <w:shd w:val="clear" w:color="auto" w:fill="FFFFFF"/>
        </w:rPr>
        <w:t>3.1</w:t>
      </w:r>
      <w:r>
        <w:rPr>
          <w:rFonts w:ascii="宋体" w:hAnsi="宋体" w:eastAsia="宋体" w:cs="Times New Roman"/>
          <w:b/>
          <w:bCs/>
          <w:color w:val="auto"/>
          <w:shd w:val="clear" w:color="auto" w:fill="FFFFFF"/>
        </w:rPr>
        <w:t>.5 视频监控及门禁系统</w:t>
      </w:r>
    </w:p>
    <w:tbl>
      <w:tblPr>
        <w:tblStyle w:val="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872"/>
        <w:gridCol w:w="5740"/>
        <w:gridCol w:w="636"/>
        <w:gridCol w:w="6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59" w:type="pct"/>
            <w:noWrap/>
            <w:vAlign w:val="center"/>
          </w:tcPr>
          <w:p>
            <w:pPr>
              <w:adjustRightInd w:val="0"/>
              <w:snapToGrid w:val="0"/>
              <w:jc w:val="center"/>
              <w:rPr>
                <w:color w:val="auto"/>
              </w:rPr>
            </w:pPr>
            <w:r>
              <w:rPr>
                <w:color w:val="auto"/>
              </w:rPr>
              <w:t>序号</w:t>
            </w:r>
          </w:p>
        </w:tc>
        <w:tc>
          <w:tcPr>
            <w:tcW w:w="532" w:type="pct"/>
            <w:noWrap/>
            <w:vAlign w:val="center"/>
          </w:tcPr>
          <w:p>
            <w:pPr>
              <w:adjustRightInd w:val="0"/>
              <w:snapToGrid w:val="0"/>
              <w:jc w:val="center"/>
              <w:rPr>
                <w:color w:val="auto"/>
              </w:rPr>
            </w:pPr>
            <w:r>
              <w:rPr>
                <w:color w:val="auto"/>
              </w:rPr>
              <w:t>名称</w:t>
            </w:r>
          </w:p>
        </w:tc>
        <w:tc>
          <w:tcPr>
            <w:tcW w:w="3388" w:type="pct"/>
            <w:noWrap/>
            <w:vAlign w:val="center"/>
          </w:tcPr>
          <w:p>
            <w:pPr>
              <w:adjustRightInd w:val="0"/>
              <w:snapToGrid w:val="0"/>
              <w:jc w:val="center"/>
              <w:rPr>
                <w:color w:val="auto"/>
              </w:rPr>
            </w:pPr>
            <w:r>
              <w:rPr>
                <w:color w:val="auto"/>
              </w:rPr>
              <w:t>技术要求</w:t>
            </w:r>
          </w:p>
        </w:tc>
        <w:tc>
          <w:tcPr>
            <w:tcW w:w="359" w:type="pct"/>
            <w:noWrap/>
            <w:vAlign w:val="center"/>
          </w:tcPr>
          <w:p>
            <w:pPr>
              <w:adjustRightInd w:val="0"/>
              <w:snapToGrid w:val="0"/>
              <w:jc w:val="center"/>
              <w:rPr>
                <w:color w:val="auto"/>
              </w:rPr>
            </w:pPr>
            <w:r>
              <w:rPr>
                <w:color w:val="auto"/>
              </w:rPr>
              <w:t>数量</w:t>
            </w:r>
          </w:p>
        </w:tc>
        <w:tc>
          <w:tcPr>
            <w:tcW w:w="360" w:type="pct"/>
            <w:noWrap/>
            <w:vAlign w:val="center"/>
          </w:tcPr>
          <w:p>
            <w:pPr>
              <w:adjustRightInd w:val="0"/>
              <w:snapToGrid w:val="0"/>
              <w:jc w:val="center"/>
              <w:rPr>
                <w:color w:val="auto"/>
              </w:rPr>
            </w:pPr>
            <w:r>
              <w:rPr>
                <w:color w:val="auto"/>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 w:type="pct"/>
            <w:noWrap w:val="0"/>
            <w:vAlign w:val="center"/>
          </w:tcPr>
          <w:p>
            <w:pPr>
              <w:adjustRightInd w:val="0"/>
              <w:snapToGrid w:val="0"/>
              <w:rPr>
                <w:color w:val="auto"/>
              </w:rPr>
            </w:pPr>
            <w:r>
              <w:rPr>
                <w:color w:val="auto"/>
              </w:rPr>
              <w:t>1</w:t>
            </w:r>
          </w:p>
        </w:tc>
        <w:tc>
          <w:tcPr>
            <w:tcW w:w="532" w:type="pct"/>
            <w:noWrap w:val="0"/>
            <w:vAlign w:val="center"/>
          </w:tcPr>
          <w:p>
            <w:pPr>
              <w:adjustRightInd w:val="0"/>
              <w:snapToGrid w:val="0"/>
              <w:rPr>
                <w:color w:val="auto"/>
              </w:rPr>
            </w:pPr>
            <w:r>
              <w:rPr>
                <w:color w:val="auto"/>
              </w:rPr>
              <w:t>综合管理平台</w:t>
            </w:r>
          </w:p>
        </w:tc>
        <w:tc>
          <w:tcPr>
            <w:tcW w:w="3388" w:type="pct"/>
            <w:noWrap w:val="0"/>
            <w:vAlign w:val="center"/>
          </w:tcPr>
          <w:p>
            <w:pPr>
              <w:adjustRightInd w:val="0"/>
              <w:snapToGrid w:val="0"/>
              <w:rPr>
                <w:color w:val="auto"/>
              </w:rPr>
            </w:pPr>
            <w:r>
              <w:rPr>
                <w:color w:val="auto"/>
              </w:rPr>
              <w:t>综合管理平台包括系统管理、视频管理、报警管理、门禁管理、可视对讲、车辆卡口、设备运维、停车管理8大业务系统。其中系统管理</w:t>
            </w:r>
            <w:r>
              <w:rPr>
                <w:rFonts w:hint="eastAsia"/>
                <w:color w:val="auto"/>
              </w:rPr>
              <w:t>支持</w:t>
            </w:r>
            <w:r>
              <w:rPr>
                <w:color w:val="auto"/>
              </w:rPr>
              <w:t>(1) 支持基础资源（组织、设备、人、卡、车等信息）管理，提供事件中心、数据存储、电子地图、日志记录等基础功能</w:t>
            </w:r>
            <w:r>
              <w:rPr>
                <w:rFonts w:hint="eastAsia"/>
                <w:color w:val="auto"/>
              </w:rPr>
              <w:t>；</w:t>
            </w:r>
            <w:r>
              <w:rPr>
                <w:color w:val="auto"/>
              </w:rPr>
              <w:t>(2) 支持平台运维，提供服务部署维护功能、支持模块化升级部署、系统资源使用情况监控等运维相关功能；(3) 支持级联、分布式、集群，实现系统核心能力提升；(4) 支持双机热备，提升系统灾备能力，保障系统的可靠性；(5) 支持mysql数据库、云数据库，统一云、标准云、智微云，满足图片、视频、结构化数据的按需求存储；(6) 支持标准开放平台，提供restful 等多维度接口，显示数据互联互通；(7) 支持光栅、矢量、3D 三种类型，不同厂家的地图；(8) 支持自定义定制，如：皮肤切换，设备校时，表单自定义；(9) 支持按照用户配置的权限过滤展示组织设备树、部门人员树、数据查询</w:t>
            </w:r>
            <w:r>
              <w:rPr>
                <w:rFonts w:hint="eastAsia"/>
                <w:color w:val="auto"/>
              </w:rPr>
              <w:t>。</w:t>
            </w:r>
            <w:r>
              <w:rPr>
                <w:color w:val="auto"/>
              </w:rPr>
              <w:t>视频管理</w:t>
            </w:r>
            <w:r>
              <w:rPr>
                <w:rFonts w:hint="eastAsia"/>
                <w:color w:val="auto"/>
              </w:rPr>
              <w:t>支持</w:t>
            </w:r>
            <w:r>
              <w:rPr>
                <w:color w:val="auto"/>
              </w:rPr>
              <w:t>(1) 支持实时视频、录像回放、录像下载、电视墙、雷球联动，热成像</w:t>
            </w:r>
            <w:r>
              <w:rPr>
                <w:rFonts w:hint="eastAsia"/>
                <w:color w:val="auto"/>
              </w:rPr>
              <w:t>；</w:t>
            </w:r>
            <w:r>
              <w:rPr>
                <w:color w:val="auto"/>
              </w:rPr>
              <w:t>(2) 支持与车载单兵等移动设备的对接，提供车载单兵设备GPS信息接收服务</w:t>
            </w:r>
            <w:r>
              <w:rPr>
                <w:rFonts w:hint="eastAsia"/>
                <w:color w:val="auto"/>
              </w:rPr>
              <w:t>；</w:t>
            </w:r>
            <w:r>
              <w:rPr>
                <w:color w:val="auto"/>
              </w:rPr>
              <w:t>(3) 支持手机移动客户端进行实时视频监控，音频播放，本地截图，本地录像，云台控制，远程视频回放</w:t>
            </w:r>
            <w:r>
              <w:rPr>
                <w:rFonts w:hint="eastAsia"/>
                <w:color w:val="auto"/>
              </w:rPr>
              <w:t>。</w:t>
            </w:r>
            <w:r>
              <w:rPr>
                <w:color w:val="auto"/>
              </w:rPr>
              <w:t>报警管理支持报警主机接入及布撤防</w:t>
            </w:r>
            <w:r>
              <w:rPr>
                <w:rFonts w:hint="eastAsia"/>
                <w:color w:val="auto"/>
              </w:rPr>
              <w:t>。</w:t>
            </w:r>
            <w:r>
              <w:rPr>
                <w:color w:val="auto"/>
              </w:rPr>
              <w:t>门禁管理</w:t>
            </w:r>
            <w:r>
              <w:rPr>
                <w:rFonts w:hint="eastAsia"/>
                <w:color w:val="auto"/>
              </w:rPr>
              <w:t>支持</w:t>
            </w:r>
            <w:r>
              <w:rPr>
                <w:color w:val="auto"/>
              </w:rPr>
              <w:t>(1) 支持门禁设备管理</w:t>
            </w:r>
            <w:r>
              <w:rPr>
                <w:rFonts w:hint="eastAsia"/>
                <w:color w:val="auto"/>
              </w:rPr>
              <w:t>；</w:t>
            </w:r>
            <w:r>
              <w:rPr>
                <w:color w:val="auto"/>
              </w:rPr>
              <w:t>(2) 支持门禁控制，包括：门通道控制、门组分配、首卡开门、对卡开门、多门互锁、反潜回、开门计划、远程验证、常开常闭</w:t>
            </w:r>
            <w:r>
              <w:rPr>
                <w:rFonts w:hint="eastAsia"/>
                <w:color w:val="auto"/>
              </w:rPr>
              <w:t>；</w:t>
            </w:r>
            <w:r>
              <w:rPr>
                <w:color w:val="auto"/>
              </w:rPr>
              <w:t>(3) 支持门禁控制授权及复核，支持门禁管理任务查询；(4) 支持门禁系统集群，分布式方式提升接入能力</w:t>
            </w:r>
            <w:r>
              <w:rPr>
                <w:rFonts w:hint="eastAsia"/>
                <w:color w:val="auto"/>
              </w:rPr>
              <w:t>。</w:t>
            </w:r>
            <w:r>
              <w:rPr>
                <w:color w:val="auto"/>
              </w:rPr>
              <w:t>可视对讲</w:t>
            </w:r>
            <w:r>
              <w:rPr>
                <w:rFonts w:hint="eastAsia"/>
                <w:color w:val="auto"/>
              </w:rPr>
              <w:t>支持</w:t>
            </w:r>
            <w:r>
              <w:rPr>
                <w:color w:val="auto"/>
              </w:rPr>
              <w:t>(1) 支持设备管理、权限分组、呼叫分组、监控权限分组、信息发布分组</w:t>
            </w:r>
            <w:r>
              <w:rPr>
                <w:rFonts w:hint="eastAsia"/>
                <w:color w:val="auto"/>
              </w:rPr>
              <w:t>；</w:t>
            </w:r>
            <w:r>
              <w:rPr>
                <w:color w:val="auto"/>
              </w:rPr>
              <w:t>(2) 支持卡片、人脸等授权及复核；(3) 支持呼叫通话、信息发布、开门记录查询</w:t>
            </w:r>
            <w:r>
              <w:rPr>
                <w:rFonts w:hint="eastAsia"/>
                <w:color w:val="auto"/>
              </w:rPr>
              <w:t>；</w:t>
            </w:r>
            <w:r>
              <w:rPr>
                <w:color w:val="auto"/>
              </w:rPr>
              <w:t>(4) 支持同时最大100路对讲</w:t>
            </w:r>
            <w:r>
              <w:rPr>
                <w:rFonts w:hint="eastAsia"/>
                <w:color w:val="auto"/>
              </w:rPr>
              <w:t>；</w:t>
            </w:r>
            <w:r>
              <w:rPr>
                <w:color w:val="auto"/>
              </w:rPr>
              <w:t>卡口</w:t>
            </w:r>
            <w:r>
              <w:rPr>
                <w:rFonts w:hint="eastAsia"/>
                <w:color w:val="auto"/>
              </w:rPr>
              <w:t>管理支持</w:t>
            </w:r>
            <w:r>
              <w:rPr>
                <w:color w:val="auto"/>
              </w:rPr>
              <w:t xml:space="preserve"> (1) 支持道路监控、过车记录、布控记录、违章信息、区间测试</w:t>
            </w:r>
            <w:r>
              <w:rPr>
                <w:rFonts w:hint="eastAsia"/>
                <w:color w:val="auto"/>
              </w:rPr>
              <w:t>；</w:t>
            </w:r>
            <w:r>
              <w:rPr>
                <w:color w:val="auto"/>
              </w:rPr>
              <w:t>(2) 支持布控报警及相关记录信息查询；设备运维</w:t>
            </w:r>
            <w:r>
              <w:rPr>
                <w:rFonts w:hint="eastAsia"/>
                <w:color w:val="auto"/>
              </w:rPr>
              <w:t>支持</w:t>
            </w:r>
            <w:r>
              <w:rPr>
                <w:color w:val="auto"/>
              </w:rPr>
              <w:t>(1) 资源监控模块：最大支持对十万点位运维，支持对前端点位、物联设备、动环主机、服务器、服务进行统一纳管监控运，绘制服务拓扑</w:t>
            </w:r>
            <w:r>
              <w:rPr>
                <w:rFonts w:hint="eastAsia"/>
                <w:color w:val="auto"/>
              </w:rPr>
              <w:t>；</w:t>
            </w:r>
            <w:r>
              <w:rPr>
                <w:color w:val="auto"/>
              </w:rPr>
              <w:t>(2) 报警管理模块：最大支持存储一年报警数据，支持对所纳管资源配置报警策略，并将产生的报警消息进行统一汇聚和展示，支持对报警进行确认处理，联动工单，推送报警消息、短信及邮件</w:t>
            </w:r>
            <w:r>
              <w:rPr>
                <w:rFonts w:hint="eastAsia"/>
                <w:color w:val="auto"/>
              </w:rPr>
              <w:t>；</w:t>
            </w:r>
            <w:r>
              <w:rPr>
                <w:color w:val="auto"/>
              </w:rPr>
              <w:t>(3) 自动化巡检模块：支持对前端视频点位的视频质量及录像巡检、服务器及服务的资源占用巡检、网络环境巡检</w:t>
            </w:r>
            <w:r>
              <w:rPr>
                <w:rFonts w:hint="eastAsia"/>
                <w:color w:val="auto"/>
              </w:rPr>
              <w:t>；</w:t>
            </w:r>
            <w:r>
              <w:rPr>
                <w:color w:val="auto"/>
              </w:rPr>
              <w:t>(4) 可视化报表模块：支持故障工单统计和报警统计</w:t>
            </w:r>
            <w:r>
              <w:rPr>
                <w:rFonts w:hint="eastAsia"/>
                <w:color w:val="auto"/>
              </w:rPr>
              <w:t>；</w:t>
            </w:r>
            <w:r>
              <w:rPr>
                <w:color w:val="auto"/>
              </w:rPr>
              <w:t>(5) 运维工具箱模块：提供巡检平台，支持上传可执行文件生成巡检记录和手动执行记录</w:t>
            </w:r>
            <w:r>
              <w:rPr>
                <w:rFonts w:hint="eastAsia"/>
                <w:color w:val="auto"/>
              </w:rPr>
              <w:t>。</w:t>
            </w:r>
            <w:r>
              <w:rPr>
                <w:color w:val="auto"/>
              </w:rPr>
              <w:t>停车管理</w:t>
            </w:r>
            <w:r>
              <w:rPr>
                <w:rFonts w:hint="eastAsia"/>
                <w:color w:val="auto"/>
              </w:rPr>
              <w:t>支持</w:t>
            </w:r>
            <w:r>
              <w:rPr>
                <w:color w:val="auto"/>
              </w:rPr>
              <w:t>(1) 支持出入口管理、场区管理、地图管理、收费规则管理、用户布控设置、场内超速报警；(2) 支持实现在线支付和无人值守；(3) 单台系统支持出入口设备最大50进50出</w:t>
            </w:r>
            <w:r>
              <w:rPr>
                <w:rFonts w:hint="eastAsia"/>
                <w:color w:val="auto"/>
              </w:rPr>
              <w:t>。</w:t>
            </w:r>
          </w:p>
        </w:tc>
        <w:tc>
          <w:tcPr>
            <w:tcW w:w="359" w:type="pct"/>
            <w:noWrap w:val="0"/>
            <w:vAlign w:val="center"/>
          </w:tcPr>
          <w:p>
            <w:pPr>
              <w:adjustRightInd w:val="0"/>
              <w:snapToGrid w:val="0"/>
              <w:rPr>
                <w:color w:val="auto"/>
              </w:rPr>
            </w:pPr>
            <w:r>
              <w:rPr>
                <w:color w:val="auto"/>
              </w:rPr>
              <w:t>1</w:t>
            </w:r>
          </w:p>
        </w:tc>
        <w:tc>
          <w:tcPr>
            <w:tcW w:w="360" w:type="pct"/>
            <w:noWrap w:val="0"/>
            <w:vAlign w:val="center"/>
          </w:tcPr>
          <w:p>
            <w:pPr>
              <w:adjustRightInd w:val="0"/>
              <w:snapToGrid w:val="0"/>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9" w:type="pct"/>
            <w:gridSpan w:val="3"/>
            <w:noWrap w:val="0"/>
            <w:vAlign w:val="center"/>
          </w:tcPr>
          <w:p>
            <w:pPr>
              <w:adjustRightInd w:val="0"/>
              <w:snapToGrid w:val="0"/>
              <w:rPr>
                <w:color w:val="auto"/>
              </w:rPr>
            </w:pPr>
            <w:r>
              <w:rPr>
                <w:color w:val="auto"/>
              </w:rPr>
              <w:t>二、视频监控子系统</w:t>
            </w:r>
          </w:p>
        </w:tc>
        <w:tc>
          <w:tcPr>
            <w:tcW w:w="359" w:type="pct"/>
            <w:noWrap w:val="0"/>
            <w:vAlign w:val="center"/>
          </w:tcPr>
          <w:p>
            <w:pPr>
              <w:adjustRightInd w:val="0"/>
              <w:snapToGrid w:val="0"/>
              <w:rPr>
                <w:color w:val="auto"/>
              </w:rPr>
            </w:pPr>
            <w:r>
              <w:rPr>
                <w:color w:val="auto"/>
              </w:rPr>
              <w:t>　</w:t>
            </w:r>
          </w:p>
        </w:tc>
        <w:tc>
          <w:tcPr>
            <w:tcW w:w="360" w:type="pct"/>
            <w:noWrap w:val="0"/>
            <w:vAlign w:val="center"/>
          </w:tcPr>
          <w:p>
            <w:pPr>
              <w:adjustRightInd w:val="0"/>
              <w:snapToGrid w:val="0"/>
              <w:rPr>
                <w:color w:val="auto"/>
              </w:rPr>
            </w:pPr>
            <w:r>
              <w:rPr>
                <w:color w:val="auto"/>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 w:type="pct"/>
            <w:noWrap w:val="0"/>
            <w:vAlign w:val="center"/>
          </w:tcPr>
          <w:p>
            <w:pPr>
              <w:adjustRightInd w:val="0"/>
              <w:snapToGrid w:val="0"/>
              <w:rPr>
                <w:color w:val="auto"/>
              </w:rPr>
            </w:pPr>
            <w:r>
              <w:rPr>
                <w:color w:val="auto"/>
              </w:rPr>
              <w:t>1</w:t>
            </w:r>
          </w:p>
        </w:tc>
        <w:tc>
          <w:tcPr>
            <w:tcW w:w="532" w:type="pct"/>
            <w:noWrap w:val="0"/>
            <w:vAlign w:val="center"/>
          </w:tcPr>
          <w:p>
            <w:pPr>
              <w:adjustRightInd w:val="0"/>
              <w:snapToGrid w:val="0"/>
              <w:rPr>
                <w:color w:val="auto"/>
              </w:rPr>
            </w:pPr>
            <w:r>
              <w:rPr>
                <w:color w:val="auto"/>
              </w:rPr>
              <w:t>球机吊装支架</w:t>
            </w:r>
          </w:p>
        </w:tc>
        <w:tc>
          <w:tcPr>
            <w:tcW w:w="3388" w:type="pct"/>
            <w:noWrap w:val="0"/>
            <w:vAlign w:val="center"/>
          </w:tcPr>
          <w:p>
            <w:pPr>
              <w:adjustRightInd w:val="0"/>
              <w:snapToGrid w:val="0"/>
              <w:rPr>
                <w:color w:val="auto"/>
              </w:rPr>
            </w:pPr>
            <w:r>
              <w:rPr>
                <w:color w:val="auto"/>
              </w:rPr>
              <w:t>铝合金；白色；最大承重</w:t>
            </w:r>
            <w:r>
              <w:rPr>
                <w:rFonts w:hint="eastAsia"/>
                <w:color w:val="auto"/>
              </w:rPr>
              <w:t>≥</w:t>
            </w:r>
            <w:r>
              <w:rPr>
                <w:color w:val="auto"/>
              </w:rPr>
              <w:t>7.0kg；吊装；</w:t>
            </w:r>
          </w:p>
        </w:tc>
        <w:tc>
          <w:tcPr>
            <w:tcW w:w="359" w:type="pct"/>
            <w:noWrap w:val="0"/>
            <w:vAlign w:val="center"/>
          </w:tcPr>
          <w:p>
            <w:pPr>
              <w:adjustRightInd w:val="0"/>
              <w:snapToGrid w:val="0"/>
              <w:rPr>
                <w:color w:val="auto"/>
              </w:rPr>
            </w:pPr>
            <w:r>
              <w:rPr>
                <w:color w:val="auto"/>
              </w:rPr>
              <w:t>6</w:t>
            </w:r>
          </w:p>
        </w:tc>
        <w:tc>
          <w:tcPr>
            <w:tcW w:w="360" w:type="pct"/>
            <w:noWrap w:val="0"/>
            <w:vAlign w:val="center"/>
          </w:tcPr>
          <w:p>
            <w:pPr>
              <w:adjustRightInd w:val="0"/>
              <w:snapToGrid w:val="0"/>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 w:type="pct"/>
            <w:noWrap w:val="0"/>
            <w:vAlign w:val="center"/>
          </w:tcPr>
          <w:p>
            <w:pPr>
              <w:adjustRightInd w:val="0"/>
              <w:snapToGrid w:val="0"/>
              <w:rPr>
                <w:color w:val="auto"/>
              </w:rPr>
            </w:pPr>
            <w:r>
              <w:rPr>
                <w:color w:val="auto"/>
              </w:rPr>
              <w:t>2</w:t>
            </w:r>
          </w:p>
        </w:tc>
        <w:tc>
          <w:tcPr>
            <w:tcW w:w="532" w:type="pct"/>
            <w:noWrap w:val="0"/>
            <w:vAlign w:val="center"/>
          </w:tcPr>
          <w:p>
            <w:pPr>
              <w:adjustRightInd w:val="0"/>
              <w:snapToGrid w:val="0"/>
              <w:rPr>
                <w:color w:val="auto"/>
              </w:rPr>
            </w:pPr>
            <w:r>
              <w:rPr>
                <w:color w:val="auto"/>
              </w:rPr>
              <w:t>6寸400万红外网络球机</w:t>
            </w:r>
          </w:p>
        </w:tc>
        <w:tc>
          <w:tcPr>
            <w:tcW w:w="3388" w:type="pct"/>
            <w:noWrap w:val="0"/>
            <w:vAlign w:val="center"/>
          </w:tcPr>
          <w:p>
            <w:pPr>
              <w:adjustRightInd w:val="0"/>
              <w:snapToGrid w:val="0"/>
              <w:rPr>
                <w:rFonts w:hint="eastAsia" w:eastAsia="宋体"/>
                <w:color w:val="auto"/>
                <w:lang w:eastAsia="zh-CN"/>
              </w:rPr>
            </w:pPr>
            <w:r>
              <w:rPr>
                <w:color w:val="auto"/>
              </w:rPr>
              <w:t>内置GPU芯片，支持深度学习算法，有效提升检测准确率</w:t>
            </w:r>
            <w:r>
              <w:rPr>
                <w:rFonts w:hint="eastAsia"/>
                <w:color w:val="auto"/>
              </w:rPr>
              <w:t>；</w:t>
            </w:r>
            <w:r>
              <w:rPr>
                <w:color w:val="auto"/>
              </w:rPr>
              <w:t>支持智能工程车检测</w:t>
            </w:r>
            <w:r>
              <w:rPr>
                <w:rFonts w:hint="eastAsia"/>
                <w:color w:val="auto"/>
              </w:rPr>
              <w:t>；</w:t>
            </w:r>
            <w:r>
              <w:rPr>
                <w:color w:val="auto"/>
              </w:rPr>
              <w:t>支持绊线入侵、区域入侵、滞留检测的行为检测功能；支持多种触发规则联动动作；支持目标过滤</w:t>
            </w:r>
            <w:r>
              <w:rPr>
                <w:rFonts w:hint="eastAsia"/>
                <w:color w:val="auto"/>
              </w:rPr>
              <w:t>；</w:t>
            </w:r>
            <w:r>
              <w:rPr>
                <w:color w:val="auto"/>
              </w:rPr>
              <w:t>支持32倍光学变倍，16倍数字变倍</w:t>
            </w:r>
            <w:r>
              <w:rPr>
                <w:rFonts w:hint="eastAsia"/>
                <w:color w:val="auto"/>
              </w:rPr>
              <w:t>；</w:t>
            </w:r>
            <w:r>
              <w:rPr>
                <w:color w:val="auto"/>
              </w:rPr>
              <w:t>采用400万像素1/2.8英寸CMOS传感器</w:t>
            </w:r>
            <w:r>
              <w:rPr>
                <w:rFonts w:hint="eastAsia"/>
                <w:color w:val="auto"/>
              </w:rPr>
              <w:t>；</w:t>
            </w:r>
            <w:r>
              <w:rPr>
                <w:color w:val="auto"/>
              </w:rPr>
              <w:t>支持超低照度，彩色：0.005lux@F1.6黑白：0.0005lux@F1.60Lux（红外灯开启）</w:t>
            </w:r>
            <w:r>
              <w:rPr>
                <w:rFonts w:hint="eastAsia"/>
                <w:color w:val="auto"/>
              </w:rPr>
              <w:t>；</w:t>
            </w:r>
            <w:r>
              <w:rPr>
                <w:color w:val="auto"/>
              </w:rPr>
              <w:t>支持H.265编码，实现超低码流传输</w:t>
            </w:r>
            <w:r>
              <w:rPr>
                <w:rFonts w:hint="eastAsia"/>
                <w:color w:val="auto"/>
              </w:rPr>
              <w:t>；</w:t>
            </w:r>
            <w:r>
              <w:rPr>
                <w:color w:val="auto"/>
              </w:rPr>
              <w:t>内置150米红外灯补光，采用倍率与补光灯功率匹配算法，补光效果更均匀</w:t>
            </w:r>
            <w:r>
              <w:rPr>
                <w:rFonts w:hint="eastAsia"/>
                <w:color w:val="auto"/>
              </w:rPr>
              <w:t>；</w:t>
            </w:r>
            <w:r>
              <w:rPr>
                <w:color w:val="auto"/>
              </w:rPr>
              <w:t>水平方向360°连续旋转，垂直方向-20°～90°自动翻转180°后连续监视,无监视盲区</w:t>
            </w:r>
            <w:r>
              <w:rPr>
                <w:rFonts w:hint="eastAsia"/>
                <w:color w:val="auto"/>
              </w:rPr>
              <w:t>；</w:t>
            </w:r>
            <w:r>
              <w:rPr>
                <w:color w:val="auto"/>
              </w:rPr>
              <w:t>支持</w:t>
            </w:r>
            <w:r>
              <w:rPr>
                <w:rFonts w:hint="eastAsia"/>
                <w:color w:val="auto"/>
              </w:rPr>
              <w:t>≥</w:t>
            </w:r>
            <w:r>
              <w:rPr>
                <w:color w:val="auto"/>
              </w:rPr>
              <w:t>300个预置位，</w:t>
            </w:r>
            <w:r>
              <w:rPr>
                <w:rFonts w:hint="eastAsia"/>
                <w:color w:val="auto"/>
              </w:rPr>
              <w:t>≥</w:t>
            </w:r>
            <w:r>
              <w:rPr>
                <w:color w:val="auto"/>
              </w:rPr>
              <w:t>8条巡航路径，</w:t>
            </w:r>
            <w:r>
              <w:rPr>
                <w:rFonts w:hint="eastAsia"/>
                <w:color w:val="auto"/>
              </w:rPr>
              <w:t>≥</w:t>
            </w:r>
            <w:r>
              <w:rPr>
                <w:color w:val="auto"/>
              </w:rPr>
              <w:t>5条巡迹路径</w:t>
            </w:r>
            <w:r>
              <w:rPr>
                <w:rFonts w:hint="eastAsia"/>
                <w:color w:val="auto"/>
              </w:rPr>
              <w:t>；</w:t>
            </w:r>
            <w:r>
              <w:rPr>
                <w:color w:val="auto"/>
              </w:rPr>
              <w:t>支持</w:t>
            </w:r>
            <w:r>
              <w:rPr>
                <w:rFonts w:hint="eastAsia"/>
                <w:color w:val="auto"/>
              </w:rPr>
              <w:t>≥</w:t>
            </w:r>
            <w:r>
              <w:rPr>
                <w:color w:val="auto"/>
              </w:rPr>
              <w:t>1路音频输入</w:t>
            </w:r>
            <w:r>
              <w:rPr>
                <w:rFonts w:hint="eastAsia"/>
                <w:color w:val="auto"/>
              </w:rPr>
              <w:t>，≥</w:t>
            </w:r>
            <w:r>
              <w:rPr>
                <w:color w:val="auto"/>
              </w:rPr>
              <w:t>1路音频输出</w:t>
            </w:r>
            <w:r>
              <w:rPr>
                <w:rFonts w:hint="eastAsia"/>
                <w:color w:val="auto"/>
              </w:rPr>
              <w:t>；</w:t>
            </w:r>
            <w:r>
              <w:rPr>
                <w:color w:val="auto"/>
              </w:rPr>
              <w:t>支持视频输出基本要求检验：分辨力检验：彩色模式下，球机的中心水平分辨力应满足：a) A类：水平分辨力大于等于450线；b) B类：水平分辨力大于等于650线； c) C类：水平分辨力大于等于900线；d) D类：水平分辨力大于等于1700线。球机输出图像的边缘水平分辨力不应低于中心水平分辨力的70％企业提交技术文件： 不小于1600线（分辨率设置为2592×1520，帧率设置为25fps，码率设置为4Mbps</w:t>
            </w:r>
            <w:r>
              <w:rPr>
                <w:rFonts w:hint="eastAsia"/>
                <w:color w:val="auto"/>
              </w:rPr>
              <w:t>，</w:t>
            </w:r>
            <w:r>
              <w:rPr>
                <w:color w:val="auto"/>
              </w:rPr>
              <w:t>RJ45输出）</w:t>
            </w:r>
            <w:r>
              <w:rPr>
                <w:rFonts w:hint="eastAsia"/>
                <w:color w:val="auto"/>
              </w:rPr>
              <w:t>；</w:t>
            </w:r>
            <w:r>
              <w:rPr>
                <w:color w:val="auto"/>
              </w:rPr>
              <w:t>支持控制功能检验：区域遮盖：可设置遮盖区域位置企业提交技术文件：可在监视画面上设置24个不规则四边形区域，可以设置多边形、不同颜色或马赛克，每个场景最多支持8块</w:t>
            </w:r>
            <w:r>
              <w:rPr>
                <w:rFonts w:hint="eastAsia"/>
                <w:color w:val="auto"/>
              </w:rPr>
              <w:t>；</w:t>
            </w:r>
            <w:r>
              <w:rPr>
                <w:color w:val="auto"/>
              </w:rPr>
              <w:t>支持特殊功能球机性能要求：防暴球机：应能经受30J锐器工具冲击外壳3次，不应出现穿透洞口，试验后设备应能正常工作</w:t>
            </w:r>
            <w:r>
              <w:rPr>
                <w:rFonts w:hint="eastAsia"/>
                <w:color w:val="auto"/>
              </w:rPr>
              <w:t>；</w:t>
            </w:r>
            <w:r>
              <w:rPr>
                <w:color w:val="auto"/>
              </w:rPr>
              <w:t>内置</w:t>
            </w:r>
            <w:r>
              <w:rPr>
                <w:rFonts w:hint="eastAsia"/>
                <w:color w:val="auto"/>
              </w:rPr>
              <w:t>≥</w:t>
            </w:r>
            <w:r>
              <w:rPr>
                <w:color w:val="auto"/>
              </w:rPr>
              <w:t>2路报警输入</w:t>
            </w:r>
            <w:r>
              <w:rPr>
                <w:rFonts w:hint="eastAsia"/>
                <w:color w:val="auto"/>
              </w:rPr>
              <w:t>，≥</w:t>
            </w:r>
            <w:r>
              <w:rPr>
                <w:color w:val="auto"/>
              </w:rPr>
              <w:t>1路报警输出，支持报警联动功能</w:t>
            </w:r>
            <w:r>
              <w:rPr>
                <w:rFonts w:hint="eastAsia"/>
                <w:color w:val="auto"/>
              </w:rPr>
              <w:t>；</w:t>
            </w:r>
            <w:r>
              <w:rPr>
                <w:color w:val="auto"/>
              </w:rPr>
              <w:t>支持IP66防护等级，6000V防雷、防浪涌和防突波保护</w:t>
            </w:r>
            <w:r>
              <w:rPr>
                <w:rFonts w:hint="eastAsia"/>
                <w:color w:val="auto"/>
              </w:rPr>
              <w:t>；</w:t>
            </w:r>
            <w:r>
              <w:rPr>
                <w:color w:val="auto"/>
              </w:rPr>
              <w:t>支持定时、时段、短信、运动控制四种休眠模式</w:t>
            </w:r>
            <w:r>
              <w:rPr>
                <w:rFonts w:hint="eastAsia"/>
                <w:color w:val="auto"/>
              </w:rPr>
              <w:t>；</w:t>
            </w:r>
            <w:r>
              <w:rPr>
                <w:color w:val="auto"/>
              </w:rPr>
              <w:t>设备运行功耗</w:t>
            </w:r>
            <w:r>
              <w:rPr>
                <w:rFonts w:hint="eastAsia"/>
                <w:color w:val="auto"/>
              </w:rPr>
              <w:t>≤</w:t>
            </w:r>
            <w:r>
              <w:rPr>
                <w:color w:val="auto"/>
              </w:rPr>
              <w:t>24W，休眠模式功耗</w:t>
            </w:r>
            <w:r>
              <w:rPr>
                <w:rFonts w:hint="eastAsia"/>
                <w:color w:val="auto"/>
              </w:rPr>
              <w:t>≤</w:t>
            </w:r>
            <w:r>
              <w:rPr>
                <w:color w:val="auto"/>
              </w:rPr>
              <w:t>3.5W，静止图像</w:t>
            </w:r>
            <w:r>
              <w:rPr>
                <w:rFonts w:hint="eastAsia"/>
                <w:color w:val="auto"/>
              </w:rPr>
              <w:t>≤</w:t>
            </w:r>
            <w:r>
              <w:rPr>
                <w:color w:val="auto"/>
              </w:rPr>
              <w:t>4.5W</w:t>
            </w:r>
            <w:r>
              <w:rPr>
                <w:rFonts w:hint="eastAsia"/>
                <w:color w:val="auto"/>
              </w:rPr>
              <w:t>；</w:t>
            </w:r>
            <w:r>
              <w:rPr>
                <w:color w:val="auto"/>
              </w:rPr>
              <w:t>支持OSD电量显示，实时感知电量信息</w:t>
            </w:r>
            <w:r>
              <w:rPr>
                <w:rFonts w:hint="eastAsia"/>
                <w:color w:val="auto"/>
              </w:rPr>
              <w:t>；</w:t>
            </w:r>
            <w:r>
              <w:rPr>
                <w:color w:val="auto"/>
              </w:rPr>
              <w:t>支持宽幅电压DC10.8V~15V输入</w:t>
            </w:r>
            <w:r>
              <w:rPr>
                <w:rFonts w:hint="eastAsia"/>
                <w:color w:val="auto"/>
                <w:lang w:eastAsia="zh-CN"/>
              </w:rPr>
              <w:t>。</w:t>
            </w:r>
          </w:p>
        </w:tc>
        <w:tc>
          <w:tcPr>
            <w:tcW w:w="359" w:type="pct"/>
            <w:noWrap w:val="0"/>
            <w:vAlign w:val="center"/>
          </w:tcPr>
          <w:p>
            <w:pPr>
              <w:adjustRightInd w:val="0"/>
              <w:snapToGrid w:val="0"/>
              <w:rPr>
                <w:color w:val="auto"/>
              </w:rPr>
            </w:pPr>
            <w:r>
              <w:rPr>
                <w:color w:val="auto"/>
              </w:rPr>
              <w:t>6</w:t>
            </w:r>
          </w:p>
        </w:tc>
        <w:tc>
          <w:tcPr>
            <w:tcW w:w="360" w:type="pct"/>
            <w:noWrap w:val="0"/>
            <w:vAlign w:val="center"/>
          </w:tcPr>
          <w:p>
            <w:pPr>
              <w:adjustRightInd w:val="0"/>
              <w:snapToGrid w:val="0"/>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 w:type="pct"/>
            <w:noWrap w:val="0"/>
            <w:vAlign w:val="center"/>
          </w:tcPr>
          <w:p>
            <w:pPr>
              <w:adjustRightInd w:val="0"/>
              <w:snapToGrid w:val="0"/>
              <w:rPr>
                <w:color w:val="auto"/>
              </w:rPr>
            </w:pPr>
            <w:r>
              <w:rPr>
                <w:color w:val="auto"/>
              </w:rPr>
              <w:t>3</w:t>
            </w:r>
          </w:p>
        </w:tc>
        <w:tc>
          <w:tcPr>
            <w:tcW w:w="532" w:type="pct"/>
            <w:noWrap w:val="0"/>
            <w:vAlign w:val="center"/>
          </w:tcPr>
          <w:p>
            <w:pPr>
              <w:adjustRightInd w:val="0"/>
              <w:snapToGrid w:val="0"/>
              <w:rPr>
                <w:color w:val="auto"/>
              </w:rPr>
            </w:pPr>
            <w:r>
              <w:rPr>
                <w:color w:val="auto"/>
              </w:rPr>
              <w:t>400万星光智能红外定焦防暴半球网络摄像机</w:t>
            </w:r>
          </w:p>
        </w:tc>
        <w:tc>
          <w:tcPr>
            <w:tcW w:w="3388" w:type="pct"/>
            <w:noWrap w:val="0"/>
            <w:vAlign w:val="center"/>
          </w:tcPr>
          <w:p>
            <w:pPr>
              <w:adjustRightInd w:val="0"/>
              <w:snapToGrid w:val="0"/>
              <w:rPr>
                <w:rFonts w:hint="default" w:eastAsia="宋体"/>
                <w:color w:val="auto"/>
                <w:lang w:val="en-US" w:eastAsia="zh-CN"/>
              </w:rPr>
            </w:pPr>
            <w:r>
              <w:rPr>
                <w:color w:val="auto"/>
              </w:rPr>
              <w:t>内置GPU芯片，支持深度学习算法，有效提升检测准确率</w:t>
            </w:r>
            <w:r>
              <w:rPr>
                <w:rFonts w:hint="eastAsia"/>
                <w:color w:val="auto"/>
              </w:rPr>
              <w:t>；</w:t>
            </w:r>
            <w:r>
              <w:rPr>
                <w:color w:val="auto"/>
              </w:rPr>
              <w:t>支持绊线入侵，区域入侵，快速移动（三项均支持人车分类及精准检测），物品遗留，物品搬移，徘徊检测，人员聚集，停车检测</w:t>
            </w:r>
            <w:r>
              <w:rPr>
                <w:rFonts w:hint="eastAsia"/>
                <w:color w:val="auto"/>
              </w:rPr>
              <w:t>；</w:t>
            </w:r>
            <w:r>
              <w:rPr>
                <w:color w:val="auto"/>
              </w:rPr>
              <w:t>采用高性能400万像素1/2.7英寸CMOS图像传感器，低照度效果好，图像清晰度高</w:t>
            </w:r>
            <w:r>
              <w:rPr>
                <w:rFonts w:hint="eastAsia"/>
                <w:color w:val="auto"/>
              </w:rPr>
              <w:t>；</w:t>
            </w:r>
            <w:r>
              <w:rPr>
                <w:color w:val="auto"/>
              </w:rPr>
              <w:t>最大可输出400万（2688×1520）@25fps</w:t>
            </w:r>
            <w:r>
              <w:rPr>
                <w:rFonts w:hint="eastAsia"/>
                <w:color w:val="auto"/>
              </w:rPr>
              <w:t>；</w:t>
            </w:r>
            <w:r>
              <w:rPr>
                <w:color w:val="auto"/>
              </w:rPr>
              <w:t>支持H.265编码，压缩比高，实现超低码流传输</w:t>
            </w:r>
            <w:r>
              <w:rPr>
                <w:rFonts w:hint="eastAsia"/>
                <w:color w:val="auto"/>
              </w:rPr>
              <w:t>；</w:t>
            </w:r>
            <w:r>
              <w:rPr>
                <w:color w:val="auto"/>
              </w:rPr>
              <w:t>内置红外补光灯，最大红外监控距离30米</w:t>
            </w:r>
            <w:r>
              <w:rPr>
                <w:rFonts w:hint="eastAsia"/>
                <w:color w:val="auto"/>
              </w:rPr>
              <w:t>；</w:t>
            </w:r>
            <w:r>
              <w:rPr>
                <w:color w:val="auto"/>
              </w:rPr>
              <w:t>支持智能方案无缝切换功能检查：支持智能方案无缝切换功能，可通过菜单进行各智能方案切换配置，切换过程无需重启设备</w:t>
            </w:r>
            <w:r>
              <w:rPr>
                <w:rFonts w:hint="eastAsia"/>
                <w:color w:val="auto"/>
              </w:rPr>
              <w:t>；</w:t>
            </w:r>
            <w:r>
              <w:rPr>
                <w:color w:val="auto"/>
              </w:rPr>
              <w:t>支持智能动态检测（SMD）功能检验：设备支持智能动态检测触发后联动抓图、录像、目标跟踪、报警上传、发送邮件等多种报警触发方式支持设置报警目标为人、机动车、全部（人或机动车）进行检测，支持灵敏度设置低、中、高三档，具备抗干扰功能，当小动物、灯光、树叶、气球等非人或机动车目标出现在画面时，不会触发报警。支持人或机动车报警去重</w:t>
            </w:r>
            <w:r>
              <w:rPr>
                <w:rFonts w:hint="eastAsia"/>
                <w:color w:val="auto"/>
              </w:rPr>
              <w:t>；</w:t>
            </w:r>
            <w:r>
              <w:rPr>
                <w:color w:val="auto"/>
              </w:rPr>
              <w:t>支持智能动态检测（SMD）检测率检查：在标准环境下，样机开启智能动态检测，能实时检测、跟踪通过的人、机动车、全部（人或机动车） 在标准环境下，白天依次通过的人检出率不低于99%，夜晚依次通过的人检出率不低于99% 在标准环境下，白天通过的机动车检出率不低于99%，夜晚通过的机动车检出率不低于99%</w:t>
            </w:r>
            <w:r>
              <w:rPr>
                <w:rFonts w:hint="eastAsia"/>
                <w:color w:val="auto"/>
              </w:rPr>
              <w:t>；</w:t>
            </w:r>
            <w:r>
              <w:rPr>
                <w:color w:val="auto"/>
              </w:rPr>
              <w:t>支持走廊模式，宽动态，3D降噪，强光抑制，背光补偿，数字水印，适用不同监控环境</w:t>
            </w:r>
            <w:r>
              <w:rPr>
                <w:rFonts w:hint="eastAsia"/>
                <w:color w:val="auto"/>
              </w:rPr>
              <w:t>；</w:t>
            </w:r>
            <w:r>
              <w:rPr>
                <w:color w:val="auto"/>
              </w:rPr>
              <w:t>支持ROI，SMART H.264/H.265，AI H.264/H.265，灵活编码，适用不同带宽和存储环境</w:t>
            </w:r>
            <w:r>
              <w:rPr>
                <w:rFonts w:hint="eastAsia"/>
                <w:color w:val="auto"/>
              </w:rPr>
              <w:t>；</w:t>
            </w:r>
            <w:r>
              <w:rPr>
                <w:color w:val="auto"/>
              </w:rPr>
              <w:t>支持报警2进2出，音频1进1出，485，BNC，最大支持256G Micro SD卡</w:t>
            </w:r>
            <w:r>
              <w:rPr>
                <w:rFonts w:hint="eastAsia"/>
                <w:color w:val="auto"/>
              </w:rPr>
              <w:t>；</w:t>
            </w:r>
            <w:r>
              <w:rPr>
                <w:color w:val="auto"/>
              </w:rPr>
              <w:t>支持DC12V/POE供电方式，支持12V电源返送，最大电流165mA,方便工程安装</w:t>
            </w:r>
            <w:r>
              <w:rPr>
                <w:rFonts w:hint="eastAsia"/>
                <w:color w:val="auto"/>
              </w:rPr>
              <w:t>；</w:t>
            </w:r>
            <w:r>
              <w:rPr>
                <w:color w:val="auto"/>
              </w:rPr>
              <w:t>支持IP67、IK10防护等级</w:t>
            </w:r>
            <w:r>
              <w:rPr>
                <w:rFonts w:hint="eastAsia"/>
                <w:color w:val="auto"/>
              </w:rPr>
              <w:t>；</w:t>
            </w:r>
            <w:r>
              <w:rPr>
                <w:color w:val="auto"/>
              </w:rPr>
              <w:t>支持SMD 3.0</w:t>
            </w:r>
            <w:r>
              <w:rPr>
                <w:rFonts w:hint="eastAsia"/>
                <w:color w:val="auto"/>
                <w:lang w:val="en-US" w:eastAsia="zh-CN"/>
              </w:rPr>
              <w:t xml:space="preserve">  。</w:t>
            </w:r>
          </w:p>
        </w:tc>
        <w:tc>
          <w:tcPr>
            <w:tcW w:w="359" w:type="pct"/>
            <w:noWrap w:val="0"/>
            <w:vAlign w:val="center"/>
          </w:tcPr>
          <w:p>
            <w:pPr>
              <w:adjustRightInd w:val="0"/>
              <w:snapToGrid w:val="0"/>
              <w:rPr>
                <w:color w:val="auto"/>
              </w:rPr>
            </w:pPr>
            <w:r>
              <w:rPr>
                <w:color w:val="auto"/>
              </w:rPr>
              <w:t>8</w:t>
            </w:r>
          </w:p>
        </w:tc>
        <w:tc>
          <w:tcPr>
            <w:tcW w:w="360" w:type="pct"/>
            <w:noWrap w:val="0"/>
            <w:vAlign w:val="center"/>
          </w:tcPr>
          <w:p>
            <w:pPr>
              <w:adjustRightInd w:val="0"/>
              <w:snapToGrid w:val="0"/>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 w:type="pct"/>
            <w:noWrap w:val="0"/>
            <w:vAlign w:val="center"/>
          </w:tcPr>
          <w:p>
            <w:pPr>
              <w:adjustRightInd w:val="0"/>
              <w:snapToGrid w:val="0"/>
              <w:rPr>
                <w:color w:val="auto"/>
              </w:rPr>
            </w:pPr>
            <w:r>
              <w:rPr>
                <w:color w:val="auto"/>
              </w:rPr>
              <w:t>4</w:t>
            </w:r>
          </w:p>
        </w:tc>
        <w:tc>
          <w:tcPr>
            <w:tcW w:w="532" w:type="pct"/>
            <w:noWrap w:val="0"/>
            <w:vAlign w:val="center"/>
          </w:tcPr>
          <w:p>
            <w:pPr>
              <w:adjustRightInd w:val="0"/>
              <w:snapToGrid w:val="0"/>
              <w:rPr>
                <w:color w:val="auto"/>
              </w:rPr>
            </w:pPr>
            <w:r>
              <w:rPr>
                <w:color w:val="auto"/>
              </w:rPr>
              <w:t>400万枪机</w:t>
            </w:r>
          </w:p>
        </w:tc>
        <w:tc>
          <w:tcPr>
            <w:tcW w:w="3388" w:type="pct"/>
            <w:noWrap w:val="0"/>
            <w:vAlign w:val="center"/>
          </w:tcPr>
          <w:p>
            <w:pPr>
              <w:adjustRightInd w:val="0"/>
              <w:snapToGrid w:val="0"/>
              <w:rPr>
                <w:rFonts w:hint="eastAsia" w:eastAsia="宋体"/>
                <w:color w:val="auto"/>
                <w:lang w:eastAsia="zh-CN"/>
              </w:rPr>
            </w:pPr>
            <w:r>
              <w:rPr>
                <w:color w:val="auto"/>
              </w:rPr>
              <w:t>内置GPU芯片，支持深度学习算法，有效提升检测准确率</w:t>
            </w:r>
            <w:r>
              <w:rPr>
                <w:rFonts w:hint="eastAsia"/>
                <w:color w:val="auto"/>
              </w:rPr>
              <w:t>；</w:t>
            </w:r>
            <w:r>
              <w:rPr>
                <w:color w:val="auto"/>
              </w:rPr>
              <w:t>支持三种智能资源切换：通用行为分析、人脸检测、人数统计</w:t>
            </w:r>
            <w:r>
              <w:rPr>
                <w:rFonts w:hint="eastAsia"/>
                <w:color w:val="auto"/>
              </w:rPr>
              <w:t>；</w:t>
            </w:r>
            <w:r>
              <w:rPr>
                <w:color w:val="auto"/>
              </w:rPr>
              <w:t>支持人脸检测：支持跟踪，支持优选，支持抓拍，支持上报最优的人脸抓图，支持人脸增强，人脸曝光</w:t>
            </w:r>
            <w:r>
              <w:rPr>
                <w:rFonts w:hint="eastAsia"/>
                <w:color w:val="auto"/>
              </w:rPr>
              <w:t>；</w:t>
            </w:r>
            <w:r>
              <w:rPr>
                <w:color w:val="auto"/>
              </w:rPr>
              <w:t>支持智能侦测：区域入侵，绊线入侵，快速移动（可人车分类及精准检测），物品遗留，物品搬移，徘徊检测，人员聚集，停车检测，热度图</w:t>
            </w:r>
            <w:r>
              <w:rPr>
                <w:rFonts w:hint="eastAsia"/>
                <w:color w:val="auto"/>
              </w:rPr>
              <w:t>；</w:t>
            </w:r>
            <w:r>
              <w:rPr>
                <w:color w:val="auto"/>
              </w:rPr>
              <w:t>支持声光报警联动，当报警产生时，可触发联动声音警报和灯光闪烁</w:t>
            </w:r>
            <w:r>
              <w:rPr>
                <w:rFonts w:hint="eastAsia"/>
                <w:color w:val="auto"/>
              </w:rPr>
              <w:t>；</w:t>
            </w:r>
            <w:r>
              <w:rPr>
                <w:color w:val="auto"/>
              </w:rPr>
              <w:t>支持人数统计：支持进入/离开人数统计，并可生成人数统计日/月/年报表，导出使用；支持排队管理；支持区域内人数统计</w:t>
            </w:r>
            <w:r>
              <w:rPr>
                <w:rFonts w:hint="eastAsia"/>
                <w:color w:val="auto"/>
              </w:rPr>
              <w:t>；</w:t>
            </w:r>
            <w:r>
              <w:rPr>
                <w:color w:val="auto"/>
              </w:rPr>
              <w:t>采用星光级低照度400万像素1/2.7英寸CMOS图像传感器</w:t>
            </w:r>
            <w:r>
              <w:rPr>
                <w:rFonts w:hint="eastAsia"/>
                <w:color w:val="auto"/>
              </w:rPr>
              <w:t>；</w:t>
            </w:r>
            <w:r>
              <w:rPr>
                <w:color w:val="auto"/>
              </w:rPr>
              <w:t>最大可输出400万(2688×1520)@25fps</w:t>
            </w:r>
            <w:r>
              <w:rPr>
                <w:rFonts w:hint="eastAsia"/>
                <w:color w:val="auto"/>
              </w:rPr>
              <w:t>；</w:t>
            </w:r>
            <w:r>
              <w:rPr>
                <w:color w:val="auto"/>
              </w:rPr>
              <w:t>支持H.265编码，压缩比高，实现超低码流传输</w:t>
            </w:r>
            <w:r>
              <w:rPr>
                <w:rFonts w:hint="eastAsia"/>
                <w:color w:val="auto"/>
              </w:rPr>
              <w:t>；</w:t>
            </w:r>
            <w:r>
              <w:rPr>
                <w:color w:val="auto"/>
              </w:rPr>
              <w:t>在IE浏览器下，具有TCP/IP、HTTP、HTTPS、FTP、DNS、DDNS、RTSP、PPPOE、IPv4/v6、SMTP、NTP、UPnP、SNMP、UDP、ARP、ICMP、IGMP、DHCP、802.1x、QoS、组播、UDP、Onvif、Bonjour设置选项</w:t>
            </w:r>
            <w:r>
              <w:rPr>
                <w:rFonts w:hint="eastAsia"/>
                <w:color w:val="auto"/>
              </w:rPr>
              <w:t>；</w:t>
            </w:r>
            <w:r>
              <w:rPr>
                <w:color w:val="auto"/>
              </w:rPr>
              <w:t>在IE浏览器下，具有认证模式设置选项，且RTSP认证有basic和digest两种设置选项</w:t>
            </w:r>
            <w:r>
              <w:rPr>
                <w:rFonts w:hint="eastAsia"/>
                <w:color w:val="auto"/>
              </w:rPr>
              <w:t>；</w:t>
            </w:r>
            <w:r>
              <w:rPr>
                <w:color w:val="auto"/>
              </w:rPr>
              <w:t>彩色：≤0.0002lx（AGC ON、RJ45输出、应能分辨反射式视频矩阵测试卡中彩色色块）黑白：≤0.0001lx（AGC ON、RJ45输出、应能分辨反射式视频分辨率测试卡中圆形轮廓）</w:t>
            </w:r>
            <w:r>
              <w:rPr>
                <w:rFonts w:hint="eastAsia"/>
                <w:color w:val="auto"/>
              </w:rPr>
              <w:t>；</w:t>
            </w:r>
            <w:r>
              <w:rPr>
                <w:color w:val="auto"/>
              </w:rPr>
              <w:t>内置高效暖光灯和红外补光灯，最大红外监控距离80米，最大暖光监控距离30米</w:t>
            </w:r>
            <w:r>
              <w:rPr>
                <w:rFonts w:hint="eastAsia"/>
                <w:color w:val="auto"/>
              </w:rPr>
              <w:t>；</w:t>
            </w:r>
            <w:r>
              <w:rPr>
                <w:color w:val="auto"/>
              </w:rPr>
              <w:t>支持走廊模式，宽动态，3D降噪，强光抑制，背光补偿，数字水印，适用不同监控环境</w:t>
            </w:r>
            <w:r>
              <w:rPr>
                <w:rFonts w:hint="eastAsia"/>
                <w:color w:val="auto"/>
              </w:rPr>
              <w:t>；</w:t>
            </w:r>
            <w:r>
              <w:rPr>
                <w:color w:val="auto"/>
              </w:rPr>
              <w:t>支持ROI，SMART H.264/H.265，灵活编码，适用不同带宽和存储环境</w:t>
            </w:r>
            <w:r>
              <w:rPr>
                <w:rFonts w:hint="eastAsia"/>
                <w:color w:val="auto"/>
              </w:rPr>
              <w:t>；</w:t>
            </w:r>
            <w:r>
              <w:rPr>
                <w:color w:val="auto"/>
              </w:rPr>
              <w:t>支持一键撤防，可在自定义设置的时间段内对报警输出，邮件，音频，灯光等事件联动项进行统一撤防控制</w:t>
            </w:r>
            <w:r>
              <w:rPr>
                <w:rFonts w:hint="eastAsia"/>
                <w:color w:val="auto"/>
              </w:rPr>
              <w:t>；</w:t>
            </w:r>
            <w:r>
              <w:rPr>
                <w:color w:val="auto"/>
              </w:rPr>
              <w:t>支持报警2进2出，音频1进1出，内置MIC和扬声器，最大支持256G Micro SD卡</w:t>
            </w:r>
            <w:r>
              <w:rPr>
                <w:rFonts w:hint="eastAsia"/>
                <w:color w:val="auto"/>
              </w:rPr>
              <w:t>；</w:t>
            </w:r>
            <w:r>
              <w:rPr>
                <w:color w:val="auto"/>
              </w:rPr>
              <w:t>支持DC12V/POE供电方式</w:t>
            </w:r>
            <w:r>
              <w:rPr>
                <w:rFonts w:hint="eastAsia"/>
                <w:color w:val="auto"/>
              </w:rPr>
              <w:t>；</w:t>
            </w:r>
            <w:r>
              <w:rPr>
                <w:color w:val="auto"/>
              </w:rPr>
              <w:t>支持IP67防护等级</w:t>
            </w:r>
            <w:r>
              <w:rPr>
                <w:rFonts w:hint="eastAsia"/>
                <w:color w:val="auto"/>
                <w:lang w:eastAsia="zh-CN"/>
              </w:rPr>
              <w:t>。</w:t>
            </w:r>
          </w:p>
        </w:tc>
        <w:tc>
          <w:tcPr>
            <w:tcW w:w="359" w:type="pct"/>
            <w:noWrap w:val="0"/>
            <w:vAlign w:val="center"/>
          </w:tcPr>
          <w:p>
            <w:pPr>
              <w:adjustRightInd w:val="0"/>
              <w:snapToGrid w:val="0"/>
              <w:rPr>
                <w:color w:val="auto"/>
              </w:rPr>
            </w:pPr>
            <w:r>
              <w:rPr>
                <w:color w:val="auto"/>
              </w:rPr>
              <w:t>5</w:t>
            </w:r>
          </w:p>
        </w:tc>
        <w:tc>
          <w:tcPr>
            <w:tcW w:w="360" w:type="pct"/>
            <w:noWrap w:val="0"/>
            <w:vAlign w:val="center"/>
          </w:tcPr>
          <w:p>
            <w:pPr>
              <w:adjustRightInd w:val="0"/>
              <w:snapToGrid w:val="0"/>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 w:type="pct"/>
            <w:noWrap w:val="0"/>
            <w:vAlign w:val="center"/>
          </w:tcPr>
          <w:p>
            <w:pPr>
              <w:adjustRightInd w:val="0"/>
              <w:snapToGrid w:val="0"/>
              <w:rPr>
                <w:color w:val="auto"/>
              </w:rPr>
            </w:pPr>
            <w:r>
              <w:rPr>
                <w:color w:val="auto"/>
              </w:rPr>
              <w:t>5</w:t>
            </w:r>
          </w:p>
        </w:tc>
        <w:tc>
          <w:tcPr>
            <w:tcW w:w="532" w:type="pct"/>
            <w:noWrap w:val="0"/>
            <w:vAlign w:val="center"/>
          </w:tcPr>
          <w:p>
            <w:pPr>
              <w:adjustRightInd w:val="0"/>
              <w:snapToGrid w:val="0"/>
              <w:rPr>
                <w:color w:val="auto"/>
              </w:rPr>
            </w:pPr>
            <w:r>
              <w:rPr>
                <w:color w:val="auto"/>
              </w:rPr>
              <w:t>电梯专用无线网桥</w:t>
            </w:r>
          </w:p>
        </w:tc>
        <w:tc>
          <w:tcPr>
            <w:tcW w:w="3388" w:type="pct"/>
            <w:noWrap w:val="0"/>
            <w:vAlign w:val="center"/>
          </w:tcPr>
          <w:p>
            <w:pPr>
              <w:adjustRightInd w:val="0"/>
              <w:snapToGrid w:val="0"/>
              <w:rPr>
                <w:rFonts w:hint="eastAsia" w:eastAsia="宋体"/>
                <w:color w:val="auto"/>
                <w:lang w:eastAsia="zh-CN"/>
              </w:rPr>
            </w:pPr>
            <w:r>
              <w:rPr>
                <w:color w:val="auto"/>
              </w:rPr>
              <w:t>业务端口：</w:t>
            </w:r>
            <w:r>
              <w:rPr>
                <w:rFonts w:hint="eastAsia"/>
                <w:color w:val="auto"/>
              </w:rPr>
              <w:t>≥</w:t>
            </w:r>
            <w:r>
              <w:rPr>
                <w:color w:val="auto"/>
              </w:rPr>
              <w:t>3个；电源模块接口：</w:t>
            </w:r>
            <w:r>
              <w:rPr>
                <w:rFonts w:hint="eastAsia"/>
                <w:color w:val="auto"/>
              </w:rPr>
              <w:t>≥</w:t>
            </w:r>
            <w:r>
              <w:rPr>
                <w:color w:val="auto"/>
              </w:rPr>
              <w:t>1*POE RJ45(48V/0.25A)、DC 12V电源接口；无线标准：IEEE802.11 b/g/n；网络协议：TCP</w:t>
            </w:r>
            <w:r>
              <w:rPr>
                <w:rFonts w:hint="eastAsia"/>
                <w:color w:val="auto"/>
              </w:rPr>
              <w:t>、</w:t>
            </w:r>
            <w:r>
              <w:rPr>
                <w:color w:val="auto"/>
              </w:rPr>
              <w:t>ARP</w:t>
            </w:r>
            <w:r>
              <w:rPr>
                <w:rFonts w:hint="eastAsia"/>
                <w:color w:val="auto"/>
              </w:rPr>
              <w:t>、</w:t>
            </w:r>
            <w:r>
              <w:rPr>
                <w:color w:val="auto"/>
              </w:rPr>
              <w:t>ICMP</w:t>
            </w:r>
            <w:r>
              <w:rPr>
                <w:rFonts w:hint="eastAsia"/>
                <w:color w:val="auto"/>
              </w:rPr>
              <w:t>、</w:t>
            </w:r>
            <w:r>
              <w:rPr>
                <w:color w:val="auto"/>
              </w:rPr>
              <w:t>DHCP</w:t>
            </w:r>
            <w:r>
              <w:rPr>
                <w:rFonts w:hint="eastAsia"/>
                <w:color w:val="auto"/>
              </w:rPr>
              <w:t>；</w:t>
            </w:r>
            <w:r>
              <w:rPr>
                <w:color w:val="auto"/>
              </w:rPr>
              <w:t>NTP</w:t>
            </w:r>
            <w:r>
              <w:rPr>
                <w:rFonts w:hint="eastAsia"/>
                <w:color w:val="auto"/>
              </w:rPr>
              <w:t>、</w:t>
            </w:r>
            <w:r>
              <w:rPr>
                <w:color w:val="auto"/>
              </w:rPr>
              <w:t>UDP</w:t>
            </w:r>
            <w:r>
              <w:rPr>
                <w:rFonts w:hint="eastAsia"/>
                <w:color w:val="auto"/>
              </w:rPr>
              <w:t>、</w:t>
            </w:r>
            <w:r>
              <w:rPr>
                <w:color w:val="auto"/>
              </w:rPr>
              <w:t>HTTP；视频路数：</w:t>
            </w:r>
            <w:r>
              <w:rPr>
                <w:rFonts w:hint="eastAsia"/>
                <w:color w:val="auto"/>
              </w:rPr>
              <w:t>≥</w:t>
            </w:r>
            <w:r>
              <w:rPr>
                <w:color w:val="auto"/>
              </w:rPr>
              <w:t>3路200w；空口速率：</w:t>
            </w:r>
            <w:r>
              <w:rPr>
                <w:rFonts w:hint="eastAsia"/>
                <w:color w:val="auto"/>
              </w:rPr>
              <w:t>≥</w:t>
            </w:r>
            <w:r>
              <w:rPr>
                <w:color w:val="auto"/>
              </w:rPr>
              <w:t>300Mbps；工作频率：2412 MHz~2472 MHz；传输距离：小于400m；工作温度：-30℃~60℃；防护等级：</w:t>
            </w:r>
            <w:r>
              <w:rPr>
                <w:rFonts w:hint="eastAsia"/>
                <w:color w:val="auto"/>
              </w:rPr>
              <w:t>≥</w:t>
            </w:r>
            <w:r>
              <w:rPr>
                <w:color w:val="auto"/>
              </w:rPr>
              <w:t>IP41；无线认证：SRRC</w:t>
            </w:r>
            <w:r>
              <w:rPr>
                <w:rFonts w:hint="eastAsia"/>
                <w:color w:val="auto"/>
                <w:lang w:eastAsia="zh-CN"/>
              </w:rPr>
              <w:t>。</w:t>
            </w:r>
          </w:p>
        </w:tc>
        <w:tc>
          <w:tcPr>
            <w:tcW w:w="359" w:type="pct"/>
            <w:noWrap w:val="0"/>
            <w:vAlign w:val="center"/>
          </w:tcPr>
          <w:p>
            <w:pPr>
              <w:adjustRightInd w:val="0"/>
              <w:snapToGrid w:val="0"/>
              <w:rPr>
                <w:color w:val="auto"/>
              </w:rPr>
            </w:pPr>
            <w:r>
              <w:rPr>
                <w:color w:val="auto"/>
              </w:rPr>
              <w:t>4</w:t>
            </w:r>
          </w:p>
        </w:tc>
        <w:tc>
          <w:tcPr>
            <w:tcW w:w="360" w:type="pct"/>
            <w:noWrap w:val="0"/>
            <w:vAlign w:val="center"/>
          </w:tcPr>
          <w:p>
            <w:pPr>
              <w:adjustRightInd w:val="0"/>
              <w:snapToGrid w:val="0"/>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 w:type="pct"/>
            <w:noWrap w:val="0"/>
            <w:vAlign w:val="center"/>
          </w:tcPr>
          <w:p>
            <w:pPr>
              <w:adjustRightInd w:val="0"/>
              <w:snapToGrid w:val="0"/>
              <w:rPr>
                <w:color w:val="auto"/>
              </w:rPr>
            </w:pPr>
            <w:r>
              <w:rPr>
                <w:color w:val="auto"/>
              </w:rPr>
              <w:t>6</w:t>
            </w:r>
          </w:p>
        </w:tc>
        <w:tc>
          <w:tcPr>
            <w:tcW w:w="532" w:type="pct"/>
            <w:noWrap w:val="0"/>
            <w:vAlign w:val="center"/>
          </w:tcPr>
          <w:p>
            <w:pPr>
              <w:adjustRightInd w:val="0"/>
              <w:snapToGrid w:val="0"/>
              <w:rPr>
                <w:color w:val="auto"/>
              </w:rPr>
            </w:pPr>
            <w:r>
              <w:rPr>
                <w:color w:val="auto"/>
              </w:rPr>
              <w:t>200万红外定焦防暴半球网络摄像机</w:t>
            </w:r>
          </w:p>
        </w:tc>
        <w:tc>
          <w:tcPr>
            <w:tcW w:w="3388" w:type="pct"/>
            <w:noWrap w:val="0"/>
            <w:vAlign w:val="center"/>
          </w:tcPr>
          <w:p>
            <w:pPr>
              <w:adjustRightInd w:val="0"/>
              <w:snapToGrid w:val="0"/>
              <w:rPr>
                <w:color w:val="auto"/>
              </w:rPr>
            </w:pPr>
            <w:r>
              <w:rPr>
                <w:color w:val="auto"/>
              </w:rPr>
              <w:t>传感器类型1/2.8英寸CMOS；像素200万；最大分辨率1920×1080；最低照度0.002Lux（彩色模式）；0.0002Lux（黑白模式）；0Lux（补光灯开启）；最大补光距离20m（红外）；镜头类型定焦；镜头焦距2.8mm；通用行为分析绊线入侵；区域入侵；视频压缩标准H.265；H.264；H.264B；MJPEG（仅辅码流支持）；智能编码H.264：支持H.265：支持；宽动态120dB；内置MIC支持；报警事件：无SD卡、SD卡空间不足、SD卡出错、网络断开、IP冲突、非法访问、动态检测、视频遮挡、绊线入侵、区域入侵、音频异常侦测、电压检测、外部报警、安全异常；接入标准ONVIF（Profile S/Profile G/Profile T）</w:t>
            </w:r>
            <w:r>
              <w:rPr>
                <w:rFonts w:hint="eastAsia"/>
                <w:color w:val="auto"/>
              </w:rPr>
              <w:t>、</w:t>
            </w:r>
            <w:r>
              <w:rPr>
                <w:color w:val="auto"/>
              </w:rPr>
              <w:t>CGI</w:t>
            </w:r>
            <w:r>
              <w:rPr>
                <w:rFonts w:hint="eastAsia"/>
                <w:color w:val="auto"/>
              </w:rPr>
              <w:t>、</w:t>
            </w:r>
            <w:r>
              <w:rPr>
                <w:color w:val="auto"/>
              </w:rPr>
              <w:t>GB/T28181（双国标）；最大Micro SD卡256 GB；音频输入1路（RCA头）；音频输出1路（RCA头）；报警输入1路（湿节点</w:t>
            </w:r>
            <w:r>
              <w:rPr>
                <w:rFonts w:hint="eastAsia"/>
                <w:color w:val="auto"/>
              </w:rPr>
              <w:t>，</w:t>
            </w:r>
            <w:r>
              <w:rPr>
                <w:color w:val="auto"/>
              </w:rPr>
              <w:t>支持直流3V~5V电位</w:t>
            </w:r>
            <w:r>
              <w:rPr>
                <w:rFonts w:hint="eastAsia"/>
                <w:color w:val="auto"/>
              </w:rPr>
              <w:t>，</w:t>
            </w:r>
            <w:r>
              <w:rPr>
                <w:color w:val="auto"/>
              </w:rPr>
              <w:t>5mA电流）；报警输出1路（湿节点</w:t>
            </w:r>
            <w:r>
              <w:rPr>
                <w:rFonts w:hint="eastAsia"/>
                <w:color w:val="auto"/>
              </w:rPr>
              <w:t>，</w:t>
            </w:r>
            <w:r>
              <w:rPr>
                <w:color w:val="auto"/>
              </w:rPr>
              <w:t>支持直流最大12V电位，0.3A电流）；供电方式DC12V/POE；防护等级IK10、IP67。</w:t>
            </w:r>
          </w:p>
        </w:tc>
        <w:tc>
          <w:tcPr>
            <w:tcW w:w="359" w:type="pct"/>
            <w:noWrap w:val="0"/>
            <w:vAlign w:val="center"/>
          </w:tcPr>
          <w:p>
            <w:pPr>
              <w:adjustRightInd w:val="0"/>
              <w:snapToGrid w:val="0"/>
              <w:rPr>
                <w:color w:val="auto"/>
              </w:rPr>
            </w:pPr>
            <w:r>
              <w:rPr>
                <w:color w:val="auto"/>
              </w:rPr>
              <w:t>4</w:t>
            </w:r>
          </w:p>
        </w:tc>
        <w:tc>
          <w:tcPr>
            <w:tcW w:w="360" w:type="pct"/>
            <w:noWrap w:val="0"/>
            <w:vAlign w:val="center"/>
          </w:tcPr>
          <w:p>
            <w:pPr>
              <w:adjustRightInd w:val="0"/>
              <w:snapToGrid w:val="0"/>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79" w:type="pct"/>
            <w:gridSpan w:val="3"/>
            <w:noWrap/>
            <w:vAlign w:val="center"/>
          </w:tcPr>
          <w:p>
            <w:pPr>
              <w:adjustRightInd w:val="0"/>
              <w:snapToGrid w:val="0"/>
              <w:rPr>
                <w:color w:val="auto"/>
              </w:rPr>
            </w:pPr>
            <w:r>
              <w:rPr>
                <w:color w:val="auto"/>
              </w:rPr>
              <w:t>三、门禁管理子系统</w:t>
            </w:r>
          </w:p>
        </w:tc>
        <w:tc>
          <w:tcPr>
            <w:tcW w:w="359" w:type="pct"/>
            <w:noWrap/>
            <w:vAlign w:val="center"/>
          </w:tcPr>
          <w:p>
            <w:pPr>
              <w:adjustRightInd w:val="0"/>
              <w:snapToGrid w:val="0"/>
              <w:rPr>
                <w:color w:val="auto"/>
              </w:rPr>
            </w:pPr>
            <w:r>
              <w:rPr>
                <w:color w:val="auto"/>
              </w:rPr>
              <w:t>　</w:t>
            </w:r>
          </w:p>
        </w:tc>
        <w:tc>
          <w:tcPr>
            <w:tcW w:w="360" w:type="pct"/>
            <w:noWrap/>
            <w:vAlign w:val="center"/>
          </w:tcPr>
          <w:p>
            <w:pPr>
              <w:adjustRightInd w:val="0"/>
              <w:snapToGrid w:val="0"/>
              <w:rPr>
                <w:color w:val="auto"/>
              </w:rPr>
            </w:pPr>
            <w:r>
              <w:rPr>
                <w:color w:val="auto"/>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 w:type="pct"/>
            <w:noWrap w:val="0"/>
            <w:vAlign w:val="center"/>
          </w:tcPr>
          <w:p>
            <w:pPr>
              <w:adjustRightInd w:val="0"/>
              <w:snapToGrid w:val="0"/>
              <w:rPr>
                <w:color w:val="auto"/>
              </w:rPr>
            </w:pPr>
            <w:r>
              <w:rPr>
                <w:color w:val="auto"/>
              </w:rPr>
              <w:t>1</w:t>
            </w:r>
          </w:p>
        </w:tc>
        <w:tc>
          <w:tcPr>
            <w:tcW w:w="532" w:type="pct"/>
            <w:noWrap w:val="0"/>
            <w:vAlign w:val="center"/>
          </w:tcPr>
          <w:p>
            <w:pPr>
              <w:adjustRightInd w:val="0"/>
              <w:snapToGrid w:val="0"/>
              <w:rPr>
                <w:color w:val="auto"/>
              </w:rPr>
            </w:pPr>
            <w:r>
              <w:rPr>
                <w:color w:val="auto"/>
              </w:rPr>
              <w:t>10寸室外人脸闸机组件</w:t>
            </w:r>
          </w:p>
        </w:tc>
        <w:tc>
          <w:tcPr>
            <w:tcW w:w="3388" w:type="pct"/>
            <w:noWrap w:val="0"/>
            <w:vAlign w:val="center"/>
          </w:tcPr>
          <w:p>
            <w:pPr>
              <w:adjustRightInd w:val="0"/>
              <w:snapToGrid w:val="0"/>
              <w:rPr>
                <w:rFonts w:hint="eastAsia" w:eastAsia="宋体"/>
                <w:color w:val="auto"/>
                <w:lang w:eastAsia="zh-CN"/>
              </w:rPr>
            </w:pPr>
            <w:r>
              <w:rPr>
                <w:color w:val="auto"/>
              </w:rPr>
              <w:t>主处理器：高性能嵌入式处理器；显示屏：</w:t>
            </w:r>
            <w:r>
              <w:rPr>
                <w:rFonts w:hint="eastAsia"/>
                <w:color w:val="auto"/>
              </w:rPr>
              <w:t>≥</w:t>
            </w:r>
            <w:r>
              <w:rPr>
                <w:color w:val="auto"/>
              </w:rPr>
              <w:t>10.1寸TFT液晶屏；屏幕类型：电容屏；屏幕分辩率：</w:t>
            </w:r>
            <w:r>
              <w:rPr>
                <w:rFonts w:hint="eastAsia"/>
                <w:color w:val="auto"/>
              </w:rPr>
              <w:t>≥</w:t>
            </w:r>
            <w:r>
              <w:rPr>
                <w:color w:val="auto"/>
              </w:rPr>
              <w:t>800×1280；使用环境：室内室外；摄像头：2MP CMOS高清宽动态双摄像头；外壳材料：PC+ABS铝合金金属边框；开门模式：支持远程/密码/二维码/人脸识别开门模式，支持组合开门模式设置；远程验证：支持；黑白名单设定：支持；Wi-Fi：支持；实时监控：支持；多重认证：支持；WEB配置：支持；主动注册：支持；人脸识别准确率：</w:t>
            </w:r>
            <w:r>
              <w:rPr>
                <w:rFonts w:hint="eastAsia"/>
                <w:color w:val="auto"/>
              </w:rPr>
              <w:t>≥</w:t>
            </w:r>
            <w:r>
              <w:rPr>
                <w:color w:val="auto"/>
              </w:rPr>
              <w:t>99.5%；人脸识别速度：</w:t>
            </w:r>
            <w:r>
              <w:rPr>
                <w:rFonts w:hint="eastAsia"/>
                <w:color w:val="auto"/>
              </w:rPr>
              <w:t>≤</w:t>
            </w:r>
            <w:r>
              <w:rPr>
                <w:color w:val="auto"/>
              </w:rPr>
              <w:t>0.2s；用户容量：</w:t>
            </w:r>
            <w:r>
              <w:rPr>
                <w:rFonts w:hint="eastAsia"/>
                <w:color w:val="auto"/>
              </w:rPr>
              <w:t>≥</w:t>
            </w:r>
            <w:r>
              <w:rPr>
                <w:color w:val="auto"/>
              </w:rPr>
              <w:t>100000个用户；人脸容量：</w:t>
            </w:r>
            <w:r>
              <w:rPr>
                <w:rFonts w:hint="eastAsia"/>
                <w:color w:val="auto"/>
              </w:rPr>
              <w:t>≥</w:t>
            </w:r>
            <w:r>
              <w:rPr>
                <w:color w:val="auto"/>
              </w:rPr>
              <w:t>100000张；密码容量：</w:t>
            </w:r>
            <w:r>
              <w:rPr>
                <w:rFonts w:hint="eastAsia"/>
                <w:color w:val="auto"/>
              </w:rPr>
              <w:t>≥</w:t>
            </w:r>
            <w:r>
              <w:rPr>
                <w:color w:val="auto"/>
              </w:rPr>
              <w:t>100000个；存储记录数量：</w:t>
            </w:r>
            <w:r>
              <w:rPr>
                <w:rFonts w:hint="eastAsia"/>
                <w:color w:val="auto"/>
              </w:rPr>
              <w:t>≥</w:t>
            </w:r>
            <w:r>
              <w:rPr>
                <w:color w:val="auto"/>
              </w:rPr>
              <w:t>100000条开门记录；RS-485接口：</w:t>
            </w:r>
            <w:r>
              <w:rPr>
                <w:rFonts w:hint="eastAsia"/>
                <w:color w:val="auto"/>
              </w:rPr>
              <w:t>≥</w:t>
            </w:r>
            <w:r>
              <w:rPr>
                <w:color w:val="auto"/>
              </w:rPr>
              <w:t>1个；RS-232接口：</w:t>
            </w:r>
            <w:r>
              <w:rPr>
                <w:rFonts w:hint="eastAsia"/>
                <w:color w:val="auto"/>
              </w:rPr>
              <w:t>≥</w:t>
            </w:r>
            <w:r>
              <w:rPr>
                <w:color w:val="auto"/>
              </w:rPr>
              <w:t>1个；韦根接口：</w:t>
            </w:r>
            <w:r>
              <w:rPr>
                <w:rFonts w:hint="eastAsia"/>
                <w:color w:val="auto"/>
              </w:rPr>
              <w:t>≥</w:t>
            </w:r>
            <w:r>
              <w:rPr>
                <w:color w:val="auto"/>
              </w:rPr>
              <w:t>1路输入/输出；USB接口：</w:t>
            </w:r>
            <w:r>
              <w:rPr>
                <w:rFonts w:hint="eastAsia"/>
                <w:color w:val="auto"/>
              </w:rPr>
              <w:t>≥</w:t>
            </w:r>
            <w:r>
              <w:rPr>
                <w:color w:val="auto"/>
              </w:rPr>
              <w:t>1个USB2.0接口；网络接口：</w:t>
            </w:r>
            <w:r>
              <w:rPr>
                <w:rFonts w:hint="eastAsia"/>
                <w:color w:val="auto"/>
              </w:rPr>
              <w:t>≥</w:t>
            </w:r>
            <w:r>
              <w:rPr>
                <w:color w:val="auto"/>
              </w:rPr>
              <w:t>1个RJ-45，100Mbps；报警输入：</w:t>
            </w:r>
            <w:r>
              <w:rPr>
                <w:rFonts w:hint="eastAsia"/>
                <w:color w:val="auto"/>
              </w:rPr>
              <w:t>≥</w:t>
            </w:r>
            <w:r>
              <w:rPr>
                <w:color w:val="auto"/>
              </w:rPr>
              <w:t>1路（开关量）；报警输出：</w:t>
            </w:r>
            <w:r>
              <w:rPr>
                <w:rFonts w:hint="eastAsia"/>
                <w:color w:val="auto"/>
              </w:rPr>
              <w:t>≥</w:t>
            </w:r>
            <w:r>
              <w:rPr>
                <w:color w:val="auto"/>
              </w:rPr>
              <w:t>1路（继电器）；报警联动：支持；开门按钮：</w:t>
            </w:r>
            <w:r>
              <w:rPr>
                <w:rFonts w:hint="eastAsia"/>
                <w:color w:val="auto"/>
              </w:rPr>
              <w:t>≥</w:t>
            </w:r>
            <w:r>
              <w:rPr>
                <w:color w:val="auto"/>
              </w:rPr>
              <w:t>2路；门锁控制：</w:t>
            </w:r>
            <w:r>
              <w:rPr>
                <w:rFonts w:hint="eastAsia"/>
                <w:color w:val="auto"/>
              </w:rPr>
              <w:t>≥</w:t>
            </w:r>
            <w:r>
              <w:rPr>
                <w:color w:val="auto"/>
              </w:rPr>
              <w:t>2路；防反潜：支持；防拆报警：支持；胁迫报警：支持；供电方式：DC 12V 2A；工作温度：-30℃~+70℃</w:t>
            </w:r>
            <w:r>
              <w:rPr>
                <w:rFonts w:hint="eastAsia"/>
                <w:color w:val="auto"/>
                <w:lang w:eastAsia="zh-CN"/>
              </w:rPr>
              <w:t>。</w:t>
            </w:r>
          </w:p>
        </w:tc>
        <w:tc>
          <w:tcPr>
            <w:tcW w:w="359" w:type="pct"/>
            <w:noWrap w:val="0"/>
            <w:vAlign w:val="center"/>
          </w:tcPr>
          <w:p>
            <w:pPr>
              <w:adjustRightInd w:val="0"/>
              <w:snapToGrid w:val="0"/>
              <w:rPr>
                <w:color w:val="auto"/>
              </w:rPr>
            </w:pPr>
            <w:r>
              <w:rPr>
                <w:color w:val="auto"/>
              </w:rPr>
              <w:t>8</w:t>
            </w:r>
          </w:p>
        </w:tc>
        <w:tc>
          <w:tcPr>
            <w:tcW w:w="360" w:type="pct"/>
            <w:noWrap w:val="0"/>
            <w:vAlign w:val="center"/>
          </w:tcPr>
          <w:p>
            <w:pPr>
              <w:adjustRightInd w:val="0"/>
              <w:snapToGrid w:val="0"/>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 w:type="pct"/>
            <w:noWrap w:val="0"/>
            <w:vAlign w:val="center"/>
          </w:tcPr>
          <w:p>
            <w:pPr>
              <w:adjustRightInd w:val="0"/>
              <w:snapToGrid w:val="0"/>
              <w:rPr>
                <w:color w:val="auto"/>
              </w:rPr>
            </w:pPr>
            <w:r>
              <w:rPr>
                <w:color w:val="auto"/>
              </w:rPr>
              <w:t>2</w:t>
            </w:r>
          </w:p>
        </w:tc>
        <w:tc>
          <w:tcPr>
            <w:tcW w:w="532" w:type="pct"/>
            <w:noWrap w:val="0"/>
            <w:vAlign w:val="center"/>
          </w:tcPr>
          <w:p>
            <w:pPr>
              <w:adjustRightInd w:val="0"/>
              <w:snapToGrid w:val="0"/>
              <w:rPr>
                <w:color w:val="auto"/>
              </w:rPr>
            </w:pPr>
            <w:r>
              <w:rPr>
                <w:color w:val="auto"/>
              </w:rPr>
              <w:t>室外翼闸(左，单开孔)</w:t>
            </w:r>
          </w:p>
        </w:tc>
        <w:tc>
          <w:tcPr>
            <w:tcW w:w="3388" w:type="pct"/>
            <w:noWrap w:val="0"/>
            <w:vAlign w:val="center"/>
          </w:tcPr>
          <w:p>
            <w:pPr>
              <w:adjustRightInd w:val="0"/>
              <w:snapToGrid w:val="0"/>
              <w:rPr>
                <w:rFonts w:hint="eastAsia" w:eastAsia="宋体"/>
                <w:color w:val="auto"/>
                <w:lang w:eastAsia="zh-CN"/>
              </w:rPr>
            </w:pPr>
            <w:r>
              <w:rPr>
                <w:color w:val="auto"/>
              </w:rPr>
              <w:t>产品类型：翼闸；产品尺寸：1400mm×280mm×1000mm（长×宽×高）；驱动电机：直流无刷伺服电机；MCBF：≥500万次；通道宽度：透明PC：600mm；红外对射对数：</w:t>
            </w:r>
            <w:r>
              <w:rPr>
                <w:rFonts w:hint="eastAsia"/>
                <w:color w:val="auto"/>
              </w:rPr>
              <w:t>≥</w:t>
            </w:r>
            <w:r>
              <w:rPr>
                <w:color w:val="auto"/>
              </w:rPr>
              <w:t>12对；开门模式：刷卡/人脸识别；输入接口：RS232串口/RS485接口；功耗：≤20W（待机），≤130W（工作）；使用环境：室内</w:t>
            </w:r>
            <w:r>
              <w:rPr>
                <w:rFonts w:hint="eastAsia"/>
                <w:color w:val="auto"/>
              </w:rPr>
              <w:t>、</w:t>
            </w:r>
            <w:r>
              <w:rPr>
                <w:color w:val="auto"/>
              </w:rPr>
              <w:t>室外</w:t>
            </w:r>
            <w:r>
              <w:rPr>
                <w:rFonts w:hint="eastAsia"/>
                <w:color w:val="auto"/>
                <w:lang w:eastAsia="zh-CN"/>
              </w:rPr>
              <w:t>。</w:t>
            </w:r>
          </w:p>
        </w:tc>
        <w:tc>
          <w:tcPr>
            <w:tcW w:w="359" w:type="pct"/>
            <w:noWrap w:val="0"/>
            <w:vAlign w:val="center"/>
          </w:tcPr>
          <w:p>
            <w:pPr>
              <w:adjustRightInd w:val="0"/>
              <w:snapToGrid w:val="0"/>
              <w:rPr>
                <w:color w:val="auto"/>
              </w:rPr>
            </w:pPr>
            <w:r>
              <w:rPr>
                <w:color w:val="auto"/>
              </w:rPr>
              <w:t>2</w:t>
            </w:r>
          </w:p>
        </w:tc>
        <w:tc>
          <w:tcPr>
            <w:tcW w:w="360" w:type="pct"/>
            <w:noWrap w:val="0"/>
            <w:vAlign w:val="center"/>
          </w:tcPr>
          <w:p>
            <w:pPr>
              <w:adjustRightInd w:val="0"/>
              <w:snapToGrid w:val="0"/>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 w:type="pct"/>
            <w:noWrap w:val="0"/>
            <w:vAlign w:val="center"/>
          </w:tcPr>
          <w:p>
            <w:pPr>
              <w:adjustRightInd w:val="0"/>
              <w:snapToGrid w:val="0"/>
              <w:rPr>
                <w:color w:val="auto"/>
              </w:rPr>
            </w:pPr>
            <w:r>
              <w:rPr>
                <w:color w:val="auto"/>
              </w:rPr>
              <w:t>3</w:t>
            </w:r>
          </w:p>
        </w:tc>
        <w:tc>
          <w:tcPr>
            <w:tcW w:w="532" w:type="pct"/>
            <w:noWrap w:val="0"/>
            <w:vAlign w:val="center"/>
          </w:tcPr>
          <w:p>
            <w:pPr>
              <w:adjustRightInd w:val="0"/>
              <w:snapToGrid w:val="0"/>
              <w:rPr>
                <w:color w:val="auto"/>
              </w:rPr>
            </w:pPr>
            <w:r>
              <w:rPr>
                <w:color w:val="auto"/>
              </w:rPr>
              <w:t>室外翼闸(右1，单开孔)</w:t>
            </w:r>
          </w:p>
        </w:tc>
        <w:tc>
          <w:tcPr>
            <w:tcW w:w="3388" w:type="pct"/>
            <w:noWrap w:val="0"/>
            <w:vAlign w:val="center"/>
          </w:tcPr>
          <w:p>
            <w:pPr>
              <w:adjustRightInd w:val="0"/>
              <w:snapToGrid w:val="0"/>
              <w:rPr>
                <w:rFonts w:hint="eastAsia" w:eastAsia="宋体"/>
                <w:color w:val="auto"/>
                <w:lang w:eastAsia="zh-CN"/>
              </w:rPr>
            </w:pPr>
            <w:r>
              <w:rPr>
                <w:color w:val="auto"/>
              </w:rPr>
              <w:t>产品类型：翼闸；产品尺寸：1400mm×280mm×1000mm（长×宽×高）；驱动电机：直流无刷伺服电机；MCBF：≥500万次；通道宽度：透明PC：600mm；红外对射对数：</w:t>
            </w:r>
            <w:r>
              <w:rPr>
                <w:rFonts w:hint="eastAsia"/>
                <w:color w:val="auto"/>
              </w:rPr>
              <w:t>≥</w:t>
            </w:r>
            <w:r>
              <w:rPr>
                <w:color w:val="auto"/>
              </w:rPr>
              <w:t>12对；开门模式：刷卡/人脸识别；输入接口：RS232串口/RS485接口；功耗：≤20W（待机），≤130W（工作）；使用环境：室内</w:t>
            </w:r>
            <w:r>
              <w:rPr>
                <w:rFonts w:hint="eastAsia"/>
                <w:color w:val="auto"/>
              </w:rPr>
              <w:t>、</w:t>
            </w:r>
            <w:r>
              <w:rPr>
                <w:color w:val="auto"/>
              </w:rPr>
              <w:t>室外</w:t>
            </w:r>
            <w:r>
              <w:rPr>
                <w:rFonts w:hint="eastAsia"/>
                <w:color w:val="auto"/>
                <w:lang w:eastAsia="zh-CN"/>
              </w:rPr>
              <w:t>。</w:t>
            </w:r>
          </w:p>
        </w:tc>
        <w:tc>
          <w:tcPr>
            <w:tcW w:w="359" w:type="pct"/>
            <w:noWrap w:val="0"/>
            <w:vAlign w:val="center"/>
          </w:tcPr>
          <w:p>
            <w:pPr>
              <w:adjustRightInd w:val="0"/>
              <w:snapToGrid w:val="0"/>
              <w:rPr>
                <w:color w:val="auto"/>
              </w:rPr>
            </w:pPr>
            <w:r>
              <w:rPr>
                <w:color w:val="auto"/>
              </w:rPr>
              <w:t>2</w:t>
            </w:r>
          </w:p>
        </w:tc>
        <w:tc>
          <w:tcPr>
            <w:tcW w:w="360" w:type="pct"/>
            <w:noWrap w:val="0"/>
            <w:vAlign w:val="center"/>
          </w:tcPr>
          <w:p>
            <w:pPr>
              <w:adjustRightInd w:val="0"/>
              <w:snapToGrid w:val="0"/>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 w:type="pct"/>
            <w:noWrap w:val="0"/>
            <w:vAlign w:val="center"/>
          </w:tcPr>
          <w:p>
            <w:pPr>
              <w:adjustRightInd w:val="0"/>
              <w:snapToGrid w:val="0"/>
              <w:rPr>
                <w:color w:val="auto"/>
              </w:rPr>
            </w:pPr>
            <w:r>
              <w:rPr>
                <w:color w:val="auto"/>
              </w:rPr>
              <w:t>4</w:t>
            </w:r>
          </w:p>
        </w:tc>
        <w:tc>
          <w:tcPr>
            <w:tcW w:w="532" w:type="pct"/>
            <w:noWrap w:val="0"/>
            <w:vAlign w:val="center"/>
          </w:tcPr>
          <w:p>
            <w:pPr>
              <w:adjustRightInd w:val="0"/>
              <w:snapToGrid w:val="0"/>
              <w:rPr>
                <w:color w:val="auto"/>
              </w:rPr>
            </w:pPr>
            <w:r>
              <w:rPr>
                <w:color w:val="auto"/>
              </w:rPr>
              <w:t>室外翼闸(中1，单开孔)</w:t>
            </w:r>
          </w:p>
        </w:tc>
        <w:tc>
          <w:tcPr>
            <w:tcW w:w="3388" w:type="pct"/>
            <w:noWrap w:val="0"/>
            <w:vAlign w:val="center"/>
          </w:tcPr>
          <w:p>
            <w:pPr>
              <w:adjustRightInd w:val="0"/>
              <w:snapToGrid w:val="0"/>
              <w:rPr>
                <w:rFonts w:hint="eastAsia" w:eastAsia="宋体"/>
                <w:color w:val="auto"/>
                <w:lang w:eastAsia="zh-CN"/>
              </w:rPr>
            </w:pPr>
            <w:r>
              <w:rPr>
                <w:color w:val="auto"/>
              </w:rPr>
              <w:t>产品类型：翼闸；产品尺寸：1400mm×280mm×1000mm（长×宽×高）；驱动电机：直流无刷伺服电机；MCBF：≥500万次；通道宽度：透明PC：600mm；红外对射对数：</w:t>
            </w:r>
            <w:r>
              <w:rPr>
                <w:rFonts w:hint="eastAsia"/>
                <w:color w:val="auto"/>
              </w:rPr>
              <w:t>≥</w:t>
            </w:r>
            <w:r>
              <w:rPr>
                <w:color w:val="auto"/>
              </w:rPr>
              <w:t>12对；开门模式：刷卡/人脸识别；输入接口：RS232串口/RS485接口；功耗：≤20W（待机），≤130W（工作）；使用环境：室内</w:t>
            </w:r>
            <w:r>
              <w:rPr>
                <w:rFonts w:hint="eastAsia"/>
                <w:color w:val="auto"/>
              </w:rPr>
              <w:t>、</w:t>
            </w:r>
            <w:r>
              <w:rPr>
                <w:color w:val="auto"/>
              </w:rPr>
              <w:t>室外</w:t>
            </w:r>
            <w:r>
              <w:rPr>
                <w:rFonts w:hint="eastAsia"/>
                <w:color w:val="auto"/>
                <w:lang w:eastAsia="zh-CN"/>
              </w:rPr>
              <w:t>。</w:t>
            </w:r>
          </w:p>
        </w:tc>
        <w:tc>
          <w:tcPr>
            <w:tcW w:w="359" w:type="pct"/>
            <w:noWrap w:val="0"/>
            <w:vAlign w:val="center"/>
          </w:tcPr>
          <w:p>
            <w:pPr>
              <w:adjustRightInd w:val="0"/>
              <w:snapToGrid w:val="0"/>
              <w:rPr>
                <w:color w:val="auto"/>
              </w:rPr>
            </w:pPr>
            <w:r>
              <w:rPr>
                <w:color w:val="auto"/>
              </w:rPr>
              <w:t>1</w:t>
            </w:r>
          </w:p>
        </w:tc>
        <w:tc>
          <w:tcPr>
            <w:tcW w:w="360" w:type="pct"/>
            <w:noWrap w:val="0"/>
            <w:vAlign w:val="center"/>
          </w:tcPr>
          <w:p>
            <w:pPr>
              <w:adjustRightInd w:val="0"/>
              <w:snapToGrid w:val="0"/>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39" w:type="pct"/>
            <w:gridSpan w:val="4"/>
            <w:noWrap w:val="0"/>
            <w:vAlign w:val="center"/>
          </w:tcPr>
          <w:p>
            <w:pPr>
              <w:adjustRightInd w:val="0"/>
              <w:snapToGrid w:val="0"/>
              <w:rPr>
                <w:color w:val="auto"/>
              </w:rPr>
            </w:pPr>
            <w:r>
              <w:rPr>
                <w:color w:val="auto"/>
              </w:rPr>
              <w:t>四、视频存储子系统</w:t>
            </w:r>
          </w:p>
        </w:tc>
        <w:tc>
          <w:tcPr>
            <w:tcW w:w="360" w:type="pct"/>
            <w:noWrap w:val="0"/>
            <w:vAlign w:val="center"/>
          </w:tcPr>
          <w:p>
            <w:pPr>
              <w:adjustRightInd w:val="0"/>
              <w:snapToGrid w:val="0"/>
              <w:rPr>
                <w:color w:val="auto"/>
              </w:rPr>
            </w:pPr>
            <w:r>
              <w:rPr>
                <w:color w:val="auto"/>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 w:type="pct"/>
            <w:noWrap w:val="0"/>
            <w:vAlign w:val="center"/>
          </w:tcPr>
          <w:p>
            <w:pPr>
              <w:adjustRightInd w:val="0"/>
              <w:snapToGrid w:val="0"/>
              <w:rPr>
                <w:color w:val="auto"/>
              </w:rPr>
            </w:pPr>
            <w:r>
              <w:rPr>
                <w:color w:val="auto"/>
              </w:rPr>
              <w:t>1</w:t>
            </w:r>
          </w:p>
        </w:tc>
        <w:tc>
          <w:tcPr>
            <w:tcW w:w="532" w:type="pct"/>
            <w:noWrap w:val="0"/>
            <w:vAlign w:val="center"/>
          </w:tcPr>
          <w:p>
            <w:pPr>
              <w:adjustRightInd w:val="0"/>
              <w:snapToGrid w:val="0"/>
              <w:rPr>
                <w:color w:val="auto"/>
              </w:rPr>
            </w:pPr>
            <w:r>
              <w:rPr>
                <w:color w:val="auto"/>
              </w:rPr>
              <w:t>网络视频存储服务器</w:t>
            </w:r>
          </w:p>
        </w:tc>
        <w:tc>
          <w:tcPr>
            <w:tcW w:w="3388" w:type="pct"/>
            <w:noWrap w:val="0"/>
            <w:vAlign w:val="center"/>
          </w:tcPr>
          <w:p>
            <w:pPr>
              <w:adjustRightInd w:val="0"/>
              <w:snapToGrid w:val="0"/>
              <w:rPr>
                <w:rFonts w:hint="eastAsia" w:eastAsia="宋体"/>
                <w:color w:val="auto"/>
                <w:lang w:eastAsia="zh-CN"/>
              </w:rPr>
            </w:pPr>
            <w:r>
              <w:rPr>
                <w:rFonts w:ascii="宋体" w:hAnsi="宋体" w:eastAsia="宋体" w:cs="Times New Roman"/>
                <w:color w:val="auto"/>
                <w:sz w:val="24"/>
                <w:szCs w:val="24"/>
              </w:rPr>
              <w:t>支</w:t>
            </w:r>
            <w:r>
              <w:rPr>
                <w:rFonts w:ascii="Times New Roman" w:hAnsi="Times New Roman" w:eastAsia="宋体" w:cs="Times New Roman"/>
                <w:color w:val="auto"/>
              </w:rPr>
              <w:t>持嵌入式Linux系统，工业级嵌入式微控制器</w:t>
            </w:r>
            <w:r>
              <w:rPr>
                <w:rFonts w:hint="eastAsia" w:ascii="Times New Roman" w:hAnsi="Times New Roman" w:eastAsia="宋体" w:cs="Times New Roman"/>
                <w:color w:val="auto"/>
              </w:rPr>
              <w:t>；支</w:t>
            </w:r>
            <w:r>
              <w:rPr>
                <w:rFonts w:ascii="Times New Roman" w:hAnsi="Times New Roman" w:eastAsia="宋体" w:cs="Times New Roman"/>
                <w:color w:val="auto"/>
              </w:rPr>
              <w:t>持WEB、本地GUI界面操作</w:t>
            </w:r>
            <w:r>
              <w:rPr>
                <w:rFonts w:hint="eastAsia" w:ascii="Times New Roman" w:hAnsi="Times New Roman" w:eastAsia="宋体" w:cs="Times New Roman"/>
                <w:color w:val="auto"/>
              </w:rPr>
              <w:t>；支</w:t>
            </w:r>
            <w:r>
              <w:rPr>
                <w:rFonts w:ascii="Times New Roman" w:hAnsi="Times New Roman" w:eastAsia="宋体" w:cs="Times New Roman"/>
                <w:color w:val="auto"/>
              </w:rPr>
              <w:t>持最大32路网络视频接入；不开智能，最多支持256Mbps接入/存储/转发；开智能，最多支持160Mbps接入/存储/转发</w:t>
            </w:r>
            <w:r>
              <w:rPr>
                <w:rFonts w:hint="eastAsia" w:ascii="Times New Roman" w:hAnsi="Times New Roman" w:eastAsia="宋体" w:cs="Times New Roman"/>
                <w:color w:val="auto"/>
              </w:rPr>
              <w:t>；</w:t>
            </w:r>
            <w:r>
              <w:rPr>
                <w:rFonts w:ascii="Times New Roman" w:hAnsi="Times New Roman" w:eastAsia="宋体" w:cs="Times New Roman"/>
                <w:color w:val="auto"/>
              </w:rPr>
              <w:t>支持Smart H.265/H.265/Smart H.264/H.264/MJPEG码流</w:t>
            </w:r>
            <w:r>
              <w:rPr>
                <w:rFonts w:hint="eastAsia" w:ascii="Times New Roman" w:hAnsi="Times New Roman" w:eastAsia="宋体" w:cs="Times New Roman"/>
                <w:color w:val="auto"/>
              </w:rPr>
              <w:t>；</w:t>
            </w:r>
            <w:r>
              <w:rPr>
                <w:rFonts w:ascii="Times New Roman" w:hAnsi="Times New Roman" w:eastAsia="宋体" w:cs="Times New Roman"/>
                <w:color w:val="auto"/>
              </w:rPr>
              <w:t>支持VGA、HDMI异源输出，HDMI视频输出分辨率最高达4K</w:t>
            </w:r>
            <w:r>
              <w:rPr>
                <w:rFonts w:hint="eastAsia" w:ascii="Times New Roman" w:hAnsi="Times New Roman" w:eastAsia="宋体" w:cs="Times New Roman"/>
                <w:color w:val="auto"/>
              </w:rPr>
              <w:t>；</w:t>
            </w:r>
            <w:r>
              <w:rPr>
                <w:rFonts w:ascii="Times New Roman" w:hAnsi="Times New Roman" w:eastAsia="宋体" w:cs="Times New Roman"/>
                <w:color w:val="auto"/>
              </w:rPr>
              <w:t>支持1路后智能人脸检测比对；</w:t>
            </w:r>
            <w:r>
              <w:rPr>
                <w:rFonts w:hint="eastAsia" w:ascii="Times New Roman" w:hAnsi="Times New Roman" w:eastAsia="宋体" w:cs="Times New Roman"/>
                <w:color w:val="auto"/>
              </w:rPr>
              <w:t>≥</w:t>
            </w:r>
            <w:r>
              <w:rPr>
                <w:rFonts w:ascii="Times New Roman" w:hAnsi="Times New Roman" w:eastAsia="宋体" w:cs="Times New Roman"/>
                <w:color w:val="auto"/>
              </w:rPr>
              <w:t>10个人脸库，</w:t>
            </w:r>
            <w:r>
              <w:rPr>
                <w:rFonts w:hint="eastAsia" w:ascii="Times New Roman" w:hAnsi="Times New Roman" w:eastAsia="宋体" w:cs="Times New Roman"/>
                <w:color w:val="auto"/>
              </w:rPr>
              <w:t>≥</w:t>
            </w:r>
            <w:r>
              <w:rPr>
                <w:rFonts w:ascii="Times New Roman" w:hAnsi="Times New Roman" w:eastAsia="宋体" w:cs="Times New Roman"/>
                <w:color w:val="auto"/>
              </w:rPr>
              <w:t>20000张人脸图片；</w:t>
            </w:r>
            <w:r>
              <w:rPr>
                <w:rFonts w:hint="eastAsia" w:ascii="Times New Roman" w:hAnsi="Times New Roman" w:eastAsia="宋体" w:cs="Times New Roman"/>
                <w:color w:val="auto"/>
              </w:rPr>
              <w:t>≥</w:t>
            </w:r>
            <w:r>
              <w:rPr>
                <w:rFonts w:ascii="Times New Roman" w:hAnsi="Times New Roman" w:eastAsia="宋体" w:cs="Times New Roman"/>
                <w:color w:val="auto"/>
              </w:rPr>
              <w:t>2路后智能周界检测；</w:t>
            </w:r>
            <w:r>
              <w:rPr>
                <w:rFonts w:hint="eastAsia" w:ascii="Times New Roman" w:hAnsi="Times New Roman" w:eastAsia="宋体" w:cs="Times New Roman"/>
                <w:color w:val="auto"/>
              </w:rPr>
              <w:t>≥</w:t>
            </w:r>
            <w:r>
              <w:rPr>
                <w:rFonts w:ascii="Times New Roman" w:hAnsi="Times New Roman" w:eastAsia="宋体" w:cs="Times New Roman"/>
                <w:color w:val="auto"/>
              </w:rPr>
              <w:t>4路后智能SMD</w:t>
            </w:r>
            <w:r>
              <w:rPr>
                <w:rFonts w:hint="eastAsia" w:ascii="Times New Roman" w:hAnsi="Times New Roman" w:eastAsia="宋体" w:cs="Times New Roman"/>
                <w:color w:val="auto"/>
              </w:rPr>
              <w:t>；</w:t>
            </w:r>
            <w:r>
              <w:rPr>
                <w:rFonts w:ascii="Times New Roman" w:hAnsi="Times New Roman" w:eastAsia="宋体" w:cs="Times New Roman"/>
                <w:color w:val="auto"/>
              </w:rPr>
              <w:t>支持前智能：人脸检测比对、周界防范、通用行为分析、立体行为分析、人群分布、人数统计、热度图、SMD功能</w:t>
            </w:r>
            <w:r>
              <w:rPr>
                <w:rFonts w:hint="eastAsia" w:ascii="Times New Roman" w:hAnsi="Times New Roman" w:eastAsia="宋体" w:cs="Times New Roman"/>
                <w:color w:val="auto"/>
              </w:rPr>
              <w:t>；</w:t>
            </w:r>
            <w:r>
              <w:rPr>
                <w:rFonts w:ascii="Times New Roman" w:hAnsi="Times New Roman" w:eastAsia="宋体" w:cs="Times New Roman"/>
                <w:color w:val="auto"/>
              </w:rPr>
              <w:t>可接驳支持ONVIF、RTSP协议的第三方摄像机</w:t>
            </w:r>
            <w:r>
              <w:rPr>
                <w:rFonts w:hint="eastAsia" w:ascii="Times New Roman" w:hAnsi="Times New Roman" w:eastAsia="宋体" w:cs="Times New Roman"/>
                <w:color w:val="auto"/>
              </w:rPr>
              <w:t>；</w:t>
            </w:r>
            <w:r>
              <w:rPr>
                <w:rFonts w:ascii="Times New Roman" w:hAnsi="Times New Roman" w:eastAsia="宋体" w:cs="Times New Roman"/>
                <w:color w:val="auto"/>
              </w:rPr>
              <w:t>支持IPv4、IPv6、HTTP、NTP、DNS、ONVIF网络协议</w:t>
            </w:r>
            <w:r>
              <w:rPr>
                <w:rFonts w:hint="eastAsia" w:ascii="Times New Roman" w:hAnsi="Times New Roman" w:eastAsia="宋体" w:cs="Times New Roman"/>
                <w:color w:val="auto"/>
              </w:rPr>
              <w:t>；</w:t>
            </w:r>
            <w:r>
              <w:rPr>
                <w:rFonts w:ascii="Times New Roman" w:hAnsi="Times New Roman" w:eastAsia="宋体" w:cs="Times New Roman"/>
                <w:color w:val="auto"/>
              </w:rPr>
              <w:t>支持16M/12M/8M/6M/5M/4M/3M/1080P/1.3M/720PIPC分辨率接入</w:t>
            </w:r>
            <w:r>
              <w:rPr>
                <w:rFonts w:hint="eastAsia" w:ascii="Times New Roman" w:hAnsi="Times New Roman" w:eastAsia="宋体" w:cs="Times New Roman"/>
                <w:color w:val="auto"/>
              </w:rPr>
              <w:t>；</w:t>
            </w:r>
            <w:r>
              <w:rPr>
                <w:rFonts w:ascii="Times New Roman" w:hAnsi="Times New Roman" w:eastAsia="宋体" w:cs="Times New Roman"/>
                <w:color w:val="auto"/>
              </w:rPr>
              <w:t>支持1×16M/2×8M/3×6M/4×5M/5×4M/10×1080P/20×720P解码，最大支持16路视频回放</w:t>
            </w:r>
            <w:r>
              <w:rPr>
                <w:rFonts w:hint="eastAsia" w:ascii="Times New Roman" w:hAnsi="Times New Roman" w:eastAsia="宋体" w:cs="Times New Roman"/>
                <w:color w:val="auto"/>
              </w:rPr>
              <w:t>；</w:t>
            </w:r>
            <w:r>
              <w:rPr>
                <w:rFonts w:ascii="Times New Roman" w:hAnsi="Times New Roman" w:eastAsia="宋体" w:cs="Times New Roman"/>
                <w:color w:val="auto"/>
              </w:rPr>
              <w:t>支持</w:t>
            </w:r>
            <w:r>
              <w:rPr>
                <w:rFonts w:hint="eastAsia" w:ascii="Times New Roman" w:hAnsi="Times New Roman" w:eastAsia="宋体" w:cs="Times New Roman"/>
                <w:color w:val="auto"/>
              </w:rPr>
              <w:t>≥</w:t>
            </w:r>
            <w:r>
              <w:rPr>
                <w:rFonts w:ascii="Times New Roman" w:hAnsi="Times New Roman" w:eastAsia="宋体" w:cs="Times New Roman"/>
                <w:color w:val="auto"/>
              </w:rPr>
              <w:t>8个内置SATA接口，单盘容量支持10T</w:t>
            </w:r>
            <w:r>
              <w:rPr>
                <w:rFonts w:hint="eastAsia" w:ascii="Times New Roman" w:hAnsi="Times New Roman" w:eastAsia="宋体" w:cs="Times New Roman"/>
                <w:color w:val="auto"/>
              </w:rPr>
              <w:t>；</w:t>
            </w:r>
            <w:r>
              <w:rPr>
                <w:rFonts w:ascii="Times New Roman" w:hAnsi="Times New Roman" w:eastAsia="宋体" w:cs="Times New Roman"/>
                <w:color w:val="auto"/>
              </w:rPr>
              <w:t>支持语音对讲，客户端通过NVR与网络摄像机进行语音对讲</w:t>
            </w:r>
            <w:r>
              <w:rPr>
                <w:rFonts w:hint="eastAsia" w:ascii="Times New Roman" w:hAnsi="Times New Roman" w:eastAsia="宋体" w:cs="Times New Roman"/>
                <w:color w:val="auto"/>
              </w:rPr>
              <w:t>；</w:t>
            </w:r>
            <w:r>
              <w:rPr>
                <w:rFonts w:ascii="Times New Roman" w:hAnsi="Times New Roman" w:eastAsia="宋体" w:cs="Times New Roman"/>
                <w:color w:val="auto"/>
              </w:rPr>
              <w:t>支持</w:t>
            </w:r>
            <w:r>
              <w:rPr>
                <w:rFonts w:hint="eastAsia" w:ascii="Times New Roman" w:hAnsi="Times New Roman" w:eastAsia="宋体" w:cs="Times New Roman"/>
                <w:color w:val="auto"/>
              </w:rPr>
              <w:t>≥</w:t>
            </w:r>
            <w:r>
              <w:rPr>
                <w:rFonts w:ascii="Times New Roman" w:hAnsi="Times New Roman" w:eastAsia="宋体" w:cs="Times New Roman"/>
                <w:color w:val="auto"/>
              </w:rPr>
              <w:t>16路报警输入</w:t>
            </w:r>
            <w:r>
              <w:rPr>
                <w:rFonts w:hint="eastAsia" w:ascii="Times New Roman" w:hAnsi="Times New Roman" w:eastAsia="宋体" w:cs="Times New Roman"/>
                <w:color w:val="auto"/>
              </w:rPr>
              <w:t>；≥</w:t>
            </w:r>
            <w:r>
              <w:rPr>
                <w:rFonts w:ascii="Times New Roman" w:hAnsi="Times New Roman" w:eastAsia="宋体" w:cs="Times New Roman"/>
                <w:color w:val="auto"/>
              </w:rPr>
              <w:t>4路报警输出，其中1路继电器输出</w:t>
            </w:r>
            <w:r>
              <w:rPr>
                <w:rFonts w:hint="eastAsia" w:ascii="Times New Roman" w:hAnsi="Times New Roman" w:eastAsia="宋体" w:cs="Times New Roman"/>
                <w:color w:val="auto"/>
              </w:rPr>
              <w:t>；≥</w:t>
            </w:r>
            <w:r>
              <w:rPr>
                <w:rFonts w:ascii="Times New Roman" w:hAnsi="Times New Roman" w:eastAsia="宋体" w:cs="Times New Roman"/>
                <w:color w:val="auto"/>
              </w:rPr>
              <w:t>1路12V1Actrl输出，支持开关量输入输出模式</w:t>
            </w:r>
            <w:r>
              <w:rPr>
                <w:rFonts w:hint="eastAsia" w:ascii="Times New Roman" w:hAnsi="Times New Roman" w:eastAsia="宋体" w:cs="Times New Roman"/>
                <w:color w:val="auto"/>
              </w:rPr>
              <w:t>；</w:t>
            </w:r>
            <w:r>
              <w:rPr>
                <w:rFonts w:ascii="Times New Roman" w:hAnsi="Times New Roman" w:eastAsia="宋体" w:cs="Times New Roman"/>
                <w:color w:val="auto"/>
              </w:rPr>
              <w:t>支持</w:t>
            </w:r>
            <w:r>
              <w:rPr>
                <w:rFonts w:hint="eastAsia" w:ascii="Times New Roman" w:hAnsi="Times New Roman" w:eastAsia="宋体" w:cs="Times New Roman"/>
                <w:color w:val="auto"/>
              </w:rPr>
              <w:t>≥</w:t>
            </w:r>
            <w:r>
              <w:rPr>
                <w:rFonts w:ascii="Times New Roman" w:hAnsi="Times New Roman" w:eastAsia="宋体" w:cs="Times New Roman"/>
                <w:color w:val="auto"/>
              </w:rPr>
              <w:t>3个USB接口（</w:t>
            </w:r>
            <w:r>
              <w:rPr>
                <w:rFonts w:hint="eastAsia" w:ascii="Times New Roman" w:hAnsi="Times New Roman" w:eastAsia="宋体" w:cs="Times New Roman"/>
                <w:color w:val="auto"/>
              </w:rPr>
              <w:t>≥</w:t>
            </w:r>
            <w:r>
              <w:rPr>
                <w:rFonts w:ascii="Times New Roman" w:hAnsi="Times New Roman" w:eastAsia="宋体" w:cs="Times New Roman"/>
                <w:color w:val="auto"/>
              </w:rPr>
              <w:t>2个前置USB2.0接口、</w:t>
            </w:r>
            <w:r>
              <w:rPr>
                <w:rFonts w:hint="eastAsia" w:ascii="Times New Roman" w:hAnsi="Times New Roman" w:eastAsia="宋体" w:cs="Times New Roman"/>
                <w:color w:val="auto"/>
              </w:rPr>
              <w:t>≥</w:t>
            </w:r>
            <w:r>
              <w:rPr>
                <w:rFonts w:ascii="Times New Roman" w:hAnsi="Times New Roman" w:eastAsia="宋体" w:cs="Times New Roman"/>
                <w:color w:val="auto"/>
              </w:rPr>
              <w:t>1个后置USB3.0接口）</w:t>
            </w:r>
            <w:r>
              <w:rPr>
                <w:rFonts w:hint="eastAsia" w:ascii="Times New Roman" w:hAnsi="Times New Roman" w:eastAsia="宋体" w:cs="Times New Roman"/>
                <w:color w:val="auto"/>
              </w:rPr>
              <w:t>；</w:t>
            </w:r>
            <w:r>
              <w:rPr>
                <w:rFonts w:ascii="Times New Roman" w:hAnsi="Times New Roman" w:eastAsia="宋体" w:cs="Times New Roman"/>
                <w:color w:val="auto"/>
              </w:rPr>
              <w:t>支持</w:t>
            </w:r>
            <w:r>
              <w:rPr>
                <w:rFonts w:hint="eastAsia" w:ascii="Times New Roman" w:hAnsi="Times New Roman" w:eastAsia="宋体" w:cs="Times New Roman"/>
                <w:color w:val="auto"/>
              </w:rPr>
              <w:t>≥</w:t>
            </w:r>
            <w:r>
              <w:rPr>
                <w:rFonts w:ascii="Times New Roman" w:hAnsi="Times New Roman" w:eastAsia="宋体" w:cs="Times New Roman"/>
                <w:color w:val="auto"/>
              </w:rPr>
              <w:t>2个千兆以太网口</w:t>
            </w:r>
            <w:r>
              <w:rPr>
                <w:rFonts w:hint="eastAsia" w:ascii="Times New Roman" w:hAnsi="Times New Roman" w:eastAsia="宋体" w:cs="Times New Roman"/>
                <w:color w:val="auto"/>
              </w:rPr>
              <w:t>；</w:t>
            </w:r>
            <w:r>
              <w:rPr>
                <w:rFonts w:ascii="Times New Roman" w:hAnsi="Times New Roman" w:eastAsia="宋体" w:cs="Times New Roman"/>
                <w:color w:val="auto"/>
              </w:rPr>
              <w:t>支持</w:t>
            </w:r>
            <w:r>
              <w:rPr>
                <w:rFonts w:hint="eastAsia" w:ascii="Times New Roman" w:hAnsi="Times New Roman" w:eastAsia="宋体" w:cs="Times New Roman"/>
                <w:color w:val="auto"/>
              </w:rPr>
              <w:t>≥</w:t>
            </w:r>
            <w:r>
              <w:rPr>
                <w:rFonts w:ascii="Times New Roman" w:hAnsi="Times New Roman" w:eastAsia="宋体" w:cs="Times New Roman"/>
                <w:color w:val="auto"/>
              </w:rPr>
              <w:t>2个不同段IP地址的IPC设备接入</w:t>
            </w:r>
            <w:r>
              <w:rPr>
                <w:rFonts w:hint="eastAsia" w:ascii="Times New Roman" w:hAnsi="Times New Roman" w:eastAsia="宋体" w:cs="Times New Roman"/>
                <w:color w:val="auto"/>
              </w:rPr>
              <w:t>；</w:t>
            </w:r>
            <w:r>
              <w:rPr>
                <w:rFonts w:ascii="Times New Roman" w:hAnsi="Times New Roman" w:eastAsia="宋体" w:cs="Times New Roman"/>
                <w:color w:val="auto"/>
              </w:rPr>
              <w:t>支持将双网口设置同一个IP地址，实现数据链路冗余</w:t>
            </w:r>
            <w:r>
              <w:rPr>
                <w:rFonts w:hint="eastAsia" w:ascii="Times New Roman" w:hAnsi="Times New Roman" w:eastAsia="宋体" w:cs="Times New Roman"/>
                <w:color w:val="auto"/>
              </w:rPr>
              <w:t>；</w:t>
            </w:r>
            <w:r>
              <w:rPr>
                <w:rFonts w:ascii="Times New Roman" w:hAnsi="Times New Roman" w:eastAsia="宋体" w:cs="Times New Roman"/>
                <w:color w:val="auto"/>
              </w:rPr>
              <w:t>支持按时间、按事件等多种方式进行录像的检索、回放、备份，支持图片本地回放与查询</w:t>
            </w:r>
            <w:r>
              <w:rPr>
                <w:rFonts w:hint="eastAsia" w:ascii="Times New Roman" w:hAnsi="Times New Roman" w:eastAsia="宋体" w:cs="Times New Roman"/>
                <w:color w:val="auto"/>
              </w:rPr>
              <w:t>；</w:t>
            </w:r>
            <w:r>
              <w:rPr>
                <w:rFonts w:ascii="Times New Roman" w:hAnsi="Times New Roman" w:eastAsia="宋体" w:cs="Times New Roman"/>
                <w:color w:val="auto"/>
              </w:rPr>
              <w:t>支持标签自定义功能，设备支持对指定时间的录像进行标签并归档，便于后续査看</w:t>
            </w:r>
            <w:r>
              <w:rPr>
                <w:rFonts w:hint="eastAsia" w:ascii="Times New Roman" w:hAnsi="Times New Roman" w:eastAsia="宋体" w:cs="Times New Roman"/>
                <w:color w:val="auto"/>
              </w:rPr>
              <w:t>；</w:t>
            </w:r>
            <w:r>
              <w:rPr>
                <w:rFonts w:ascii="Times New Roman" w:hAnsi="Times New Roman" w:eastAsia="宋体" w:cs="Times New Roman"/>
                <w:color w:val="auto"/>
              </w:rPr>
              <w:t>支持本机硬盘、网络等存储方式，支持硬盘、外接USB存储设备备份方式</w:t>
            </w:r>
            <w:r>
              <w:rPr>
                <w:rFonts w:hint="eastAsia" w:ascii="Times New Roman" w:hAnsi="Times New Roman" w:eastAsia="宋体" w:cs="Times New Roman"/>
                <w:color w:val="auto"/>
              </w:rPr>
              <w:t>；</w:t>
            </w:r>
            <w:r>
              <w:rPr>
                <w:rFonts w:ascii="Times New Roman" w:hAnsi="Times New Roman" w:eastAsia="宋体" w:cs="Times New Roman"/>
                <w:color w:val="auto"/>
              </w:rPr>
              <w:t>支持设备操作日志、报警日志、系统日志的记录与查询功能</w:t>
            </w:r>
            <w:r>
              <w:rPr>
                <w:rFonts w:hint="eastAsia" w:ascii="Times New Roman" w:hAnsi="Times New Roman" w:eastAsia="宋体" w:cs="Times New Roman"/>
                <w:color w:val="auto"/>
              </w:rPr>
              <w:t>；</w:t>
            </w:r>
            <w:r>
              <w:rPr>
                <w:rFonts w:ascii="Times New Roman" w:hAnsi="Times New Roman" w:eastAsia="宋体" w:cs="Times New Roman"/>
                <w:color w:val="auto"/>
              </w:rPr>
              <w:t>支持断网续传功能，能对前端摄像机断网这段时间内SD卡中的录像回传到NVR</w:t>
            </w:r>
            <w:r>
              <w:rPr>
                <w:rFonts w:hint="eastAsia" w:ascii="Times New Roman" w:hAnsi="Times New Roman" w:eastAsia="宋体" w:cs="Times New Roman"/>
                <w:color w:val="auto"/>
              </w:rPr>
              <w:t>；</w:t>
            </w:r>
            <w:r>
              <w:rPr>
                <w:rFonts w:ascii="Times New Roman" w:hAnsi="Times New Roman" w:eastAsia="宋体" w:cs="Times New Roman"/>
                <w:color w:val="auto"/>
              </w:rPr>
              <w:t>支持即时回放功能，在预览画面下回放指定通道的录像</w:t>
            </w:r>
            <w:r>
              <w:rPr>
                <w:rFonts w:hint="eastAsia" w:ascii="Times New Roman" w:hAnsi="Times New Roman" w:eastAsia="宋体" w:cs="Times New Roman"/>
                <w:color w:val="auto"/>
              </w:rPr>
              <w:t>；</w:t>
            </w:r>
            <w:r>
              <w:rPr>
                <w:rFonts w:ascii="Times New Roman" w:hAnsi="Times New Roman" w:eastAsia="宋体" w:cs="Times New Roman"/>
                <w:color w:val="auto"/>
              </w:rPr>
              <w:t>支持预览图像与回放图像的电子放大</w:t>
            </w:r>
            <w:r>
              <w:rPr>
                <w:rFonts w:hint="eastAsia" w:ascii="Times New Roman" w:hAnsi="Times New Roman" w:eastAsia="宋体" w:cs="Times New Roman"/>
                <w:color w:val="auto"/>
              </w:rPr>
              <w:t>；</w:t>
            </w:r>
            <w:r>
              <w:rPr>
                <w:rFonts w:ascii="Times New Roman" w:hAnsi="Times New Roman" w:eastAsia="宋体" w:cs="Times New Roman"/>
                <w:color w:val="auto"/>
              </w:rPr>
              <w:t>可以通过鼠标控制云台转动、放大、定位等操作</w:t>
            </w:r>
            <w:r>
              <w:rPr>
                <w:rFonts w:hint="eastAsia" w:ascii="Times New Roman" w:hAnsi="Times New Roman" w:eastAsia="宋体" w:cs="Times New Roman"/>
                <w:color w:val="auto"/>
              </w:rPr>
              <w:t>；</w:t>
            </w:r>
            <w:r>
              <w:rPr>
                <w:rFonts w:ascii="Times New Roman" w:hAnsi="Times New Roman" w:eastAsia="宋体" w:cs="Times New Roman"/>
                <w:color w:val="auto"/>
              </w:rPr>
              <w:t>支持远程管理IPC功能，支持对前端IPC远程升级，支持远程对IPC的编码配置修改等操作</w:t>
            </w:r>
            <w:r>
              <w:rPr>
                <w:rFonts w:hint="eastAsia" w:ascii="Times New Roman" w:hAnsi="Times New Roman" w:eastAsia="宋体" w:cs="Times New Roman"/>
                <w:color w:val="auto"/>
              </w:rPr>
              <w:t>；</w:t>
            </w:r>
            <w:r>
              <w:rPr>
                <w:rFonts w:ascii="Times New Roman" w:hAnsi="Times New Roman" w:eastAsia="宋体" w:cs="Times New Roman"/>
                <w:color w:val="auto"/>
              </w:rPr>
              <w:t>支持远程零通道预览功能，可将接入的多路视频图像多画面显示在一路视频图像上</w:t>
            </w:r>
            <w:r>
              <w:rPr>
                <w:rFonts w:hint="eastAsia" w:ascii="Times New Roman" w:hAnsi="Times New Roman" w:eastAsia="宋体" w:cs="Times New Roman"/>
                <w:color w:val="auto"/>
              </w:rPr>
              <w:t>；</w:t>
            </w:r>
            <w:r>
              <w:rPr>
                <w:rFonts w:ascii="Times New Roman" w:hAnsi="Times New Roman" w:eastAsia="宋体" w:cs="Times New Roman"/>
                <w:color w:val="auto"/>
              </w:rPr>
              <w:t>支持盘组管理功能，实现视频录像的定向存储</w:t>
            </w:r>
            <w:r>
              <w:rPr>
                <w:rFonts w:hint="eastAsia" w:ascii="Times New Roman" w:hAnsi="Times New Roman" w:eastAsia="宋体" w:cs="Times New Roman"/>
                <w:color w:val="auto"/>
              </w:rPr>
              <w:t>；</w:t>
            </w:r>
            <w:r>
              <w:rPr>
                <w:rFonts w:ascii="Times New Roman" w:hAnsi="Times New Roman" w:eastAsia="宋体" w:cs="Times New Roman"/>
                <w:color w:val="auto"/>
              </w:rPr>
              <w:t>支持配额管理功能，实现按通道分配不同的录像天数进行存储</w:t>
            </w:r>
            <w:r>
              <w:rPr>
                <w:rFonts w:hint="eastAsia" w:ascii="Times New Roman" w:hAnsi="Times New Roman" w:eastAsia="宋体" w:cs="Times New Roman"/>
                <w:color w:val="auto"/>
              </w:rPr>
              <w:t>；</w:t>
            </w:r>
            <w:r>
              <w:rPr>
                <w:rFonts w:ascii="Times New Roman" w:hAnsi="Times New Roman" w:eastAsia="宋体" w:cs="Times New Roman"/>
                <w:color w:val="auto"/>
              </w:rPr>
              <w:t>支持走廊模式功能，支持IPC画面旋转90°或270°，成9:16走廊模式</w:t>
            </w:r>
            <w:r>
              <w:rPr>
                <w:rFonts w:hint="eastAsia" w:ascii="Times New Roman" w:hAnsi="Times New Roman" w:eastAsia="宋体" w:cs="Times New Roman"/>
                <w:color w:val="auto"/>
                <w:lang w:eastAsia="zh-CN"/>
              </w:rPr>
              <w:t>。</w:t>
            </w:r>
          </w:p>
        </w:tc>
        <w:tc>
          <w:tcPr>
            <w:tcW w:w="359" w:type="pct"/>
            <w:noWrap w:val="0"/>
            <w:vAlign w:val="center"/>
          </w:tcPr>
          <w:p>
            <w:pPr>
              <w:adjustRightInd w:val="0"/>
              <w:snapToGrid w:val="0"/>
              <w:rPr>
                <w:color w:val="auto"/>
              </w:rPr>
            </w:pPr>
            <w:r>
              <w:rPr>
                <w:color w:val="auto"/>
              </w:rPr>
              <w:t>1</w:t>
            </w:r>
          </w:p>
        </w:tc>
        <w:tc>
          <w:tcPr>
            <w:tcW w:w="360" w:type="pct"/>
            <w:noWrap w:val="0"/>
            <w:vAlign w:val="center"/>
          </w:tcPr>
          <w:p>
            <w:pPr>
              <w:adjustRightInd w:val="0"/>
              <w:snapToGrid w:val="0"/>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9" w:type="pct"/>
            <w:noWrap w:val="0"/>
            <w:vAlign w:val="center"/>
          </w:tcPr>
          <w:p>
            <w:pPr>
              <w:adjustRightInd w:val="0"/>
              <w:snapToGrid w:val="0"/>
              <w:rPr>
                <w:color w:val="auto"/>
              </w:rPr>
            </w:pPr>
            <w:r>
              <w:rPr>
                <w:color w:val="auto"/>
              </w:rPr>
              <w:t>2</w:t>
            </w:r>
          </w:p>
        </w:tc>
        <w:tc>
          <w:tcPr>
            <w:tcW w:w="532" w:type="pct"/>
            <w:noWrap w:val="0"/>
            <w:vAlign w:val="center"/>
          </w:tcPr>
          <w:p>
            <w:pPr>
              <w:adjustRightInd w:val="0"/>
              <w:snapToGrid w:val="0"/>
              <w:rPr>
                <w:color w:val="auto"/>
              </w:rPr>
            </w:pPr>
            <w:r>
              <w:rPr>
                <w:color w:val="auto"/>
              </w:rPr>
              <w:t>6TB硬盘</w:t>
            </w:r>
          </w:p>
        </w:tc>
        <w:tc>
          <w:tcPr>
            <w:tcW w:w="3388" w:type="pct"/>
            <w:noWrap w:val="0"/>
            <w:vAlign w:val="center"/>
          </w:tcPr>
          <w:p>
            <w:pPr>
              <w:adjustRightInd w:val="0"/>
              <w:snapToGrid w:val="0"/>
              <w:rPr>
                <w:rFonts w:hint="eastAsia" w:eastAsia="宋体"/>
                <w:color w:val="auto"/>
                <w:lang w:eastAsia="zh-CN"/>
              </w:rPr>
            </w:pPr>
            <w:r>
              <w:rPr>
                <w:rFonts w:hint="eastAsia"/>
                <w:color w:val="auto"/>
              </w:rPr>
              <w:t>提供</w:t>
            </w:r>
            <w:r>
              <w:rPr>
                <w:color w:val="auto"/>
              </w:rPr>
              <w:t>6TB硬盘</w:t>
            </w:r>
            <w:r>
              <w:rPr>
                <w:rFonts w:hint="eastAsia"/>
                <w:color w:val="auto"/>
                <w:lang w:eastAsia="zh-CN"/>
              </w:rPr>
              <w:t>。</w:t>
            </w:r>
          </w:p>
        </w:tc>
        <w:tc>
          <w:tcPr>
            <w:tcW w:w="359" w:type="pct"/>
            <w:noWrap w:val="0"/>
            <w:vAlign w:val="center"/>
          </w:tcPr>
          <w:p>
            <w:pPr>
              <w:adjustRightInd w:val="0"/>
              <w:snapToGrid w:val="0"/>
              <w:rPr>
                <w:color w:val="auto"/>
              </w:rPr>
            </w:pPr>
            <w:r>
              <w:rPr>
                <w:color w:val="auto"/>
              </w:rPr>
              <w:t>8</w:t>
            </w:r>
          </w:p>
        </w:tc>
        <w:tc>
          <w:tcPr>
            <w:tcW w:w="360" w:type="pct"/>
            <w:noWrap w:val="0"/>
            <w:vAlign w:val="center"/>
          </w:tcPr>
          <w:p>
            <w:pPr>
              <w:adjustRightInd w:val="0"/>
              <w:snapToGrid w:val="0"/>
              <w:rPr>
                <w:color w:val="auto"/>
              </w:rPr>
            </w:pPr>
            <w:r>
              <w:rPr>
                <w:color w:val="auto"/>
              </w:rPr>
              <w:t>台</w:t>
            </w:r>
          </w:p>
        </w:tc>
      </w:tr>
    </w:tbl>
    <w:p>
      <w:pPr>
        <w:spacing w:line="360" w:lineRule="auto"/>
        <w:ind w:firstLine="422" w:firstLineChars="200"/>
        <w:rPr>
          <w:b/>
          <w:bCs/>
          <w:color w:val="auto"/>
        </w:rPr>
      </w:pPr>
    </w:p>
    <w:p>
      <w:pPr>
        <w:pStyle w:val="8"/>
        <w:widowControl/>
        <w:spacing w:beforeAutospacing="0" w:afterAutospacing="0" w:line="360" w:lineRule="auto"/>
        <w:jc w:val="both"/>
        <w:rPr>
          <w:rFonts w:ascii="宋体" w:hAnsi="宋体" w:eastAsia="宋体" w:cs="Times New Roman"/>
          <w:b/>
          <w:bCs/>
          <w:color w:val="auto"/>
          <w:shd w:val="clear" w:color="auto" w:fill="FFFFFF"/>
        </w:rPr>
      </w:pPr>
      <w:r>
        <w:rPr>
          <w:rFonts w:hint="eastAsia" w:ascii="宋体" w:hAnsi="宋体" w:eastAsia="宋体" w:cs="Times New Roman"/>
          <w:b/>
          <w:bCs/>
          <w:color w:val="auto"/>
          <w:shd w:val="clear" w:color="auto" w:fill="FFFFFF"/>
        </w:rPr>
        <w:t>3.1</w:t>
      </w:r>
      <w:r>
        <w:rPr>
          <w:rFonts w:ascii="宋体" w:hAnsi="宋体" w:eastAsia="宋体" w:cs="Times New Roman"/>
          <w:b/>
          <w:bCs/>
          <w:color w:val="auto"/>
          <w:shd w:val="clear" w:color="auto" w:fill="FFFFFF"/>
        </w:rPr>
        <w:t>.6 音响扩音系统</w:t>
      </w:r>
    </w:p>
    <w:tbl>
      <w:tblPr>
        <w:tblStyle w:val="9"/>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8"/>
        <w:gridCol w:w="1275"/>
        <w:gridCol w:w="5220"/>
        <w:gridCol w:w="638"/>
        <w:gridCol w:w="6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ign w:val="center"/>
          </w:tcPr>
          <w:p>
            <w:pPr>
              <w:adjustRightInd w:val="0"/>
              <w:snapToGrid w:val="0"/>
              <w:jc w:val="center"/>
              <w:rPr>
                <w:b/>
                <w:bCs/>
                <w:color w:val="auto"/>
              </w:rPr>
            </w:pPr>
            <w:r>
              <w:rPr>
                <w:b/>
                <w:bCs/>
                <w:color w:val="auto"/>
              </w:rPr>
              <w:t>序号</w:t>
            </w:r>
          </w:p>
        </w:tc>
        <w:tc>
          <w:tcPr>
            <w:tcW w:w="0" w:type="auto"/>
            <w:noWrap/>
            <w:vAlign w:val="center"/>
          </w:tcPr>
          <w:p>
            <w:pPr>
              <w:adjustRightInd w:val="0"/>
              <w:snapToGrid w:val="0"/>
              <w:jc w:val="center"/>
              <w:rPr>
                <w:b/>
                <w:bCs/>
                <w:color w:val="auto"/>
              </w:rPr>
            </w:pPr>
            <w:r>
              <w:rPr>
                <w:b/>
                <w:bCs/>
                <w:color w:val="auto"/>
              </w:rPr>
              <w:t>名称</w:t>
            </w:r>
          </w:p>
        </w:tc>
        <w:tc>
          <w:tcPr>
            <w:tcW w:w="0" w:type="auto"/>
            <w:noWrap/>
            <w:vAlign w:val="center"/>
          </w:tcPr>
          <w:p>
            <w:pPr>
              <w:adjustRightInd w:val="0"/>
              <w:snapToGrid w:val="0"/>
              <w:jc w:val="center"/>
              <w:rPr>
                <w:b/>
                <w:bCs/>
                <w:color w:val="auto"/>
              </w:rPr>
            </w:pPr>
            <w:r>
              <w:rPr>
                <w:b/>
                <w:bCs/>
                <w:color w:val="auto"/>
              </w:rPr>
              <w:t>技术要求</w:t>
            </w:r>
          </w:p>
        </w:tc>
        <w:tc>
          <w:tcPr>
            <w:tcW w:w="0" w:type="auto"/>
            <w:noWrap/>
            <w:vAlign w:val="center"/>
          </w:tcPr>
          <w:p>
            <w:pPr>
              <w:adjustRightInd w:val="0"/>
              <w:snapToGrid w:val="0"/>
              <w:jc w:val="center"/>
              <w:rPr>
                <w:rFonts w:hint="eastAsia" w:eastAsia="宋体"/>
                <w:b/>
                <w:bCs/>
                <w:color w:val="auto"/>
                <w:lang w:val="en-US" w:eastAsia="zh-CN"/>
              </w:rPr>
            </w:pPr>
            <w:r>
              <w:rPr>
                <w:rFonts w:hint="eastAsia"/>
                <w:b/>
                <w:bCs/>
                <w:color w:val="auto"/>
                <w:lang w:val="en-US" w:eastAsia="zh-CN"/>
              </w:rPr>
              <w:t>数量</w:t>
            </w:r>
          </w:p>
        </w:tc>
        <w:tc>
          <w:tcPr>
            <w:tcW w:w="0" w:type="auto"/>
            <w:noWrap/>
            <w:vAlign w:val="center"/>
          </w:tcPr>
          <w:p>
            <w:pPr>
              <w:adjustRightInd w:val="0"/>
              <w:snapToGrid w:val="0"/>
              <w:jc w:val="center"/>
              <w:rPr>
                <w:rFonts w:hint="eastAsia" w:eastAsia="宋体"/>
                <w:b/>
                <w:bCs/>
                <w:color w:val="auto"/>
                <w:lang w:val="en-US" w:eastAsia="zh-CN"/>
              </w:rPr>
            </w:pPr>
            <w:r>
              <w:rPr>
                <w:rFonts w:hint="eastAsia"/>
                <w:b/>
                <w:bCs/>
                <w:color w:val="auto"/>
                <w:lang w:val="en-US" w:eastAsia="zh-CN"/>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3"/>
            <w:noWrap w:val="0"/>
            <w:vAlign w:val="center"/>
          </w:tcPr>
          <w:p>
            <w:pPr>
              <w:adjustRightInd w:val="0"/>
              <w:snapToGrid w:val="0"/>
              <w:rPr>
                <w:b/>
                <w:bCs/>
                <w:color w:val="auto"/>
              </w:rPr>
            </w:pPr>
            <w:r>
              <w:rPr>
                <w:b/>
                <w:bCs/>
                <w:color w:val="auto"/>
              </w:rPr>
              <w:t>一、指挥中心</w:t>
            </w:r>
          </w:p>
        </w:tc>
        <w:tc>
          <w:tcPr>
            <w:tcW w:w="0" w:type="auto"/>
            <w:noWrap w:val="0"/>
            <w:vAlign w:val="center"/>
          </w:tcPr>
          <w:p>
            <w:pPr>
              <w:adjustRightInd w:val="0"/>
              <w:snapToGrid w:val="0"/>
              <w:rPr>
                <w:color w:val="auto"/>
              </w:rPr>
            </w:pPr>
            <w:r>
              <w:rPr>
                <w:color w:val="auto"/>
              </w:rPr>
              <w:t>　</w:t>
            </w:r>
          </w:p>
        </w:tc>
        <w:tc>
          <w:tcPr>
            <w:tcW w:w="0" w:type="auto"/>
            <w:noWrap w:val="0"/>
            <w:vAlign w:val="center"/>
          </w:tcPr>
          <w:p>
            <w:pPr>
              <w:adjustRightInd w:val="0"/>
              <w:snapToGrid w:val="0"/>
              <w:rPr>
                <w:color w:val="auto"/>
              </w:rPr>
            </w:pPr>
            <w:r>
              <w:rPr>
                <w:color w:val="auto"/>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3"/>
            <w:noWrap w:val="0"/>
            <w:vAlign w:val="center"/>
          </w:tcPr>
          <w:p>
            <w:pPr>
              <w:adjustRightInd w:val="0"/>
              <w:snapToGrid w:val="0"/>
              <w:rPr>
                <w:b/>
                <w:bCs/>
                <w:color w:val="auto"/>
              </w:rPr>
            </w:pPr>
            <w:r>
              <w:rPr>
                <w:rFonts w:hint="eastAsia"/>
                <w:b/>
                <w:bCs/>
                <w:color w:val="auto"/>
              </w:rPr>
              <w:t>（一）</w:t>
            </w:r>
            <w:r>
              <w:rPr>
                <w:b/>
                <w:bCs/>
                <w:color w:val="auto"/>
              </w:rPr>
              <w:t>扩声及信号处理</w:t>
            </w:r>
          </w:p>
        </w:tc>
        <w:tc>
          <w:tcPr>
            <w:tcW w:w="0" w:type="auto"/>
            <w:noWrap w:val="0"/>
            <w:vAlign w:val="center"/>
          </w:tcPr>
          <w:p>
            <w:pPr>
              <w:adjustRightInd w:val="0"/>
              <w:snapToGrid w:val="0"/>
              <w:rPr>
                <w:color w:val="auto"/>
              </w:rPr>
            </w:pPr>
            <w:r>
              <w:rPr>
                <w:color w:val="auto"/>
              </w:rPr>
              <w:t>　</w:t>
            </w:r>
          </w:p>
        </w:tc>
        <w:tc>
          <w:tcPr>
            <w:tcW w:w="0" w:type="auto"/>
            <w:noWrap w:val="0"/>
            <w:vAlign w:val="center"/>
          </w:tcPr>
          <w:p>
            <w:pPr>
              <w:adjustRightInd w:val="0"/>
              <w:snapToGrid w:val="0"/>
              <w:rPr>
                <w:color w:val="auto"/>
              </w:rPr>
            </w:pPr>
            <w:r>
              <w:rPr>
                <w:color w:val="auto"/>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DANTE电子可调指向音柱</w:t>
            </w:r>
          </w:p>
        </w:tc>
        <w:tc>
          <w:tcPr>
            <w:tcW w:w="0" w:type="auto"/>
            <w:noWrap w:val="0"/>
            <w:vAlign w:val="center"/>
          </w:tcPr>
          <w:p>
            <w:pPr>
              <w:adjustRightInd w:val="0"/>
              <w:snapToGrid w:val="0"/>
              <w:rPr>
                <w:rFonts w:hint="eastAsia" w:eastAsia="宋体"/>
                <w:color w:val="auto"/>
                <w:lang w:eastAsia="zh-CN"/>
              </w:rPr>
            </w:pPr>
            <w:r>
              <w:rPr>
                <w:color w:val="auto"/>
              </w:rPr>
              <w:t>单元类型：</w:t>
            </w:r>
            <w:r>
              <w:rPr>
                <w:rFonts w:hint="eastAsia"/>
                <w:color w:val="auto"/>
              </w:rPr>
              <w:t>不少于</w:t>
            </w:r>
            <w:r>
              <w:rPr>
                <w:color w:val="auto"/>
              </w:rPr>
              <w:t>十二个3驱动器和0.75钕音圈</w:t>
            </w:r>
            <w:r>
              <w:rPr>
                <w:rFonts w:hint="eastAsia"/>
                <w:color w:val="auto"/>
              </w:rPr>
              <w:t>；</w:t>
            </w:r>
            <w:r>
              <w:rPr>
                <w:color w:val="auto"/>
              </w:rPr>
              <w:t>频率响应（±3dB）</w:t>
            </w:r>
            <w:r>
              <w:rPr>
                <w:rFonts w:hint="eastAsia"/>
                <w:color w:val="auto"/>
              </w:rPr>
              <w:t>≥</w:t>
            </w:r>
            <w:r>
              <w:rPr>
                <w:color w:val="auto"/>
              </w:rPr>
              <w:t>90 Hz - 20 kHz</w:t>
            </w:r>
            <w:r>
              <w:rPr>
                <w:rFonts w:hint="eastAsia"/>
                <w:color w:val="auto"/>
              </w:rPr>
              <w:t>；</w:t>
            </w:r>
            <w:r>
              <w:rPr>
                <w:color w:val="auto"/>
              </w:rPr>
              <w:t>覆盖角度：10-40°电子可调x100°(VxH)</w:t>
            </w:r>
            <w:r>
              <w:rPr>
                <w:rFonts w:hint="eastAsia"/>
                <w:color w:val="auto"/>
              </w:rPr>
              <w:t>；</w:t>
            </w:r>
            <w:r>
              <w:rPr>
                <w:color w:val="auto"/>
              </w:rPr>
              <w:t>最大声压级</w:t>
            </w:r>
            <w:r>
              <w:rPr>
                <w:rFonts w:hint="eastAsia"/>
                <w:color w:val="auto"/>
              </w:rPr>
              <w:t>≥</w:t>
            </w:r>
            <w:r>
              <w:rPr>
                <w:color w:val="auto"/>
              </w:rPr>
              <w:t>135dB</w:t>
            </w:r>
            <w:r>
              <w:rPr>
                <w:rFonts w:hint="eastAsia"/>
                <w:color w:val="auto"/>
              </w:rPr>
              <w:t>；</w:t>
            </w:r>
            <w:r>
              <w:rPr>
                <w:color w:val="auto"/>
              </w:rPr>
              <w:t>动态范围：&gt;105 dB；功放输出</w:t>
            </w:r>
            <w:r>
              <w:rPr>
                <w:rFonts w:hint="eastAsia"/>
                <w:color w:val="auto"/>
              </w:rPr>
              <w:t>≥</w:t>
            </w:r>
            <w:r>
              <w:rPr>
                <w:color w:val="auto"/>
              </w:rPr>
              <w:t>12x100W最大（4Ω）</w:t>
            </w:r>
            <w:r>
              <w:rPr>
                <w:rFonts w:hint="eastAsia"/>
                <w:color w:val="auto"/>
              </w:rPr>
              <w:t>；</w:t>
            </w:r>
            <w:r>
              <w:rPr>
                <w:color w:val="auto"/>
              </w:rPr>
              <w:t>DSP采样率：24 bit/48 kHz采样率；信号输入</w:t>
            </w:r>
            <w:r>
              <w:rPr>
                <w:rFonts w:hint="eastAsia"/>
                <w:color w:val="auto"/>
              </w:rPr>
              <w:t>≥</w:t>
            </w:r>
            <w:r>
              <w:rPr>
                <w:color w:val="auto"/>
              </w:rPr>
              <w:t>Dante×2主备双口</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6</w:t>
            </w:r>
          </w:p>
        </w:tc>
        <w:tc>
          <w:tcPr>
            <w:tcW w:w="0" w:type="auto"/>
            <w:noWrap w:val="0"/>
            <w:vAlign w:val="center"/>
          </w:tcPr>
          <w:p>
            <w:pPr>
              <w:adjustRightInd w:val="0"/>
              <w:snapToGrid w:val="0"/>
              <w:jc w:val="center"/>
              <w:rPr>
                <w:color w:val="auto"/>
              </w:rPr>
            </w:pPr>
            <w:r>
              <w:rPr>
                <w:color w:val="auto"/>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2</w:t>
            </w:r>
          </w:p>
        </w:tc>
        <w:tc>
          <w:tcPr>
            <w:tcW w:w="0" w:type="auto"/>
            <w:noWrap w:val="0"/>
            <w:vAlign w:val="center"/>
          </w:tcPr>
          <w:p>
            <w:pPr>
              <w:adjustRightInd w:val="0"/>
              <w:snapToGrid w:val="0"/>
              <w:jc w:val="center"/>
              <w:rPr>
                <w:color w:val="auto"/>
              </w:rPr>
            </w:pPr>
            <w:r>
              <w:rPr>
                <w:color w:val="auto"/>
              </w:rPr>
              <w:t>音柱墙壁安装支架</w:t>
            </w:r>
          </w:p>
        </w:tc>
        <w:tc>
          <w:tcPr>
            <w:tcW w:w="0" w:type="auto"/>
            <w:noWrap w:val="0"/>
            <w:vAlign w:val="center"/>
          </w:tcPr>
          <w:p>
            <w:pPr>
              <w:adjustRightInd w:val="0"/>
              <w:snapToGrid w:val="0"/>
              <w:rPr>
                <w:rFonts w:hint="eastAsia" w:eastAsia="宋体"/>
                <w:color w:val="auto"/>
                <w:lang w:eastAsia="zh-CN"/>
              </w:rPr>
            </w:pPr>
            <w:r>
              <w:rPr>
                <w:rFonts w:hint="eastAsia"/>
                <w:color w:val="auto"/>
              </w:rPr>
              <w:t>提供</w:t>
            </w:r>
            <w:r>
              <w:rPr>
                <w:color w:val="auto"/>
              </w:rPr>
              <w:t>配套安装支架</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6</w:t>
            </w:r>
          </w:p>
        </w:tc>
        <w:tc>
          <w:tcPr>
            <w:tcW w:w="0" w:type="auto"/>
            <w:noWrap w:val="0"/>
            <w:vAlign w:val="center"/>
          </w:tcPr>
          <w:p>
            <w:pPr>
              <w:adjustRightInd w:val="0"/>
              <w:snapToGrid w:val="0"/>
              <w:jc w:val="center"/>
              <w:rPr>
                <w:color w:val="auto"/>
              </w:rPr>
            </w:pPr>
            <w:r>
              <w:rPr>
                <w:color w:val="auto"/>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3</w:t>
            </w:r>
          </w:p>
        </w:tc>
        <w:tc>
          <w:tcPr>
            <w:tcW w:w="0" w:type="auto"/>
            <w:noWrap w:val="0"/>
            <w:vAlign w:val="center"/>
          </w:tcPr>
          <w:p>
            <w:pPr>
              <w:adjustRightInd w:val="0"/>
              <w:snapToGrid w:val="0"/>
              <w:jc w:val="center"/>
              <w:rPr>
                <w:color w:val="auto"/>
              </w:rPr>
            </w:pPr>
            <w:r>
              <w:rPr>
                <w:color w:val="auto"/>
              </w:rPr>
              <w:t>音柱墙壁安装配件</w:t>
            </w:r>
          </w:p>
        </w:tc>
        <w:tc>
          <w:tcPr>
            <w:tcW w:w="0" w:type="auto"/>
            <w:noWrap w:val="0"/>
            <w:vAlign w:val="center"/>
          </w:tcPr>
          <w:p>
            <w:pPr>
              <w:adjustRightInd w:val="0"/>
              <w:snapToGrid w:val="0"/>
              <w:rPr>
                <w:rFonts w:hint="eastAsia" w:eastAsia="宋体"/>
                <w:color w:val="auto"/>
                <w:lang w:eastAsia="zh-CN"/>
              </w:rPr>
            </w:pPr>
            <w:r>
              <w:rPr>
                <w:rFonts w:hint="eastAsia"/>
                <w:color w:val="auto"/>
              </w:rPr>
              <w:t>提供</w:t>
            </w:r>
            <w:r>
              <w:rPr>
                <w:color w:val="auto"/>
              </w:rPr>
              <w:t>配套安装配件</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6</w:t>
            </w:r>
          </w:p>
        </w:tc>
        <w:tc>
          <w:tcPr>
            <w:tcW w:w="0" w:type="auto"/>
            <w:noWrap w:val="0"/>
            <w:vAlign w:val="center"/>
          </w:tcPr>
          <w:p>
            <w:pPr>
              <w:adjustRightInd w:val="0"/>
              <w:snapToGrid w:val="0"/>
              <w:jc w:val="center"/>
              <w:rPr>
                <w:color w:val="auto"/>
              </w:rPr>
            </w:pPr>
            <w:r>
              <w:rPr>
                <w:color w:val="auto"/>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4</w:t>
            </w:r>
          </w:p>
        </w:tc>
        <w:tc>
          <w:tcPr>
            <w:tcW w:w="0" w:type="auto"/>
            <w:noWrap w:val="0"/>
            <w:vAlign w:val="center"/>
          </w:tcPr>
          <w:p>
            <w:pPr>
              <w:adjustRightInd w:val="0"/>
              <w:snapToGrid w:val="0"/>
              <w:jc w:val="center"/>
              <w:rPr>
                <w:color w:val="auto"/>
              </w:rPr>
            </w:pPr>
            <w:r>
              <w:rPr>
                <w:color w:val="auto"/>
              </w:rPr>
              <w:t>DANTE全频号角可旋转音箱</w:t>
            </w:r>
          </w:p>
        </w:tc>
        <w:tc>
          <w:tcPr>
            <w:tcW w:w="0" w:type="auto"/>
            <w:noWrap w:val="0"/>
            <w:vAlign w:val="center"/>
          </w:tcPr>
          <w:p>
            <w:pPr>
              <w:adjustRightInd w:val="0"/>
              <w:snapToGrid w:val="0"/>
              <w:rPr>
                <w:rFonts w:hint="eastAsia" w:eastAsia="宋体"/>
                <w:color w:val="auto"/>
                <w:lang w:eastAsia="zh-CN"/>
              </w:rPr>
            </w:pPr>
            <w:r>
              <w:rPr>
                <w:color w:val="auto"/>
              </w:rPr>
              <w:t>驱动单元：</w:t>
            </w:r>
            <w:r>
              <w:rPr>
                <w:rFonts w:hint="eastAsia"/>
                <w:color w:val="auto"/>
              </w:rPr>
              <w:t>不少于</w:t>
            </w:r>
            <w:r>
              <w:rPr>
                <w:color w:val="auto"/>
              </w:rPr>
              <w:t>1×6.5低频单元</w:t>
            </w:r>
            <w:r>
              <w:rPr>
                <w:rFonts w:hint="eastAsia"/>
                <w:color w:val="auto"/>
              </w:rPr>
              <w:t>，</w:t>
            </w:r>
            <w:r>
              <w:rPr>
                <w:color w:val="auto"/>
              </w:rPr>
              <w:t>1×1高频单元</w:t>
            </w:r>
            <w:r>
              <w:rPr>
                <w:rFonts w:hint="eastAsia"/>
                <w:color w:val="auto"/>
              </w:rPr>
              <w:t>；</w:t>
            </w:r>
            <w:r>
              <w:rPr>
                <w:color w:val="auto"/>
              </w:rPr>
              <w:t>频响范围</w:t>
            </w:r>
            <w:r>
              <w:rPr>
                <w:rFonts w:hint="eastAsia"/>
                <w:color w:val="auto"/>
              </w:rPr>
              <w:t>≥</w:t>
            </w:r>
            <w:r>
              <w:rPr>
                <w:color w:val="auto"/>
              </w:rPr>
              <w:t>75Hz-20kHz；指向角度：</w:t>
            </w:r>
            <w:r>
              <w:rPr>
                <w:rFonts w:hint="eastAsia"/>
                <w:color w:val="auto"/>
              </w:rPr>
              <w:t>≥</w:t>
            </w:r>
            <w:r>
              <w:rPr>
                <w:color w:val="auto"/>
              </w:rPr>
              <w:t>90°H×70°V；灵敏度</w:t>
            </w:r>
            <w:r>
              <w:rPr>
                <w:rFonts w:hint="eastAsia"/>
                <w:color w:val="auto"/>
              </w:rPr>
              <w:t>≥</w:t>
            </w:r>
            <w:r>
              <w:rPr>
                <w:color w:val="auto"/>
              </w:rPr>
              <w:t>88dB；最大声压级</w:t>
            </w:r>
            <w:r>
              <w:rPr>
                <w:rFonts w:hint="eastAsia"/>
                <w:color w:val="auto"/>
              </w:rPr>
              <w:t>≥</w:t>
            </w:r>
            <w:r>
              <w:rPr>
                <w:color w:val="auto"/>
              </w:rPr>
              <w:t>117dB；功率</w:t>
            </w:r>
            <w:r>
              <w:rPr>
                <w:rFonts w:hint="eastAsia"/>
                <w:color w:val="auto"/>
              </w:rPr>
              <w:t>≥</w:t>
            </w:r>
            <w:r>
              <w:rPr>
                <w:color w:val="auto"/>
              </w:rPr>
              <w:t>200W@8Ω；支持信号输入</w:t>
            </w:r>
            <w:r>
              <w:rPr>
                <w:rFonts w:hint="eastAsia"/>
                <w:color w:val="auto"/>
              </w:rPr>
              <w:t>≥</w:t>
            </w:r>
            <w:r>
              <w:rPr>
                <w:color w:val="auto"/>
              </w:rPr>
              <w:t>Dante×2主备双口</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8</w:t>
            </w:r>
          </w:p>
        </w:tc>
        <w:tc>
          <w:tcPr>
            <w:tcW w:w="0" w:type="auto"/>
            <w:noWrap w:val="0"/>
            <w:vAlign w:val="center"/>
          </w:tcPr>
          <w:p>
            <w:pPr>
              <w:adjustRightInd w:val="0"/>
              <w:snapToGrid w:val="0"/>
              <w:jc w:val="center"/>
              <w:rPr>
                <w:color w:val="auto"/>
              </w:rPr>
            </w:pPr>
            <w:r>
              <w:rPr>
                <w:color w:val="auto"/>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5</w:t>
            </w:r>
          </w:p>
        </w:tc>
        <w:tc>
          <w:tcPr>
            <w:tcW w:w="0" w:type="auto"/>
            <w:noWrap w:val="0"/>
            <w:vAlign w:val="center"/>
          </w:tcPr>
          <w:p>
            <w:pPr>
              <w:adjustRightInd w:val="0"/>
              <w:snapToGrid w:val="0"/>
              <w:jc w:val="center"/>
              <w:rPr>
                <w:color w:val="auto"/>
              </w:rPr>
            </w:pPr>
            <w:r>
              <w:rPr>
                <w:color w:val="auto"/>
              </w:rPr>
              <w:t>DANTE数字功率放大器</w:t>
            </w:r>
          </w:p>
        </w:tc>
        <w:tc>
          <w:tcPr>
            <w:tcW w:w="0" w:type="auto"/>
            <w:noWrap w:val="0"/>
            <w:vAlign w:val="center"/>
          </w:tcPr>
          <w:p>
            <w:pPr>
              <w:adjustRightInd w:val="0"/>
              <w:snapToGrid w:val="0"/>
              <w:rPr>
                <w:rFonts w:hint="eastAsia" w:eastAsia="宋体"/>
                <w:color w:val="auto"/>
                <w:lang w:eastAsia="zh-CN"/>
              </w:rPr>
            </w:pPr>
            <w:r>
              <w:rPr>
                <w:color w:val="auto"/>
              </w:rPr>
              <w:t>类型：</w:t>
            </w:r>
            <w:r>
              <w:rPr>
                <w:rFonts w:hint="eastAsia"/>
                <w:color w:val="auto"/>
              </w:rPr>
              <w:t>≥</w:t>
            </w:r>
            <w:r>
              <w:rPr>
                <w:color w:val="auto"/>
              </w:rPr>
              <w:t>四通道功率放大器带DSP</w:t>
            </w:r>
            <w:r>
              <w:rPr>
                <w:rFonts w:hint="eastAsia"/>
                <w:color w:val="auto"/>
              </w:rPr>
              <w:t>；</w:t>
            </w:r>
            <w:r>
              <w:rPr>
                <w:color w:val="auto"/>
              </w:rPr>
              <w:t>可通过管理软件管理</w:t>
            </w:r>
            <w:r>
              <w:rPr>
                <w:rFonts w:hint="eastAsia"/>
                <w:color w:val="auto"/>
              </w:rPr>
              <w:t>；</w:t>
            </w:r>
            <w:r>
              <w:rPr>
                <w:color w:val="auto"/>
              </w:rPr>
              <w:t>内置Dante输入接口</w:t>
            </w:r>
            <w:r>
              <w:rPr>
                <w:rFonts w:hint="eastAsia"/>
                <w:color w:val="auto"/>
              </w:rPr>
              <w:t>；</w:t>
            </w:r>
            <w:r>
              <w:rPr>
                <w:color w:val="auto"/>
              </w:rPr>
              <w:t>内置音箱预设，每个通道输出1个SpeakOn连接器</w:t>
            </w:r>
            <w:r>
              <w:rPr>
                <w:rFonts w:hint="eastAsia"/>
                <w:color w:val="auto"/>
              </w:rPr>
              <w:t>；</w:t>
            </w:r>
            <w:r>
              <w:rPr>
                <w:color w:val="auto"/>
              </w:rPr>
              <w:t>功率</w:t>
            </w:r>
            <w:r>
              <w:rPr>
                <w:rFonts w:hint="eastAsia"/>
                <w:color w:val="auto"/>
              </w:rPr>
              <w:t>≥</w:t>
            </w:r>
            <w:r>
              <w:rPr>
                <w:color w:val="auto"/>
              </w:rPr>
              <w:t>4X400W/2Ω，</w:t>
            </w:r>
            <w:r>
              <w:rPr>
                <w:rFonts w:hint="eastAsia"/>
                <w:color w:val="auto"/>
              </w:rPr>
              <w:t>≥</w:t>
            </w:r>
            <w:r>
              <w:rPr>
                <w:color w:val="auto"/>
              </w:rPr>
              <w:t>4X300W/4Ω，</w:t>
            </w:r>
            <w:r>
              <w:rPr>
                <w:rFonts w:hint="eastAsia"/>
                <w:color w:val="auto"/>
              </w:rPr>
              <w:t>≥</w:t>
            </w:r>
            <w:r>
              <w:rPr>
                <w:color w:val="auto"/>
              </w:rPr>
              <w:t>4X300W/8Ω，</w:t>
            </w:r>
            <w:r>
              <w:rPr>
                <w:rFonts w:hint="eastAsia"/>
                <w:color w:val="auto"/>
              </w:rPr>
              <w:t>≥</w:t>
            </w:r>
            <w:r>
              <w:rPr>
                <w:color w:val="auto"/>
              </w:rPr>
              <w:t>800W/4Ω桥接，</w:t>
            </w:r>
            <w:r>
              <w:rPr>
                <w:rFonts w:hint="eastAsia"/>
                <w:color w:val="auto"/>
              </w:rPr>
              <w:t>≥</w:t>
            </w:r>
            <w:r>
              <w:rPr>
                <w:color w:val="auto"/>
              </w:rPr>
              <w:t>600W/8Ω桥接</w:t>
            </w:r>
            <w:r>
              <w:rPr>
                <w:rFonts w:hint="eastAsia"/>
                <w:color w:val="auto"/>
              </w:rPr>
              <w:t>；</w:t>
            </w:r>
            <w:r>
              <w:rPr>
                <w:color w:val="auto"/>
              </w:rPr>
              <w:t>电源： 1 PowerCon 32A /稳压SMPS，PFC 100 – 240VAC / 3000VA / 50 – 60Hz</w:t>
            </w:r>
            <w:r>
              <w:rPr>
                <w:rFonts w:hint="eastAsia"/>
                <w:color w:val="auto"/>
              </w:rPr>
              <w:t>；</w:t>
            </w:r>
            <w:r>
              <w:rPr>
                <w:color w:val="auto"/>
              </w:rPr>
              <w:t>输入灵敏度+ 11dBU / + 32dB增益</w:t>
            </w:r>
            <w:r>
              <w:rPr>
                <w:rFonts w:hint="eastAsia"/>
                <w:color w:val="auto"/>
              </w:rPr>
              <w:t>；</w:t>
            </w:r>
            <w:r>
              <w:rPr>
                <w:color w:val="auto"/>
              </w:rPr>
              <w:t>SNR信噪比（数字）&lt;-111dB（未加权）/-114dB（A加权）</w:t>
            </w:r>
            <w:r>
              <w:rPr>
                <w:rFonts w:hint="eastAsia"/>
                <w:color w:val="auto"/>
              </w:rPr>
              <w:t>；</w:t>
            </w:r>
            <w:r>
              <w:rPr>
                <w:color w:val="auto"/>
              </w:rPr>
              <w:t xml:space="preserve">频率响应：+/- </w:t>
            </w:r>
            <w:r>
              <w:rPr>
                <w:color w:val="auto"/>
              </w:rPr>
              <w:fldChar w:fldCharType="begin"/>
            </w:r>
            <w:r>
              <w:rPr>
                <w:color w:val="auto"/>
              </w:rPr>
              <w:instrText xml:space="preserve"> HYPERLINK "mailto:0.6dB@20Hz-20kHz" </w:instrText>
            </w:r>
            <w:r>
              <w:rPr>
                <w:color w:val="auto"/>
              </w:rPr>
              <w:fldChar w:fldCharType="separate"/>
            </w:r>
            <w:r>
              <w:rPr>
                <w:color w:val="auto"/>
              </w:rPr>
              <w:t>0.6dB@20Hz-20kHz</w:t>
            </w:r>
            <w:r>
              <w:rPr>
                <w:color w:val="auto"/>
              </w:rPr>
              <w:fldChar w:fldCharType="end"/>
            </w:r>
            <w:r>
              <w:rPr>
                <w:rFonts w:hint="eastAsia"/>
                <w:color w:val="auto"/>
              </w:rPr>
              <w:t>；</w:t>
            </w:r>
            <w:r>
              <w:rPr>
                <w:color w:val="auto"/>
              </w:rPr>
              <w:t>总谐波失真+噪声THD + N：&lt;0.1%@P/2</w:t>
            </w:r>
            <w:r>
              <w:rPr>
                <w:rFonts w:hint="eastAsia"/>
                <w:color w:val="auto"/>
              </w:rPr>
              <w:t>；</w:t>
            </w:r>
            <w:r>
              <w:rPr>
                <w:color w:val="auto"/>
              </w:rPr>
              <w:t>SMPTE：&lt;0.07%@P/2</w:t>
            </w:r>
            <w:r>
              <w:rPr>
                <w:rFonts w:hint="eastAsia"/>
                <w:color w:val="auto"/>
              </w:rPr>
              <w:t>；</w:t>
            </w:r>
            <w:r>
              <w:rPr>
                <w:color w:val="auto"/>
              </w:rPr>
              <w:t>阻尼系数：&gt; 500 @ 100Hz /8Ω</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3</w:t>
            </w:r>
          </w:p>
        </w:tc>
        <w:tc>
          <w:tcPr>
            <w:tcW w:w="0" w:type="auto"/>
            <w:noWrap w:val="0"/>
            <w:vAlign w:val="center"/>
          </w:tcPr>
          <w:p>
            <w:pPr>
              <w:adjustRightInd w:val="0"/>
              <w:snapToGrid w:val="0"/>
              <w:jc w:val="center"/>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6</w:t>
            </w:r>
          </w:p>
        </w:tc>
        <w:tc>
          <w:tcPr>
            <w:tcW w:w="0" w:type="auto"/>
            <w:noWrap w:val="0"/>
            <w:vAlign w:val="center"/>
          </w:tcPr>
          <w:p>
            <w:pPr>
              <w:adjustRightInd w:val="0"/>
              <w:snapToGrid w:val="0"/>
              <w:jc w:val="center"/>
              <w:rPr>
                <w:color w:val="auto"/>
              </w:rPr>
            </w:pPr>
            <w:r>
              <w:rPr>
                <w:color w:val="auto"/>
              </w:rPr>
              <w:t>DANTE数字音频处理器</w:t>
            </w:r>
          </w:p>
        </w:tc>
        <w:tc>
          <w:tcPr>
            <w:tcW w:w="0" w:type="auto"/>
            <w:noWrap w:val="0"/>
            <w:vAlign w:val="center"/>
          </w:tcPr>
          <w:p>
            <w:pPr>
              <w:adjustRightInd w:val="0"/>
              <w:snapToGrid w:val="0"/>
              <w:rPr>
                <w:rFonts w:hint="eastAsia" w:eastAsia="宋体"/>
                <w:color w:val="auto"/>
                <w:lang w:eastAsia="zh-CN"/>
              </w:rPr>
            </w:pPr>
            <w:r>
              <w:rPr>
                <w:rFonts w:hint="eastAsia"/>
                <w:color w:val="auto"/>
              </w:rPr>
              <w:t>≥</w:t>
            </w:r>
            <w:r>
              <w:rPr>
                <w:color w:val="auto"/>
              </w:rPr>
              <w:t>8个AEC通道</w:t>
            </w:r>
            <w:r>
              <w:rPr>
                <w:rFonts w:hint="eastAsia"/>
                <w:color w:val="auto"/>
              </w:rPr>
              <w:t>；≥</w:t>
            </w:r>
            <w:r>
              <w:rPr>
                <w:color w:val="auto"/>
              </w:rPr>
              <w:t>64路Dante输入输出，主备接口</w:t>
            </w:r>
            <w:r>
              <w:rPr>
                <w:rFonts w:hint="eastAsia"/>
                <w:color w:val="auto"/>
              </w:rPr>
              <w:t>；≥</w:t>
            </w:r>
            <w:r>
              <w:rPr>
                <w:color w:val="auto"/>
              </w:rPr>
              <w:t>8个GPI接口</w:t>
            </w:r>
            <w:r>
              <w:rPr>
                <w:rFonts w:hint="eastAsia"/>
                <w:color w:val="auto"/>
              </w:rPr>
              <w:t>；≥</w:t>
            </w:r>
            <w:r>
              <w:rPr>
                <w:color w:val="auto"/>
              </w:rPr>
              <w:t>8个GPO接口</w:t>
            </w:r>
            <w:r>
              <w:rPr>
                <w:rFonts w:hint="eastAsia"/>
                <w:color w:val="auto"/>
              </w:rPr>
              <w:t>；</w:t>
            </w:r>
            <w:r>
              <w:rPr>
                <w:color w:val="auto"/>
              </w:rPr>
              <w:t>数字信号处理：信号发生器、延迟、输入和输出全参数均衡器滤波器、输入噪声门、电平、静音、相位、音量控制、输出压缩/限幅器、闪避(优先级与压制)、虚拟和物理的寻呼站管理、预设保存和恢复、预定设置触发等等</w:t>
            </w:r>
            <w:r>
              <w:rPr>
                <w:rFonts w:hint="eastAsia"/>
                <w:color w:val="auto"/>
              </w:rPr>
              <w:t>；</w:t>
            </w:r>
            <w:r>
              <w:rPr>
                <w:color w:val="auto"/>
              </w:rPr>
              <w:t>可通过控制软件UCP远程控制系统，可与第三方设备如电脑、平板电脑、智能手机等兼容与TP-NET协议兼容，可与第三方控制系统集成</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7</w:t>
            </w:r>
          </w:p>
        </w:tc>
        <w:tc>
          <w:tcPr>
            <w:tcW w:w="0" w:type="auto"/>
            <w:noWrap w:val="0"/>
            <w:vAlign w:val="center"/>
          </w:tcPr>
          <w:p>
            <w:pPr>
              <w:adjustRightInd w:val="0"/>
              <w:snapToGrid w:val="0"/>
              <w:jc w:val="center"/>
              <w:rPr>
                <w:color w:val="auto"/>
              </w:rPr>
            </w:pPr>
            <w:r>
              <w:rPr>
                <w:color w:val="auto"/>
              </w:rPr>
              <w:t>音频处理器通道扩展卡</w:t>
            </w:r>
          </w:p>
        </w:tc>
        <w:tc>
          <w:tcPr>
            <w:tcW w:w="0" w:type="auto"/>
            <w:noWrap w:val="0"/>
            <w:vAlign w:val="center"/>
          </w:tcPr>
          <w:p>
            <w:pPr>
              <w:adjustRightInd w:val="0"/>
              <w:snapToGrid w:val="0"/>
              <w:rPr>
                <w:rFonts w:hint="eastAsia" w:eastAsia="宋体"/>
                <w:color w:val="auto"/>
                <w:lang w:eastAsia="zh-CN"/>
              </w:rPr>
            </w:pPr>
            <w:r>
              <w:rPr>
                <w:rFonts w:hint="eastAsia"/>
                <w:color w:val="auto"/>
              </w:rPr>
              <w:t>≥</w:t>
            </w:r>
            <w:r>
              <w:rPr>
                <w:color w:val="auto"/>
              </w:rPr>
              <w:t>4通道DANTE输入卡</w:t>
            </w:r>
            <w:r>
              <w:rPr>
                <w:rFonts w:hint="eastAsia"/>
                <w:color w:val="auto"/>
              </w:rPr>
              <w:t>；≥</w:t>
            </w:r>
            <w:r>
              <w:rPr>
                <w:color w:val="auto"/>
              </w:rPr>
              <w:t>4路带幻象电源的话筒/线路输入；扩展动态范围为115dB；额定输入电平：+4dBu，有20dB动态余量；最大输入电平：+23dBu</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8</w:t>
            </w:r>
          </w:p>
        </w:tc>
        <w:tc>
          <w:tcPr>
            <w:tcW w:w="0" w:type="auto"/>
            <w:noWrap w:val="0"/>
            <w:vAlign w:val="center"/>
          </w:tcPr>
          <w:p>
            <w:pPr>
              <w:adjustRightInd w:val="0"/>
              <w:snapToGrid w:val="0"/>
              <w:jc w:val="center"/>
              <w:rPr>
                <w:color w:val="auto"/>
              </w:rPr>
            </w:pPr>
            <w:r>
              <w:rPr>
                <w:color w:val="auto"/>
              </w:rPr>
              <w:t>DANTE数字调音台</w:t>
            </w:r>
          </w:p>
        </w:tc>
        <w:tc>
          <w:tcPr>
            <w:tcW w:w="0" w:type="auto"/>
            <w:noWrap w:val="0"/>
            <w:vAlign w:val="center"/>
          </w:tcPr>
          <w:p>
            <w:pPr>
              <w:adjustRightInd w:val="0"/>
              <w:snapToGrid w:val="0"/>
              <w:rPr>
                <w:rFonts w:hint="eastAsia" w:eastAsia="宋体"/>
                <w:color w:val="auto"/>
                <w:lang w:eastAsia="zh-CN"/>
              </w:rPr>
            </w:pPr>
            <w:r>
              <w:rPr>
                <w:color w:val="auto"/>
              </w:rPr>
              <w:t>每页</w:t>
            </w:r>
            <w:r>
              <w:rPr>
                <w:rFonts w:hint="eastAsia"/>
                <w:color w:val="auto"/>
              </w:rPr>
              <w:t>≥</w:t>
            </w:r>
            <w:r>
              <w:rPr>
                <w:color w:val="auto"/>
              </w:rPr>
              <w:t>32+1个推子，</w:t>
            </w:r>
            <w:r>
              <w:rPr>
                <w:rFonts w:hint="eastAsia"/>
                <w:color w:val="auto"/>
              </w:rPr>
              <w:t>≥</w:t>
            </w:r>
            <w:r>
              <w:rPr>
                <w:color w:val="auto"/>
              </w:rPr>
              <w:t>6页</w:t>
            </w:r>
            <w:r>
              <w:rPr>
                <w:rFonts w:hint="eastAsia"/>
                <w:color w:val="auto"/>
              </w:rPr>
              <w:t>；≥</w:t>
            </w:r>
            <w:r>
              <w:rPr>
                <w:color w:val="auto"/>
              </w:rPr>
              <w:t>16个自定义按键</w:t>
            </w:r>
            <w:r>
              <w:rPr>
                <w:rFonts w:hint="eastAsia"/>
                <w:color w:val="auto"/>
              </w:rPr>
              <w:t>；≥</w:t>
            </w:r>
            <w:r>
              <w:rPr>
                <w:color w:val="auto"/>
              </w:rPr>
              <w:t>8个自定义旋钮</w:t>
            </w:r>
            <w:r>
              <w:rPr>
                <w:rFonts w:hint="eastAsia"/>
                <w:color w:val="auto"/>
              </w:rPr>
              <w:t>；≥</w:t>
            </w:r>
            <w:r>
              <w:rPr>
                <w:color w:val="auto"/>
              </w:rPr>
              <w:t>全处理输入通道48路</w:t>
            </w:r>
            <w:r>
              <w:rPr>
                <w:rFonts w:hint="eastAsia"/>
                <w:color w:val="auto"/>
              </w:rPr>
              <w:t>；≥</w:t>
            </w:r>
            <w:r>
              <w:rPr>
                <w:color w:val="auto"/>
              </w:rPr>
              <w:t>全处理输出通道32路</w:t>
            </w:r>
            <w:r>
              <w:rPr>
                <w:rFonts w:hint="eastAsia"/>
                <w:color w:val="auto"/>
              </w:rPr>
              <w:t>；≥</w:t>
            </w:r>
            <w:r>
              <w:rPr>
                <w:color w:val="auto"/>
              </w:rPr>
              <w:t>7</w:t>
            </w:r>
            <w:r>
              <w:rPr>
                <w:rFonts w:hint="eastAsia"/>
                <w:color w:val="auto"/>
              </w:rPr>
              <w:t>寸</w:t>
            </w:r>
            <w:r>
              <w:rPr>
                <w:color w:val="auto"/>
              </w:rPr>
              <w:t>触摸屏</w:t>
            </w:r>
            <w:r>
              <w:rPr>
                <w:rFonts w:hint="eastAsia"/>
                <w:color w:val="auto"/>
              </w:rPr>
              <w:t>；</w:t>
            </w:r>
            <w:r>
              <w:rPr>
                <w:color w:val="auto"/>
              </w:rPr>
              <w:t>支持64×64DANTE输入输出，主备接口</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9</w:t>
            </w:r>
          </w:p>
        </w:tc>
        <w:tc>
          <w:tcPr>
            <w:tcW w:w="0" w:type="auto"/>
            <w:noWrap w:val="0"/>
            <w:vAlign w:val="center"/>
          </w:tcPr>
          <w:p>
            <w:pPr>
              <w:adjustRightInd w:val="0"/>
              <w:snapToGrid w:val="0"/>
              <w:jc w:val="center"/>
              <w:rPr>
                <w:color w:val="auto"/>
              </w:rPr>
            </w:pPr>
            <w:r>
              <w:rPr>
                <w:color w:val="auto"/>
              </w:rPr>
              <w:t>调音台网络接口卡</w:t>
            </w:r>
          </w:p>
        </w:tc>
        <w:tc>
          <w:tcPr>
            <w:tcW w:w="0" w:type="auto"/>
            <w:noWrap w:val="0"/>
            <w:vAlign w:val="center"/>
          </w:tcPr>
          <w:p>
            <w:pPr>
              <w:adjustRightInd w:val="0"/>
              <w:snapToGrid w:val="0"/>
              <w:rPr>
                <w:rFonts w:hint="eastAsia" w:eastAsia="宋体"/>
                <w:color w:val="auto"/>
                <w:lang w:eastAsia="zh-CN"/>
              </w:rPr>
            </w:pPr>
            <w:r>
              <w:rPr>
                <w:color w:val="auto"/>
              </w:rPr>
              <w:t>64路双向音频传输，通过CAT5控制；可实现96K/48KHz切换</w:t>
            </w:r>
            <w:r>
              <w:rPr>
                <w:rFonts w:hint="eastAsia"/>
                <w:color w:val="auto"/>
              </w:rPr>
              <w:t>；</w:t>
            </w:r>
            <w:r>
              <w:rPr>
                <w:color w:val="auto"/>
              </w:rPr>
              <w:t xml:space="preserve">自动获取IP地址并自动识别；端口冗余网络选项； </w:t>
            </w:r>
            <w:r>
              <w:rPr>
                <w:rFonts w:hint="eastAsia"/>
                <w:color w:val="auto"/>
              </w:rPr>
              <w:t>具备</w:t>
            </w:r>
            <w:r>
              <w:rPr>
                <w:color w:val="auto"/>
              </w:rPr>
              <w:t>低延迟；</w:t>
            </w:r>
            <w:r>
              <w:rPr>
                <w:rFonts w:hint="eastAsia"/>
                <w:color w:val="auto"/>
              </w:rPr>
              <w:t>配置</w:t>
            </w:r>
            <w:r>
              <w:rPr>
                <w:color w:val="auto"/>
              </w:rPr>
              <w:t>千兆网口；直接连接到电脑进行多轨录音／回放；DANTE的虚拟声卡软件替代硬件； DANTE的控制器软件可用于设置网络</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10</w:t>
            </w:r>
          </w:p>
        </w:tc>
        <w:tc>
          <w:tcPr>
            <w:tcW w:w="0" w:type="auto"/>
            <w:noWrap w:val="0"/>
            <w:vAlign w:val="center"/>
          </w:tcPr>
          <w:p>
            <w:pPr>
              <w:adjustRightInd w:val="0"/>
              <w:snapToGrid w:val="0"/>
              <w:jc w:val="center"/>
              <w:rPr>
                <w:color w:val="auto"/>
              </w:rPr>
            </w:pPr>
            <w:r>
              <w:rPr>
                <w:color w:val="auto"/>
              </w:rPr>
              <w:t>专业监听耳机</w:t>
            </w:r>
          </w:p>
        </w:tc>
        <w:tc>
          <w:tcPr>
            <w:tcW w:w="0" w:type="auto"/>
            <w:noWrap w:val="0"/>
            <w:vAlign w:val="center"/>
          </w:tcPr>
          <w:p>
            <w:pPr>
              <w:adjustRightInd w:val="0"/>
              <w:snapToGrid w:val="0"/>
              <w:rPr>
                <w:rFonts w:hint="eastAsia" w:eastAsia="宋体"/>
                <w:color w:val="auto"/>
                <w:lang w:eastAsia="zh-CN"/>
              </w:rPr>
            </w:pPr>
            <w:r>
              <w:rPr>
                <w:color w:val="auto"/>
              </w:rPr>
              <w:t>专业监听耳机</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11</w:t>
            </w:r>
          </w:p>
        </w:tc>
        <w:tc>
          <w:tcPr>
            <w:tcW w:w="0" w:type="auto"/>
            <w:noWrap w:val="0"/>
            <w:vAlign w:val="center"/>
          </w:tcPr>
          <w:p>
            <w:pPr>
              <w:adjustRightInd w:val="0"/>
              <w:snapToGrid w:val="0"/>
              <w:jc w:val="center"/>
              <w:rPr>
                <w:color w:val="auto"/>
              </w:rPr>
            </w:pPr>
            <w:r>
              <w:rPr>
                <w:color w:val="auto"/>
              </w:rPr>
              <w:t>控制室有源监听音箱</w:t>
            </w:r>
          </w:p>
        </w:tc>
        <w:tc>
          <w:tcPr>
            <w:tcW w:w="0" w:type="auto"/>
            <w:noWrap w:val="0"/>
            <w:vAlign w:val="center"/>
          </w:tcPr>
          <w:p>
            <w:pPr>
              <w:adjustRightInd w:val="0"/>
              <w:snapToGrid w:val="0"/>
              <w:rPr>
                <w:rFonts w:hint="eastAsia" w:eastAsia="宋体"/>
                <w:color w:val="auto"/>
                <w:lang w:eastAsia="zh-CN"/>
              </w:rPr>
            </w:pPr>
            <w:r>
              <w:rPr>
                <w:color w:val="auto"/>
              </w:rPr>
              <w:t>5寸有源录音室监听音箱</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2</w:t>
            </w:r>
          </w:p>
        </w:tc>
        <w:tc>
          <w:tcPr>
            <w:tcW w:w="0" w:type="auto"/>
            <w:noWrap w:val="0"/>
            <w:vAlign w:val="center"/>
          </w:tcPr>
          <w:p>
            <w:pPr>
              <w:adjustRightInd w:val="0"/>
              <w:snapToGrid w:val="0"/>
              <w:jc w:val="center"/>
              <w:rPr>
                <w:color w:val="auto"/>
              </w:rPr>
            </w:pPr>
            <w:r>
              <w:rPr>
                <w:color w:val="auto"/>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12</w:t>
            </w:r>
          </w:p>
        </w:tc>
        <w:tc>
          <w:tcPr>
            <w:tcW w:w="0" w:type="auto"/>
            <w:noWrap w:val="0"/>
            <w:vAlign w:val="center"/>
          </w:tcPr>
          <w:p>
            <w:pPr>
              <w:adjustRightInd w:val="0"/>
              <w:snapToGrid w:val="0"/>
              <w:jc w:val="center"/>
              <w:rPr>
                <w:color w:val="auto"/>
              </w:rPr>
            </w:pPr>
            <w:r>
              <w:rPr>
                <w:color w:val="auto"/>
              </w:rPr>
              <w:t>网络交换机（音频）</w:t>
            </w:r>
          </w:p>
        </w:tc>
        <w:tc>
          <w:tcPr>
            <w:tcW w:w="0" w:type="auto"/>
            <w:noWrap w:val="0"/>
            <w:vAlign w:val="center"/>
          </w:tcPr>
          <w:p>
            <w:pPr>
              <w:adjustRightInd w:val="0"/>
              <w:snapToGrid w:val="0"/>
              <w:rPr>
                <w:rFonts w:hint="eastAsia" w:eastAsia="宋体"/>
                <w:color w:val="auto"/>
                <w:lang w:eastAsia="zh-CN"/>
              </w:rPr>
            </w:pPr>
            <w:r>
              <w:rPr>
                <w:rFonts w:hint="eastAsia"/>
                <w:color w:val="auto"/>
              </w:rPr>
              <w:t>≥</w:t>
            </w:r>
            <w:r>
              <w:rPr>
                <w:color w:val="auto"/>
              </w:rPr>
              <w:t>12个10/100/1000Base-T以太网端口；</w:t>
            </w:r>
            <w:r>
              <w:rPr>
                <w:rFonts w:hint="eastAsia"/>
                <w:color w:val="auto"/>
              </w:rPr>
              <w:t>≥</w:t>
            </w:r>
            <w:r>
              <w:rPr>
                <w:color w:val="auto"/>
              </w:rPr>
              <w:t>2个1000Base-X以太网端口；交换容量：</w:t>
            </w:r>
            <w:r>
              <w:rPr>
                <w:rFonts w:hint="eastAsia"/>
                <w:color w:val="auto"/>
              </w:rPr>
              <w:t>≥</w:t>
            </w:r>
            <w:r>
              <w:rPr>
                <w:color w:val="auto"/>
              </w:rPr>
              <w:t>336Gbps；POE供电</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2</w:t>
            </w:r>
          </w:p>
        </w:tc>
        <w:tc>
          <w:tcPr>
            <w:tcW w:w="0" w:type="auto"/>
            <w:noWrap w:val="0"/>
            <w:vAlign w:val="center"/>
          </w:tcPr>
          <w:p>
            <w:pPr>
              <w:adjustRightInd w:val="0"/>
              <w:snapToGrid w:val="0"/>
              <w:jc w:val="center"/>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13</w:t>
            </w:r>
          </w:p>
        </w:tc>
        <w:tc>
          <w:tcPr>
            <w:tcW w:w="0" w:type="auto"/>
            <w:noWrap w:val="0"/>
            <w:vAlign w:val="center"/>
          </w:tcPr>
          <w:p>
            <w:pPr>
              <w:adjustRightInd w:val="0"/>
              <w:snapToGrid w:val="0"/>
              <w:jc w:val="center"/>
              <w:rPr>
                <w:color w:val="auto"/>
              </w:rPr>
            </w:pPr>
            <w:r>
              <w:rPr>
                <w:color w:val="auto"/>
              </w:rPr>
              <w:t>交换机光模块（音频）</w:t>
            </w:r>
          </w:p>
        </w:tc>
        <w:tc>
          <w:tcPr>
            <w:tcW w:w="0" w:type="auto"/>
            <w:noWrap w:val="0"/>
            <w:vAlign w:val="center"/>
          </w:tcPr>
          <w:p>
            <w:pPr>
              <w:adjustRightInd w:val="0"/>
              <w:snapToGrid w:val="0"/>
              <w:rPr>
                <w:rFonts w:hint="eastAsia" w:eastAsia="宋体"/>
                <w:color w:val="auto"/>
                <w:lang w:eastAsia="zh-CN"/>
              </w:rPr>
            </w:pPr>
            <w:r>
              <w:rPr>
                <w:color w:val="auto"/>
              </w:rPr>
              <w:t>千兆单模光纤模块，</w:t>
            </w:r>
            <w:r>
              <w:rPr>
                <w:rFonts w:hint="eastAsia"/>
                <w:color w:val="auto"/>
              </w:rPr>
              <w:t>与</w:t>
            </w:r>
            <w:r>
              <w:rPr>
                <w:color w:val="auto"/>
              </w:rPr>
              <w:t>交换机配套使用</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2</w:t>
            </w:r>
          </w:p>
        </w:tc>
        <w:tc>
          <w:tcPr>
            <w:tcW w:w="0" w:type="auto"/>
            <w:noWrap w:val="0"/>
            <w:vAlign w:val="center"/>
          </w:tcPr>
          <w:p>
            <w:pPr>
              <w:adjustRightInd w:val="0"/>
              <w:snapToGrid w:val="0"/>
              <w:jc w:val="center"/>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3"/>
            <w:noWrap w:val="0"/>
            <w:vAlign w:val="center"/>
          </w:tcPr>
          <w:p>
            <w:pPr>
              <w:adjustRightInd w:val="0"/>
              <w:snapToGrid w:val="0"/>
              <w:rPr>
                <w:b/>
                <w:bCs/>
                <w:color w:val="auto"/>
              </w:rPr>
            </w:pPr>
            <w:r>
              <w:rPr>
                <w:rFonts w:hint="eastAsia"/>
                <w:b/>
                <w:bCs/>
                <w:color w:val="auto"/>
              </w:rPr>
              <w:t>（二）</w:t>
            </w:r>
            <w:r>
              <w:rPr>
                <w:b/>
                <w:bCs/>
                <w:color w:val="auto"/>
              </w:rPr>
              <w:t>音源及拾音系统</w:t>
            </w:r>
          </w:p>
        </w:tc>
        <w:tc>
          <w:tcPr>
            <w:tcW w:w="0" w:type="auto"/>
            <w:noWrap w:val="0"/>
            <w:vAlign w:val="center"/>
          </w:tcPr>
          <w:p>
            <w:pPr>
              <w:adjustRightInd w:val="0"/>
              <w:snapToGrid w:val="0"/>
              <w:rPr>
                <w:color w:val="auto"/>
              </w:rPr>
            </w:pPr>
            <w:r>
              <w:rPr>
                <w:color w:val="auto"/>
              </w:rPr>
              <w:t>　</w:t>
            </w:r>
          </w:p>
        </w:tc>
        <w:tc>
          <w:tcPr>
            <w:tcW w:w="0" w:type="auto"/>
            <w:noWrap w:val="0"/>
            <w:vAlign w:val="center"/>
          </w:tcPr>
          <w:p>
            <w:pPr>
              <w:adjustRightInd w:val="0"/>
              <w:snapToGrid w:val="0"/>
              <w:rPr>
                <w:color w:val="auto"/>
              </w:rPr>
            </w:pPr>
            <w:r>
              <w:rPr>
                <w:color w:val="auto"/>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数字SD卡录音机</w:t>
            </w:r>
          </w:p>
        </w:tc>
        <w:tc>
          <w:tcPr>
            <w:tcW w:w="0" w:type="auto"/>
            <w:noWrap w:val="0"/>
            <w:vAlign w:val="center"/>
          </w:tcPr>
          <w:p>
            <w:pPr>
              <w:adjustRightInd w:val="0"/>
              <w:snapToGrid w:val="0"/>
              <w:rPr>
                <w:rFonts w:hint="eastAsia" w:eastAsia="宋体"/>
                <w:color w:val="auto"/>
                <w:lang w:eastAsia="zh-CN"/>
              </w:rPr>
            </w:pPr>
            <w:r>
              <w:rPr>
                <w:color w:val="auto"/>
              </w:rPr>
              <w:t>支持最大PCM 192kHz，DSD 5.6MHz的高采样率立体声录音</w:t>
            </w:r>
            <w:r>
              <w:rPr>
                <w:rFonts w:hint="eastAsia"/>
                <w:color w:val="auto"/>
              </w:rPr>
              <w:t>；</w:t>
            </w:r>
            <w:r>
              <w:rPr>
                <w:color w:val="auto"/>
              </w:rPr>
              <w:t>可以进行SDHC卡/CF卡立体声录音</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2</w:t>
            </w:r>
          </w:p>
        </w:tc>
        <w:tc>
          <w:tcPr>
            <w:tcW w:w="0" w:type="auto"/>
            <w:noWrap w:val="0"/>
            <w:vAlign w:val="center"/>
          </w:tcPr>
          <w:p>
            <w:pPr>
              <w:adjustRightInd w:val="0"/>
              <w:snapToGrid w:val="0"/>
              <w:jc w:val="center"/>
              <w:rPr>
                <w:color w:val="auto"/>
              </w:rPr>
            </w:pPr>
            <w:r>
              <w:rPr>
                <w:color w:val="auto"/>
              </w:rPr>
              <w:t>DANTE传输无线话筒接收机</w:t>
            </w:r>
          </w:p>
        </w:tc>
        <w:tc>
          <w:tcPr>
            <w:tcW w:w="0" w:type="auto"/>
            <w:noWrap w:val="0"/>
            <w:vAlign w:val="center"/>
          </w:tcPr>
          <w:p>
            <w:pPr>
              <w:adjustRightInd w:val="0"/>
              <w:snapToGrid w:val="0"/>
              <w:rPr>
                <w:rFonts w:hint="eastAsia" w:eastAsia="宋体"/>
                <w:color w:val="auto"/>
                <w:lang w:eastAsia="zh-CN"/>
              </w:rPr>
            </w:pPr>
            <w:r>
              <w:rPr>
                <w:color w:val="auto"/>
              </w:rPr>
              <w:t>数字无线接收机，分集式自动选择</w:t>
            </w:r>
            <w:r>
              <w:rPr>
                <w:rFonts w:hint="eastAsia"/>
                <w:color w:val="auto"/>
              </w:rPr>
              <w:t>；</w:t>
            </w:r>
            <w:r>
              <w:rPr>
                <w:color w:val="auto"/>
              </w:rPr>
              <w:t>可设置备用频点，跟随发射器一起切换</w:t>
            </w:r>
            <w:r>
              <w:rPr>
                <w:rFonts w:hint="eastAsia"/>
                <w:color w:val="auto"/>
              </w:rPr>
              <w:t>；</w:t>
            </w:r>
            <w:r>
              <w:rPr>
                <w:color w:val="auto"/>
              </w:rPr>
              <w:t>最少频率间隔：125 kHz</w:t>
            </w:r>
            <w:r>
              <w:rPr>
                <w:rFonts w:hint="eastAsia"/>
                <w:color w:val="auto"/>
              </w:rPr>
              <w:t>；</w:t>
            </w:r>
            <w:r>
              <w:rPr>
                <w:color w:val="auto"/>
              </w:rPr>
              <w:t>总谐波失真：&lt; 1.0% (±17.5 kHz 频偏于 1 kHz)</w:t>
            </w:r>
            <w:r>
              <w:rPr>
                <w:rFonts w:hint="eastAsia"/>
                <w:color w:val="auto"/>
              </w:rPr>
              <w:t>；</w:t>
            </w:r>
            <w:r>
              <w:rPr>
                <w:color w:val="auto"/>
              </w:rPr>
              <w:t>工作距离：</w:t>
            </w:r>
            <w:r>
              <w:rPr>
                <w:rFonts w:hint="eastAsia"/>
                <w:color w:val="auto"/>
              </w:rPr>
              <w:t>≥</w:t>
            </w:r>
            <w:r>
              <w:rPr>
                <w:color w:val="auto"/>
              </w:rPr>
              <w:t>100米（在没有干扰情况下）</w:t>
            </w:r>
            <w:r>
              <w:rPr>
                <w:rFonts w:hint="eastAsia"/>
                <w:color w:val="auto"/>
              </w:rPr>
              <w:t>；</w:t>
            </w:r>
            <w:r>
              <w:rPr>
                <w:color w:val="auto"/>
              </w:rPr>
              <w:t>延迟时间小于2.5ms（XLR输出期间）</w:t>
            </w:r>
            <w:r>
              <w:rPr>
                <w:rFonts w:hint="eastAsia"/>
                <w:color w:val="auto"/>
              </w:rPr>
              <w:t>；</w:t>
            </w:r>
            <w:r>
              <w:rPr>
                <w:color w:val="auto"/>
              </w:rPr>
              <w:t>支持DANTE数字音频传输网络功能</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2</w:t>
            </w:r>
          </w:p>
        </w:tc>
        <w:tc>
          <w:tcPr>
            <w:tcW w:w="0" w:type="auto"/>
            <w:noWrap w:val="0"/>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3</w:t>
            </w:r>
          </w:p>
        </w:tc>
        <w:tc>
          <w:tcPr>
            <w:tcW w:w="0" w:type="auto"/>
            <w:noWrap w:val="0"/>
            <w:vAlign w:val="center"/>
          </w:tcPr>
          <w:p>
            <w:pPr>
              <w:adjustRightInd w:val="0"/>
              <w:snapToGrid w:val="0"/>
              <w:jc w:val="center"/>
              <w:rPr>
                <w:color w:val="auto"/>
              </w:rPr>
            </w:pPr>
            <w:r>
              <w:rPr>
                <w:color w:val="auto"/>
              </w:rPr>
              <w:t>手持动圈话筒</w:t>
            </w:r>
          </w:p>
        </w:tc>
        <w:tc>
          <w:tcPr>
            <w:tcW w:w="0" w:type="auto"/>
            <w:noWrap w:val="0"/>
            <w:vAlign w:val="center"/>
          </w:tcPr>
          <w:p>
            <w:pPr>
              <w:adjustRightInd w:val="0"/>
              <w:snapToGrid w:val="0"/>
              <w:rPr>
                <w:rFonts w:hint="eastAsia" w:eastAsia="宋体"/>
                <w:color w:val="auto"/>
                <w:lang w:eastAsia="zh-CN"/>
              </w:rPr>
            </w:pPr>
            <w:r>
              <w:rPr>
                <w:color w:val="auto"/>
              </w:rPr>
              <w:t>无线手持话筒</w:t>
            </w:r>
            <w:r>
              <w:rPr>
                <w:rFonts w:hint="eastAsia"/>
                <w:color w:val="auto"/>
              </w:rPr>
              <w:t>；</w:t>
            </w:r>
            <w:r>
              <w:rPr>
                <w:color w:val="auto"/>
              </w:rPr>
              <w:t>心形指向性动圈收音头</w:t>
            </w:r>
            <w:r>
              <w:rPr>
                <w:rFonts w:hint="eastAsia"/>
                <w:color w:val="auto"/>
              </w:rPr>
              <w:t>；</w:t>
            </w:r>
            <w:r>
              <w:rPr>
                <w:color w:val="auto"/>
              </w:rPr>
              <w:t>可设置备用频点，通过功能键和接收机一起切换</w:t>
            </w:r>
            <w:r>
              <w:rPr>
                <w:rFonts w:hint="eastAsia"/>
                <w:color w:val="auto"/>
              </w:rPr>
              <w:t>；</w:t>
            </w:r>
            <w:r>
              <w:rPr>
                <w:color w:val="auto"/>
              </w:rPr>
              <w:t>发射机功率可调，发射机灵敏度三档可调</w:t>
            </w:r>
            <w:r>
              <w:rPr>
                <w:rFonts w:hint="eastAsia"/>
                <w:color w:val="auto"/>
              </w:rPr>
              <w:t>；</w:t>
            </w:r>
            <w:r>
              <w:rPr>
                <w:color w:val="auto"/>
              </w:rPr>
              <w:t>低截80 Hz, 120 Hz, 160 Hz, 12dB/倍频程</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4</w:t>
            </w:r>
          </w:p>
        </w:tc>
        <w:tc>
          <w:tcPr>
            <w:tcW w:w="0" w:type="auto"/>
            <w:noWrap w:val="0"/>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4</w:t>
            </w:r>
          </w:p>
        </w:tc>
        <w:tc>
          <w:tcPr>
            <w:tcW w:w="0" w:type="auto"/>
            <w:noWrap w:val="0"/>
            <w:vAlign w:val="center"/>
          </w:tcPr>
          <w:p>
            <w:pPr>
              <w:adjustRightInd w:val="0"/>
              <w:snapToGrid w:val="0"/>
              <w:jc w:val="center"/>
              <w:rPr>
                <w:color w:val="auto"/>
              </w:rPr>
            </w:pPr>
            <w:r>
              <w:rPr>
                <w:color w:val="auto"/>
              </w:rPr>
              <w:t>天线分配放大器</w:t>
            </w:r>
          </w:p>
        </w:tc>
        <w:tc>
          <w:tcPr>
            <w:tcW w:w="0" w:type="auto"/>
            <w:noWrap w:val="0"/>
            <w:vAlign w:val="center"/>
          </w:tcPr>
          <w:p>
            <w:pPr>
              <w:adjustRightInd w:val="0"/>
              <w:snapToGrid w:val="0"/>
              <w:rPr>
                <w:rFonts w:hint="eastAsia" w:eastAsia="宋体"/>
                <w:color w:val="auto"/>
                <w:lang w:eastAsia="zh-CN"/>
              </w:rPr>
            </w:pPr>
            <w:r>
              <w:rPr>
                <w:color w:val="auto"/>
              </w:rPr>
              <w:t>输入/输出:</w:t>
            </w:r>
            <w:r>
              <w:rPr>
                <w:rFonts w:hint="eastAsia"/>
                <w:color w:val="auto"/>
              </w:rPr>
              <w:t xml:space="preserve"> ≥</w:t>
            </w:r>
            <w:r>
              <w:rPr>
                <w:color w:val="auto"/>
              </w:rPr>
              <w:t>2x2个汇合输入</w:t>
            </w:r>
            <w:r>
              <w:rPr>
                <w:rFonts w:hint="eastAsia"/>
                <w:color w:val="auto"/>
              </w:rPr>
              <w:t>；≥</w:t>
            </w:r>
            <w:r>
              <w:rPr>
                <w:color w:val="auto"/>
              </w:rPr>
              <w:t>2x4个分配输出</w:t>
            </w:r>
            <w:r>
              <w:rPr>
                <w:rFonts w:hint="eastAsia"/>
                <w:color w:val="auto"/>
              </w:rPr>
              <w:t>；≥</w:t>
            </w:r>
            <w:r>
              <w:rPr>
                <w:color w:val="auto"/>
              </w:rPr>
              <w:t>2x1个串联输出; 射频输出增益：+1.0 dB ± 2.0 dB;输入/输出增益: +1.0 dB ± 2.0 dB</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5</w:t>
            </w:r>
          </w:p>
        </w:tc>
        <w:tc>
          <w:tcPr>
            <w:tcW w:w="0" w:type="auto"/>
            <w:noWrap w:val="0"/>
            <w:vAlign w:val="center"/>
          </w:tcPr>
          <w:p>
            <w:pPr>
              <w:adjustRightInd w:val="0"/>
              <w:snapToGrid w:val="0"/>
              <w:jc w:val="center"/>
              <w:rPr>
                <w:color w:val="auto"/>
              </w:rPr>
            </w:pPr>
            <w:r>
              <w:rPr>
                <w:color w:val="auto"/>
              </w:rPr>
              <w:t>有源指向性天线</w:t>
            </w:r>
          </w:p>
        </w:tc>
        <w:tc>
          <w:tcPr>
            <w:tcW w:w="0" w:type="auto"/>
            <w:noWrap w:val="0"/>
            <w:vAlign w:val="center"/>
          </w:tcPr>
          <w:p>
            <w:pPr>
              <w:adjustRightInd w:val="0"/>
              <w:snapToGrid w:val="0"/>
              <w:rPr>
                <w:rFonts w:hint="eastAsia" w:eastAsia="宋体"/>
                <w:color w:val="auto"/>
                <w:lang w:eastAsia="zh-CN"/>
              </w:rPr>
            </w:pPr>
            <w:r>
              <w:rPr>
                <w:color w:val="auto"/>
              </w:rPr>
              <w:t>UHF无线系统增强信号拾取</w:t>
            </w:r>
            <w:r>
              <w:rPr>
                <w:rFonts w:hint="eastAsia"/>
                <w:color w:val="auto"/>
              </w:rPr>
              <w:t>；支持≥</w:t>
            </w:r>
            <w:r>
              <w:rPr>
                <w:color w:val="auto"/>
              </w:rPr>
              <w:t>4个增益级别设置</w:t>
            </w:r>
            <w:r>
              <w:rPr>
                <w:rFonts w:hint="eastAsia"/>
                <w:color w:val="auto"/>
              </w:rPr>
              <w:t>；具备</w:t>
            </w:r>
            <w:r>
              <w:rPr>
                <w:color w:val="auto"/>
              </w:rPr>
              <w:t>增益设置的LED指示灯</w:t>
            </w:r>
            <w:r>
              <w:rPr>
                <w:rFonts w:hint="eastAsia"/>
                <w:color w:val="auto"/>
              </w:rPr>
              <w:t>；支持</w:t>
            </w:r>
            <w:r>
              <w:rPr>
                <w:color w:val="auto"/>
              </w:rPr>
              <w:t>墙壁和天花板安装</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2</w:t>
            </w:r>
          </w:p>
        </w:tc>
        <w:tc>
          <w:tcPr>
            <w:tcW w:w="0" w:type="auto"/>
            <w:noWrap w:val="0"/>
            <w:vAlign w:val="center"/>
          </w:tcPr>
          <w:p>
            <w:pPr>
              <w:adjustRightInd w:val="0"/>
              <w:snapToGrid w:val="0"/>
              <w:jc w:val="center"/>
              <w:rPr>
                <w:color w:val="auto"/>
              </w:rPr>
            </w:pPr>
            <w:r>
              <w:rPr>
                <w:color w:val="auto"/>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3"/>
            <w:noWrap w:val="0"/>
            <w:vAlign w:val="center"/>
          </w:tcPr>
          <w:p>
            <w:pPr>
              <w:adjustRightInd w:val="0"/>
              <w:snapToGrid w:val="0"/>
              <w:rPr>
                <w:b/>
                <w:bCs/>
                <w:color w:val="auto"/>
              </w:rPr>
            </w:pPr>
            <w:r>
              <w:rPr>
                <w:rFonts w:hint="eastAsia"/>
                <w:b/>
                <w:bCs/>
                <w:color w:val="auto"/>
              </w:rPr>
              <w:t>（三）</w:t>
            </w:r>
            <w:r>
              <w:rPr>
                <w:b/>
                <w:bCs/>
                <w:color w:val="auto"/>
              </w:rPr>
              <w:t>会议讨论系统</w:t>
            </w:r>
          </w:p>
        </w:tc>
        <w:tc>
          <w:tcPr>
            <w:tcW w:w="0" w:type="auto"/>
            <w:noWrap w:val="0"/>
            <w:vAlign w:val="center"/>
          </w:tcPr>
          <w:p>
            <w:pPr>
              <w:adjustRightInd w:val="0"/>
              <w:snapToGrid w:val="0"/>
              <w:rPr>
                <w:color w:val="auto"/>
              </w:rPr>
            </w:pPr>
            <w:r>
              <w:rPr>
                <w:color w:val="auto"/>
              </w:rPr>
              <w:t>　</w:t>
            </w:r>
          </w:p>
        </w:tc>
        <w:tc>
          <w:tcPr>
            <w:tcW w:w="0" w:type="auto"/>
            <w:noWrap w:val="0"/>
            <w:vAlign w:val="center"/>
          </w:tcPr>
          <w:p>
            <w:pPr>
              <w:adjustRightInd w:val="0"/>
              <w:snapToGrid w:val="0"/>
              <w:rPr>
                <w:color w:val="auto"/>
              </w:rPr>
            </w:pPr>
            <w:r>
              <w:rPr>
                <w:color w:val="auto"/>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DANTE传输全数字化会议系统主机</w:t>
            </w:r>
          </w:p>
        </w:tc>
        <w:tc>
          <w:tcPr>
            <w:tcW w:w="0" w:type="auto"/>
            <w:noWrap w:val="0"/>
            <w:vAlign w:val="center"/>
          </w:tcPr>
          <w:p>
            <w:pPr>
              <w:adjustRightInd w:val="0"/>
              <w:snapToGrid w:val="0"/>
              <w:rPr>
                <w:rFonts w:hint="eastAsia" w:eastAsia="宋体"/>
                <w:color w:val="auto"/>
                <w:lang w:eastAsia="zh-CN"/>
              </w:rPr>
            </w:pPr>
            <w:r>
              <w:rPr>
                <w:color w:val="auto"/>
              </w:rPr>
              <w:t>在不使用冗余的情况下，可以接入</w:t>
            </w:r>
            <w:r>
              <w:rPr>
                <w:rFonts w:hint="eastAsia"/>
                <w:color w:val="auto"/>
              </w:rPr>
              <w:t>≥</w:t>
            </w:r>
            <w:r>
              <w:rPr>
                <w:color w:val="auto"/>
              </w:rPr>
              <w:t>100 个话筒单元（每条线路 50 个）</w:t>
            </w:r>
            <w:r>
              <w:rPr>
                <w:rFonts w:hint="eastAsia"/>
                <w:color w:val="auto"/>
              </w:rPr>
              <w:t>；</w:t>
            </w:r>
            <w:r>
              <w:rPr>
                <w:color w:val="auto"/>
              </w:rPr>
              <w:t>主机与席位间可实行多种连接方式：菊花链，环形连接，菊花链+ 环形连接</w:t>
            </w:r>
            <w:r>
              <w:rPr>
                <w:rFonts w:hint="eastAsia"/>
                <w:color w:val="auto"/>
              </w:rPr>
              <w:t>；</w:t>
            </w:r>
            <w:r>
              <w:rPr>
                <w:color w:val="auto"/>
              </w:rPr>
              <w:t>用于操作的玻璃面板，可显示独立菜单和状态栏</w:t>
            </w:r>
            <w:r>
              <w:rPr>
                <w:rFonts w:hint="eastAsia"/>
                <w:color w:val="auto"/>
              </w:rPr>
              <w:t>；</w:t>
            </w:r>
            <w:r>
              <w:rPr>
                <w:color w:val="auto"/>
              </w:rPr>
              <w:t>支持录音输出接口</w:t>
            </w:r>
            <w:r>
              <w:rPr>
                <w:rFonts w:hint="eastAsia"/>
                <w:color w:val="auto"/>
              </w:rPr>
              <w:t>；</w:t>
            </w:r>
            <w:r>
              <w:rPr>
                <w:color w:val="auto"/>
              </w:rPr>
              <w:t>内置数字音色库，可选择不同类型音色( 男女高音, 中音, 低音, 原音)</w:t>
            </w:r>
            <w:r>
              <w:rPr>
                <w:rFonts w:hint="eastAsia"/>
                <w:color w:val="auto"/>
              </w:rPr>
              <w:t>；</w:t>
            </w:r>
            <w:r>
              <w:rPr>
                <w:color w:val="auto"/>
              </w:rPr>
              <w:t>内置音频处理器, 输出通道带有均衡及压限, 噪门, 增益等功能</w:t>
            </w:r>
            <w:r>
              <w:rPr>
                <w:rFonts w:hint="eastAsia"/>
                <w:color w:val="auto"/>
              </w:rPr>
              <w:t>；</w:t>
            </w:r>
            <w:r>
              <w:rPr>
                <w:color w:val="auto"/>
              </w:rPr>
              <w:t>支持DANTE网络传输，只需要布置网线传输信号</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2</w:t>
            </w:r>
          </w:p>
        </w:tc>
        <w:tc>
          <w:tcPr>
            <w:tcW w:w="0" w:type="auto"/>
            <w:noWrap w:val="0"/>
            <w:vAlign w:val="center"/>
          </w:tcPr>
          <w:p>
            <w:pPr>
              <w:adjustRightInd w:val="0"/>
              <w:snapToGrid w:val="0"/>
              <w:jc w:val="center"/>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2</w:t>
            </w:r>
          </w:p>
        </w:tc>
        <w:tc>
          <w:tcPr>
            <w:tcW w:w="0" w:type="auto"/>
            <w:noWrap w:val="0"/>
            <w:vAlign w:val="center"/>
          </w:tcPr>
          <w:p>
            <w:pPr>
              <w:adjustRightInd w:val="0"/>
              <w:snapToGrid w:val="0"/>
              <w:jc w:val="center"/>
              <w:rPr>
                <w:color w:val="auto"/>
              </w:rPr>
            </w:pPr>
            <w:r>
              <w:rPr>
                <w:color w:val="auto"/>
              </w:rPr>
              <w:t>DANTE台面式全数字化会议系统主席单元</w:t>
            </w:r>
          </w:p>
        </w:tc>
        <w:tc>
          <w:tcPr>
            <w:tcW w:w="0" w:type="auto"/>
            <w:noWrap w:val="0"/>
            <w:vAlign w:val="center"/>
          </w:tcPr>
          <w:p>
            <w:pPr>
              <w:adjustRightInd w:val="0"/>
              <w:snapToGrid w:val="0"/>
              <w:rPr>
                <w:rFonts w:hint="eastAsia" w:eastAsia="宋体"/>
                <w:color w:val="auto"/>
                <w:lang w:eastAsia="zh-CN"/>
              </w:rPr>
            </w:pPr>
            <w:r>
              <w:rPr>
                <w:color w:val="auto"/>
              </w:rPr>
              <w:t>可作独立编程的多样配置及多种用途底座装置：主席或代表</w:t>
            </w:r>
            <w:r>
              <w:rPr>
                <w:rFonts w:hint="eastAsia"/>
                <w:color w:val="auto"/>
              </w:rPr>
              <w:t>；</w:t>
            </w:r>
            <w:r>
              <w:rPr>
                <w:color w:val="auto"/>
              </w:rPr>
              <w:t>与标准的3针XLR卡农话筒兼容的鹅颈话筒连接插座</w:t>
            </w:r>
            <w:r>
              <w:rPr>
                <w:rFonts w:hint="eastAsia"/>
                <w:color w:val="auto"/>
              </w:rPr>
              <w:t>；</w:t>
            </w:r>
            <w:r>
              <w:rPr>
                <w:color w:val="auto"/>
              </w:rPr>
              <w:t>配备高音质及能增强语音清晰度的扬声器</w:t>
            </w:r>
            <w:r>
              <w:rPr>
                <w:rFonts w:hint="eastAsia"/>
                <w:color w:val="auto"/>
              </w:rPr>
              <w:t>；</w:t>
            </w:r>
            <w:r>
              <w:rPr>
                <w:color w:val="auto"/>
              </w:rPr>
              <w:t>24bit/48 kHz 的数字音频质量</w:t>
            </w:r>
            <w:r>
              <w:rPr>
                <w:rFonts w:hint="eastAsia"/>
                <w:color w:val="auto"/>
              </w:rPr>
              <w:t>；</w:t>
            </w:r>
            <w:r>
              <w:rPr>
                <w:color w:val="auto"/>
              </w:rPr>
              <w:t>3针平衡式话筒连带远程控制的 LED 环形灯</w:t>
            </w:r>
            <w:r>
              <w:rPr>
                <w:rFonts w:hint="eastAsia"/>
                <w:color w:val="auto"/>
              </w:rPr>
              <w:t>；</w:t>
            </w:r>
            <w:r>
              <w:rPr>
                <w:color w:val="auto"/>
              </w:rPr>
              <w:t>通过优化的隔离设计，能减少话筒连接器与会议系统单元之间的振动</w:t>
            </w:r>
            <w:r>
              <w:rPr>
                <w:rFonts w:hint="eastAsia"/>
                <w:color w:val="auto"/>
              </w:rPr>
              <w:t>；</w:t>
            </w:r>
            <w:r>
              <w:rPr>
                <w:color w:val="auto"/>
              </w:rPr>
              <w:t>搭配主机支持DANTE网络传输</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10</w:t>
            </w:r>
          </w:p>
        </w:tc>
        <w:tc>
          <w:tcPr>
            <w:tcW w:w="0" w:type="auto"/>
            <w:noWrap w:val="0"/>
            <w:vAlign w:val="center"/>
          </w:tcPr>
          <w:p>
            <w:pPr>
              <w:adjustRightInd w:val="0"/>
              <w:snapToGrid w:val="0"/>
              <w:jc w:val="center"/>
              <w:rPr>
                <w:color w:val="auto"/>
              </w:rPr>
            </w:pPr>
            <w:r>
              <w:rPr>
                <w:color w:val="auto"/>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3</w:t>
            </w:r>
          </w:p>
        </w:tc>
        <w:tc>
          <w:tcPr>
            <w:tcW w:w="0" w:type="auto"/>
            <w:noWrap w:val="0"/>
            <w:vAlign w:val="center"/>
          </w:tcPr>
          <w:p>
            <w:pPr>
              <w:adjustRightInd w:val="0"/>
              <w:snapToGrid w:val="0"/>
              <w:jc w:val="center"/>
              <w:rPr>
                <w:color w:val="auto"/>
              </w:rPr>
            </w:pPr>
            <w:r>
              <w:rPr>
                <w:color w:val="auto"/>
              </w:rPr>
              <w:t>DANTE台面式全数字化会议系统代表单元</w:t>
            </w:r>
          </w:p>
        </w:tc>
        <w:tc>
          <w:tcPr>
            <w:tcW w:w="0" w:type="auto"/>
            <w:noWrap w:val="0"/>
            <w:vAlign w:val="center"/>
          </w:tcPr>
          <w:p>
            <w:pPr>
              <w:adjustRightInd w:val="0"/>
              <w:snapToGrid w:val="0"/>
              <w:rPr>
                <w:rFonts w:hint="eastAsia" w:eastAsia="宋体"/>
                <w:color w:val="auto"/>
                <w:lang w:eastAsia="zh-CN"/>
              </w:rPr>
            </w:pPr>
            <w:r>
              <w:rPr>
                <w:color w:val="auto"/>
              </w:rPr>
              <w:t>可作独立编程的多样配置及多种用途底座装置：主席或代表</w:t>
            </w:r>
            <w:r>
              <w:rPr>
                <w:rFonts w:hint="eastAsia"/>
                <w:color w:val="auto"/>
              </w:rPr>
              <w:t>；</w:t>
            </w:r>
            <w:r>
              <w:rPr>
                <w:color w:val="auto"/>
              </w:rPr>
              <w:t>与标准的3针XLR卡农话筒兼容的鹅颈话筒连接插座</w:t>
            </w:r>
            <w:r>
              <w:rPr>
                <w:rFonts w:hint="eastAsia"/>
                <w:color w:val="auto"/>
              </w:rPr>
              <w:t>；</w:t>
            </w:r>
            <w:r>
              <w:rPr>
                <w:color w:val="auto"/>
              </w:rPr>
              <w:t>配备高音质及能增强语音清晰度的扬声器</w:t>
            </w:r>
            <w:r>
              <w:rPr>
                <w:rFonts w:hint="eastAsia"/>
                <w:color w:val="auto"/>
              </w:rPr>
              <w:t>；</w:t>
            </w:r>
            <w:r>
              <w:rPr>
                <w:color w:val="auto"/>
              </w:rPr>
              <w:t>24bit/48 kHz 的数字音频质量</w:t>
            </w:r>
            <w:r>
              <w:rPr>
                <w:rFonts w:hint="eastAsia"/>
                <w:color w:val="auto"/>
              </w:rPr>
              <w:t>；</w:t>
            </w:r>
            <w:r>
              <w:rPr>
                <w:color w:val="auto"/>
              </w:rPr>
              <w:t>3针平衡式话筒连带远程控制的 LED 环形灯</w:t>
            </w:r>
            <w:r>
              <w:rPr>
                <w:rFonts w:hint="eastAsia"/>
                <w:color w:val="auto"/>
              </w:rPr>
              <w:t>；</w:t>
            </w:r>
            <w:r>
              <w:rPr>
                <w:color w:val="auto"/>
              </w:rPr>
              <w:t>通过优化的隔离设计，能减少话筒连接器与会议系统单元之间的振动</w:t>
            </w:r>
            <w:r>
              <w:rPr>
                <w:rFonts w:hint="eastAsia"/>
                <w:color w:val="auto"/>
              </w:rPr>
              <w:t>；</w:t>
            </w:r>
            <w:r>
              <w:rPr>
                <w:color w:val="auto"/>
              </w:rPr>
              <w:t>搭配主机支持DANTE网络传输</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45</w:t>
            </w:r>
          </w:p>
        </w:tc>
        <w:tc>
          <w:tcPr>
            <w:tcW w:w="0" w:type="auto"/>
            <w:noWrap w:val="0"/>
            <w:vAlign w:val="center"/>
          </w:tcPr>
          <w:p>
            <w:pPr>
              <w:adjustRightInd w:val="0"/>
              <w:snapToGrid w:val="0"/>
              <w:jc w:val="center"/>
              <w:rPr>
                <w:color w:val="auto"/>
              </w:rPr>
            </w:pPr>
            <w:r>
              <w:rPr>
                <w:color w:val="auto"/>
              </w:rPr>
              <w:t>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4</w:t>
            </w:r>
          </w:p>
        </w:tc>
        <w:tc>
          <w:tcPr>
            <w:tcW w:w="0" w:type="auto"/>
            <w:noWrap w:val="0"/>
            <w:vAlign w:val="center"/>
          </w:tcPr>
          <w:p>
            <w:pPr>
              <w:adjustRightInd w:val="0"/>
              <w:snapToGrid w:val="0"/>
              <w:jc w:val="center"/>
              <w:rPr>
                <w:color w:val="auto"/>
              </w:rPr>
            </w:pPr>
            <w:r>
              <w:rPr>
                <w:color w:val="auto"/>
              </w:rPr>
              <w:t>DANTE全数字化会议系统扩展主机</w:t>
            </w:r>
          </w:p>
        </w:tc>
        <w:tc>
          <w:tcPr>
            <w:tcW w:w="0" w:type="auto"/>
            <w:noWrap w:val="0"/>
            <w:vAlign w:val="center"/>
          </w:tcPr>
          <w:p>
            <w:pPr>
              <w:adjustRightInd w:val="0"/>
              <w:snapToGrid w:val="0"/>
              <w:rPr>
                <w:rFonts w:hint="eastAsia" w:eastAsia="宋体"/>
                <w:color w:val="auto"/>
                <w:lang w:eastAsia="zh-CN"/>
              </w:rPr>
            </w:pPr>
            <w:r>
              <w:rPr>
                <w:color w:val="auto"/>
              </w:rPr>
              <w:t>为连接的设备提供直流48V电源，从而延伸电缆的连接距离</w:t>
            </w:r>
            <w:r>
              <w:rPr>
                <w:rFonts w:hint="eastAsia"/>
                <w:color w:val="auto"/>
              </w:rPr>
              <w:t>；</w:t>
            </w:r>
            <w:r>
              <w:rPr>
                <w:color w:val="auto"/>
              </w:rPr>
              <w:t>用于选择本地或远程操作的模式设置开关</w:t>
            </w:r>
            <w:r>
              <w:rPr>
                <w:rFonts w:hint="eastAsia"/>
                <w:color w:val="auto"/>
              </w:rPr>
              <w:t>；</w:t>
            </w:r>
            <w:r>
              <w:rPr>
                <w:color w:val="auto"/>
              </w:rPr>
              <w:t>面板上LED指示灯，用于显示开启/关闭电源，及显示所链接设备的供电和链接状态</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2</w:t>
            </w:r>
          </w:p>
        </w:tc>
        <w:tc>
          <w:tcPr>
            <w:tcW w:w="0" w:type="auto"/>
            <w:noWrap w:val="0"/>
            <w:vAlign w:val="center"/>
          </w:tcPr>
          <w:p>
            <w:pPr>
              <w:adjustRightInd w:val="0"/>
              <w:snapToGrid w:val="0"/>
              <w:jc w:val="center"/>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5</w:t>
            </w:r>
          </w:p>
        </w:tc>
        <w:tc>
          <w:tcPr>
            <w:tcW w:w="0" w:type="auto"/>
            <w:noWrap w:val="0"/>
            <w:vAlign w:val="center"/>
          </w:tcPr>
          <w:p>
            <w:pPr>
              <w:adjustRightInd w:val="0"/>
              <w:snapToGrid w:val="0"/>
              <w:jc w:val="center"/>
              <w:rPr>
                <w:color w:val="auto"/>
              </w:rPr>
            </w:pPr>
            <w:r>
              <w:rPr>
                <w:color w:val="auto"/>
              </w:rPr>
              <w:t>20米会议专用延长电缆</w:t>
            </w:r>
          </w:p>
        </w:tc>
        <w:tc>
          <w:tcPr>
            <w:tcW w:w="0" w:type="auto"/>
            <w:noWrap w:val="0"/>
            <w:vAlign w:val="center"/>
          </w:tcPr>
          <w:p>
            <w:pPr>
              <w:adjustRightInd w:val="0"/>
              <w:snapToGrid w:val="0"/>
              <w:rPr>
                <w:rFonts w:hint="eastAsia" w:eastAsia="宋体"/>
                <w:color w:val="auto"/>
                <w:lang w:eastAsia="zh-CN"/>
              </w:rPr>
            </w:pPr>
            <w:r>
              <w:rPr>
                <w:color w:val="auto"/>
              </w:rPr>
              <w:t>网线</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20</w:t>
            </w:r>
          </w:p>
        </w:tc>
        <w:tc>
          <w:tcPr>
            <w:tcW w:w="0" w:type="auto"/>
            <w:noWrap w:val="0"/>
            <w:vAlign w:val="center"/>
          </w:tcPr>
          <w:p>
            <w:pPr>
              <w:adjustRightInd w:val="0"/>
              <w:snapToGrid w:val="0"/>
              <w:jc w:val="center"/>
              <w:rPr>
                <w:color w:val="auto"/>
              </w:rPr>
            </w:pPr>
            <w:r>
              <w:rPr>
                <w:color w:val="auto"/>
              </w:rPr>
              <w:t>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3"/>
            <w:noWrap w:val="0"/>
            <w:vAlign w:val="center"/>
          </w:tcPr>
          <w:p>
            <w:pPr>
              <w:adjustRightInd w:val="0"/>
              <w:snapToGrid w:val="0"/>
              <w:rPr>
                <w:b/>
                <w:bCs/>
                <w:color w:val="auto"/>
              </w:rPr>
            </w:pPr>
            <w:r>
              <w:rPr>
                <w:b/>
                <w:bCs/>
                <w:color w:val="auto"/>
              </w:rPr>
              <w:t>二、观摩决策区</w:t>
            </w:r>
          </w:p>
        </w:tc>
        <w:tc>
          <w:tcPr>
            <w:tcW w:w="0" w:type="auto"/>
            <w:noWrap w:val="0"/>
            <w:vAlign w:val="center"/>
          </w:tcPr>
          <w:p>
            <w:pPr>
              <w:adjustRightInd w:val="0"/>
              <w:snapToGrid w:val="0"/>
              <w:rPr>
                <w:color w:val="auto"/>
              </w:rPr>
            </w:pPr>
            <w:r>
              <w:rPr>
                <w:color w:val="auto"/>
              </w:rPr>
              <w:t>　</w:t>
            </w:r>
          </w:p>
        </w:tc>
        <w:tc>
          <w:tcPr>
            <w:tcW w:w="0" w:type="auto"/>
            <w:noWrap w:val="0"/>
            <w:vAlign w:val="center"/>
          </w:tcPr>
          <w:p>
            <w:pPr>
              <w:adjustRightInd w:val="0"/>
              <w:snapToGrid w:val="0"/>
              <w:rPr>
                <w:color w:val="auto"/>
              </w:rPr>
            </w:pPr>
            <w:r>
              <w:rPr>
                <w:color w:val="auto"/>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3"/>
            <w:noWrap w:val="0"/>
            <w:vAlign w:val="center"/>
          </w:tcPr>
          <w:p>
            <w:pPr>
              <w:adjustRightInd w:val="0"/>
              <w:snapToGrid w:val="0"/>
              <w:rPr>
                <w:b/>
                <w:bCs/>
                <w:color w:val="auto"/>
              </w:rPr>
            </w:pPr>
            <w:r>
              <w:rPr>
                <w:rFonts w:hint="eastAsia"/>
                <w:b/>
                <w:bCs/>
                <w:color w:val="auto"/>
              </w:rPr>
              <w:t>（一）</w:t>
            </w:r>
            <w:r>
              <w:rPr>
                <w:b/>
                <w:bCs/>
                <w:color w:val="auto"/>
              </w:rPr>
              <w:t>扩声及信号处理</w:t>
            </w:r>
          </w:p>
        </w:tc>
        <w:tc>
          <w:tcPr>
            <w:tcW w:w="0" w:type="auto"/>
            <w:noWrap w:val="0"/>
            <w:vAlign w:val="center"/>
          </w:tcPr>
          <w:p>
            <w:pPr>
              <w:adjustRightInd w:val="0"/>
              <w:snapToGrid w:val="0"/>
              <w:rPr>
                <w:color w:val="auto"/>
              </w:rPr>
            </w:pPr>
            <w:r>
              <w:rPr>
                <w:color w:val="auto"/>
              </w:rPr>
              <w:t>　</w:t>
            </w:r>
          </w:p>
        </w:tc>
        <w:tc>
          <w:tcPr>
            <w:tcW w:w="0" w:type="auto"/>
            <w:noWrap w:val="0"/>
            <w:vAlign w:val="center"/>
          </w:tcPr>
          <w:p>
            <w:pPr>
              <w:adjustRightInd w:val="0"/>
              <w:snapToGrid w:val="0"/>
              <w:rPr>
                <w:color w:val="auto"/>
              </w:rPr>
            </w:pPr>
            <w:r>
              <w:rPr>
                <w:color w:val="auto"/>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DANTE电子可调指向音柱</w:t>
            </w:r>
          </w:p>
        </w:tc>
        <w:tc>
          <w:tcPr>
            <w:tcW w:w="0" w:type="auto"/>
            <w:noWrap w:val="0"/>
            <w:vAlign w:val="center"/>
          </w:tcPr>
          <w:p>
            <w:pPr>
              <w:adjustRightInd w:val="0"/>
              <w:snapToGrid w:val="0"/>
              <w:rPr>
                <w:rFonts w:hint="eastAsia" w:eastAsia="宋体"/>
                <w:color w:val="auto"/>
                <w:lang w:eastAsia="zh-CN"/>
              </w:rPr>
            </w:pPr>
            <w:r>
              <w:rPr>
                <w:color w:val="auto"/>
              </w:rPr>
              <w:t>单元类型：</w:t>
            </w:r>
            <w:r>
              <w:rPr>
                <w:rFonts w:hint="eastAsia"/>
                <w:color w:val="auto"/>
              </w:rPr>
              <w:t>不少于</w:t>
            </w:r>
            <w:r>
              <w:rPr>
                <w:color w:val="auto"/>
              </w:rPr>
              <w:t>十二个3驱动器和0.75钕音圈</w:t>
            </w:r>
            <w:r>
              <w:rPr>
                <w:rFonts w:hint="eastAsia"/>
                <w:color w:val="auto"/>
              </w:rPr>
              <w:t>；</w:t>
            </w:r>
            <w:r>
              <w:rPr>
                <w:color w:val="auto"/>
              </w:rPr>
              <w:t>频率响应（±3dB）</w:t>
            </w:r>
            <w:r>
              <w:rPr>
                <w:rFonts w:hint="eastAsia"/>
                <w:color w:val="auto"/>
              </w:rPr>
              <w:t>≥</w:t>
            </w:r>
            <w:r>
              <w:rPr>
                <w:color w:val="auto"/>
              </w:rPr>
              <w:t>90 Hz - 20 kHz</w:t>
            </w:r>
            <w:r>
              <w:rPr>
                <w:rFonts w:hint="eastAsia"/>
                <w:color w:val="auto"/>
              </w:rPr>
              <w:t>；</w:t>
            </w:r>
            <w:r>
              <w:rPr>
                <w:color w:val="auto"/>
              </w:rPr>
              <w:t>覆盖角度：10-40°电子可调x100°(VxH)</w:t>
            </w:r>
            <w:r>
              <w:rPr>
                <w:rFonts w:hint="eastAsia"/>
                <w:color w:val="auto"/>
              </w:rPr>
              <w:t>；</w:t>
            </w:r>
            <w:r>
              <w:rPr>
                <w:color w:val="auto"/>
              </w:rPr>
              <w:t>最大声压级</w:t>
            </w:r>
            <w:r>
              <w:rPr>
                <w:rFonts w:hint="eastAsia"/>
                <w:color w:val="auto"/>
              </w:rPr>
              <w:t>≥</w:t>
            </w:r>
            <w:r>
              <w:rPr>
                <w:color w:val="auto"/>
              </w:rPr>
              <w:t>135dB</w:t>
            </w:r>
            <w:r>
              <w:rPr>
                <w:rFonts w:hint="eastAsia"/>
                <w:color w:val="auto"/>
              </w:rPr>
              <w:t>；</w:t>
            </w:r>
            <w:r>
              <w:rPr>
                <w:color w:val="auto"/>
              </w:rPr>
              <w:t>动态范围：&gt;105 dB；功放输出</w:t>
            </w:r>
            <w:r>
              <w:rPr>
                <w:rFonts w:hint="eastAsia"/>
                <w:color w:val="auto"/>
              </w:rPr>
              <w:t>≥</w:t>
            </w:r>
            <w:r>
              <w:rPr>
                <w:color w:val="auto"/>
              </w:rPr>
              <w:t>12x100W最大（4Ω）</w:t>
            </w:r>
            <w:r>
              <w:rPr>
                <w:rFonts w:hint="eastAsia"/>
                <w:color w:val="auto"/>
              </w:rPr>
              <w:t>；</w:t>
            </w:r>
            <w:r>
              <w:rPr>
                <w:color w:val="auto"/>
              </w:rPr>
              <w:t>DSP采样率：24 bit/48 kHz采样率；信号输入</w:t>
            </w:r>
            <w:r>
              <w:rPr>
                <w:rFonts w:hint="eastAsia"/>
                <w:color w:val="auto"/>
              </w:rPr>
              <w:t>≥</w:t>
            </w:r>
            <w:r>
              <w:rPr>
                <w:color w:val="auto"/>
              </w:rPr>
              <w:t>Dante×2主备双口</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2</w:t>
            </w:r>
          </w:p>
        </w:tc>
        <w:tc>
          <w:tcPr>
            <w:tcW w:w="0" w:type="auto"/>
            <w:noWrap w:val="0"/>
            <w:vAlign w:val="center"/>
          </w:tcPr>
          <w:p>
            <w:pPr>
              <w:adjustRightInd w:val="0"/>
              <w:snapToGrid w:val="0"/>
              <w:jc w:val="center"/>
              <w:rPr>
                <w:color w:val="auto"/>
              </w:rPr>
            </w:pPr>
            <w:r>
              <w:rPr>
                <w:color w:val="auto"/>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2</w:t>
            </w:r>
          </w:p>
        </w:tc>
        <w:tc>
          <w:tcPr>
            <w:tcW w:w="0" w:type="auto"/>
            <w:noWrap w:val="0"/>
            <w:vAlign w:val="center"/>
          </w:tcPr>
          <w:p>
            <w:pPr>
              <w:adjustRightInd w:val="0"/>
              <w:snapToGrid w:val="0"/>
              <w:jc w:val="center"/>
              <w:rPr>
                <w:color w:val="auto"/>
              </w:rPr>
            </w:pPr>
            <w:r>
              <w:rPr>
                <w:color w:val="auto"/>
              </w:rPr>
              <w:t>音柱墙壁安装支架</w:t>
            </w:r>
          </w:p>
        </w:tc>
        <w:tc>
          <w:tcPr>
            <w:tcW w:w="0" w:type="auto"/>
            <w:noWrap w:val="0"/>
            <w:vAlign w:val="center"/>
          </w:tcPr>
          <w:p>
            <w:pPr>
              <w:adjustRightInd w:val="0"/>
              <w:snapToGrid w:val="0"/>
              <w:rPr>
                <w:rFonts w:hint="eastAsia" w:eastAsia="宋体"/>
                <w:color w:val="auto"/>
                <w:lang w:eastAsia="zh-CN"/>
              </w:rPr>
            </w:pPr>
            <w:r>
              <w:rPr>
                <w:rFonts w:hint="eastAsia"/>
                <w:color w:val="auto"/>
              </w:rPr>
              <w:t>提供</w:t>
            </w:r>
            <w:r>
              <w:rPr>
                <w:color w:val="auto"/>
              </w:rPr>
              <w:t>配套安装支架</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2</w:t>
            </w:r>
          </w:p>
        </w:tc>
        <w:tc>
          <w:tcPr>
            <w:tcW w:w="0" w:type="auto"/>
            <w:noWrap w:val="0"/>
            <w:vAlign w:val="center"/>
          </w:tcPr>
          <w:p>
            <w:pPr>
              <w:adjustRightInd w:val="0"/>
              <w:snapToGrid w:val="0"/>
              <w:jc w:val="center"/>
              <w:rPr>
                <w:color w:val="auto"/>
              </w:rPr>
            </w:pPr>
            <w:r>
              <w:rPr>
                <w:color w:val="auto"/>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3</w:t>
            </w:r>
          </w:p>
        </w:tc>
        <w:tc>
          <w:tcPr>
            <w:tcW w:w="0" w:type="auto"/>
            <w:noWrap w:val="0"/>
            <w:vAlign w:val="center"/>
          </w:tcPr>
          <w:p>
            <w:pPr>
              <w:adjustRightInd w:val="0"/>
              <w:snapToGrid w:val="0"/>
              <w:jc w:val="center"/>
              <w:rPr>
                <w:color w:val="auto"/>
              </w:rPr>
            </w:pPr>
            <w:r>
              <w:rPr>
                <w:color w:val="auto"/>
              </w:rPr>
              <w:t>音柱墙壁安装配件</w:t>
            </w:r>
          </w:p>
        </w:tc>
        <w:tc>
          <w:tcPr>
            <w:tcW w:w="0" w:type="auto"/>
            <w:noWrap w:val="0"/>
            <w:vAlign w:val="center"/>
          </w:tcPr>
          <w:p>
            <w:pPr>
              <w:adjustRightInd w:val="0"/>
              <w:snapToGrid w:val="0"/>
              <w:rPr>
                <w:rFonts w:hint="eastAsia" w:eastAsia="宋体"/>
                <w:color w:val="auto"/>
                <w:lang w:eastAsia="zh-CN"/>
              </w:rPr>
            </w:pPr>
            <w:r>
              <w:rPr>
                <w:rFonts w:hint="eastAsia"/>
                <w:color w:val="auto"/>
              </w:rPr>
              <w:t>提供</w:t>
            </w:r>
            <w:r>
              <w:rPr>
                <w:color w:val="auto"/>
              </w:rPr>
              <w:t>配套安装配件</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2</w:t>
            </w:r>
          </w:p>
        </w:tc>
        <w:tc>
          <w:tcPr>
            <w:tcW w:w="0" w:type="auto"/>
            <w:noWrap w:val="0"/>
            <w:vAlign w:val="center"/>
          </w:tcPr>
          <w:p>
            <w:pPr>
              <w:adjustRightInd w:val="0"/>
              <w:snapToGrid w:val="0"/>
              <w:jc w:val="center"/>
              <w:rPr>
                <w:color w:val="auto"/>
              </w:rPr>
            </w:pPr>
            <w:r>
              <w:rPr>
                <w:color w:val="auto"/>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4</w:t>
            </w:r>
          </w:p>
        </w:tc>
        <w:tc>
          <w:tcPr>
            <w:tcW w:w="0" w:type="auto"/>
            <w:noWrap w:val="0"/>
            <w:vAlign w:val="center"/>
          </w:tcPr>
          <w:p>
            <w:pPr>
              <w:adjustRightInd w:val="0"/>
              <w:snapToGrid w:val="0"/>
              <w:jc w:val="center"/>
              <w:rPr>
                <w:color w:val="auto"/>
              </w:rPr>
            </w:pPr>
            <w:r>
              <w:rPr>
                <w:color w:val="auto"/>
              </w:rPr>
              <w:t>DANTE全频号角可旋转音箱</w:t>
            </w:r>
          </w:p>
        </w:tc>
        <w:tc>
          <w:tcPr>
            <w:tcW w:w="0" w:type="auto"/>
            <w:noWrap w:val="0"/>
            <w:vAlign w:val="center"/>
          </w:tcPr>
          <w:p>
            <w:pPr>
              <w:adjustRightInd w:val="0"/>
              <w:snapToGrid w:val="0"/>
              <w:rPr>
                <w:rFonts w:hint="eastAsia" w:eastAsia="宋体"/>
                <w:color w:val="auto"/>
                <w:lang w:eastAsia="zh-CN"/>
              </w:rPr>
            </w:pPr>
            <w:r>
              <w:rPr>
                <w:color w:val="auto"/>
              </w:rPr>
              <w:t>驱动单元：</w:t>
            </w:r>
            <w:r>
              <w:rPr>
                <w:rFonts w:hint="eastAsia"/>
                <w:color w:val="auto"/>
              </w:rPr>
              <w:t>不少于</w:t>
            </w:r>
            <w:r>
              <w:rPr>
                <w:color w:val="auto"/>
              </w:rPr>
              <w:t>1×6.5低频单元</w:t>
            </w:r>
            <w:r>
              <w:rPr>
                <w:rFonts w:hint="eastAsia"/>
                <w:color w:val="auto"/>
              </w:rPr>
              <w:t>，</w:t>
            </w:r>
            <w:r>
              <w:rPr>
                <w:color w:val="auto"/>
              </w:rPr>
              <w:t>1×1高频单元</w:t>
            </w:r>
            <w:r>
              <w:rPr>
                <w:rFonts w:hint="eastAsia"/>
                <w:color w:val="auto"/>
              </w:rPr>
              <w:t>；</w:t>
            </w:r>
            <w:r>
              <w:rPr>
                <w:color w:val="auto"/>
              </w:rPr>
              <w:t>频响范围</w:t>
            </w:r>
            <w:r>
              <w:rPr>
                <w:rFonts w:hint="eastAsia"/>
                <w:color w:val="auto"/>
              </w:rPr>
              <w:t>≥</w:t>
            </w:r>
            <w:r>
              <w:rPr>
                <w:color w:val="auto"/>
              </w:rPr>
              <w:t>75Hz-20kHz；指向角度：</w:t>
            </w:r>
            <w:r>
              <w:rPr>
                <w:rFonts w:hint="eastAsia"/>
                <w:color w:val="auto"/>
              </w:rPr>
              <w:t>≥</w:t>
            </w:r>
            <w:r>
              <w:rPr>
                <w:color w:val="auto"/>
              </w:rPr>
              <w:t>90°H×70°V；灵敏度</w:t>
            </w:r>
            <w:r>
              <w:rPr>
                <w:rFonts w:hint="eastAsia"/>
                <w:color w:val="auto"/>
              </w:rPr>
              <w:t>≥</w:t>
            </w:r>
            <w:r>
              <w:rPr>
                <w:color w:val="auto"/>
              </w:rPr>
              <w:t>88dB；最大声压级</w:t>
            </w:r>
            <w:r>
              <w:rPr>
                <w:rFonts w:hint="eastAsia"/>
                <w:color w:val="auto"/>
              </w:rPr>
              <w:t>≥</w:t>
            </w:r>
            <w:r>
              <w:rPr>
                <w:color w:val="auto"/>
              </w:rPr>
              <w:t>117dB；功率</w:t>
            </w:r>
            <w:r>
              <w:rPr>
                <w:rFonts w:hint="eastAsia"/>
                <w:color w:val="auto"/>
              </w:rPr>
              <w:t>≥</w:t>
            </w:r>
            <w:r>
              <w:rPr>
                <w:color w:val="auto"/>
              </w:rPr>
              <w:t>200W@8Ω；支持信号输入</w:t>
            </w:r>
            <w:r>
              <w:rPr>
                <w:rFonts w:hint="eastAsia"/>
                <w:color w:val="auto"/>
              </w:rPr>
              <w:t>≥</w:t>
            </w:r>
            <w:r>
              <w:rPr>
                <w:color w:val="auto"/>
              </w:rPr>
              <w:t>Dante×2主备双口</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8</w:t>
            </w:r>
          </w:p>
        </w:tc>
        <w:tc>
          <w:tcPr>
            <w:tcW w:w="0" w:type="auto"/>
            <w:noWrap w:val="0"/>
            <w:vAlign w:val="center"/>
          </w:tcPr>
          <w:p>
            <w:pPr>
              <w:adjustRightInd w:val="0"/>
              <w:snapToGrid w:val="0"/>
              <w:jc w:val="center"/>
              <w:rPr>
                <w:color w:val="auto"/>
              </w:rPr>
            </w:pPr>
            <w:r>
              <w:rPr>
                <w:color w:val="auto"/>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5</w:t>
            </w:r>
          </w:p>
        </w:tc>
        <w:tc>
          <w:tcPr>
            <w:tcW w:w="0" w:type="auto"/>
            <w:noWrap w:val="0"/>
            <w:vAlign w:val="center"/>
          </w:tcPr>
          <w:p>
            <w:pPr>
              <w:adjustRightInd w:val="0"/>
              <w:snapToGrid w:val="0"/>
              <w:jc w:val="center"/>
              <w:rPr>
                <w:color w:val="auto"/>
              </w:rPr>
            </w:pPr>
            <w:r>
              <w:rPr>
                <w:color w:val="auto"/>
              </w:rPr>
              <w:t>DANTE数字功率放大器</w:t>
            </w:r>
          </w:p>
        </w:tc>
        <w:tc>
          <w:tcPr>
            <w:tcW w:w="0" w:type="auto"/>
            <w:noWrap w:val="0"/>
            <w:vAlign w:val="center"/>
          </w:tcPr>
          <w:p>
            <w:pPr>
              <w:adjustRightInd w:val="0"/>
              <w:snapToGrid w:val="0"/>
              <w:rPr>
                <w:rFonts w:hint="eastAsia" w:eastAsia="宋体"/>
                <w:color w:val="auto"/>
                <w:lang w:eastAsia="zh-CN"/>
              </w:rPr>
            </w:pPr>
            <w:r>
              <w:rPr>
                <w:color w:val="auto"/>
              </w:rPr>
              <w:t>类型：</w:t>
            </w:r>
            <w:r>
              <w:rPr>
                <w:rFonts w:hint="eastAsia"/>
                <w:color w:val="auto"/>
              </w:rPr>
              <w:t>≥</w:t>
            </w:r>
            <w:r>
              <w:rPr>
                <w:color w:val="auto"/>
              </w:rPr>
              <w:t>四通道功率放大器带DSP</w:t>
            </w:r>
            <w:r>
              <w:rPr>
                <w:rFonts w:hint="eastAsia"/>
                <w:color w:val="auto"/>
              </w:rPr>
              <w:t>；</w:t>
            </w:r>
            <w:r>
              <w:rPr>
                <w:color w:val="auto"/>
              </w:rPr>
              <w:t>可通过管理软件管理</w:t>
            </w:r>
            <w:r>
              <w:rPr>
                <w:rFonts w:hint="eastAsia"/>
                <w:color w:val="auto"/>
              </w:rPr>
              <w:t>；</w:t>
            </w:r>
            <w:r>
              <w:rPr>
                <w:color w:val="auto"/>
              </w:rPr>
              <w:t>内置Dante输入接口</w:t>
            </w:r>
            <w:r>
              <w:rPr>
                <w:rFonts w:hint="eastAsia"/>
                <w:color w:val="auto"/>
              </w:rPr>
              <w:t>；</w:t>
            </w:r>
            <w:r>
              <w:rPr>
                <w:color w:val="auto"/>
              </w:rPr>
              <w:t>内置音箱预设，每个通道输出1个SpeakOn连接器</w:t>
            </w:r>
            <w:r>
              <w:rPr>
                <w:rFonts w:hint="eastAsia"/>
                <w:color w:val="auto"/>
              </w:rPr>
              <w:t>；</w:t>
            </w:r>
            <w:r>
              <w:rPr>
                <w:color w:val="auto"/>
              </w:rPr>
              <w:t>功率</w:t>
            </w:r>
            <w:r>
              <w:rPr>
                <w:rFonts w:hint="eastAsia"/>
                <w:color w:val="auto"/>
              </w:rPr>
              <w:t>≥</w:t>
            </w:r>
            <w:r>
              <w:rPr>
                <w:color w:val="auto"/>
              </w:rPr>
              <w:t>4X400W/2Ω，</w:t>
            </w:r>
            <w:r>
              <w:rPr>
                <w:rFonts w:hint="eastAsia"/>
                <w:color w:val="auto"/>
              </w:rPr>
              <w:t>≥</w:t>
            </w:r>
            <w:r>
              <w:rPr>
                <w:color w:val="auto"/>
              </w:rPr>
              <w:t>4X300W/4Ω，</w:t>
            </w:r>
            <w:r>
              <w:rPr>
                <w:rFonts w:hint="eastAsia"/>
                <w:color w:val="auto"/>
              </w:rPr>
              <w:t>≥</w:t>
            </w:r>
            <w:r>
              <w:rPr>
                <w:color w:val="auto"/>
              </w:rPr>
              <w:t>4X300W/8Ω，</w:t>
            </w:r>
            <w:r>
              <w:rPr>
                <w:rFonts w:hint="eastAsia"/>
                <w:color w:val="auto"/>
              </w:rPr>
              <w:t>≥</w:t>
            </w:r>
            <w:r>
              <w:rPr>
                <w:color w:val="auto"/>
              </w:rPr>
              <w:t>800W/4Ω桥接，</w:t>
            </w:r>
            <w:r>
              <w:rPr>
                <w:rFonts w:hint="eastAsia"/>
                <w:color w:val="auto"/>
              </w:rPr>
              <w:t>≥</w:t>
            </w:r>
            <w:r>
              <w:rPr>
                <w:color w:val="auto"/>
              </w:rPr>
              <w:t>600W/8Ω桥接</w:t>
            </w:r>
            <w:r>
              <w:rPr>
                <w:rFonts w:hint="eastAsia"/>
                <w:color w:val="auto"/>
              </w:rPr>
              <w:t>；</w:t>
            </w:r>
            <w:r>
              <w:rPr>
                <w:color w:val="auto"/>
              </w:rPr>
              <w:t>电源： 1 PowerCon 32A /稳压SMPS，PFC 100 – 240VAC / 3000VA / 50 – 60Hz</w:t>
            </w:r>
            <w:r>
              <w:rPr>
                <w:rFonts w:hint="eastAsia"/>
                <w:color w:val="auto"/>
              </w:rPr>
              <w:t>；</w:t>
            </w:r>
            <w:r>
              <w:rPr>
                <w:color w:val="auto"/>
              </w:rPr>
              <w:t>输入灵敏度+ 11dBU / + 32dB增益</w:t>
            </w:r>
            <w:r>
              <w:rPr>
                <w:rFonts w:hint="eastAsia"/>
                <w:color w:val="auto"/>
              </w:rPr>
              <w:t>；</w:t>
            </w:r>
            <w:r>
              <w:rPr>
                <w:color w:val="auto"/>
              </w:rPr>
              <w:t>SNR信噪比（数字）&lt;-111dB（未加权）/-114dB（A加权）</w:t>
            </w:r>
            <w:r>
              <w:rPr>
                <w:rFonts w:hint="eastAsia"/>
                <w:color w:val="auto"/>
              </w:rPr>
              <w:t>；</w:t>
            </w:r>
            <w:r>
              <w:rPr>
                <w:color w:val="auto"/>
              </w:rPr>
              <w:t xml:space="preserve">频率响应：+/- </w:t>
            </w:r>
            <w:r>
              <w:rPr>
                <w:color w:val="auto"/>
              </w:rPr>
              <w:fldChar w:fldCharType="begin"/>
            </w:r>
            <w:r>
              <w:rPr>
                <w:color w:val="auto"/>
              </w:rPr>
              <w:instrText xml:space="preserve"> HYPERLINK "mailto:0.6dB@20Hz-20kHz" </w:instrText>
            </w:r>
            <w:r>
              <w:rPr>
                <w:color w:val="auto"/>
              </w:rPr>
              <w:fldChar w:fldCharType="separate"/>
            </w:r>
            <w:r>
              <w:rPr>
                <w:color w:val="auto"/>
              </w:rPr>
              <w:t>0.6dB@20Hz-20kHz</w:t>
            </w:r>
            <w:r>
              <w:rPr>
                <w:color w:val="auto"/>
              </w:rPr>
              <w:fldChar w:fldCharType="end"/>
            </w:r>
            <w:r>
              <w:rPr>
                <w:rFonts w:hint="eastAsia"/>
                <w:color w:val="auto"/>
              </w:rPr>
              <w:t>；</w:t>
            </w:r>
            <w:r>
              <w:rPr>
                <w:color w:val="auto"/>
              </w:rPr>
              <w:t>总谐波失真+噪声THD + N：&lt;0.1%@P/2</w:t>
            </w:r>
            <w:r>
              <w:rPr>
                <w:rFonts w:hint="eastAsia"/>
                <w:color w:val="auto"/>
              </w:rPr>
              <w:t>；</w:t>
            </w:r>
            <w:r>
              <w:rPr>
                <w:color w:val="auto"/>
              </w:rPr>
              <w:t>SMPTE：&lt;0.07%@P/2</w:t>
            </w:r>
            <w:r>
              <w:rPr>
                <w:rFonts w:hint="eastAsia"/>
                <w:color w:val="auto"/>
              </w:rPr>
              <w:t>；</w:t>
            </w:r>
            <w:r>
              <w:rPr>
                <w:color w:val="auto"/>
              </w:rPr>
              <w:t>阻尼系数：&gt; 500 @ 100Hz /8Ω</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6</w:t>
            </w:r>
          </w:p>
        </w:tc>
        <w:tc>
          <w:tcPr>
            <w:tcW w:w="0" w:type="auto"/>
            <w:noWrap w:val="0"/>
            <w:vAlign w:val="center"/>
          </w:tcPr>
          <w:p>
            <w:pPr>
              <w:adjustRightInd w:val="0"/>
              <w:snapToGrid w:val="0"/>
              <w:jc w:val="center"/>
              <w:rPr>
                <w:color w:val="auto"/>
              </w:rPr>
            </w:pPr>
            <w:r>
              <w:rPr>
                <w:color w:val="auto"/>
              </w:rPr>
              <w:t>DANTE数字音频处理器</w:t>
            </w:r>
          </w:p>
        </w:tc>
        <w:tc>
          <w:tcPr>
            <w:tcW w:w="0" w:type="auto"/>
            <w:noWrap w:val="0"/>
            <w:vAlign w:val="center"/>
          </w:tcPr>
          <w:p>
            <w:pPr>
              <w:adjustRightInd w:val="0"/>
              <w:snapToGrid w:val="0"/>
              <w:rPr>
                <w:rFonts w:hint="eastAsia" w:eastAsia="宋体"/>
                <w:color w:val="auto"/>
                <w:lang w:eastAsia="zh-CN"/>
              </w:rPr>
            </w:pPr>
            <w:r>
              <w:rPr>
                <w:rFonts w:hint="eastAsia"/>
                <w:color w:val="auto"/>
              </w:rPr>
              <w:t>≥</w:t>
            </w:r>
            <w:r>
              <w:rPr>
                <w:color w:val="auto"/>
              </w:rPr>
              <w:t>8个AEC通道</w:t>
            </w:r>
            <w:r>
              <w:rPr>
                <w:rFonts w:hint="eastAsia"/>
                <w:color w:val="auto"/>
              </w:rPr>
              <w:t>；≥</w:t>
            </w:r>
            <w:r>
              <w:rPr>
                <w:color w:val="auto"/>
              </w:rPr>
              <w:t>64路Dante输入输出，主备接口</w:t>
            </w:r>
            <w:r>
              <w:rPr>
                <w:rFonts w:hint="eastAsia"/>
                <w:color w:val="auto"/>
              </w:rPr>
              <w:t>；≥</w:t>
            </w:r>
            <w:r>
              <w:rPr>
                <w:color w:val="auto"/>
              </w:rPr>
              <w:t>8个GPI接口</w:t>
            </w:r>
            <w:r>
              <w:rPr>
                <w:rFonts w:hint="eastAsia"/>
                <w:color w:val="auto"/>
              </w:rPr>
              <w:t>、≥</w:t>
            </w:r>
            <w:r>
              <w:rPr>
                <w:color w:val="auto"/>
              </w:rPr>
              <w:t>8个GPO接口</w:t>
            </w:r>
            <w:r>
              <w:rPr>
                <w:rFonts w:hint="eastAsia"/>
                <w:color w:val="auto"/>
              </w:rPr>
              <w:t>；数</w:t>
            </w:r>
            <w:r>
              <w:rPr>
                <w:color w:val="auto"/>
              </w:rPr>
              <w:t>字信号处理：信号发生器、延迟、输入和输出全参数均衡器滤波器、输入噪声门、电平、静音、相位、音量控制、输出压缩/限幅器、闪避(优先级与压制)、虚拟和物理的寻呼站管理、预设保存和恢复、预定设置触发等等</w:t>
            </w:r>
            <w:r>
              <w:rPr>
                <w:rFonts w:hint="eastAsia"/>
                <w:color w:val="auto"/>
              </w:rPr>
              <w:t>；</w:t>
            </w:r>
            <w:r>
              <w:rPr>
                <w:color w:val="auto"/>
              </w:rPr>
              <w:t>可通过控制软件UCP远程控制系统，可与第三方设备如电脑、平板电脑、智能手机等兼容与TP-NET协议兼容，可与第三方控制系统集成</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7</w:t>
            </w:r>
          </w:p>
        </w:tc>
        <w:tc>
          <w:tcPr>
            <w:tcW w:w="0" w:type="auto"/>
            <w:noWrap w:val="0"/>
            <w:vAlign w:val="center"/>
          </w:tcPr>
          <w:p>
            <w:pPr>
              <w:adjustRightInd w:val="0"/>
              <w:snapToGrid w:val="0"/>
              <w:jc w:val="center"/>
              <w:rPr>
                <w:color w:val="auto"/>
              </w:rPr>
            </w:pPr>
            <w:r>
              <w:rPr>
                <w:color w:val="auto"/>
              </w:rPr>
              <w:t>音频处理器通道扩展卡</w:t>
            </w:r>
          </w:p>
        </w:tc>
        <w:tc>
          <w:tcPr>
            <w:tcW w:w="0" w:type="auto"/>
            <w:noWrap w:val="0"/>
            <w:vAlign w:val="center"/>
          </w:tcPr>
          <w:p>
            <w:pPr>
              <w:adjustRightInd w:val="0"/>
              <w:snapToGrid w:val="0"/>
              <w:rPr>
                <w:rFonts w:hint="eastAsia" w:eastAsia="宋体"/>
                <w:color w:val="auto"/>
                <w:lang w:eastAsia="zh-CN"/>
              </w:rPr>
            </w:pPr>
            <w:r>
              <w:rPr>
                <w:rFonts w:hint="eastAsia"/>
                <w:color w:val="auto"/>
              </w:rPr>
              <w:t>≥</w:t>
            </w:r>
            <w:r>
              <w:rPr>
                <w:color w:val="auto"/>
              </w:rPr>
              <w:t>4通道DANTE输入卡</w:t>
            </w:r>
            <w:r>
              <w:rPr>
                <w:rFonts w:hint="eastAsia"/>
                <w:color w:val="auto"/>
              </w:rPr>
              <w:t>；≥</w:t>
            </w:r>
            <w:r>
              <w:rPr>
                <w:color w:val="auto"/>
              </w:rPr>
              <w:t>4路带幻象电源的话筒/线路输入；扩展动态范围为115dB；额定输入电平：+4dBu，有20dB动态余量；最大输入电平：+23dBu</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8</w:t>
            </w:r>
          </w:p>
        </w:tc>
        <w:tc>
          <w:tcPr>
            <w:tcW w:w="0" w:type="auto"/>
            <w:noWrap w:val="0"/>
            <w:vAlign w:val="center"/>
          </w:tcPr>
          <w:p>
            <w:pPr>
              <w:adjustRightInd w:val="0"/>
              <w:snapToGrid w:val="0"/>
              <w:jc w:val="center"/>
              <w:rPr>
                <w:color w:val="auto"/>
              </w:rPr>
            </w:pPr>
            <w:r>
              <w:rPr>
                <w:color w:val="auto"/>
              </w:rPr>
              <w:t>网络交换机（音频）</w:t>
            </w:r>
          </w:p>
        </w:tc>
        <w:tc>
          <w:tcPr>
            <w:tcW w:w="0" w:type="auto"/>
            <w:noWrap w:val="0"/>
            <w:vAlign w:val="center"/>
          </w:tcPr>
          <w:p>
            <w:pPr>
              <w:adjustRightInd w:val="0"/>
              <w:snapToGrid w:val="0"/>
              <w:rPr>
                <w:rFonts w:hint="eastAsia" w:eastAsia="宋体"/>
                <w:color w:val="auto"/>
                <w:lang w:eastAsia="zh-CN"/>
              </w:rPr>
            </w:pPr>
            <w:r>
              <w:rPr>
                <w:rFonts w:hint="eastAsia"/>
                <w:color w:val="auto"/>
              </w:rPr>
              <w:t>≥</w:t>
            </w:r>
            <w:r>
              <w:rPr>
                <w:color w:val="auto"/>
              </w:rPr>
              <w:t>12个10/100/1000Base-T以太网端口；</w:t>
            </w:r>
            <w:r>
              <w:rPr>
                <w:rFonts w:hint="eastAsia"/>
                <w:color w:val="auto"/>
              </w:rPr>
              <w:t>≥</w:t>
            </w:r>
            <w:r>
              <w:rPr>
                <w:color w:val="auto"/>
              </w:rPr>
              <w:t>2个1000Base-X以太网端口；交换容量：</w:t>
            </w:r>
            <w:r>
              <w:rPr>
                <w:rFonts w:hint="eastAsia"/>
                <w:color w:val="auto"/>
              </w:rPr>
              <w:t>≥</w:t>
            </w:r>
            <w:r>
              <w:rPr>
                <w:color w:val="auto"/>
              </w:rPr>
              <w:t>336Gbps；POE供电</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9</w:t>
            </w:r>
          </w:p>
        </w:tc>
        <w:tc>
          <w:tcPr>
            <w:tcW w:w="0" w:type="auto"/>
            <w:noWrap w:val="0"/>
            <w:vAlign w:val="center"/>
          </w:tcPr>
          <w:p>
            <w:pPr>
              <w:adjustRightInd w:val="0"/>
              <w:snapToGrid w:val="0"/>
              <w:jc w:val="center"/>
              <w:rPr>
                <w:color w:val="auto"/>
              </w:rPr>
            </w:pPr>
            <w:r>
              <w:rPr>
                <w:color w:val="auto"/>
              </w:rPr>
              <w:t>交换机光模块（音频）</w:t>
            </w:r>
          </w:p>
        </w:tc>
        <w:tc>
          <w:tcPr>
            <w:tcW w:w="0" w:type="auto"/>
            <w:noWrap w:val="0"/>
            <w:vAlign w:val="center"/>
          </w:tcPr>
          <w:p>
            <w:pPr>
              <w:adjustRightInd w:val="0"/>
              <w:snapToGrid w:val="0"/>
              <w:rPr>
                <w:rFonts w:hint="eastAsia" w:eastAsia="宋体"/>
                <w:color w:val="auto"/>
                <w:lang w:eastAsia="zh-CN"/>
              </w:rPr>
            </w:pPr>
            <w:r>
              <w:rPr>
                <w:color w:val="auto"/>
              </w:rPr>
              <w:t>千兆单模光纤模块，</w:t>
            </w:r>
            <w:r>
              <w:rPr>
                <w:rFonts w:hint="eastAsia"/>
                <w:color w:val="auto"/>
              </w:rPr>
              <w:t>与</w:t>
            </w:r>
            <w:r>
              <w:rPr>
                <w:color w:val="auto"/>
              </w:rPr>
              <w:t>交换机配套使用</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2</w:t>
            </w:r>
          </w:p>
        </w:tc>
        <w:tc>
          <w:tcPr>
            <w:tcW w:w="0" w:type="auto"/>
            <w:noWrap w:val="0"/>
            <w:vAlign w:val="center"/>
          </w:tcPr>
          <w:p>
            <w:pPr>
              <w:adjustRightInd w:val="0"/>
              <w:snapToGrid w:val="0"/>
              <w:jc w:val="center"/>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3"/>
            <w:noWrap w:val="0"/>
            <w:vAlign w:val="center"/>
          </w:tcPr>
          <w:p>
            <w:pPr>
              <w:adjustRightInd w:val="0"/>
              <w:snapToGrid w:val="0"/>
              <w:rPr>
                <w:b/>
                <w:bCs/>
                <w:color w:val="auto"/>
              </w:rPr>
            </w:pPr>
            <w:r>
              <w:rPr>
                <w:rFonts w:hint="eastAsia"/>
                <w:b/>
                <w:bCs/>
                <w:color w:val="auto"/>
              </w:rPr>
              <w:t>（二）</w:t>
            </w:r>
            <w:r>
              <w:rPr>
                <w:b/>
                <w:bCs/>
                <w:color w:val="auto"/>
              </w:rPr>
              <w:t>音源及拾音系统</w:t>
            </w:r>
          </w:p>
        </w:tc>
        <w:tc>
          <w:tcPr>
            <w:tcW w:w="0" w:type="auto"/>
            <w:noWrap w:val="0"/>
            <w:vAlign w:val="center"/>
          </w:tcPr>
          <w:p>
            <w:pPr>
              <w:adjustRightInd w:val="0"/>
              <w:snapToGrid w:val="0"/>
              <w:rPr>
                <w:color w:val="auto"/>
              </w:rPr>
            </w:pPr>
            <w:r>
              <w:rPr>
                <w:color w:val="auto"/>
              </w:rPr>
              <w:t>　</w:t>
            </w:r>
          </w:p>
        </w:tc>
        <w:tc>
          <w:tcPr>
            <w:tcW w:w="0" w:type="auto"/>
            <w:noWrap w:val="0"/>
            <w:vAlign w:val="center"/>
          </w:tcPr>
          <w:p>
            <w:pPr>
              <w:adjustRightInd w:val="0"/>
              <w:snapToGrid w:val="0"/>
              <w:rPr>
                <w:color w:val="auto"/>
              </w:rPr>
            </w:pPr>
            <w:r>
              <w:rPr>
                <w:color w:val="auto"/>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数字SD卡录音机</w:t>
            </w:r>
          </w:p>
        </w:tc>
        <w:tc>
          <w:tcPr>
            <w:tcW w:w="0" w:type="auto"/>
            <w:noWrap w:val="0"/>
            <w:vAlign w:val="center"/>
          </w:tcPr>
          <w:p>
            <w:pPr>
              <w:adjustRightInd w:val="0"/>
              <w:snapToGrid w:val="0"/>
              <w:rPr>
                <w:rFonts w:hint="eastAsia" w:eastAsia="宋体"/>
                <w:color w:val="auto"/>
                <w:lang w:eastAsia="zh-CN"/>
              </w:rPr>
            </w:pPr>
            <w:r>
              <w:rPr>
                <w:color w:val="auto"/>
              </w:rPr>
              <w:t>支持最大PCM 192kHz，DSD 5.6MHz的高采样率立体声录音</w:t>
            </w:r>
            <w:r>
              <w:rPr>
                <w:rFonts w:hint="eastAsia"/>
                <w:color w:val="auto"/>
              </w:rPr>
              <w:t>；可</w:t>
            </w:r>
            <w:r>
              <w:rPr>
                <w:color w:val="auto"/>
              </w:rPr>
              <w:t>以进行SDHC卡/CF卡立体声录音</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2</w:t>
            </w:r>
          </w:p>
        </w:tc>
        <w:tc>
          <w:tcPr>
            <w:tcW w:w="0" w:type="auto"/>
            <w:noWrap w:val="0"/>
            <w:vAlign w:val="center"/>
          </w:tcPr>
          <w:p>
            <w:pPr>
              <w:adjustRightInd w:val="0"/>
              <w:snapToGrid w:val="0"/>
              <w:jc w:val="center"/>
              <w:rPr>
                <w:color w:val="auto"/>
              </w:rPr>
            </w:pPr>
            <w:r>
              <w:rPr>
                <w:color w:val="auto"/>
              </w:rPr>
              <w:t>DANTE传输无线话筒接收机</w:t>
            </w:r>
          </w:p>
        </w:tc>
        <w:tc>
          <w:tcPr>
            <w:tcW w:w="0" w:type="auto"/>
            <w:noWrap w:val="0"/>
            <w:vAlign w:val="center"/>
          </w:tcPr>
          <w:p>
            <w:pPr>
              <w:adjustRightInd w:val="0"/>
              <w:snapToGrid w:val="0"/>
              <w:rPr>
                <w:rFonts w:hint="eastAsia" w:eastAsia="宋体"/>
                <w:color w:val="auto"/>
                <w:lang w:eastAsia="zh-CN"/>
              </w:rPr>
            </w:pPr>
            <w:r>
              <w:rPr>
                <w:color w:val="auto"/>
              </w:rPr>
              <w:t>数字无线接收机，分集式自动选择</w:t>
            </w:r>
            <w:r>
              <w:rPr>
                <w:rFonts w:hint="eastAsia"/>
                <w:color w:val="auto"/>
              </w:rPr>
              <w:t>；</w:t>
            </w:r>
            <w:r>
              <w:rPr>
                <w:color w:val="auto"/>
              </w:rPr>
              <w:t>可设置备用频点，跟随发射器一起切换</w:t>
            </w:r>
            <w:r>
              <w:rPr>
                <w:rFonts w:hint="eastAsia"/>
                <w:color w:val="auto"/>
              </w:rPr>
              <w:t>；</w:t>
            </w:r>
            <w:r>
              <w:rPr>
                <w:color w:val="auto"/>
              </w:rPr>
              <w:t>最少频率间隔：125 kHz</w:t>
            </w:r>
            <w:r>
              <w:rPr>
                <w:rFonts w:hint="eastAsia"/>
                <w:color w:val="auto"/>
              </w:rPr>
              <w:t>；</w:t>
            </w:r>
            <w:r>
              <w:rPr>
                <w:color w:val="auto"/>
              </w:rPr>
              <w:t>总谐波失真： &lt; 1.0% (±17.5 kHz 频偏于 1 kHz)</w:t>
            </w:r>
            <w:r>
              <w:rPr>
                <w:rFonts w:hint="eastAsia"/>
                <w:color w:val="auto"/>
              </w:rPr>
              <w:t>；</w:t>
            </w:r>
            <w:r>
              <w:rPr>
                <w:color w:val="auto"/>
              </w:rPr>
              <w:t>工作距离：</w:t>
            </w:r>
            <w:r>
              <w:rPr>
                <w:rFonts w:hint="eastAsia"/>
                <w:color w:val="auto"/>
              </w:rPr>
              <w:t>≥</w:t>
            </w:r>
            <w:r>
              <w:rPr>
                <w:color w:val="auto"/>
              </w:rPr>
              <w:t>100米（在没有干扰情况下）</w:t>
            </w:r>
            <w:r>
              <w:rPr>
                <w:rFonts w:hint="eastAsia"/>
                <w:color w:val="auto"/>
              </w:rPr>
              <w:t>；</w:t>
            </w:r>
            <w:r>
              <w:rPr>
                <w:color w:val="auto"/>
              </w:rPr>
              <w:t>延迟时间小于2.5ms（XLR输出期间）</w:t>
            </w:r>
            <w:r>
              <w:rPr>
                <w:rFonts w:hint="eastAsia"/>
                <w:color w:val="auto"/>
              </w:rPr>
              <w:t>；</w:t>
            </w:r>
            <w:r>
              <w:rPr>
                <w:color w:val="auto"/>
              </w:rPr>
              <w:t>支持DANTE数字音频传输网络功能</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2</w:t>
            </w:r>
          </w:p>
        </w:tc>
        <w:tc>
          <w:tcPr>
            <w:tcW w:w="0" w:type="auto"/>
            <w:noWrap w:val="0"/>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3</w:t>
            </w:r>
          </w:p>
        </w:tc>
        <w:tc>
          <w:tcPr>
            <w:tcW w:w="0" w:type="auto"/>
            <w:noWrap w:val="0"/>
            <w:vAlign w:val="center"/>
          </w:tcPr>
          <w:p>
            <w:pPr>
              <w:adjustRightInd w:val="0"/>
              <w:snapToGrid w:val="0"/>
              <w:jc w:val="center"/>
              <w:rPr>
                <w:color w:val="auto"/>
              </w:rPr>
            </w:pPr>
            <w:r>
              <w:rPr>
                <w:color w:val="auto"/>
              </w:rPr>
              <w:t>手持动圈话筒</w:t>
            </w:r>
          </w:p>
        </w:tc>
        <w:tc>
          <w:tcPr>
            <w:tcW w:w="0" w:type="auto"/>
            <w:noWrap w:val="0"/>
            <w:vAlign w:val="center"/>
          </w:tcPr>
          <w:p>
            <w:pPr>
              <w:adjustRightInd w:val="0"/>
              <w:snapToGrid w:val="0"/>
              <w:rPr>
                <w:rFonts w:hint="eastAsia" w:eastAsia="宋体"/>
                <w:color w:val="auto"/>
                <w:lang w:eastAsia="zh-CN"/>
              </w:rPr>
            </w:pPr>
            <w:r>
              <w:rPr>
                <w:color w:val="auto"/>
              </w:rPr>
              <w:t>无线手持话筒</w:t>
            </w:r>
            <w:r>
              <w:rPr>
                <w:rFonts w:hint="eastAsia"/>
                <w:color w:val="auto"/>
              </w:rPr>
              <w:t>；</w:t>
            </w:r>
            <w:r>
              <w:rPr>
                <w:color w:val="auto"/>
              </w:rPr>
              <w:t>心形指向性动圈收音头</w:t>
            </w:r>
            <w:r>
              <w:rPr>
                <w:rFonts w:hint="eastAsia"/>
                <w:color w:val="auto"/>
              </w:rPr>
              <w:t>；</w:t>
            </w:r>
            <w:r>
              <w:rPr>
                <w:color w:val="auto"/>
              </w:rPr>
              <w:t>可设置备用频点，通过功能键和接收机一起切换</w:t>
            </w:r>
            <w:r>
              <w:rPr>
                <w:rFonts w:hint="eastAsia"/>
                <w:color w:val="auto"/>
              </w:rPr>
              <w:t>；</w:t>
            </w:r>
            <w:r>
              <w:rPr>
                <w:color w:val="auto"/>
              </w:rPr>
              <w:t>发射机功率可调，发射机灵敏度三档可调</w:t>
            </w:r>
            <w:r>
              <w:rPr>
                <w:rFonts w:hint="eastAsia"/>
                <w:color w:val="auto"/>
              </w:rPr>
              <w:t>；</w:t>
            </w:r>
            <w:r>
              <w:rPr>
                <w:color w:val="auto"/>
              </w:rPr>
              <w:t>低截80 Hz, 120 Hz, 160 Hz, 12dB/倍频程</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4</w:t>
            </w:r>
          </w:p>
        </w:tc>
        <w:tc>
          <w:tcPr>
            <w:tcW w:w="0" w:type="auto"/>
            <w:noWrap w:val="0"/>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4</w:t>
            </w:r>
          </w:p>
        </w:tc>
        <w:tc>
          <w:tcPr>
            <w:tcW w:w="0" w:type="auto"/>
            <w:noWrap w:val="0"/>
            <w:vAlign w:val="center"/>
          </w:tcPr>
          <w:p>
            <w:pPr>
              <w:adjustRightInd w:val="0"/>
              <w:snapToGrid w:val="0"/>
              <w:jc w:val="center"/>
              <w:rPr>
                <w:color w:val="auto"/>
              </w:rPr>
            </w:pPr>
            <w:r>
              <w:rPr>
                <w:color w:val="auto"/>
              </w:rPr>
              <w:t>天线分配放大器</w:t>
            </w:r>
          </w:p>
        </w:tc>
        <w:tc>
          <w:tcPr>
            <w:tcW w:w="0" w:type="auto"/>
            <w:noWrap w:val="0"/>
            <w:vAlign w:val="center"/>
          </w:tcPr>
          <w:p>
            <w:pPr>
              <w:adjustRightInd w:val="0"/>
              <w:snapToGrid w:val="0"/>
              <w:rPr>
                <w:rFonts w:hint="eastAsia" w:eastAsia="宋体"/>
                <w:color w:val="auto"/>
                <w:lang w:eastAsia="zh-CN"/>
              </w:rPr>
            </w:pPr>
            <w:r>
              <w:rPr>
                <w:color w:val="auto"/>
              </w:rPr>
              <w:t>输入/输出:</w:t>
            </w:r>
            <w:r>
              <w:rPr>
                <w:rFonts w:hint="eastAsia"/>
                <w:color w:val="auto"/>
              </w:rPr>
              <w:t xml:space="preserve"> ≥</w:t>
            </w:r>
            <w:r>
              <w:rPr>
                <w:color w:val="auto"/>
              </w:rPr>
              <w:t xml:space="preserve"> 2x2个汇合输入</w:t>
            </w:r>
            <w:r>
              <w:rPr>
                <w:rFonts w:hint="eastAsia"/>
                <w:color w:val="auto"/>
              </w:rPr>
              <w:t>、≥</w:t>
            </w:r>
            <w:r>
              <w:rPr>
                <w:color w:val="auto"/>
              </w:rPr>
              <w:t>2x4 个分配输出</w:t>
            </w:r>
            <w:r>
              <w:rPr>
                <w:rFonts w:hint="eastAsia"/>
                <w:color w:val="auto"/>
              </w:rPr>
              <w:t>；≥</w:t>
            </w:r>
            <w:r>
              <w:rPr>
                <w:color w:val="auto"/>
              </w:rPr>
              <w:t>2x1个串联输出</w:t>
            </w:r>
            <w:r>
              <w:rPr>
                <w:rFonts w:hint="eastAsia"/>
                <w:color w:val="auto"/>
              </w:rPr>
              <w:t>；</w:t>
            </w:r>
            <w:r>
              <w:rPr>
                <w:color w:val="auto"/>
              </w:rPr>
              <w:t>射频输出增益：+1.0 dB ± 2.0 dB</w:t>
            </w:r>
            <w:r>
              <w:rPr>
                <w:rFonts w:hint="eastAsia"/>
                <w:color w:val="auto"/>
              </w:rPr>
              <w:t>；</w:t>
            </w:r>
            <w:r>
              <w:rPr>
                <w:color w:val="auto"/>
              </w:rPr>
              <w:t>输入/输出增益: +1.0 dB ± 2.0 dB</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5</w:t>
            </w:r>
          </w:p>
        </w:tc>
        <w:tc>
          <w:tcPr>
            <w:tcW w:w="0" w:type="auto"/>
            <w:noWrap w:val="0"/>
            <w:vAlign w:val="center"/>
          </w:tcPr>
          <w:p>
            <w:pPr>
              <w:adjustRightInd w:val="0"/>
              <w:snapToGrid w:val="0"/>
              <w:jc w:val="center"/>
              <w:rPr>
                <w:color w:val="auto"/>
              </w:rPr>
            </w:pPr>
            <w:r>
              <w:rPr>
                <w:color w:val="auto"/>
              </w:rPr>
              <w:t>有源指向性天线</w:t>
            </w:r>
          </w:p>
        </w:tc>
        <w:tc>
          <w:tcPr>
            <w:tcW w:w="0" w:type="auto"/>
            <w:noWrap w:val="0"/>
            <w:vAlign w:val="center"/>
          </w:tcPr>
          <w:p>
            <w:pPr>
              <w:adjustRightInd w:val="0"/>
              <w:snapToGrid w:val="0"/>
              <w:rPr>
                <w:rFonts w:hint="eastAsia" w:eastAsia="宋体"/>
                <w:color w:val="auto"/>
                <w:lang w:eastAsia="zh-CN"/>
              </w:rPr>
            </w:pPr>
            <w:r>
              <w:rPr>
                <w:color w:val="auto"/>
              </w:rPr>
              <w:t>UHF无线系统增强信号拾取</w:t>
            </w:r>
            <w:r>
              <w:rPr>
                <w:rFonts w:hint="eastAsia"/>
                <w:color w:val="auto"/>
              </w:rPr>
              <w:t>；支持≥</w:t>
            </w:r>
            <w:r>
              <w:rPr>
                <w:color w:val="auto"/>
              </w:rPr>
              <w:t>4个增益级别设置</w:t>
            </w:r>
            <w:r>
              <w:rPr>
                <w:rFonts w:hint="eastAsia"/>
                <w:color w:val="auto"/>
              </w:rPr>
              <w:t>；具备</w:t>
            </w:r>
            <w:r>
              <w:rPr>
                <w:color w:val="auto"/>
              </w:rPr>
              <w:t>增益设置的LED指示灯</w:t>
            </w:r>
            <w:r>
              <w:rPr>
                <w:rFonts w:hint="eastAsia"/>
                <w:color w:val="auto"/>
              </w:rPr>
              <w:t>；支持</w:t>
            </w:r>
            <w:r>
              <w:rPr>
                <w:color w:val="auto"/>
              </w:rPr>
              <w:t>墙壁和天花板安装</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2</w:t>
            </w:r>
          </w:p>
        </w:tc>
        <w:tc>
          <w:tcPr>
            <w:tcW w:w="0" w:type="auto"/>
            <w:noWrap w:val="0"/>
            <w:vAlign w:val="center"/>
          </w:tcPr>
          <w:p>
            <w:pPr>
              <w:adjustRightInd w:val="0"/>
              <w:snapToGrid w:val="0"/>
              <w:jc w:val="center"/>
              <w:rPr>
                <w:color w:val="auto"/>
              </w:rPr>
            </w:pPr>
            <w:r>
              <w:rPr>
                <w:color w:val="auto"/>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3"/>
            <w:noWrap w:val="0"/>
            <w:vAlign w:val="center"/>
          </w:tcPr>
          <w:p>
            <w:pPr>
              <w:adjustRightInd w:val="0"/>
              <w:snapToGrid w:val="0"/>
              <w:rPr>
                <w:b/>
                <w:bCs/>
                <w:color w:val="auto"/>
              </w:rPr>
            </w:pPr>
            <w:r>
              <w:rPr>
                <w:rFonts w:hint="eastAsia"/>
                <w:b/>
                <w:bCs/>
                <w:color w:val="auto"/>
              </w:rPr>
              <w:t>（三）</w:t>
            </w:r>
            <w:r>
              <w:rPr>
                <w:b/>
                <w:bCs/>
                <w:color w:val="auto"/>
              </w:rPr>
              <w:t>会议讨论系统</w:t>
            </w:r>
          </w:p>
        </w:tc>
        <w:tc>
          <w:tcPr>
            <w:tcW w:w="0" w:type="auto"/>
            <w:noWrap w:val="0"/>
            <w:vAlign w:val="center"/>
          </w:tcPr>
          <w:p>
            <w:pPr>
              <w:adjustRightInd w:val="0"/>
              <w:snapToGrid w:val="0"/>
              <w:rPr>
                <w:color w:val="auto"/>
              </w:rPr>
            </w:pPr>
            <w:r>
              <w:rPr>
                <w:color w:val="auto"/>
              </w:rPr>
              <w:t>　</w:t>
            </w:r>
          </w:p>
        </w:tc>
        <w:tc>
          <w:tcPr>
            <w:tcW w:w="0" w:type="auto"/>
            <w:noWrap w:val="0"/>
            <w:vAlign w:val="center"/>
          </w:tcPr>
          <w:p>
            <w:pPr>
              <w:adjustRightInd w:val="0"/>
              <w:snapToGrid w:val="0"/>
              <w:rPr>
                <w:color w:val="auto"/>
              </w:rPr>
            </w:pPr>
            <w:r>
              <w:rPr>
                <w:color w:val="auto"/>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DANTE传输全数字化会议系统主机</w:t>
            </w:r>
          </w:p>
        </w:tc>
        <w:tc>
          <w:tcPr>
            <w:tcW w:w="0" w:type="auto"/>
            <w:noWrap w:val="0"/>
            <w:vAlign w:val="center"/>
          </w:tcPr>
          <w:p>
            <w:pPr>
              <w:adjustRightInd w:val="0"/>
              <w:snapToGrid w:val="0"/>
              <w:rPr>
                <w:color w:val="auto"/>
              </w:rPr>
            </w:pPr>
            <w:r>
              <w:rPr>
                <w:color w:val="auto"/>
              </w:rPr>
              <w:t>会议系统主机</w:t>
            </w:r>
            <w:r>
              <w:rPr>
                <w:rFonts w:hint="eastAsia"/>
                <w:color w:val="auto"/>
              </w:rPr>
              <w:t>、</w:t>
            </w:r>
            <w:r>
              <w:rPr>
                <w:color w:val="auto"/>
              </w:rPr>
              <w:t>在不使用冗余的情况下，可以接入</w:t>
            </w:r>
            <w:r>
              <w:rPr>
                <w:rFonts w:hint="eastAsia"/>
                <w:color w:val="auto"/>
              </w:rPr>
              <w:t>≥</w:t>
            </w:r>
            <w:r>
              <w:rPr>
                <w:color w:val="auto"/>
              </w:rPr>
              <w:t>100 个话筒单元（每条线路 50 个）</w:t>
            </w:r>
            <w:r>
              <w:rPr>
                <w:rFonts w:hint="eastAsia"/>
                <w:color w:val="auto"/>
              </w:rPr>
              <w:t>；</w:t>
            </w:r>
            <w:r>
              <w:rPr>
                <w:color w:val="auto"/>
              </w:rPr>
              <w:t>主机与席位间可实行多种连接方式：菊花链，环形连接，菊花链+ 环形连接</w:t>
            </w:r>
            <w:r>
              <w:rPr>
                <w:rFonts w:hint="eastAsia"/>
                <w:color w:val="auto"/>
              </w:rPr>
              <w:t>；</w:t>
            </w:r>
            <w:r>
              <w:rPr>
                <w:color w:val="auto"/>
              </w:rPr>
              <w:t>用于操作的玻璃面板，可显示独立菜单和状态栏</w:t>
            </w:r>
            <w:r>
              <w:rPr>
                <w:rFonts w:hint="eastAsia"/>
                <w:color w:val="auto"/>
              </w:rPr>
              <w:t>；</w:t>
            </w:r>
            <w:r>
              <w:rPr>
                <w:color w:val="auto"/>
              </w:rPr>
              <w:t>支持录音输出接口</w:t>
            </w:r>
            <w:r>
              <w:rPr>
                <w:rFonts w:hint="eastAsia"/>
                <w:color w:val="auto"/>
              </w:rPr>
              <w:t>；</w:t>
            </w:r>
            <w:r>
              <w:rPr>
                <w:color w:val="auto"/>
              </w:rPr>
              <w:t>内置数字音色库，可选择不同类型音色( 男女高音, 中音, 低音, 原音)</w:t>
            </w:r>
            <w:r>
              <w:rPr>
                <w:rFonts w:hint="eastAsia"/>
                <w:color w:val="auto"/>
              </w:rPr>
              <w:t>；</w:t>
            </w:r>
            <w:r>
              <w:rPr>
                <w:color w:val="auto"/>
              </w:rPr>
              <w:t>内置音频处理器, 输出通道带有均衡及压限, 噪门, 增益等功能</w:t>
            </w:r>
            <w:r>
              <w:rPr>
                <w:rFonts w:hint="eastAsia"/>
                <w:color w:val="auto"/>
              </w:rPr>
              <w:t>；</w:t>
            </w:r>
            <w:r>
              <w:rPr>
                <w:color w:val="auto"/>
              </w:rPr>
              <w:t>支持DANTE网络传输，只需要布置网线传输信号</w:t>
            </w:r>
            <w:r>
              <w:rPr>
                <w:rFonts w:hint="eastAsia"/>
                <w:color w:val="auto"/>
              </w:rPr>
              <w:t>。</w:t>
            </w:r>
          </w:p>
        </w:tc>
        <w:tc>
          <w:tcPr>
            <w:tcW w:w="0" w:type="auto"/>
            <w:noWrap w:val="0"/>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2</w:t>
            </w:r>
          </w:p>
        </w:tc>
        <w:tc>
          <w:tcPr>
            <w:tcW w:w="0" w:type="auto"/>
            <w:noWrap w:val="0"/>
            <w:vAlign w:val="center"/>
          </w:tcPr>
          <w:p>
            <w:pPr>
              <w:adjustRightInd w:val="0"/>
              <w:snapToGrid w:val="0"/>
              <w:jc w:val="center"/>
              <w:rPr>
                <w:color w:val="auto"/>
              </w:rPr>
            </w:pPr>
            <w:r>
              <w:rPr>
                <w:color w:val="auto"/>
              </w:rPr>
              <w:t>DANTE台面式全数字化会议系统主席单元</w:t>
            </w:r>
          </w:p>
        </w:tc>
        <w:tc>
          <w:tcPr>
            <w:tcW w:w="0" w:type="auto"/>
            <w:noWrap w:val="0"/>
            <w:vAlign w:val="center"/>
          </w:tcPr>
          <w:p>
            <w:pPr>
              <w:adjustRightInd w:val="0"/>
              <w:snapToGrid w:val="0"/>
              <w:rPr>
                <w:color w:val="auto"/>
              </w:rPr>
            </w:pPr>
            <w:r>
              <w:rPr>
                <w:color w:val="auto"/>
              </w:rPr>
              <w:t>可作独立编程的多样配置及多种用途底座装置：主席或代表</w:t>
            </w:r>
            <w:r>
              <w:rPr>
                <w:rFonts w:hint="eastAsia"/>
                <w:color w:val="auto"/>
              </w:rPr>
              <w:t>；</w:t>
            </w:r>
            <w:r>
              <w:rPr>
                <w:color w:val="auto"/>
              </w:rPr>
              <w:t>与标准的3针XLR卡农话筒兼容的鹅颈话筒连接插座</w:t>
            </w:r>
            <w:r>
              <w:rPr>
                <w:rFonts w:hint="eastAsia"/>
                <w:color w:val="auto"/>
              </w:rPr>
              <w:t>；</w:t>
            </w:r>
            <w:r>
              <w:rPr>
                <w:color w:val="auto"/>
              </w:rPr>
              <w:t>配备高音质及能增强语音清晰度的扬声器</w:t>
            </w:r>
            <w:r>
              <w:rPr>
                <w:rFonts w:hint="eastAsia"/>
                <w:color w:val="auto"/>
              </w:rPr>
              <w:t>；</w:t>
            </w:r>
            <w:r>
              <w:rPr>
                <w:color w:val="auto"/>
              </w:rPr>
              <w:t>24bit/48 kHz 的数字音频质量</w:t>
            </w:r>
            <w:r>
              <w:rPr>
                <w:rFonts w:hint="eastAsia"/>
                <w:color w:val="auto"/>
              </w:rPr>
              <w:t>；</w:t>
            </w:r>
            <w:r>
              <w:rPr>
                <w:color w:val="auto"/>
              </w:rPr>
              <w:t>3针平衡式话筒连带远程控制的 LED 环形灯</w:t>
            </w:r>
            <w:r>
              <w:rPr>
                <w:rFonts w:hint="eastAsia"/>
                <w:color w:val="auto"/>
              </w:rPr>
              <w:t>；</w:t>
            </w:r>
            <w:r>
              <w:rPr>
                <w:color w:val="auto"/>
              </w:rPr>
              <w:t>通过优化的隔离设计，能减少话筒连接器与会议系统单元之间的振动</w:t>
            </w:r>
            <w:r>
              <w:rPr>
                <w:rFonts w:hint="eastAsia"/>
                <w:color w:val="auto"/>
              </w:rPr>
              <w:t>；</w:t>
            </w:r>
            <w:r>
              <w:rPr>
                <w:color w:val="auto"/>
              </w:rPr>
              <w:t>搭配主机支持DANTE网络传输</w:t>
            </w:r>
            <w:r>
              <w:rPr>
                <w:rFonts w:hint="eastAsia"/>
                <w:color w:val="auto"/>
              </w:rPr>
              <w:t>。</w:t>
            </w:r>
          </w:p>
        </w:tc>
        <w:tc>
          <w:tcPr>
            <w:tcW w:w="0" w:type="auto"/>
            <w:noWrap w:val="0"/>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3</w:t>
            </w:r>
          </w:p>
        </w:tc>
        <w:tc>
          <w:tcPr>
            <w:tcW w:w="0" w:type="auto"/>
            <w:noWrap w:val="0"/>
            <w:vAlign w:val="center"/>
          </w:tcPr>
          <w:p>
            <w:pPr>
              <w:adjustRightInd w:val="0"/>
              <w:snapToGrid w:val="0"/>
              <w:jc w:val="center"/>
              <w:rPr>
                <w:color w:val="auto"/>
              </w:rPr>
            </w:pPr>
            <w:r>
              <w:rPr>
                <w:color w:val="auto"/>
              </w:rPr>
              <w:t>DANTE台面式全数字化会议系统代表单元</w:t>
            </w:r>
          </w:p>
        </w:tc>
        <w:tc>
          <w:tcPr>
            <w:tcW w:w="0" w:type="auto"/>
            <w:noWrap w:val="0"/>
            <w:vAlign w:val="center"/>
          </w:tcPr>
          <w:p>
            <w:pPr>
              <w:adjustRightInd w:val="0"/>
              <w:snapToGrid w:val="0"/>
              <w:rPr>
                <w:color w:val="auto"/>
              </w:rPr>
            </w:pPr>
            <w:r>
              <w:rPr>
                <w:color w:val="auto"/>
              </w:rPr>
              <w:t>可作独立编程的多样配置及多种用途底座装置：主席或代表</w:t>
            </w:r>
            <w:r>
              <w:rPr>
                <w:rFonts w:hint="eastAsia"/>
                <w:color w:val="auto"/>
              </w:rPr>
              <w:t>；与</w:t>
            </w:r>
            <w:r>
              <w:rPr>
                <w:color w:val="auto"/>
              </w:rPr>
              <w:t>标准的3针XLR卡农话筒兼容的鹅颈话筒连接插座</w:t>
            </w:r>
            <w:r>
              <w:rPr>
                <w:rFonts w:hint="eastAsia"/>
                <w:color w:val="auto"/>
              </w:rPr>
              <w:t>；</w:t>
            </w:r>
            <w:r>
              <w:rPr>
                <w:color w:val="auto"/>
              </w:rPr>
              <w:t>配备高音质及能增强语音清晰度的扬声器</w:t>
            </w:r>
            <w:r>
              <w:rPr>
                <w:rFonts w:hint="eastAsia"/>
                <w:color w:val="auto"/>
              </w:rPr>
              <w:t>；</w:t>
            </w:r>
            <w:r>
              <w:rPr>
                <w:color w:val="auto"/>
              </w:rPr>
              <w:t>24bit/48 kHz 的数字音频质量</w:t>
            </w:r>
            <w:r>
              <w:rPr>
                <w:rFonts w:hint="eastAsia"/>
                <w:color w:val="auto"/>
              </w:rPr>
              <w:t>；</w:t>
            </w:r>
            <w:r>
              <w:rPr>
                <w:color w:val="auto"/>
              </w:rPr>
              <w:t>3针平衡式话筒连带远程控制的 LED 环形灯</w:t>
            </w:r>
            <w:r>
              <w:rPr>
                <w:rFonts w:hint="eastAsia"/>
                <w:color w:val="auto"/>
              </w:rPr>
              <w:t>；</w:t>
            </w:r>
            <w:r>
              <w:rPr>
                <w:color w:val="auto"/>
              </w:rPr>
              <w:t>通过优化的隔离设计，能减少话筒连接器与会议系统单元之间的振动</w:t>
            </w:r>
            <w:r>
              <w:rPr>
                <w:rFonts w:hint="eastAsia"/>
                <w:color w:val="auto"/>
              </w:rPr>
              <w:t>；</w:t>
            </w:r>
            <w:r>
              <w:rPr>
                <w:color w:val="auto"/>
              </w:rPr>
              <w:t>搭配主机支持DANTE网络传输</w:t>
            </w:r>
            <w:r>
              <w:rPr>
                <w:rFonts w:hint="eastAsia"/>
                <w:color w:val="auto"/>
              </w:rPr>
              <w:t>。</w:t>
            </w:r>
          </w:p>
        </w:tc>
        <w:tc>
          <w:tcPr>
            <w:tcW w:w="0" w:type="auto"/>
            <w:noWrap w:val="0"/>
            <w:vAlign w:val="center"/>
          </w:tcPr>
          <w:p>
            <w:pPr>
              <w:adjustRightInd w:val="0"/>
              <w:snapToGrid w:val="0"/>
              <w:jc w:val="center"/>
              <w:rPr>
                <w:color w:val="auto"/>
              </w:rPr>
            </w:pPr>
            <w:r>
              <w:rPr>
                <w:color w:val="auto"/>
              </w:rPr>
              <w:t>20</w:t>
            </w:r>
          </w:p>
        </w:tc>
        <w:tc>
          <w:tcPr>
            <w:tcW w:w="0" w:type="auto"/>
            <w:noWrap w:val="0"/>
            <w:vAlign w:val="center"/>
          </w:tcPr>
          <w:p>
            <w:pPr>
              <w:adjustRightInd w:val="0"/>
              <w:snapToGrid w:val="0"/>
              <w:jc w:val="center"/>
              <w:rPr>
                <w:color w:val="auto"/>
              </w:rPr>
            </w:pPr>
            <w:r>
              <w:rPr>
                <w:color w:val="auto"/>
              </w:rPr>
              <w:t>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4</w:t>
            </w:r>
          </w:p>
        </w:tc>
        <w:tc>
          <w:tcPr>
            <w:tcW w:w="0" w:type="auto"/>
            <w:noWrap w:val="0"/>
            <w:vAlign w:val="center"/>
          </w:tcPr>
          <w:p>
            <w:pPr>
              <w:adjustRightInd w:val="0"/>
              <w:snapToGrid w:val="0"/>
              <w:jc w:val="center"/>
              <w:rPr>
                <w:color w:val="auto"/>
              </w:rPr>
            </w:pPr>
            <w:r>
              <w:rPr>
                <w:color w:val="auto"/>
              </w:rPr>
              <w:t>DANTE全数字化会议系统扩展主机</w:t>
            </w:r>
          </w:p>
        </w:tc>
        <w:tc>
          <w:tcPr>
            <w:tcW w:w="0" w:type="auto"/>
            <w:noWrap w:val="0"/>
            <w:vAlign w:val="center"/>
          </w:tcPr>
          <w:p>
            <w:pPr>
              <w:adjustRightInd w:val="0"/>
              <w:snapToGrid w:val="0"/>
              <w:rPr>
                <w:color w:val="auto"/>
              </w:rPr>
            </w:pPr>
            <w:r>
              <w:rPr>
                <w:color w:val="auto"/>
              </w:rPr>
              <w:t>为连接的设备提供直流48V电源</w:t>
            </w:r>
            <w:r>
              <w:rPr>
                <w:rFonts w:hint="eastAsia"/>
                <w:color w:val="auto"/>
              </w:rPr>
              <w:t>；</w:t>
            </w:r>
            <w:r>
              <w:rPr>
                <w:color w:val="auto"/>
              </w:rPr>
              <w:t>用于选择本地或远程操作的模式设置开关</w:t>
            </w:r>
            <w:r>
              <w:rPr>
                <w:rFonts w:hint="eastAsia"/>
                <w:color w:val="auto"/>
              </w:rPr>
              <w:t>；</w:t>
            </w:r>
            <w:r>
              <w:rPr>
                <w:color w:val="auto"/>
              </w:rPr>
              <w:t>面板上</w:t>
            </w:r>
            <w:r>
              <w:rPr>
                <w:rFonts w:hint="eastAsia"/>
                <w:color w:val="auto"/>
              </w:rPr>
              <w:t>具有</w:t>
            </w:r>
            <w:r>
              <w:rPr>
                <w:color w:val="auto"/>
              </w:rPr>
              <w:t>LED指示灯，用于显示开启/关闭电源，及显示所链接设备的供电和链接状态</w:t>
            </w:r>
            <w:r>
              <w:rPr>
                <w:rFonts w:hint="eastAsia"/>
                <w:color w:val="auto"/>
              </w:rPr>
              <w:t>。</w:t>
            </w:r>
          </w:p>
        </w:tc>
        <w:tc>
          <w:tcPr>
            <w:tcW w:w="0" w:type="auto"/>
            <w:noWrap w:val="0"/>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5</w:t>
            </w:r>
          </w:p>
        </w:tc>
        <w:tc>
          <w:tcPr>
            <w:tcW w:w="0" w:type="auto"/>
            <w:noWrap w:val="0"/>
            <w:vAlign w:val="center"/>
          </w:tcPr>
          <w:p>
            <w:pPr>
              <w:adjustRightInd w:val="0"/>
              <w:snapToGrid w:val="0"/>
              <w:jc w:val="center"/>
              <w:rPr>
                <w:color w:val="auto"/>
              </w:rPr>
            </w:pPr>
            <w:r>
              <w:rPr>
                <w:color w:val="auto"/>
              </w:rPr>
              <w:t>20米会议专用延长电缆</w:t>
            </w:r>
          </w:p>
        </w:tc>
        <w:tc>
          <w:tcPr>
            <w:tcW w:w="0" w:type="auto"/>
            <w:noWrap w:val="0"/>
            <w:vAlign w:val="center"/>
          </w:tcPr>
          <w:p>
            <w:pPr>
              <w:adjustRightInd w:val="0"/>
              <w:snapToGrid w:val="0"/>
              <w:rPr>
                <w:rFonts w:hint="eastAsia" w:eastAsia="宋体"/>
                <w:color w:val="auto"/>
                <w:lang w:eastAsia="zh-CN"/>
              </w:rPr>
            </w:pPr>
            <w:r>
              <w:rPr>
                <w:color w:val="auto"/>
              </w:rPr>
              <w:t>20米会议专用延长电缆</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10</w:t>
            </w:r>
          </w:p>
        </w:tc>
        <w:tc>
          <w:tcPr>
            <w:tcW w:w="0" w:type="auto"/>
            <w:noWrap w:val="0"/>
            <w:vAlign w:val="center"/>
          </w:tcPr>
          <w:p>
            <w:pPr>
              <w:adjustRightInd w:val="0"/>
              <w:snapToGrid w:val="0"/>
              <w:jc w:val="center"/>
              <w:rPr>
                <w:color w:val="auto"/>
              </w:rPr>
            </w:pPr>
            <w:r>
              <w:rPr>
                <w:color w:val="auto"/>
              </w:rPr>
              <w:t>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3"/>
            <w:noWrap w:val="0"/>
            <w:vAlign w:val="center"/>
          </w:tcPr>
          <w:p>
            <w:pPr>
              <w:adjustRightInd w:val="0"/>
              <w:snapToGrid w:val="0"/>
              <w:rPr>
                <w:b/>
                <w:bCs/>
                <w:color w:val="auto"/>
              </w:rPr>
            </w:pPr>
            <w:r>
              <w:rPr>
                <w:b/>
                <w:bCs/>
                <w:color w:val="auto"/>
              </w:rPr>
              <w:t>三、视频会议中心</w:t>
            </w:r>
          </w:p>
        </w:tc>
        <w:tc>
          <w:tcPr>
            <w:tcW w:w="0" w:type="auto"/>
            <w:noWrap w:val="0"/>
            <w:vAlign w:val="center"/>
          </w:tcPr>
          <w:p>
            <w:pPr>
              <w:adjustRightInd w:val="0"/>
              <w:snapToGrid w:val="0"/>
              <w:rPr>
                <w:color w:val="auto"/>
              </w:rPr>
            </w:pPr>
            <w:r>
              <w:rPr>
                <w:color w:val="auto"/>
              </w:rPr>
              <w:t>　</w:t>
            </w:r>
          </w:p>
        </w:tc>
        <w:tc>
          <w:tcPr>
            <w:tcW w:w="0" w:type="auto"/>
            <w:noWrap w:val="0"/>
            <w:vAlign w:val="center"/>
          </w:tcPr>
          <w:p>
            <w:pPr>
              <w:adjustRightInd w:val="0"/>
              <w:snapToGrid w:val="0"/>
              <w:rPr>
                <w:color w:val="auto"/>
              </w:rPr>
            </w:pPr>
            <w:r>
              <w:rPr>
                <w:color w:val="auto"/>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3"/>
            <w:noWrap w:val="0"/>
            <w:vAlign w:val="center"/>
          </w:tcPr>
          <w:p>
            <w:pPr>
              <w:adjustRightInd w:val="0"/>
              <w:snapToGrid w:val="0"/>
              <w:rPr>
                <w:b/>
                <w:bCs/>
                <w:color w:val="auto"/>
              </w:rPr>
            </w:pPr>
            <w:r>
              <w:rPr>
                <w:rFonts w:hint="eastAsia"/>
                <w:b/>
                <w:bCs/>
                <w:color w:val="auto"/>
              </w:rPr>
              <w:t>（一）</w:t>
            </w:r>
            <w:r>
              <w:rPr>
                <w:b/>
                <w:bCs/>
                <w:color w:val="auto"/>
              </w:rPr>
              <w:t>扩声及信号处理</w:t>
            </w:r>
          </w:p>
        </w:tc>
        <w:tc>
          <w:tcPr>
            <w:tcW w:w="0" w:type="auto"/>
            <w:noWrap w:val="0"/>
            <w:vAlign w:val="center"/>
          </w:tcPr>
          <w:p>
            <w:pPr>
              <w:adjustRightInd w:val="0"/>
              <w:snapToGrid w:val="0"/>
              <w:rPr>
                <w:color w:val="auto"/>
              </w:rPr>
            </w:pPr>
            <w:r>
              <w:rPr>
                <w:color w:val="auto"/>
              </w:rPr>
              <w:t>　</w:t>
            </w:r>
          </w:p>
        </w:tc>
        <w:tc>
          <w:tcPr>
            <w:tcW w:w="0" w:type="auto"/>
            <w:noWrap w:val="0"/>
            <w:vAlign w:val="center"/>
          </w:tcPr>
          <w:p>
            <w:pPr>
              <w:adjustRightInd w:val="0"/>
              <w:snapToGrid w:val="0"/>
              <w:rPr>
                <w:color w:val="auto"/>
              </w:rPr>
            </w:pPr>
            <w:r>
              <w:rPr>
                <w:color w:val="auto"/>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DANTE电子可调指向音柱</w:t>
            </w:r>
          </w:p>
        </w:tc>
        <w:tc>
          <w:tcPr>
            <w:tcW w:w="0" w:type="auto"/>
            <w:noWrap w:val="0"/>
            <w:vAlign w:val="center"/>
          </w:tcPr>
          <w:p>
            <w:pPr>
              <w:adjustRightInd w:val="0"/>
              <w:snapToGrid w:val="0"/>
              <w:rPr>
                <w:rFonts w:hint="eastAsia" w:eastAsia="宋体"/>
                <w:color w:val="auto"/>
                <w:lang w:eastAsia="zh-CN"/>
              </w:rPr>
            </w:pPr>
            <w:r>
              <w:rPr>
                <w:color w:val="auto"/>
              </w:rPr>
              <w:t>单元类型：</w:t>
            </w:r>
            <w:r>
              <w:rPr>
                <w:rFonts w:hint="eastAsia"/>
                <w:color w:val="auto"/>
              </w:rPr>
              <w:t>不少于</w:t>
            </w:r>
            <w:r>
              <w:rPr>
                <w:color w:val="auto"/>
              </w:rPr>
              <w:t>十二个3驱动器和0.75钕音圈</w:t>
            </w:r>
            <w:r>
              <w:rPr>
                <w:rFonts w:hint="eastAsia"/>
                <w:color w:val="auto"/>
              </w:rPr>
              <w:t>；</w:t>
            </w:r>
            <w:r>
              <w:rPr>
                <w:color w:val="auto"/>
              </w:rPr>
              <w:t>频率响应（±3dB）</w:t>
            </w:r>
            <w:r>
              <w:rPr>
                <w:rFonts w:hint="eastAsia"/>
                <w:color w:val="auto"/>
              </w:rPr>
              <w:t>≥</w:t>
            </w:r>
            <w:r>
              <w:rPr>
                <w:color w:val="auto"/>
              </w:rPr>
              <w:t>90 Hz - 20 kHz</w:t>
            </w:r>
            <w:r>
              <w:rPr>
                <w:rFonts w:hint="eastAsia"/>
                <w:color w:val="auto"/>
              </w:rPr>
              <w:t>；</w:t>
            </w:r>
            <w:r>
              <w:rPr>
                <w:color w:val="auto"/>
              </w:rPr>
              <w:t>覆盖角度：10-40°电子可调x100°(VxH)</w:t>
            </w:r>
            <w:r>
              <w:rPr>
                <w:rFonts w:hint="eastAsia"/>
                <w:color w:val="auto"/>
              </w:rPr>
              <w:t>；</w:t>
            </w:r>
            <w:r>
              <w:rPr>
                <w:color w:val="auto"/>
              </w:rPr>
              <w:t>最大声压级</w:t>
            </w:r>
            <w:r>
              <w:rPr>
                <w:rFonts w:hint="eastAsia"/>
                <w:color w:val="auto"/>
              </w:rPr>
              <w:t>≥</w:t>
            </w:r>
            <w:r>
              <w:rPr>
                <w:color w:val="auto"/>
              </w:rPr>
              <w:t>135dB</w:t>
            </w:r>
            <w:r>
              <w:rPr>
                <w:rFonts w:hint="eastAsia"/>
                <w:color w:val="auto"/>
              </w:rPr>
              <w:t>；</w:t>
            </w:r>
            <w:r>
              <w:rPr>
                <w:color w:val="auto"/>
              </w:rPr>
              <w:t>动态范围：&gt;105 dB；功放输出</w:t>
            </w:r>
            <w:r>
              <w:rPr>
                <w:rFonts w:hint="eastAsia"/>
                <w:color w:val="auto"/>
              </w:rPr>
              <w:t>≥</w:t>
            </w:r>
            <w:r>
              <w:rPr>
                <w:color w:val="auto"/>
              </w:rPr>
              <w:t>12x100W最大（4Ω）</w:t>
            </w:r>
            <w:r>
              <w:rPr>
                <w:rFonts w:hint="eastAsia"/>
                <w:color w:val="auto"/>
              </w:rPr>
              <w:t>；</w:t>
            </w:r>
            <w:r>
              <w:rPr>
                <w:color w:val="auto"/>
              </w:rPr>
              <w:t>DSP采样率：24 bit/48 kHz采样率；信号输入</w:t>
            </w:r>
            <w:r>
              <w:rPr>
                <w:rFonts w:hint="eastAsia"/>
                <w:color w:val="auto"/>
              </w:rPr>
              <w:t>≥</w:t>
            </w:r>
            <w:r>
              <w:rPr>
                <w:color w:val="auto"/>
              </w:rPr>
              <w:t>Dante×2主备双口</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4</w:t>
            </w:r>
          </w:p>
        </w:tc>
        <w:tc>
          <w:tcPr>
            <w:tcW w:w="0" w:type="auto"/>
            <w:noWrap w:val="0"/>
            <w:vAlign w:val="center"/>
          </w:tcPr>
          <w:p>
            <w:pPr>
              <w:adjustRightInd w:val="0"/>
              <w:snapToGrid w:val="0"/>
              <w:jc w:val="center"/>
              <w:rPr>
                <w:color w:val="auto"/>
              </w:rPr>
            </w:pPr>
            <w:r>
              <w:rPr>
                <w:color w:val="auto"/>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2</w:t>
            </w:r>
          </w:p>
        </w:tc>
        <w:tc>
          <w:tcPr>
            <w:tcW w:w="0" w:type="auto"/>
            <w:noWrap w:val="0"/>
            <w:vAlign w:val="center"/>
          </w:tcPr>
          <w:p>
            <w:pPr>
              <w:adjustRightInd w:val="0"/>
              <w:snapToGrid w:val="0"/>
              <w:jc w:val="center"/>
              <w:rPr>
                <w:color w:val="auto"/>
              </w:rPr>
            </w:pPr>
            <w:r>
              <w:rPr>
                <w:color w:val="auto"/>
              </w:rPr>
              <w:t>音柱墙壁安装支架</w:t>
            </w:r>
          </w:p>
        </w:tc>
        <w:tc>
          <w:tcPr>
            <w:tcW w:w="0" w:type="auto"/>
            <w:noWrap w:val="0"/>
            <w:vAlign w:val="center"/>
          </w:tcPr>
          <w:p>
            <w:pPr>
              <w:adjustRightInd w:val="0"/>
              <w:snapToGrid w:val="0"/>
              <w:rPr>
                <w:rFonts w:hint="eastAsia" w:eastAsia="宋体"/>
                <w:color w:val="auto"/>
                <w:lang w:eastAsia="zh-CN"/>
              </w:rPr>
            </w:pPr>
            <w:r>
              <w:rPr>
                <w:rFonts w:hint="eastAsia"/>
                <w:color w:val="auto"/>
              </w:rPr>
              <w:t>提供配套</w:t>
            </w:r>
            <w:r>
              <w:rPr>
                <w:color w:val="auto"/>
              </w:rPr>
              <w:t>安装支架</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4</w:t>
            </w:r>
          </w:p>
        </w:tc>
        <w:tc>
          <w:tcPr>
            <w:tcW w:w="0" w:type="auto"/>
            <w:noWrap w:val="0"/>
            <w:vAlign w:val="center"/>
          </w:tcPr>
          <w:p>
            <w:pPr>
              <w:adjustRightInd w:val="0"/>
              <w:snapToGrid w:val="0"/>
              <w:jc w:val="center"/>
              <w:rPr>
                <w:color w:val="auto"/>
              </w:rPr>
            </w:pPr>
            <w:r>
              <w:rPr>
                <w:color w:val="auto"/>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3</w:t>
            </w:r>
          </w:p>
        </w:tc>
        <w:tc>
          <w:tcPr>
            <w:tcW w:w="0" w:type="auto"/>
            <w:noWrap w:val="0"/>
            <w:vAlign w:val="center"/>
          </w:tcPr>
          <w:p>
            <w:pPr>
              <w:adjustRightInd w:val="0"/>
              <w:snapToGrid w:val="0"/>
              <w:jc w:val="center"/>
              <w:rPr>
                <w:color w:val="auto"/>
              </w:rPr>
            </w:pPr>
            <w:r>
              <w:rPr>
                <w:color w:val="auto"/>
              </w:rPr>
              <w:t>音柱墙壁安装配件</w:t>
            </w:r>
          </w:p>
        </w:tc>
        <w:tc>
          <w:tcPr>
            <w:tcW w:w="0" w:type="auto"/>
            <w:noWrap w:val="0"/>
            <w:vAlign w:val="center"/>
          </w:tcPr>
          <w:p>
            <w:pPr>
              <w:adjustRightInd w:val="0"/>
              <w:snapToGrid w:val="0"/>
              <w:rPr>
                <w:rFonts w:hint="eastAsia" w:eastAsia="宋体"/>
                <w:color w:val="auto"/>
                <w:lang w:eastAsia="zh-CN"/>
              </w:rPr>
            </w:pPr>
            <w:r>
              <w:rPr>
                <w:color w:val="auto"/>
              </w:rPr>
              <w:t>同</w:t>
            </w:r>
            <w:r>
              <w:rPr>
                <w:rFonts w:hint="eastAsia"/>
                <w:color w:val="auto"/>
              </w:rPr>
              <w:t>提供配套</w:t>
            </w:r>
            <w:r>
              <w:rPr>
                <w:color w:val="auto"/>
              </w:rPr>
              <w:t>安装配件</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4</w:t>
            </w:r>
          </w:p>
        </w:tc>
        <w:tc>
          <w:tcPr>
            <w:tcW w:w="0" w:type="auto"/>
            <w:noWrap w:val="0"/>
            <w:vAlign w:val="center"/>
          </w:tcPr>
          <w:p>
            <w:pPr>
              <w:adjustRightInd w:val="0"/>
              <w:snapToGrid w:val="0"/>
              <w:jc w:val="center"/>
              <w:rPr>
                <w:color w:val="auto"/>
              </w:rPr>
            </w:pPr>
            <w:r>
              <w:rPr>
                <w:color w:val="auto"/>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4</w:t>
            </w:r>
          </w:p>
        </w:tc>
        <w:tc>
          <w:tcPr>
            <w:tcW w:w="0" w:type="auto"/>
            <w:noWrap w:val="0"/>
            <w:vAlign w:val="center"/>
          </w:tcPr>
          <w:p>
            <w:pPr>
              <w:adjustRightInd w:val="0"/>
              <w:snapToGrid w:val="0"/>
              <w:jc w:val="center"/>
              <w:rPr>
                <w:color w:val="auto"/>
              </w:rPr>
            </w:pPr>
            <w:r>
              <w:rPr>
                <w:color w:val="auto"/>
              </w:rPr>
              <w:t>DANTE全频号角可旋转音箱</w:t>
            </w:r>
          </w:p>
        </w:tc>
        <w:tc>
          <w:tcPr>
            <w:tcW w:w="0" w:type="auto"/>
            <w:noWrap w:val="0"/>
            <w:vAlign w:val="center"/>
          </w:tcPr>
          <w:p>
            <w:pPr>
              <w:adjustRightInd w:val="0"/>
              <w:snapToGrid w:val="0"/>
              <w:rPr>
                <w:rFonts w:hint="eastAsia" w:eastAsia="宋体"/>
                <w:color w:val="auto"/>
                <w:lang w:eastAsia="zh-CN"/>
              </w:rPr>
            </w:pPr>
            <w:r>
              <w:rPr>
                <w:color w:val="auto"/>
              </w:rPr>
              <w:t>驱动单元：</w:t>
            </w:r>
            <w:r>
              <w:rPr>
                <w:rFonts w:hint="eastAsia"/>
                <w:color w:val="auto"/>
              </w:rPr>
              <w:t>不少于</w:t>
            </w:r>
            <w:r>
              <w:rPr>
                <w:color w:val="auto"/>
              </w:rPr>
              <w:t>1×6.5低频单元</w:t>
            </w:r>
            <w:r>
              <w:rPr>
                <w:rFonts w:hint="eastAsia"/>
                <w:color w:val="auto"/>
              </w:rPr>
              <w:t>，</w:t>
            </w:r>
            <w:r>
              <w:rPr>
                <w:color w:val="auto"/>
              </w:rPr>
              <w:t>1×1高频单元</w:t>
            </w:r>
            <w:r>
              <w:rPr>
                <w:rFonts w:hint="eastAsia"/>
                <w:color w:val="auto"/>
              </w:rPr>
              <w:t>；</w:t>
            </w:r>
            <w:r>
              <w:rPr>
                <w:color w:val="auto"/>
              </w:rPr>
              <w:t>频响范围</w:t>
            </w:r>
            <w:r>
              <w:rPr>
                <w:rFonts w:hint="eastAsia"/>
                <w:color w:val="auto"/>
              </w:rPr>
              <w:t>≥</w:t>
            </w:r>
            <w:r>
              <w:rPr>
                <w:color w:val="auto"/>
              </w:rPr>
              <w:t>75Hz-20kHz；指向角度：</w:t>
            </w:r>
            <w:r>
              <w:rPr>
                <w:rFonts w:hint="eastAsia"/>
                <w:color w:val="auto"/>
              </w:rPr>
              <w:t>≥</w:t>
            </w:r>
            <w:r>
              <w:rPr>
                <w:color w:val="auto"/>
              </w:rPr>
              <w:t>90°H×70°V；灵敏度</w:t>
            </w:r>
            <w:r>
              <w:rPr>
                <w:rFonts w:hint="eastAsia"/>
                <w:color w:val="auto"/>
              </w:rPr>
              <w:t>≥</w:t>
            </w:r>
            <w:r>
              <w:rPr>
                <w:color w:val="auto"/>
              </w:rPr>
              <w:t>88dB；最大声压级</w:t>
            </w:r>
            <w:r>
              <w:rPr>
                <w:rFonts w:hint="eastAsia"/>
                <w:color w:val="auto"/>
              </w:rPr>
              <w:t>≥</w:t>
            </w:r>
            <w:r>
              <w:rPr>
                <w:color w:val="auto"/>
              </w:rPr>
              <w:t>117dB；功率</w:t>
            </w:r>
            <w:r>
              <w:rPr>
                <w:rFonts w:hint="eastAsia"/>
                <w:color w:val="auto"/>
              </w:rPr>
              <w:t>≥</w:t>
            </w:r>
            <w:r>
              <w:rPr>
                <w:color w:val="auto"/>
              </w:rPr>
              <w:t>200W@8Ω；支持信号输入</w:t>
            </w:r>
            <w:r>
              <w:rPr>
                <w:rFonts w:hint="eastAsia"/>
                <w:color w:val="auto"/>
              </w:rPr>
              <w:t>≥</w:t>
            </w:r>
            <w:r>
              <w:rPr>
                <w:color w:val="auto"/>
              </w:rPr>
              <w:t>Dante×2主备双口</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8</w:t>
            </w:r>
          </w:p>
        </w:tc>
        <w:tc>
          <w:tcPr>
            <w:tcW w:w="0" w:type="auto"/>
            <w:noWrap w:val="0"/>
            <w:vAlign w:val="center"/>
          </w:tcPr>
          <w:p>
            <w:pPr>
              <w:adjustRightInd w:val="0"/>
              <w:snapToGrid w:val="0"/>
              <w:jc w:val="center"/>
              <w:rPr>
                <w:color w:val="auto"/>
              </w:rPr>
            </w:pPr>
            <w:r>
              <w:rPr>
                <w:color w:val="auto"/>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5</w:t>
            </w:r>
          </w:p>
        </w:tc>
        <w:tc>
          <w:tcPr>
            <w:tcW w:w="0" w:type="auto"/>
            <w:noWrap w:val="0"/>
            <w:vAlign w:val="center"/>
          </w:tcPr>
          <w:p>
            <w:pPr>
              <w:adjustRightInd w:val="0"/>
              <w:snapToGrid w:val="0"/>
              <w:jc w:val="center"/>
              <w:rPr>
                <w:color w:val="auto"/>
              </w:rPr>
            </w:pPr>
            <w:r>
              <w:rPr>
                <w:color w:val="auto"/>
              </w:rPr>
              <w:t>DANTE数字功率放大器</w:t>
            </w:r>
          </w:p>
        </w:tc>
        <w:tc>
          <w:tcPr>
            <w:tcW w:w="0" w:type="auto"/>
            <w:noWrap w:val="0"/>
            <w:vAlign w:val="center"/>
          </w:tcPr>
          <w:p>
            <w:pPr>
              <w:adjustRightInd w:val="0"/>
              <w:snapToGrid w:val="0"/>
              <w:rPr>
                <w:rFonts w:hint="eastAsia" w:eastAsia="宋体"/>
                <w:color w:val="auto"/>
                <w:lang w:eastAsia="zh-CN"/>
              </w:rPr>
            </w:pPr>
            <w:r>
              <w:rPr>
                <w:color w:val="auto"/>
              </w:rPr>
              <w:t>类型：</w:t>
            </w:r>
            <w:r>
              <w:rPr>
                <w:rFonts w:hint="eastAsia"/>
                <w:color w:val="auto"/>
              </w:rPr>
              <w:t>≥</w:t>
            </w:r>
            <w:r>
              <w:rPr>
                <w:color w:val="auto"/>
              </w:rPr>
              <w:t>四通道功率放大器带DSP</w:t>
            </w:r>
            <w:r>
              <w:rPr>
                <w:rFonts w:hint="eastAsia"/>
                <w:color w:val="auto"/>
              </w:rPr>
              <w:t>；</w:t>
            </w:r>
            <w:r>
              <w:rPr>
                <w:color w:val="auto"/>
              </w:rPr>
              <w:t>可通过管理软件管理</w:t>
            </w:r>
            <w:r>
              <w:rPr>
                <w:rFonts w:hint="eastAsia"/>
                <w:color w:val="auto"/>
              </w:rPr>
              <w:t>；</w:t>
            </w:r>
            <w:r>
              <w:rPr>
                <w:color w:val="auto"/>
              </w:rPr>
              <w:t>内置Dante输入接口</w:t>
            </w:r>
            <w:r>
              <w:rPr>
                <w:rFonts w:hint="eastAsia"/>
                <w:color w:val="auto"/>
              </w:rPr>
              <w:t>；</w:t>
            </w:r>
            <w:r>
              <w:rPr>
                <w:color w:val="auto"/>
              </w:rPr>
              <w:t>内置音箱预设，每个通道输出1个SpeakOn连接器</w:t>
            </w:r>
            <w:r>
              <w:rPr>
                <w:rFonts w:hint="eastAsia"/>
                <w:color w:val="auto"/>
              </w:rPr>
              <w:t>；</w:t>
            </w:r>
            <w:r>
              <w:rPr>
                <w:color w:val="auto"/>
              </w:rPr>
              <w:t>功率</w:t>
            </w:r>
            <w:r>
              <w:rPr>
                <w:rFonts w:hint="eastAsia"/>
                <w:color w:val="auto"/>
              </w:rPr>
              <w:t>≥</w:t>
            </w:r>
            <w:r>
              <w:rPr>
                <w:color w:val="auto"/>
              </w:rPr>
              <w:t>4X400W/2Ω，</w:t>
            </w:r>
            <w:r>
              <w:rPr>
                <w:rFonts w:hint="eastAsia"/>
                <w:color w:val="auto"/>
              </w:rPr>
              <w:t>≥</w:t>
            </w:r>
            <w:r>
              <w:rPr>
                <w:color w:val="auto"/>
              </w:rPr>
              <w:t>4X300W/4Ω，</w:t>
            </w:r>
            <w:r>
              <w:rPr>
                <w:rFonts w:hint="eastAsia"/>
                <w:color w:val="auto"/>
              </w:rPr>
              <w:t>≥</w:t>
            </w:r>
            <w:r>
              <w:rPr>
                <w:color w:val="auto"/>
              </w:rPr>
              <w:t>4X300W/8Ω，</w:t>
            </w:r>
            <w:r>
              <w:rPr>
                <w:rFonts w:hint="eastAsia"/>
                <w:color w:val="auto"/>
              </w:rPr>
              <w:t>≥</w:t>
            </w:r>
            <w:r>
              <w:rPr>
                <w:color w:val="auto"/>
              </w:rPr>
              <w:t>800W/4Ω桥接，</w:t>
            </w:r>
            <w:r>
              <w:rPr>
                <w:rFonts w:hint="eastAsia"/>
                <w:color w:val="auto"/>
              </w:rPr>
              <w:t>≥</w:t>
            </w:r>
            <w:r>
              <w:rPr>
                <w:color w:val="auto"/>
              </w:rPr>
              <w:t>600W/8Ω桥接</w:t>
            </w:r>
            <w:r>
              <w:rPr>
                <w:rFonts w:hint="eastAsia"/>
                <w:color w:val="auto"/>
              </w:rPr>
              <w:t>；</w:t>
            </w:r>
            <w:r>
              <w:rPr>
                <w:color w:val="auto"/>
              </w:rPr>
              <w:t>电源： 1 PowerCon 32A /稳压SMPS，PFC 100 – 240VAC / 3000VA / 50 – 60Hz</w:t>
            </w:r>
            <w:r>
              <w:rPr>
                <w:rFonts w:hint="eastAsia"/>
                <w:color w:val="auto"/>
              </w:rPr>
              <w:t>；</w:t>
            </w:r>
            <w:r>
              <w:rPr>
                <w:color w:val="auto"/>
              </w:rPr>
              <w:t>输入灵敏度+ 11dBU / + 32dB增益</w:t>
            </w:r>
            <w:r>
              <w:rPr>
                <w:rFonts w:hint="eastAsia"/>
                <w:color w:val="auto"/>
              </w:rPr>
              <w:t>；</w:t>
            </w:r>
            <w:r>
              <w:rPr>
                <w:color w:val="auto"/>
              </w:rPr>
              <w:t>SNR信噪比（数字）&lt;-111dB（未加权）/-114dB（A加权）</w:t>
            </w:r>
            <w:r>
              <w:rPr>
                <w:rFonts w:hint="eastAsia"/>
                <w:color w:val="auto"/>
              </w:rPr>
              <w:t>；</w:t>
            </w:r>
            <w:r>
              <w:rPr>
                <w:color w:val="auto"/>
              </w:rPr>
              <w:t xml:space="preserve">频率响应：+/- </w:t>
            </w:r>
            <w:r>
              <w:rPr>
                <w:color w:val="auto"/>
              </w:rPr>
              <w:fldChar w:fldCharType="begin"/>
            </w:r>
            <w:r>
              <w:rPr>
                <w:color w:val="auto"/>
              </w:rPr>
              <w:instrText xml:space="preserve"> HYPERLINK "mailto:0.6dB@20Hz-20kHz" </w:instrText>
            </w:r>
            <w:r>
              <w:rPr>
                <w:color w:val="auto"/>
              </w:rPr>
              <w:fldChar w:fldCharType="separate"/>
            </w:r>
            <w:r>
              <w:rPr>
                <w:color w:val="auto"/>
              </w:rPr>
              <w:t>0.6dB@20Hz-20kHz</w:t>
            </w:r>
            <w:r>
              <w:rPr>
                <w:color w:val="auto"/>
              </w:rPr>
              <w:fldChar w:fldCharType="end"/>
            </w:r>
            <w:r>
              <w:rPr>
                <w:rFonts w:hint="eastAsia"/>
                <w:color w:val="auto"/>
              </w:rPr>
              <w:t>；</w:t>
            </w:r>
            <w:r>
              <w:rPr>
                <w:color w:val="auto"/>
              </w:rPr>
              <w:t>总谐波失真+噪声THD + N：&lt;0.1%@P/2</w:t>
            </w:r>
            <w:r>
              <w:rPr>
                <w:rFonts w:hint="eastAsia"/>
                <w:color w:val="auto"/>
              </w:rPr>
              <w:t>；</w:t>
            </w:r>
            <w:r>
              <w:rPr>
                <w:color w:val="auto"/>
              </w:rPr>
              <w:t>SMPTE：&lt;0.07%@P/2</w:t>
            </w:r>
            <w:r>
              <w:rPr>
                <w:rFonts w:hint="eastAsia"/>
                <w:color w:val="auto"/>
              </w:rPr>
              <w:t>；</w:t>
            </w:r>
            <w:r>
              <w:rPr>
                <w:color w:val="auto"/>
              </w:rPr>
              <w:t>阻尼系数：&gt; 500 @ 100Hz /8Ω</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2</w:t>
            </w:r>
          </w:p>
        </w:tc>
        <w:tc>
          <w:tcPr>
            <w:tcW w:w="0" w:type="auto"/>
            <w:noWrap w:val="0"/>
            <w:vAlign w:val="center"/>
          </w:tcPr>
          <w:p>
            <w:pPr>
              <w:adjustRightInd w:val="0"/>
              <w:snapToGrid w:val="0"/>
              <w:jc w:val="center"/>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6</w:t>
            </w:r>
          </w:p>
        </w:tc>
        <w:tc>
          <w:tcPr>
            <w:tcW w:w="0" w:type="auto"/>
            <w:noWrap w:val="0"/>
            <w:vAlign w:val="center"/>
          </w:tcPr>
          <w:p>
            <w:pPr>
              <w:adjustRightInd w:val="0"/>
              <w:snapToGrid w:val="0"/>
              <w:jc w:val="center"/>
              <w:rPr>
                <w:color w:val="auto"/>
              </w:rPr>
            </w:pPr>
            <w:r>
              <w:rPr>
                <w:color w:val="auto"/>
              </w:rPr>
              <w:t>DANTE数字音频处理器</w:t>
            </w:r>
          </w:p>
        </w:tc>
        <w:tc>
          <w:tcPr>
            <w:tcW w:w="0" w:type="auto"/>
            <w:noWrap w:val="0"/>
            <w:vAlign w:val="center"/>
          </w:tcPr>
          <w:p>
            <w:pPr>
              <w:adjustRightInd w:val="0"/>
              <w:snapToGrid w:val="0"/>
              <w:rPr>
                <w:rFonts w:hint="eastAsia" w:eastAsia="宋体"/>
                <w:color w:val="auto"/>
                <w:lang w:eastAsia="zh-CN"/>
              </w:rPr>
            </w:pPr>
            <w:r>
              <w:rPr>
                <w:rFonts w:hint="eastAsia"/>
                <w:color w:val="auto"/>
              </w:rPr>
              <w:t>≥6</w:t>
            </w:r>
            <w:r>
              <w:rPr>
                <w:color w:val="auto"/>
              </w:rPr>
              <w:t>个AEC通道</w:t>
            </w:r>
            <w:r>
              <w:rPr>
                <w:rFonts w:hint="eastAsia"/>
                <w:color w:val="auto"/>
              </w:rPr>
              <w:t>；≥</w:t>
            </w:r>
            <w:r>
              <w:rPr>
                <w:color w:val="auto"/>
              </w:rPr>
              <w:t>32路Dante输入输出，主备接口</w:t>
            </w:r>
            <w:r>
              <w:rPr>
                <w:rFonts w:hint="eastAsia"/>
                <w:color w:val="auto"/>
              </w:rPr>
              <w:t>；≥</w:t>
            </w:r>
            <w:r>
              <w:rPr>
                <w:color w:val="auto"/>
              </w:rPr>
              <w:t>8个GPI接口</w:t>
            </w:r>
            <w:r>
              <w:rPr>
                <w:rFonts w:hint="eastAsia"/>
                <w:color w:val="auto"/>
              </w:rPr>
              <w:t>、≥</w:t>
            </w:r>
            <w:r>
              <w:rPr>
                <w:color w:val="auto"/>
              </w:rPr>
              <w:t>8个GPO接口</w:t>
            </w:r>
            <w:r>
              <w:rPr>
                <w:rFonts w:hint="eastAsia"/>
                <w:color w:val="auto"/>
              </w:rPr>
              <w:t>；</w:t>
            </w:r>
            <w:r>
              <w:rPr>
                <w:color w:val="auto"/>
              </w:rPr>
              <w:t>数字信号处理：信号发生器、延迟、输入和输出全参数均衡器滤波器、输入噪声门、电平、静音、相位、音量控制、输出压缩/限幅器、闪避(优先级与压制)、虚拟和物理的寻呼站管理、预设保存和恢复、预定设置触发等等</w:t>
            </w:r>
            <w:r>
              <w:rPr>
                <w:rFonts w:hint="eastAsia"/>
                <w:color w:val="auto"/>
              </w:rPr>
              <w:t>；</w:t>
            </w:r>
            <w:r>
              <w:rPr>
                <w:color w:val="auto"/>
              </w:rPr>
              <w:t>可通过控制软件UCP远程控制系统，可与第三方设备如电脑、平板电脑、智能手机等兼容与TP-NET协议兼容，可与第三方控制系统集成</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7</w:t>
            </w:r>
          </w:p>
        </w:tc>
        <w:tc>
          <w:tcPr>
            <w:tcW w:w="0" w:type="auto"/>
            <w:noWrap w:val="0"/>
            <w:vAlign w:val="center"/>
          </w:tcPr>
          <w:p>
            <w:pPr>
              <w:adjustRightInd w:val="0"/>
              <w:snapToGrid w:val="0"/>
              <w:jc w:val="center"/>
              <w:rPr>
                <w:color w:val="auto"/>
              </w:rPr>
            </w:pPr>
            <w:r>
              <w:rPr>
                <w:color w:val="auto"/>
              </w:rPr>
              <w:t>音频处理器通道扩展卡</w:t>
            </w:r>
          </w:p>
        </w:tc>
        <w:tc>
          <w:tcPr>
            <w:tcW w:w="0" w:type="auto"/>
            <w:noWrap w:val="0"/>
            <w:vAlign w:val="center"/>
          </w:tcPr>
          <w:p>
            <w:pPr>
              <w:adjustRightInd w:val="0"/>
              <w:snapToGrid w:val="0"/>
              <w:rPr>
                <w:rFonts w:hint="eastAsia" w:eastAsia="宋体"/>
                <w:color w:val="auto"/>
                <w:lang w:eastAsia="zh-CN"/>
              </w:rPr>
            </w:pPr>
            <w:r>
              <w:rPr>
                <w:rFonts w:hint="eastAsia"/>
                <w:color w:val="auto"/>
              </w:rPr>
              <w:t>≥</w:t>
            </w:r>
            <w:r>
              <w:rPr>
                <w:color w:val="auto"/>
              </w:rPr>
              <w:t>4通道DANTE输入卡</w:t>
            </w:r>
            <w:r>
              <w:rPr>
                <w:rFonts w:hint="eastAsia"/>
                <w:color w:val="auto"/>
              </w:rPr>
              <w:t>；≥</w:t>
            </w:r>
            <w:r>
              <w:rPr>
                <w:color w:val="auto"/>
              </w:rPr>
              <w:t>4路带幻象电源的话筒/线路输入；扩展动态范围为115dB；额定输入电平：+4dBu，有20dB动态余量；最大输入电平：+23dBu</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8</w:t>
            </w:r>
          </w:p>
        </w:tc>
        <w:tc>
          <w:tcPr>
            <w:tcW w:w="0" w:type="auto"/>
            <w:noWrap w:val="0"/>
            <w:vAlign w:val="center"/>
          </w:tcPr>
          <w:p>
            <w:pPr>
              <w:adjustRightInd w:val="0"/>
              <w:snapToGrid w:val="0"/>
              <w:jc w:val="center"/>
              <w:rPr>
                <w:color w:val="auto"/>
              </w:rPr>
            </w:pPr>
            <w:r>
              <w:rPr>
                <w:color w:val="auto"/>
              </w:rPr>
              <w:t>处理器场景切换控制面板</w:t>
            </w:r>
          </w:p>
        </w:tc>
        <w:tc>
          <w:tcPr>
            <w:tcW w:w="0" w:type="auto"/>
            <w:noWrap w:val="0"/>
            <w:vAlign w:val="center"/>
          </w:tcPr>
          <w:p>
            <w:pPr>
              <w:adjustRightInd w:val="0"/>
              <w:snapToGrid w:val="0"/>
              <w:rPr>
                <w:rFonts w:hint="eastAsia" w:eastAsia="宋体"/>
                <w:color w:val="auto"/>
                <w:lang w:eastAsia="zh-CN"/>
              </w:rPr>
            </w:pPr>
            <w:r>
              <w:rPr>
                <w:color w:val="auto"/>
              </w:rPr>
              <w:t>控制Dante处理器的场景切换，可设置</w:t>
            </w:r>
            <w:r>
              <w:rPr>
                <w:rFonts w:hint="eastAsia"/>
                <w:color w:val="auto"/>
              </w:rPr>
              <w:t>≥</w:t>
            </w:r>
            <w:r>
              <w:rPr>
                <w:color w:val="auto"/>
              </w:rPr>
              <w:t>10个场景，无延时切换</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9</w:t>
            </w:r>
          </w:p>
        </w:tc>
        <w:tc>
          <w:tcPr>
            <w:tcW w:w="0" w:type="auto"/>
            <w:noWrap w:val="0"/>
            <w:vAlign w:val="center"/>
          </w:tcPr>
          <w:p>
            <w:pPr>
              <w:adjustRightInd w:val="0"/>
              <w:snapToGrid w:val="0"/>
              <w:jc w:val="center"/>
              <w:rPr>
                <w:color w:val="auto"/>
              </w:rPr>
            </w:pPr>
            <w:r>
              <w:rPr>
                <w:color w:val="auto"/>
              </w:rPr>
              <w:t>DANTE数字调音台</w:t>
            </w:r>
          </w:p>
        </w:tc>
        <w:tc>
          <w:tcPr>
            <w:tcW w:w="0" w:type="auto"/>
            <w:noWrap w:val="0"/>
            <w:vAlign w:val="center"/>
          </w:tcPr>
          <w:p>
            <w:pPr>
              <w:adjustRightInd w:val="0"/>
              <w:snapToGrid w:val="0"/>
              <w:rPr>
                <w:rFonts w:hint="eastAsia" w:eastAsia="宋体"/>
                <w:color w:val="auto"/>
                <w:lang w:eastAsia="zh-CN"/>
              </w:rPr>
            </w:pPr>
            <w:r>
              <w:rPr>
                <w:color w:val="auto"/>
              </w:rPr>
              <w:t>每页</w:t>
            </w:r>
            <w:r>
              <w:rPr>
                <w:rFonts w:hint="eastAsia"/>
                <w:color w:val="auto"/>
              </w:rPr>
              <w:t>≥</w:t>
            </w:r>
            <w:r>
              <w:rPr>
                <w:color w:val="auto"/>
              </w:rPr>
              <w:t>32+1个推子，</w:t>
            </w:r>
            <w:r>
              <w:rPr>
                <w:rFonts w:hint="eastAsia"/>
                <w:color w:val="auto"/>
              </w:rPr>
              <w:t>≥</w:t>
            </w:r>
            <w:r>
              <w:rPr>
                <w:color w:val="auto"/>
              </w:rPr>
              <w:t>6页</w:t>
            </w:r>
            <w:r>
              <w:rPr>
                <w:rFonts w:hint="eastAsia"/>
                <w:color w:val="auto"/>
              </w:rPr>
              <w:t>；≥</w:t>
            </w:r>
            <w:r>
              <w:rPr>
                <w:color w:val="auto"/>
              </w:rPr>
              <w:t xml:space="preserve">16个自定义按键 </w:t>
            </w:r>
            <w:r>
              <w:rPr>
                <w:rFonts w:hint="eastAsia"/>
                <w:color w:val="auto"/>
              </w:rPr>
              <w:t>；≥</w:t>
            </w:r>
            <w:r>
              <w:rPr>
                <w:color w:val="auto"/>
              </w:rPr>
              <w:t>8个自定义旋钮</w:t>
            </w:r>
            <w:r>
              <w:rPr>
                <w:rFonts w:hint="eastAsia"/>
                <w:color w:val="auto"/>
              </w:rPr>
              <w:t>；≥</w:t>
            </w:r>
            <w:r>
              <w:rPr>
                <w:color w:val="auto"/>
              </w:rPr>
              <w:t>全处理输入通道48路</w:t>
            </w:r>
            <w:r>
              <w:rPr>
                <w:rFonts w:hint="eastAsia"/>
                <w:color w:val="auto"/>
              </w:rPr>
              <w:t>；≥</w:t>
            </w:r>
            <w:r>
              <w:rPr>
                <w:color w:val="auto"/>
              </w:rPr>
              <w:t>全处理输出通道32路</w:t>
            </w:r>
            <w:r>
              <w:rPr>
                <w:rFonts w:hint="eastAsia"/>
                <w:color w:val="auto"/>
              </w:rPr>
              <w:t>；≥</w:t>
            </w:r>
            <w:r>
              <w:rPr>
                <w:color w:val="auto"/>
              </w:rPr>
              <w:t>7</w:t>
            </w:r>
            <w:r>
              <w:rPr>
                <w:rFonts w:hint="eastAsia"/>
                <w:color w:val="auto"/>
              </w:rPr>
              <w:t>寸</w:t>
            </w:r>
            <w:r>
              <w:rPr>
                <w:color w:val="auto"/>
              </w:rPr>
              <w:t>触摸屏</w:t>
            </w:r>
            <w:r>
              <w:rPr>
                <w:rFonts w:hint="eastAsia"/>
                <w:color w:val="auto"/>
              </w:rPr>
              <w:t>；</w:t>
            </w:r>
            <w:r>
              <w:rPr>
                <w:color w:val="auto"/>
              </w:rPr>
              <w:t>支持64×64DANTE输入输出，主备接口</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10</w:t>
            </w:r>
          </w:p>
        </w:tc>
        <w:tc>
          <w:tcPr>
            <w:tcW w:w="0" w:type="auto"/>
            <w:noWrap w:val="0"/>
            <w:vAlign w:val="center"/>
          </w:tcPr>
          <w:p>
            <w:pPr>
              <w:adjustRightInd w:val="0"/>
              <w:snapToGrid w:val="0"/>
              <w:jc w:val="center"/>
              <w:rPr>
                <w:color w:val="auto"/>
              </w:rPr>
            </w:pPr>
            <w:r>
              <w:rPr>
                <w:color w:val="auto"/>
              </w:rPr>
              <w:t>调音台网络接口卡</w:t>
            </w:r>
          </w:p>
        </w:tc>
        <w:tc>
          <w:tcPr>
            <w:tcW w:w="0" w:type="auto"/>
            <w:noWrap w:val="0"/>
            <w:vAlign w:val="center"/>
          </w:tcPr>
          <w:p>
            <w:pPr>
              <w:adjustRightInd w:val="0"/>
              <w:snapToGrid w:val="0"/>
              <w:rPr>
                <w:rFonts w:hint="eastAsia" w:eastAsia="宋体"/>
                <w:color w:val="auto"/>
                <w:lang w:eastAsia="zh-CN"/>
              </w:rPr>
            </w:pPr>
            <w:r>
              <w:rPr>
                <w:color w:val="auto"/>
              </w:rPr>
              <w:t>64路双向音频传输，通过CAT5控制；可实现96K/48KHz切换</w:t>
            </w:r>
            <w:r>
              <w:rPr>
                <w:rFonts w:hint="eastAsia"/>
                <w:color w:val="auto"/>
              </w:rPr>
              <w:t>；</w:t>
            </w:r>
            <w:r>
              <w:rPr>
                <w:color w:val="auto"/>
              </w:rPr>
              <w:t>自动获取IP地址并自动识别；端口冗余网络选项；</w:t>
            </w:r>
            <w:r>
              <w:rPr>
                <w:rFonts w:hint="eastAsia"/>
                <w:color w:val="auto"/>
              </w:rPr>
              <w:t>具备</w:t>
            </w:r>
            <w:r>
              <w:rPr>
                <w:color w:val="auto"/>
              </w:rPr>
              <w:t>低延迟；</w:t>
            </w:r>
            <w:r>
              <w:rPr>
                <w:rFonts w:hint="eastAsia"/>
                <w:color w:val="auto"/>
              </w:rPr>
              <w:t>配置</w:t>
            </w:r>
            <w:r>
              <w:rPr>
                <w:color w:val="auto"/>
              </w:rPr>
              <w:t>千兆网口；直接连接到电脑进行多轨录音／回放；DANTE的虚拟声卡软件替代硬件； DANTE的控制器软件可用于设置网络</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11</w:t>
            </w:r>
          </w:p>
        </w:tc>
        <w:tc>
          <w:tcPr>
            <w:tcW w:w="0" w:type="auto"/>
            <w:noWrap w:val="0"/>
            <w:vAlign w:val="center"/>
          </w:tcPr>
          <w:p>
            <w:pPr>
              <w:adjustRightInd w:val="0"/>
              <w:snapToGrid w:val="0"/>
              <w:jc w:val="center"/>
              <w:rPr>
                <w:color w:val="auto"/>
              </w:rPr>
            </w:pPr>
            <w:r>
              <w:rPr>
                <w:color w:val="auto"/>
              </w:rPr>
              <w:t>网络交换机（音频）</w:t>
            </w:r>
          </w:p>
        </w:tc>
        <w:tc>
          <w:tcPr>
            <w:tcW w:w="0" w:type="auto"/>
            <w:noWrap w:val="0"/>
            <w:vAlign w:val="center"/>
          </w:tcPr>
          <w:p>
            <w:pPr>
              <w:adjustRightInd w:val="0"/>
              <w:snapToGrid w:val="0"/>
              <w:rPr>
                <w:rFonts w:hint="eastAsia" w:eastAsia="宋体"/>
                <w:color w:val="auto"/>
                <w:lang w:eastAsia="zh-CN"/>
              </w:rPr>
            </w:pPr>
            <w:r>
              <w:rPr>
                <w:rFonts w:hint="eastAsia"/>
                <w:color w:val="auto"/>
              </w:rPr>
              <w:t>≥</w:t>
            </w:r>
            <w:r>
              <w:rPr>
                <w:color w:val="auto"/>
              </w:rPr>
              <w:t>12个10/100/1000Base-T以太网端口；</w:t>
            </w:r>
            <w:r>
              <w:rPr>
                <w:rFonts w:hint="eastAsia"/>
                <w:color w:val="auto"/>
              </w:rPr>
              <w:t>≥</w:t>
            </w:r>
            <w:r>
              <w:rPr>
                <w:color w:val="auto"/>
              </w:rPr>
              <w:t>2个1000Base-X以太网端口；交换容量：</w:t>
            </w:r>
            <w:r>
              <w:rPr>
                <w:rFonts w:hint="eastAsia"/>
                <w:color w:val="auto"/>
              </w:rPr>
              <w:t>≥</w:t>
            </w:r>
            <w:r>
              <w:rPr>
                <w:color w:val="auto"/>
              </w:rPr>
              <w:t>336Gbps；POE供电</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12</w:t>
            </w:r>
          </w:p>
        </w:tc>
        <w:tc>
          <w:tcPr>
            <w:tcW w:w="0" w:type="auto"/>
            <w:noWrap w:val="0"/>
            <w:vAlign w:val="center"/>
          </w:tcPr>
          <w:p>
            <w:pPr>
              <w:adjustRightInd w:val="0"/>
              <w:snapToGrid w:val="0"/>
              <w:jc w:val="center"/>
              <w:rPr>
                <w:color w:val="auto"/>
              </w:rPr>
            </w:pPr>
            <w:r>
              <w:rPr>
                <w:color w:val="auto"/>
              </w:rPr>
              <w:t>交换机光模块（音频）</w:t>
            </w:r>
          </w:p>
        </w:tc>
        <w:tc>
          <w:tcPr>
            <w:tcW w:w="0" w:type="auto"/>
            <w:noWrap w:val="0"/>
            <w:vAlign w:val="center"/>
          </w:tcPr>
          <w:p>
            <w:pPr>
              <w:adjustRightInd w:val="0"/>
              <w:snapToGrid w:val="0"/>
              <w:rPr>
                <w:rFonts w:hint="eastAsia" w:eastAsia="宋体"/>
                <w:color w:val="auto"/>
                <w:lang w:eastAsia="zh-CN"/>
              </w:rPr>
            </w:pPr>
            <w:r>
              <w:rPr>
                <w:color w:val="auto"/>
              </w:rPr>
              <w:t>千兆单模光纤模块，</w:t>
            </w:r>
            <w:r>
              <w:rPr>
                <w:rFonts w:hint="eastAsia"/>
                <w:color w:val="auto"/>
              </w:rPr>
              <w:t>与</w:t>
            </w:r>
            <w:r>
              <w:rPr>
                <w:color w:val="auto"/>
              </w:rPr>
              <w:t>交换机配套使用</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2</w:t>
            </w:r>
          </w:p>
        </w:tc>
        <w:tc>
          <w:tcPr>
            <w:tcW w:w="0" w:type="auto"/>
            <w:noWrap w:val="0"/>
            <w:vAlign w:val="center"/>
          </w:tcPr>
          <w:p>
            <w:pPr>
              <w:adjustRightInd w:val="0"/>
              <w:snapToGrid w:val="0"/>
              <w:jc w:val="center"/>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3"/>
            <w:noWrap w:val="0"/>
            <w:vAlign w:val="center"/>
          </w:tcPr>
          <w:p>
            <w:pPr>
              <w:adjustRightInd w:val="0"/>
              <w:snapToGrid w:val="0"/>
              <w:rPr>
                <w:b/>
                <w:bCs/>
                <w:color w:val="auto"/>
              </w:rPr>
            </w:pPr>
            <w:r>
              <w:rPr>
                <w:rFonts w:hint="eastAsia"/>
                <w:b/>
                <w:bCs/>
                <w:color w:val="auto"/>
              </w:rPr>
              <w:t>（二）</w:t>
            </w:r>
            <w:r>
              <w:rPr>
                <w:b/>
                <w:bCs/>
                <w:color w:val="auto"/>
              </w:rPr>
              <w:t>音源及拾音系统</w:t>
            </w:r>
          </w:p>
        </w:tc>
        <w:tc>
          <w:tcPr>
            <w:tcW w:w="0" w:type="auto"/>
            <w:noWrap w:val="0"/>
            <w:vAlign w:val="center"/>
          </w:tcPr>
          <w:p>
            <w:pPr>
              <w:adjustRightInd w:val="0"/>
              <w:snapToGrid w:val="0"/>
              <w:rPr>
                <w:color w:val="auto"/>
              </w:rPr>
            </w:pPr>
            <w:r>
              <w:rPr>
                <w:color w:val="auto"/>
              </w:rPr>
              <w:t>　</w:t>
            </w:r>
          </w:p>
        </w:tc>
        <w:tc>
          <w:tcPr>
            <w:tcW w:w="0" w:type="auto"/>
            <w:noWrap w:val="0"/>
            <w:vAlign w:val="center"/>
          </w:tcPr>
          <w:p>
            <w:pPr>
              <w:adjustRightInd w:val="0"/>
              <w:snapToGrid w:val="0"/>
              <w:rPr>
                <w:color w:val="auto"/>
              </w:rPr>
            </w:pPr>
            <w:r>
              <w:rPr>
                <w:color w:val="auto"/>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数字SD卡录音机</w:t>
            </w:r>
          </w:p>
        </w:tc>
        <w:tc>
          <w:tcPr>
            <w:tcW w:w="0" w:type="auto"/>
            <w:noWrap w:val="0"/>
            <w:vAlign w:val="center"/>
          </w:tcPr>
          <w:p>
            <w:pPr>
              <w:adjustRightInd w:val="0"/>
              <w:snapToGrid w:val="0"/>
              <w:rPr>
                <w:rFonts w:hint="eastAsia" w:eastAsia="宋体"/>
                <w:color w:val="auto"/>
                <w:lang w:eastAsia="zh-CN"/>
              </w:rPr>
            </w:pPr>
            <w:r>
              <w:rPr>
                <w:color w:val="auto"/>
              </w:rPr>
              <w:t>支持最大PCM 192kHz，DSD 5.6MHz的高采样率立体声录音</w:t>
            </w:r>
            <w:r>
              <w:rPr>
                <w:rFonts w:hint="eastAsia"/>
                <w:color w:val="auto"/>
              </w:rPr>
              <w:t>；</w:t>
            </w:r>
            <w:r>
              <w:rPr>
                <w:color w:val="auto"/>
              </w:rPr>
              <w:t>可以进行SDHC卡/CF卡立体声录音</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2</w:t>
            </w:r>
          </w:p>
        </w:tc>
        <w:tc>
          <w:tcPr>
            <w:tcW w:w="0" w:type="auto"/>
            <w:noWrap w:val="0"/>
            <w:vAlign w:val="center"/>
          </w:tcPr>
          <w:p>
            <w:pPr>
              <w:adjustRightInd w:val="0"/>
              <w:snapToGrid w:val="0"/>
              <w:jc w:val="center"/>
              <w:rPr>
                <w:color w:val="auto"/>
              </w:rPr>
            </w:pPr>
            <w:r>
              <w:rPr>
                <w:color w:val="auto"/>
              </w:rPr>
              <w:t>DANTE传输无线话筒接收机</w:t>
            </w:r>
          </w:p>
        </w:tc>
        <w:tc>
          <w:tcPr>
            <w:tcW w:w="0" w:type="auto"/>
            <w:noWrap w:val="0"/>
            <w:vAlign w:val="center"/>
          </w:tcPr>
          <w:p>
            <w:pPr>
              <w:adjustRightInd w:val="0"/>
              <w:snapToGrid w:val="0"/>
              <w:rPr>
                <w:rFonts w:hint="eastAsia" w:eastAsia="宋体"/>
                <w:color w:val="auto"/>
                <w:lang w:eastAsia="zh-CN"/>
              </w:rPr>
            </w:pPr>
            <w:r>
              <w:rPr>
                <w:color w:val="auto"/>
              </w:rPr>
              <w:t>数字无线接收机，分集式自动选择</w:t>
            </w:r>
            <w:r>
              <w:rPr>
                <w:rFonts w:hint="eastAsia"/>
                <w:color w:val="auto"/>
              </w:rPr>
              <w:t>；</w:t>
            </w:r>
            <w:r>
              <w:rPr>
                <w:color w:val="auto"/>
              </w:rPr>
              <w:t>可设置备用频点，跟随发射器一起切换</w:t>
            </w:r>
            <w:r>
              <w:rPr>
                <w:rFonts w:hint="eastAsia"/>
                <w:color w:val="auto"/>
              </w:rPr>
              <w:t>；</w:t>
            </w:r>
            <w:r>
              <w:rPr>
                <w:color w:val="auto"/>
              </w:rPr>
              <w:t>最少频率间隔：125 kHz</w:t>
            </w:r>
            <w:r>
              <w:rPr>
                <w:rFonts w:hint="eastAsia"/>
                <w:color w:val="auto"/>
              </w:rPr>
              <w:t>；</w:t>
            </w:r>
            <w:r>
              <w:rPr>
                <w:color w:val="auto"/>
              </w:rPr>
              <w:t>总谐波失真：&lt; 1.0% (±17.5 kHz 频偏于 1 kHz)</w:t>
            </w:r>
            <w:r>
              <w:rPr>
                <w:rFonts w:hint="eastAsia"/>
                <w:color w:val="auto"/>
              </w:rPr>
              <w:t>；</w:t>
            </w:r>
            <w:r>
              <w:rPr>
                <w:color w:val="auto"/>
              </w:rPr>
              <w:t>工作距离：</w:t>
            </w:r>
            <w:r>
              <w:rPr>
                <w:rFonts w:hint="eastAsia"/>
                <w:color w:val="auto"/>
              </w:rPr>
              <w:t>≥</w:t>
            </w:r>
            <w:r>
              <w:rPr>
                <w:color w:val="auto"/>
              </w:rPr>
              <w:t>100米（在没有干扰情况下）</w:t>
            </w:r>
            <w:r>
              <w:rPr>
                <w:rFonts w:hint="eastAsia"/>
                <w:color w:val="auto"/>
              </w:rPr>
              <w:t>；</w:t>
            </w:r>
            <w:r>
              <w:rPr>
                <w:color w:val="auto"/>
              </w:rPr>
              <w:t>延迟时间小于2.5ms（XLR输出期间）</w:t>
            </w:r>
            <w:r>
              <w:rPr>
                <w:rFonts w:hint="eastAsia"/>
                <w:color w:val="auto"/>
              </w:rPr>
              <w:t>；</w:t>
            </w:r>
            <w:r>
              <w:rPr>
                <w:color w:val="auto"/>
              </w:rPr>
              <w:t>支持DANTE数字音频传输网络功能</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2</w:t>
            </w:r>
          </w:p>
        </w:tc>
        <w:tc>
          <w:tcPr>
            <w:tcW w:w="0" w:type="auto"/>
            <w:noWrap w:val="0"/>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3</w:t>
            </w:r>
          </w:p>
        </w:tc>
        <w:tc>
          <w:tcPr>
            <w:tcW w:w="0" w:type="auto"/>
            <w:noWrap w:val="0"/>
            <w:vAlign w:val="center"/>
          </w:tcPr>
          <w:p>
            <w:pPr>
              <w:adjustRightInd w:val="0"/>
              <w:snapToGrid w:val="0"/>
              <w:jc w:val="center"/>
              <w:rPr>
                <w:color w:val="auto"/>
              </w:rPr>
            </w:pPr>
            <w:r>
              <w:rPr>
                <w:color w:val="auto"/>
              </w:rPr>
              <w:t>手持动圈话筒</w:t>
            </w:r>
          </w:p>
        </w:tc>
        <w:tc>
          <w:tcPr>
            <w:tcW w:w="0" w:type="auto"/>
            <w:noWrap w:val="0"/>
            <w:vAlign w:val="center"/>
          </w:tcPr>
          <w:p>
            <w:pPr>
              <w:adjustRightInd w:val="0"/>
              <w:snapToGrid w:val="0"/>
              <w:rPr>
                <w:rFonts w:hint="eastAsia" w:eastAsia="宋体"/>
                <w:color w:val="auto"/>
                <w:lang w:eastAsia="zh-CN"/>
              </w:rPr>
            </w:pPr>
            <w:r>
              <w:rPr>
                <w:color w:val="auto"/>
              </w:rPr>
              <w:t>无线手持话筒</w:t>
            </w:r>
            <w:r>
              <w:rPr>
                <w:rFonts w:hint="eastAsia"/>
                <w:color w:val="auto"/>
              </w:rPr>
              <w:t>；</w:t>
            </w:r>
            <w:r>
              <w:rPr>
                <w:color w:val="auto"/>
              </w:rPr>
              <w:t>心形指向性动圈收音头</w:t>
            </w:r>
            <w:r>
              <w:rPr>
                <w:rFonts w:hint="eastAsia"/>
                <w:color w:val="auto"/>
              </w:rPr>
              <w:t>；</w:t>
            </w:r>
            <w:r>
              <w:rPr>
                <w:color w:val="auto"/>
              </w:rPr>
              <w:t>可设置备用频点，通过功能键和接收机一起切换</w:t>
            </w:r>
            <w:r>
              <w:rPr>
                <w:rFonts w:hint="eastAsia"/>
                <w:color w:val="auto"/>
              </w:rPr>
              <w:t>；</w:t>
            </w:r>
            <w:r>
              <w:rPr>
                <w:color w:val="auto"/>
              </w:rPr>
              <w:t>发射机功率可调，发射机灵敏度三档可调</w:t>
            </w:r>
            <w:r>
              <w:rPr>
                <w:rFonts w:hint="eastAsia"/>
                <w:color w:val="auto"/>
              </w:rPr>
              <w:t>；</w:t>
            </w:r>
            <w:r>
              <w:rPr>
                <w:color w:val="auto"/>
              </w:rPr>
              <w:t>低截80 Hz, 120 Hz, 160 Hz, 12dB/倍频程</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4</w:t>
            </w:r>
          </w:p>
        </w:tc>
        <w:tc>
          <w:tcPr>
            <w:tcW w:w="0" w:type="auto"/>
            <w:noWrap w:val="0"/>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4</w:t>
            </w:r>
          </w:p>
        </w:tc>
        <w:tc>
          <w:tcPr>
            <w:tcW w:w="0" w:type="auto"/>
            <w:noWrap w:val="0"/>
            <w:vAlign w:val="center"/>
          </w:tcPr>
          <w:p>
            <w:pPr>
              <w:adjustRightInd w:val="0"/>
              <w:snapToGrid w:val="0"/>
              <w:jc w:val="center"/>
              <w:rPr>
                <w:color w:val="auto"/>
              </w:rPr>
            </w:pPr>
            <w:r>
              <w:rPr>
                <w:color w:val="auto"/>
              </w:rPr>
              <w:t>天线分配放大器</w:t>
            </w:r>
          </w:p>
        </w:tc>
        <w:tc>
          <w:tcPr>
            <w:tcW w:w="0" w:type="auto"/>
            <w:noWrap w:val="0"/>
            <w:vAlign w:val="center"/>
          </w:tcPr>
          <w:p>
            <w:pPr>
              <w:adjustRightInd w:val="0"/>
              <w:snapToGrid w:val="0"/>
              <w:rPr>
                <w:rFonts w:hint="eastAsia" w:eastAsia="宋体"/>
                <w:color w:val="auto"/>
                <w:lang w:eastAsia="zh-CN"/>
              </w:rPr>
            </w:pPr>
            <w:r>
              <w:rPr>
                <w:color w:val="auto"/>
              </w:rPr>
              <w:t>输入/输出:</w:t>
            </w:r>
            <w:r>
              <w:rPr>
                <w:rFonts w:hint="eastAsia"/>
                <w:color w:val="auto"/>
              </w:rPr>
              <w:t xml:space="preserve"> ≥</w:t>
            </w:r>
            <w:r>
              <w:rPr>
                <w:color w:val="auto"/>
              </w:rPr>
              <w:t xml:space="preserve"> 2x2个汇合输入</w:t>
            </w:r>
            <w:r>
              <w:rPr>
                <w:rFonts w:hint="eastAsia"/>
                <w:color w:val="auto"/>
              </w:rPr>
              <w:t>、≥</w:t>
            </w:r>
            <w:r>
              <w:rPr>
                <w:color w:val="auto"/>
              </w:rPr>
              <w:t>2x4 个分配输出</w:t>
            </w:r>
            <w:r>
              <w:rPr>
                <w:rFonts w:hint="eastAsia"/>
                <w:color w:val="auto"/>
              </w:rPr>
              <w:t>；≥</w:t>
            </w:r>
            <w:r>
              <w:rPr>
                <w:color w:val="auto"/>
              </w:rPr>
              <w:t>2x1个串联输出</w:t>
            </w:r>
            <w:r>
              <w:rPr>
                <w:rFonts w:hint="eastAsia"/>
                <w:color w:val="auto"/>
              </w:rPr>
              <w:t>；</w:t>
            </w:r>
            <w:r>
              <w:rPr>
                <w:color w:val="auto"/>
              </w:rPr>
              <w:t>射频输出增益：+1.0 dB ± 2.0 dB</w:t>
            </w:r>
            <w:r>
              <w:rPr>
                <w:rFonts w:hint="eastAsia"/>
                <w:color w:val="auto"/>
              </w:rPr>
              <w:t>；</w:t>
            </w:r>
            <w:r>
              <w:rPr>
                <w:color w:val="auto"/>
              </w:rPr>
              <w:t>输入/输出增益: +1.0 dB ± 2.0 dB</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5</w:t>
            </w:r>
          </w:p>
        </w:tc>
        <w:tc>
          <w:tcPr>
            <w:tcW w:w="0" w:type="auto"/>
            <w:noWrap w:val="0"/>
            <w:vAlign w:val="center"/>
          </w:tcPr>
          <w:p>
            <w:pPr>
              <w:adjustRightInd w:val="0"/>
              <w:snapToGrid w:val="0"/>
              <w:jc w:val="center"/>
              <w:rPr>
                <w:color w:val="auto"/>
              </w:rPr>
            </w:pPr>
            <w:r>
              <w:rPr>
                <w:color w:val="auto"/>
              </w:rPr>
              <w:t>有源指向性天线</w:t>
            </w:r>
          </w:p>
        </w:tc>
        <w:tc>
          <w:tcPr>
            <w:tcW w:w="0" w:type="auto"/>
            <w:noWrap w:val="0"/>
            <w:vAlign w:val="center"/>
          </w:tcPr>
          <w:p>
            <w:pPr>
              <w:adjustRightInd w:val="0"/>
              <w:snapToGrid w:val="0"/>
              <w:rPr>
                <w:rFonts w:hint="eastAsia" w:eastAsia="宋体"/>
                <w:color w:val="auto"/>
                <w:lang w:eastAsia="zh-CN"/>
              </w:rPr>
            </w:pPr>
            <w:r>
              <w:rPr>
                <w:color w:val="auto"/>
              </w:rPr>
              <w:t>UHF无线系统增强信号拾取</w:t>
            </w:r>
            <w:r>
              <w:rPr>
                <w:rFonts w:hint="eastAsia"/>
                <w:color w:val="auto"/>
              </w:rPr>
              <w:t>；支持≥</w:t>
            </w:r>
            <w:r>
              <w:rPr>
                <w:color w:val="auto"/>
              </w:rPr>
              <w:t>4个增益级别设置</w:t>
            </w:r>
            <w:r>
              <w:rPr>
                <w:rFonts w:hint="eastAsia"/>
                <w:color w:val="auto"/>
              </w:rPr>
              <w:t>；具备</w:t>
            </w:r>
            <w:r>
              <w:rPr>
                <w:color w:val="auto"/>
              </w:rPr>
              <w:t>增益设置的LED指示灯</w:t>
            </w:r>
            <w:r>
              <w:rPr>
                <w:rFonts w:hint="eastAsia"/>
                <w:color w:val="auto"/>
              </w:rPr>
              <w:t>；支持</w:t>
            </w:r>
            <w:r>
              <w:rPr>
                <w:color w:val="auto"/>
              </w:rPr>
              <w:t>墙壁和天花板安装</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2</w:t>
            </w:r>
          </w:p>
        </w:tc>
        <w:tc>
          <w:tcPr>
            <w:tcW w:w="0" w:type="auto"/>
            <w:noWrap w:val="0"/>
            <w:vAlign w:val="center"/>
          </w:tcPr>
          <w:p>
            <w:pPr>
              <w:adjustRightInd w:val="0"/>
              <w:snapToGrid w:val="0"/>
              <w:jc w:val="center"/>
              <w:rPr>
                <w:color w:val="auto"/>
              </w:rPr>
            </w:pPr>
            <w:r>
              <w:rPr>
                <w:color w:val="auto"/>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3"/>
            <w:noWrap w:val="0"/>
            <w:vAlign w:val="center"/>
          </w:tcPr>
          <w:p>
            <w:pPr>
              <w:adjustRightInd w:val="0"/>
              <w:snapToGrid w:val="0"/>
              <w:rPr>
                <w:b/>
                <w:bCs/>
                <w:color w:val="auto"/>
              </w:rPr>
            </w:pPr>
            <w:r>
              <w:rPr>
                <w:rFonts w:hint="eastAsia"/>
                <w:b/>
                <w:bCs/>
                <w:color w:val="auto"/>
              </w:rPr>
              <w:t>（三）</w:t>
            </w:r>
            <w:r>
              <w:rPr>
                <w:b/>
                <w:bCs/>
                <w:color w:val="auto"/>
              </w:rPr>
              <w:t>会议讨论系统</w:t>
            </w:r>
          </w:p>
        </w:tc>
        <w:tc>
          <w:tcPr>
            <w:tcW w:w="0" w:type="auto"/>
            <w:noWrap w:val="0"/>
            <w:vAlign w:val="center"/>
          </w:tcPr>
          <w:p>
            <w:pPr>
              <w:adjustRightInd w:val="0"/>
              <w:snapToGrid w:val="0"/>
              <w:rPr>
                <w:color w:val="auto"/>
              </w:rPr>
            </w:pPr>
            <w:r>
              <w:rPr>
                <w:color w:val="auto"/>
              </w:rPr>
              <w:t>　</w:t>
            </w:r>
          </w:p>
        </w:tc>
        <w:tc>
          <w:tcPr>
            <w:tcW w:w="0" w:type="auto"/>
            <w:noWrap w:val="0"/>
            <w:vAlign w:val="center"/>
          </w:tcPr>
          <w:p>
            <w:pPr>
              <w:adjustRightInd w:val="0"/>
              <w:snapToGrid w:val="0"/>
              <w:rPr>
                <w:color w:val="auto"/>
              </w:rPr>
            </w:pPr>
            <w:r>
              <w:rPr>
                <w:color w:val="auto"/>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DANTE传输全数字化会议系统主机</w:t>
            </w:r>
          </w:p>
        </w:tc>
        <w:tc>
          <w:tcPr>
            <w:tcW w:w="0" w:type="auto"/>
            <w:noWrap w:val="0"/>
            <w:vAlign w:val="center"/>
          </w:tcPr>
          <w:p>
            <w:pPr>
              <w:adjustRightInd w:val="0"/>
              <w:snapToGrid w:val="0"/>
              <w:rPr>
                <w:color w:val="auto"/>
              </w:rPr>
            </w:pPr>
            <w:r>
              <w:rPr>
                <w:color w:val="auto"/>
              </w:rPr>
              <w:t>在不使用冗余的情况下，可以接入</w:t>
            </w:r>
            <w:r>
              <w:rPr>
                <w:rFonts w:hint="eastAsia"/>
                <w:color w:val="auto"/>
              </w:rPr>
              <w:t>≥1</w:t>
            </w:r>
            <w:r>
              <w:rPr>
                <w:color w:val="auto"/>
              </w:rPr>
              <w:t>00 个话筒单元（每条线路 50 个）</w:t>
            </w:r>
            <w:r>
              <w:rPr>
                <w:rFonts w:hint="eastAsia"/>
                <w:color w:val="auto"/>
              </w:rPr>
              <w:t>；</w:t>
            </w:r>
            <w:r>
              <w:rPr>
                <w:color w:val="auto"/>
              </w:rPr>
              <w:t>主机与席位间可实行多种连接方式：菊花链，环形连接，菊花链+ 环形连接</w:t>
            </w:r>
            <w:r>
              <w:rPr>
                <w:rFonts w:hint="eastAsia"/>
                <w:color w:val="auto"/>
              </w:rPr>
              <w:t>；</w:t>
            </w:r>
            <w:r>
              <w:rPr>
                <w:color w:val="auto"/>
              </w:rPr>
              <w:t>用于操作的玻璃面板，可显示独立菜单和状态栏</w:t>
            </w:r>
            <w:r>
              <w:rPr>
                <w:rFonts w:hint="eastAsia"/>
                <w:color w:val="auto"/>
              </w:rPr>
              <w:t>；</w:t>
            </w:r>
            <w:r>
              <w:rPr>
                <w:color w:val="auto"/>
              </w:rPr>
              <w:t>支持录音输出接口</w:t>
            </w:r>
            <w:r>
              <w:rPr>
                <w:rFonts w:hint="eastAsia"/>
                <w:color w:val="auto"/>
              </w:rPr>
              <w:t>；</w:t>
            </w:r>
            <w:r>
              <w:rPr>
                <w:color w:val="auto"/>
              </w:rPr>
              <w:t>内置数字音色库，可选择不同类型音色( 男女高音, 中音, 低音, 原音)</w:t>
            </w:r>
            <w:r>
              <w:rPr>
                <w:rFonts w:hint="eastAsia"/>
                <w:color w:val="auto"/>
              </w:rPr>
              <w:t>；</w:t>
            </w:r>
            <w:r>
              <w:rPr>
                <w:color w:val="auto"/>
              </w:rPr>
              <w:t>内置音频处理器, 输出通道带有均衡及压限, 噪门, 增益等功能</w:t>
            </w:r>
            <w:r>
              <w:rPr>
                <w:rFonts w:hint="eastAsia"/>
                <w:color w:val="auto"/>
              </w:rPr>
              <w:t>；</w:t>
            </w:r>
            <w:r>
              <w:rPr>
                <w:color w:val="auto"/>
              </w:rPr>
              <w:t>支持DANTE网络传输，只需要布置网线传输信号</w:t>
            </w:r>
            <w:r>
              <w:rPr>
                <w:rFonts w:hint="eastAsia"/>
                <w:color w:val="auto"/>
              </w:rPr>
              <w:t>。</w:t>
            </w:r>
          </w:p>
        </w:tc>
        <w:tc>
          <w:tcPr>
            <w:tcW w:w="0" w:type="auto"/>
            <w:noWrap w:val="0"/>
            <w:vAlign w:val="center"/>
          </w:tcPr>
          <w:p>
            <w:pPr>
              <w:adjustRightInd w:val="0"/>
              <w:snapToGrid w:val="0"/>
              <w:jc w:val="center"/>
              <w:rPr>
                <w:color w:val="auto"/>
              </w:rPr>
            </w:pPr>
            <w:r>
              <w:rPr>
                <w:color w:val="auto"/>
              </w:rPr>
              <w:t>2</w:t>
            </w:r>
          </w:p>
        </w:tc>
        <w:tc>
          <w:tcPr>
            <w:tcW w:w="0" w:type="auto"/>
            <w:noWrap w:val="0"/>
            <w:vAlign w:val="center"/>
          </w:tcPr>
          <w:p>
            <w:pPr>
              <w:adjustRightInd w:val="0"/>
              <w:snapToGrid w:val="0"/>
              <w:jc w:val="center"/>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2</w:t>
            </w:r>
          </w:p>
        </w:tc>
        <w:tc>
          <w:tcPr>
            <w:tcW w:w="0" w:type="auto"/>
            <w:noWrap w:val="0"/>
            <w:vAlign w:val="center"/>
          </w:tcPr>
          <w:p>
            <w:pPr>
              <w:adjustRightInd w:val="0"/>
              <w:snapToGrid w:val="0"/>
              <w:jc w:val="center"/>
              <w:rPr>
                <w:color w:val="auto"/>
              </w:rPr>
            </w:pPr>
            <w:r>
              <w:rPr>
                <w:color w:val="auto"/>
              </w:rPr>
              <w:t>DANTE台面式全数字化会议系统主席单元</w:t>
            </w:r>
          </w:p>
        </w:tc>
        <w:tc>
          <w:tcPr>
            <w:tcW w:w="0" w:type="auto"/>
            <w:noWrap w:val="0"/>
            <w:vAlign w:val="center"/>
          </w:tcPr>
          <w:p>
            <w:pPr>
              <w:adjustRightInd w:val="0"/>
              <w:snapToGrid w:val="0"/>
              <w:rPr>
                <w:color w:val="auto"/>
              </w:rPr>
            </w:pPr>
            <w:r>
              <w:rPr>
                <w:color w:val="auto"/>
              </w:rPr>
              <w:t>可作独立编程的多样配置及多种用途底座装置：主席或代表</w:t>
            </w:r>
            <w:r>
              <w:rPr>
                <w:rFonts w:hint="eastAsia"/>
                <w:color w:val="auto"/>
              </w:rPr>
              <w:t>；</w:t>
            </w:r>
            <w:r>
              <w:rPr>
                <w:color w:val="auto"/>
              </w:rPr>
              <w:t>与标准的3针XLR卡农话筒兼容的鹅颈话筒连接插座</w:t>
            </w:r>
            <w:r>
              <w:rPr>
                <w:rFonts w:hint="eastAsia"/>
                <w:color w:val="auto"/>
              </w:rPr>
              <w:t>；配</w:t>
            </w:r>
            <w:r>
              <w:rPr>
                <w:color w:val="auto"/>
              </w:rPr>
              <w:t>备高音质及能增强语音清晰度的扬声器</w:t>
            </w:r>
            <w:r>
              <w:rPr>
                <w:rFonts w:hint="eastAsia"/>
                <w:color w:val="auto"/>
              </w:rPr>
              <w:t>；</w:t>
            </w:r>
            <w:r>
              <w:rPr>
                <w:color w:val="auto"/>
              </w:rPr>
              <w:t>24bit/48 kHz 的数字音频质量</w:t>
            </w:r>
            <w:r>
              <w:rPr>
                <w:rFonts w:hint="eastAsia"/>
                <w:color w:val="auto"/>
              </w:rPr>
              <w:t>；</w:t>
            </w:r>
            <w:r>
              <w:rPr>
                <w:color w:val="auto"/>
              </w:rPr>
              <w:t>3针平衡式话筒连带远程控制的 LED 环形灯</w:t>
            </w:r>
            <w:r>
              <w:rPr>
                <w:rFonts w:hint="eastAsia"/>
                <w:color w:val="auto"/>
              </w:rPr>
              <w:t>；</w:t>
            </w:r>
            <w:r>
              <w:rPr>
                <w:color w:val="auto"/>
              </w:rPr>
              <w:t>通过优化的隔离设计，能减少话筒连接器与会议系统单元之间的振动</w:t>
            </w:r>
            <w:r>
              <w:rPr>
                <w:rFonts w:hint="eastAsia"/>
                <w:color w:val="auto"/>
              </w:rPr>
              <w:t>；</w:t>
            </w:r>
            <w:r>
              <w:rPr>
                <w:color w:val="auto"/>
              </w:rPr>
              <w:t>搭配主机支持DANTE网络传输</w:t>
            </w:r>
            <w:r>
              <w:rPr>
                <w:rFonts w:hint="eastAsia"/>
                <w:color w:val="auto"/>
              </w:rPr>
              <w:t>。</w:t>
            </w:r>
          </w:p>
        </w:tc>
        <w:tc>
          <w:tcPr>
            <w:tcW w:w="0" w:type="auto"/>
            <w:noWrap w:val="0"/>
            <w:vAlign w:val="center"/>
          </w:tcPr>
          <w:p>
            <w:pPr>
              <w:adjustRightInd w:val="0"/>
              <w:snapToGrid w:val="0"/>
              <w:jc w:val="center"/>
              <w:rPr>
                <w:color w:val="auto"/>
              </w:rPr>
            </w:pPr>
            <w:r>
              <w:rPr>
                <w:color w:val="auto"/>
              </w:rPr>
              <w:t>30</w:t>
            </w:r>
          </w:p>
        </w:tc>
        <w:tc>
          <w:tcPr>
            <w:tcW w:w="0" w:type="auto"/>
            <w:noWrap w:val="0"/>
            <w:vAlign w:val="center"/>
          </w:tcPr>
          <w:p>
            <w:pPr>
              <w:adjustRightInd w:val="0"/>
              <w:snapToGrid w:val="0"/>
              <w:jc w:val="center"/>
              <w:rPr>
                <w:color w:val="auto"/>
              </w:rPr>
            </w:pPr>
            <w:r>
              <w:rPr>
                <w:color w:val="auto"/>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3</w:t>
            </w:r>
          </w:p>
        </w:tc>
        <w:tc>
          <w:tcPr>
            <w:tcW w:w="0" w:type="auto"/>
            <w:noWrap w:val="0"/>
            <w:vAlign w:val="center"/>
          </w:tcPr>
          <w:p>
            <w:pPr>
              <w:adjustRightInd w:val="0"/>
              <w:snapToGrid w:val="0"/>
              <w:jc w:val="center"/>
              <w:rPr>
                <w:color w:val="auto"/>
              </w:rPr>
            </w:pPr>
            <w:r>
              <w:rPr>
                <w:color w:val="auto"/>
              </w:rPr>
              <w:t>DANTE台面式全数字化会议系统代表单元</w:t>
            </w:r>
          </w:p>
        </w:tc>
        <w:tc>
          <w:tcPr>
            <w:tcW w:w="0" w:type="auto"/>
            <w:noWrap w:val="0"/>
            <w:vAlign w:val="center"/>
          </w:tcPr>
          <w:p>
            <w:pPr>
              <w:adjustRightInd w:val="0"/>
              <w:snapToGrid w:val="0"/>
              <w:rPr>
                <w:color w:val="auto"/>
              </w:rPr>
            </w:pPr>
            <w:r>
              <w:rPr>
                <w:color w:val="auto"/>
              </w:rPr>
              <w:t>可作独立编程的多样配置及多种用途底座装置：主席或代表</w:t>
            </w:r>
            <w:r>
              <w:rPr>
                <w:rFonts w:hint="eastAsia"/>
                <w:color w:val="auto"/>
              </w:rPr>
              <w:t>；</w:t>
            </w:r>
            <w:r>
              <w:rPr>
                <w:color w:val="auto"/>
              </w:rPr>
              <w:t>与标准的3针XLR卡农话筒兼容的鹅颈话筒连接插座</w:t>
            </w:r>
            <w:r>
              <w:rPr>
                <w:rFonts w:hint="eastAsia"/>
                <w:color w:val="auto"/>
              </w:rPr>
              <w:t>；</w:t>
            </w:r>
            <w:r>
              <w:rPr>
                <w:color w:val="auto"/>
              </w:rPr>
              <w:t>配备高音质及能增强语音清晰度的扬声器</w:t>
            </w:r>
            <w:r>
              <w:rPr>
                <w:rFonts w:hint="eastAsia"/>
                <w:color w:val="auto"/>
              </w:rPr>
              <w:t>；</w:t>
            </w:r>
            <w:r>
              <w:rPr>
                <w:color w:val="auto"/>
              </w:rPr>
              <w:t>24bit/48 kHz 的数字音频质量</w:t>
            </w:r>
            <w:r>
              <w:rPr>
                <w:rFonts w:hint="eastAsia"/>
                <w:color w:val="auto"/>
              </w:rPr>
              <w:t>；</w:t>
            </w:r>
            <w:r>
              <w:rPr>
                <w:color w:val="auto"/>
              </w:rPr>
              <w:t>3针平衡式话筒连带远程控制的 LED 环形灯</w:t>
            </w:r>
            <w:r>
              <w:rPr>
                <w:rFonts w:hint="eastAsia"/>
                <w:color w:val="auto"/>
              </w:rPr>
              <w:t>；</w:t>
            </w:r>
            <w:r>
              <w:rPr>
                <w:color w:val="auto"/>
              </w:rPr>
              <w:t>通过优化的隔离设计，能减少话筒连接器与会议系统单元之间的振动</w:t>
            </w:r>
            <w:r>
              <w:rPr>
                <w:rFonts w:hint="eastAsia"/>
                <w:color w:val="auto"/>
              </w:rPr>
              <w:t>；</w:t>
            </w:r>
            <w:r>
              <w:rPr>
                <w:color w:val="auto"/>
              </w:rPr>
              <w:t>搭配主机支持DANTE网络传输</w:t>
            </w:r>
            <w:r>
              <w:rPr>
                <w:rFonts w:hint="eastAsia"/>
                <w:color w:val="auto"/>
              </w:rPr>
              <w:t>。</w:t>
            </w:r>
          </w:p>
        </w:tc>
        <w:tc>
          <w:tcPr>
            <w:tcW w:w="0" w:type="auto"/>
            <w:noWrap w:val="0"/>
            <w:vAlign w:val="center"/>
          </w:tcPr>
          <w:p>
            <w:pPr>
              <w:adjustRightInd w:val="0"/>
              <w:snapToGrid w:val="0"/>
              <w:jc w:val="center"/>
              <w:rPr>
                <w:color w:val="auto"/>
              </w:rPr>
            </w:pPr>
            <w:r>
              <w:rPr>
                <w:color w:val="auto"/>
              </w:rPr>
              <w:t>20</w:t>
            </w:r>
          </w:p>
        </w:tc>
        <w:tc>
          <w:tcPr>
            <w:tcW w:w="0" w:type="auto"/>
            <w:noWrap w:val="0"/>
            <w:vAlign w:val="center"/>
          </w:tcPr>
          <w:p>
            <w:pPr>
              <w:adjustRightInd w:val="0"/>
              <w:snapToGrid w:val="0"/>
              <w:jc w:val="center"/>
              <w:rPr>
                <w:color w:val="auto"/>
              </w:rPr>
            </w:pPr>
            <w:r>
              <w:rPr>
                <w:color w:val="auto"/>
              </w:rPr>
              <w:t>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4</w:t>
            </w:r>
          </w:p>
        </w:tc>
        <w:tc>
          <w:tcPr>
            <w:tcW w:w="0" w:type="auto"/>
            <w:noWrap w:val="0"/>
            <w:vAlign w:val="center"/>
          </w:tcPr>
          <w:p>
            <w:pPr>
              <w:adjustRightInd w:val="0"/>
              <w:snapToGrid w:val="0"/>
              <w:jc w:val="center"/>
              <w:rPr>
                <w:color w:val="auto"/>
              </w:rPr>
            </w:pPr>
            <w:r>
              <w:rPr>
                <w:color w:val="auto"/>
              </w:rPr>
              <w:t>DANTE全数字化会议系统扩展主机</w:t>
            </w:r>
          </w:p>
        </w:tc>
        <w:tc>
          <w:tcPr>
            <w:tcW w:w="0" w:type="auto"/>
            <w:noWrap w:val="0"/>
            <w:vAlign w:val="center"/>
          </w:tcPr>
          <w:p>
            <w:pPr>
              <w:adjustRightInd w:val="0"/>
              <w:snapToGrid w:val="0"/>
              <w:rPr>
                <w:rFonts w:hint="eastAsia" w:eastAsia="宋体"/>
                <w:color w:val="auto"/>
                <w:lang w:eastAsia="zh-CN"/>
              </w:rPr>
            </w:pPr>
            <w:r>
              <w:rPr>
                <w:color w:val="auto"/>
              </w:rPr>
              <w:t>为连接的设备提供直流48V电源，从而延伸电缆的连接距离</w:t>
            </w:r>
            <w:r>
              <w:rPr>
                <w:rFonts w:hint="eastAsia"/>
                <w:color w:val="auto"/>
              </w:rPr>
              <w:t>；</w:t>
            </w:r>
            <w:r>
              <w:rPr>
                <w:color w:val="auto"/>
              </w:rPr>
              <w:t>用于选择本地或远程操作的模式设置开关</w:t>
            </w:r>
            <w:r>
              <w:rPr>
                <w:rFonts w:hint="eastAsia"/>
                <w:color w:val="auto"/>
              </w:rPr>
              <w:t>；</w:t>
            </w:r>
            <w:r>
              <w:rPr>
                <w:color w:val="auto"/>
              </w:rPr>
              <w:t>面板上LED指示灯，用于显示开启/关闭电源，及显示所链接设备的供电和链接状态</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5</w:t>
            </w:r>
          </w:p>
        </w:tc>
        <w:tc>
          <w:tcPr>
            <w:tcW w:w="0" w:type="auto"/>
            <w:noWrap w:val="0"/>
            <w:vAlign w:val="center"/>
          </w:tcPr>
          <w:p>
            <w:pPr>
              <w:adjustRightInd w:val="0"/>
              <w:snapToGrid w:val="0"/>
              <w:jc w:val="center"/>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5</w:t>
            </w:r>
          </w:p>
        </w:tc>
        <w:tc>
          <w:tcPr>
            <w:tcW w:w="0" w:type="auto"/>
            <w:noWrap w:val="0"/>
            <w:vAlign w:val="center"/>
          </w:tcPr>
          <w:p>
            <w:pPr>
              <w:adjustRightInd w:val="0"/>
              <w:snapToGrid w:val="0"/>
              <w:jc w:val="center"/>
              <w:rPr>
                <w:color w:val="auto"/>
              </w:rPr>
            </w:pPr>
            <w:r>
              <w:rPr>
                <w:color w:val="auto"/>
              </w:rPr>
              <w:t>50米会议专用延长电缆</w:t>
            </w:r>
          </w:p>
        </w:tc>
        <w:tc>
          <w:tcPr>
            <w:tcW w:w="0" w:type="auto"/>
            <w:noWrap w:val="0"/>
            <w:vAlign w:val="center"/>
          </w:tcPr>
          <w:p>
            <w:pPr>
              <w:adjustRightInd w:val="0"/>
              <w:snapToGrid w:val="0"/>
              <w:rPr>
                <w:color w:val="auto"/>
              </w:rPr>
            </w:pPr>
            <w:r>
              <w:rPr>
                <w:color w:val="auto"/>
              </w:rPr>
              <w:t>网线</w:t>
            </w:r>
          </w:p>
        </w:tc>
        <w:tc>
          <w:tcPr>
            <w:tcW w:w="0" w:type="auto"/>
            <w:noWrap w:val="0"/>
            <w:vAlign w:val="center"/>
          </w:tcPr>
          <w:p>
            <w:pPr>
              <w:adjustRightInd w:val="0"/>
              <w:snapToGrid w:val="0"/>
              <w:jc w:val="center"/>
              <w:rPr>
                <w:color w:val="auto"/>
              </w:rPr>
            </w:pPr>
            <w:r>
              <w:rPr>
                <w:color w:val="auto"/>
              </w:rPr>
              <w:t>4</w:t>
            </w:r>
          </w:p>
        </w:tc>
        <w:tc>
          <w:tcPr>
            <w:tcW w:w="0" w:type="auto"/>
            <w:noWrap w:val="0"/>
            <w:vAlign w:val="center"/>
          </w:tcPr>
          <w:p>
            <w:pPr>
              <w:adjustRightInd w:val="0"/>
              <w:snapToGrid w:val="0"/>
              <w:jc w:val="center"/>
              <w:rPr>
                <w:color w:val="auto"/>
              </w:rPr>
            </w:pPr>
            <w:r>
              <w:rPr>
                <w:color w:val="auto"/>
              </w:rPr>
              <w:t>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6</w:t>
            </w:r>
          </w:p>
        </w:tc>
        <w:tc>
          <w:tcPr>
            <w:tcW w:w="0" w:type="auto"/>
            <w:noWrap w:val="0"/>
            <w:vAlign w:val="center"/>
          </w:tcPr>
          <w:p>
            <w:pPr>
              <w:adjustRightInd w:val="0"/>
              <w:snapToGrid w:val="0"/>
              <w:jc w:val="center"/>
              <w:rPr>
                <w:color w:val="auto"/>
              </w:rPr>
            </w:pPr>
            <w:r>
              <w:rPr>
                <w:color w:val="auto"/>
              </w:rPr>
              <w:t>80米会议专用延长电缆</w:t>
            </w:r>
          </w:p>
        </w:tc>
        <w:tc>
          <w:tcPr>
            <w:tcW w:w="0" w:type="auto"/>
            <w:noWrap w:val="0"/>
            <w:vAlign w:val="center"/>
          </w:tcPr>
          <w:p>
            <w:pPr>
              <w:adjustRightInd w:val="0"/>
              <w:snapToGrid w:val="0"/>
              <w:rPr>
                <w:color w:val="auto"/>
              </w:rPr>
            </w:pPr>
            <w:r>
              <w:rPr>
                <w:color w:val="auto"/>
              </w:rPr>
              <w:t>网线</w:t>
            </w:r>
          </w:p>
        </w:tc>
        <w:tc>
          <w:tcPr>
            <w:tcW w:w="0" w:type="auto"/>
            <w:noWrap w:val="0"/>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根</w:t>
            </w:r>
          </w:p>
        </w:tc>
      </w:tr>
    </w:tbl>
    <w:p>
      <w:pPr>
        <w:pStyle w:val="2"/>
        <w:ind w:left="72" w:firstLine="240"/>
        <w:rPr>
          <w:color w:val="auto"/>
        </w:rPr>
      </w:pPr>
    </w:p>
    <w:p>
      <w:pPr>
        <w:pStyle w:val="8"/>
        <w:widowControl/>
        <w:spacing w:beforeAutospacing="0" w:afterAutospacing="0" w:line="360" w:lineRule="auto"/>
        <w:jc w:val="both"/>
        <w:rPr>
          <w:rFonts w:ascii="宋体" w:hAnsi="宋体" w:eastAsia="宋体" w:cs="Times New Roman"/>
          <w:b/>
          <w:bCs/>
          <w:color w:val="auto"/>
          <w:shd w:val="clear" w:color="auto" w:fill="FFFFFF"/>
        </w:rPr>
      </w:pPr>
      <w:r>
        <w:rPr>
          <w:rFonts w:hint="eastAsia" w:ascii="宋体" w:hAnsi="宋体" w:eastAsia="宋体" w:cs="Times New Roman"/>
          <w:b/>
          <w:bCs/>
          <w:color w:val="auto"/>
          <w:shd w:val="clear" w:color="auto" w:fill="FFFFFF"/>
        </w:rPr>
        <w:t>3.1</w:t>
      </w:r>
      <w:r>
        <w:rPr>
          <w:rFonts w:ascii="宋体" w:hAnsi="宋体" w:eastAsia="宋体" w:cs="Times New Roman"/>
          <w:b/>
          <w:bCs/>
          <w:color w:val="auto"/>
          <w:shd w:val="clear" w:color="auto" w:fill="FFFFFF"/>
        </w:rPr>
        <w:t>.7 无纸化会议系统</w:t>
      </w:r>
    </w:p>
    <w:tbl>
      <w:tblPr>
        <w:tblStyle w:val="9"/>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7"/>
        <w:gridCol w:w="706"/>
        <w:gridCol w:w="6360"/>
        <w:gridCol w:w="448"/>
        <w:gridCol w:w="4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000000" w:fill="FFFFFF"/>
            <w:noWrap w:val="0"/>
            <w:vAlign w:val="center"/>
          </w:tcPr>
          <w:p>
            <w:pPr>
              <w:adjustRightInd w:val="0"/>
              <w:snapToGrid w:val="0"/>
              <w:jc w:val="center"/>
              <w:rPr>
                <w:color w:val="auto"/>
              </w:rPr>
            </w:pPr>
            <w:r>
              <w:rPr>
                <w:color w:val="auto"/>
              </w:rPr>
              <w:t>序号</w:t>
            </w:r>
          </w:p>
        </w:tc>
        <w:tc>
          <w:tcPr>
            <w:tcW w:w="0" w:type="auto"/>
            <w:shd w:val="clear" w:color="000000" w:fill="FFFFFF"/>
            <w:noWrap w:val="0"/>
            <w:vAlign w:val="center"/>
          </w:tcPr>
          <w:p>
            <w:pPr>
              <w:adjustRightInd w:val="0"/>
              <w:snapToGrid w:val="0"/>
              <w:jc w:val="center"/>
              <w:rPr>
                <w:color w:val="auto"/>
              </w:rPr>
            </w:pPr>
            <w:r>
              <w:rPr>
                <w:color w:val="auto"/>
              </w:rPr>
              <w:t>名称</w:t>
            </w:r>
          </w:p>
        </w:tc>
        <w:tc>
          <w:tcPr>
            <w:tcW w:w="0" w:type="auto"/>
            <w:shd w:val="clear" w:color="000000" w:fill="FFFFFF"/>
            <w:noWrap w:val="0"/>
            <w:vAlign w:val="center"/>
          </w:tcPr>
          <w:p>
            <w:pPr>
              <w:adjustRightInd w:val="0"/>
              <w:snapToGrid w:val="0"/>
              <w:jc w:val="center"/>
              <w:rPr>
                <w:color w:val="auto"/>
              </w:rPr>
            </w:pPr>
            <w:r>
              <w:rPr>
                <w:color w:val="auto"/>
              </w:rPr>
              <w:t>技术要求</w:t>
            </w:r>
          </w:p>
        </w:tc>
        <w:tc>
          <w:tcPr>
            <w:tcW w:w="0" w:type="auto"/>
            <w:shd w:val="clear" w:color="auto" w:fill="auto"/>
            <w:noWrap w:val="0"/>
            <w:vAlign w:val="center"/>
          </w:tcPr>
          <w:p>
            <w:pPr>
              <w:adjustRightInd w:val="0"/>
              <w:snapToGrid w:val="0"/>
              <w:jc w:val="center"/>
              <w:rPr>
                <w:color w:val="auto"/>
              </w:rPr>
            </w:pPr>
            <w:r>
              <w:rPr>
                <w:color w:val="auto"/>
              </w:rPr>
              <w:t>数量</w:t>
            </w:r>
          </w:p>
        </w:tc>
        <w:tc>
          <w:tcPr>
            <w:tcW w:w="0" w:type="auto"/>
            <w:shd w:val="clear" w:color="000000" w:fill="FFFFFF"/>
            <w:noWrap w:val="0"/>
            <w:vAlign w:val="center"/>
          </w:tcPr>
          <w:p>
            <w:pPr>
              <w:adjustRightInd w:val="0"/>
              <w:snapToGrid w:val="0"/>
              <w:jc w:val="center"/>
              <w:rPr>
                <w:color w:val="auto"/>
              </w:rPr>
            </w:pPr>
            <w:r>
              <w:rPr>
                <w:color w:val="auto"/>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5"/>
            <w:shd w:val="clear" w:color="000000" w:fill="FFFFFF"/>
            <w:noWrap w:val="0"/>
            <w:vAlign w:val="center"/>
          </w:tcPr>
          <w:p>
            <w:pPr>
              <w:adjustRightInd w:val="0"/>
              <w:snapToGrid w:val="0"/>
              <w:rPr>
                <w:color w:val="auto"/>
              </w:rPr>
            </w:pPr>
            <w:r>
              <w:rPr>
                <w:color w:val="auto"/>
              </w:rPr>
              <w:t>一、指挥中心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无纸化升降器</w:t>
            </w:r>
          </w:p>
        </w:tc>
        <w:tc>
          <w:tcPr>
            <w:tcW w:w="0" w:type="auto"/>
            <w:noWrap w:val="0"/>
            <w:vAlign w:val="center"/>
          </w:tcPr>
          <w:p>
            <w:pPr>
              <w:adjustRightInd w:val="0"/>
              <w:snapToGrid w:val="0"/>
              <w:rPr>
                <w:color w:val="auto"/>
              </w:rPr>
            </w:pPr>
            <w:r>
              <w:rPr>
                <w:color w:val="auto"/>
              </w:rPr>
              <w:t>触控超薄高清显示屏与升降器一体化设计</w:t>
            </w:r>
            <w:r>
              <w:rPr>
                <w:rFonts w:hint="eastAsia"/>
                <w:color w:val="auto"/>
              </w:rPr>
              <w:t>；</w:t>
            </w:r>
            <w:r>
              <w:rPr>
                <w:color w:val="auto"/>
              </w:rPr>
              <w:t>设备采用全铝结构，铝材加上CNC精雕加工</w:t>
            </w:r>
            <w:r>
              <w:rPr>
                <w:rFonts w:hint="eastAsia"/>
                <w:color w:val="auto"/>
              </w:rPr>
              <w:t>；</w:t>
            </w:r>
            <w:r>
              <w:rPr>
                <w:color w:val="auto"/>
              </w:rPr>
              <w:t>设备的表面处理为阳极氧化处理</w:t>
            </w:r>
            <w:r>
              <w:rPr>
                <w:rFonts w:hint="eastAsia"/>
                <w:color w:val="auto"/>
              </w:rPr>
              <w:t>；</w:t>
            </w:r>
            <w:r>
              <w:rPr>
                <w:color w:val="auto"/>
              </w:rPr>
              <w:t>设备面板厚度3mm，宽度71mm，占用空间小</w:t>
            </w:r>
            <w:r>
              <w:rPr>
                <w:rFonts w:hint="eastAsia"/>
                <w:color w:val="auto"/>
              </w:rPr>
              <w:t>；</w:t>
            </w:r>
            <w:r>
              <w:rPr>
                <w:color w:val="auto"/>
              </w:rPr>
              <w:t>传动结构做特殊处理，噪音降到最低。产品传动方式以高品质耐拉皮带与高精密度的滑块导轨和直线轴承配合，交流减速电机做驱动动力；中控协议兼容性较强，兼容所有控制主机，控制设备在上升后，屏幕自动供电，下降后，屏幕自行断电，节约环保</w:t>
            </w:r>
            <w:r>
              <w:rPr>
                <w:rFonts w:hint="eastAsia"/>
                <w:color w:val="auto"/>
              </w:rPr>
              <w:t>；</w:t>
            </w:r>
            <w:r>
              <w:rPr>
                <w:color w:val="auto"/>
              </w:rPr>
              <w:t>17.3英寸超薄液晶触屏显示器，分辨率达1920*1080P</w:t>
            </w:r>
            <w:r>
              <w:rPr>
                <w:rFonts w:hint="eastAsia"/>
                <w:color w:val="auto"/>
              </w:rPr>
              <w:t>；</w:t>
            </w:r>
            <w:r>
              <w:rPr>
                <w:color w:val="auto"/>
              </w:rPr>
              <w:t>支持HDMI和VGA两路信号输入</w:t>
            </w:r>
            <w:r>
              <w:rPr>
                <w:rFonts w:hint="eastAsia"/>
                <w:color w:val="auto"/>
              </w:rPr>
              <w:t>；</w:t>
            </w:r>
            <w:r>
              <w:rPr>
                <w:color w:val="auto"/>
              </w:rPr>
              <w:t>设备可通过中控软件进行集中控制，可通过主机进行控制，一键可让室内所有的设备都上升或下降</w:t>
            </w:r>
            <w:r>
              <w:rPr>
                <w:rFonts w:hint="eastAsia"/>
                <w:color w:val="auto"/>
              </w:rPr>
              <w:t>；</w:t>
            </w:r>
            <w:r>
              <w:rPr>
                <w:color w:val="auto"/>
              </w:rPr>
              <w:t>显示屏仰角角度可调0-30°</w:t>
            </w:r>
            <w:r>
              <w:rPr>
                <w:rFonts w:hint="eastAsia"/>
                <w:color w:val="auto"/>
              </w:rPr>
              <w:t>；</w:t>
            </w:r>
            <w:r>
              <w:rPr>
                <w:color w:val="auto"/>
              </w:rPr>
              <w:t>内置环通输出电源插座，可给终端供电减少终端电源插座布线，工程现场布线更加整洁美观。</w:t>
            </w:r>
          </w:p>
        </w:tc>
        <w:tc>
          <w:tcPr>
            <w:tcW w:w="0" w:type="auto"/>
            <w:noWrap/>
            <w:vAlign w:val="center"/>
          </w:tcPr>
          <w:p>
            <w:pPr>
              <w:adjustRightInd w:val="0"/>
              <w:snapToGrid w:val="0"/>
              <w:jc w:val="center"/>
              <w:rPr>
                <w:color w:val="auto"/>
              </w:rPr>
            </w:pPr>
            <w:r>
              <w:rPr>
                <w:color w:val="auto"/>
              </w:rPr>
              <w:t>7</w:t>
            </w:r>
          </w:p>
        </w:tc>
        <w:tc>
          <w:tcPr>
            <w:tcW w:w="0" w:type="auto"/>
            <w:noWrap/>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ign w:val="center"/>
          </w:tcPr>
          <w:p>
            <w:pPr>
              <w:adjustRightInd w:val="0"/>
              <w:snapToGrid w:val="0"/>
              <w:jc w:val="center"/>
              <w:rPr>
                <w:color w:val="auto"/>
              </w:rPr>
            </w:pPr>
            <w:r>
              <w:rPr>
                <w:color w:val="auto"/>
              </w:rPr>
              <w:t>2</w:t>
            </w:r>
          </w:p>
        </w:tc>
        <w:tc>
          <w:tcPr>
            <w:tcW w:w="0" w:type="auto"/>
            <w:noWrap w:val="0"/>
            <w:vAlign w:val="center"/>
          </w:tcPr>
          <w:p>
            <w:pPr>
              <w:adjustRightInd w:val="0"/>
              <w:snapToGrid w:val="0"/>
              <w:jc w:val="center"/>
              <w:rPr>
                <w:color w:val="auto"/>
              </w:rPr>
            </w:pPr>
            <w:r>
              <w:rPr>
                <w:color w:val="auto"/>
              </w:rPr>
              <w:t>无纸化会议终端客户端软件</w:t>
            </w:r>
          </w:p>
        </w:tc>
        <w:tc>
          <w:tcPr>
            <w:tcW w:w="0" w:type="auto"/>
            <w:noWrap w:val="0"/>
            <w:vAlign w:val="center"/>
          </w:tcPr>
          <w:p>
            <w:pPr>
              <w:adjustRightInd w:val="0"/>
              <w:snapToGrid w:val="0"/>
              <w:rPr>
                <w:color w:val="auto"/>
              </w:rPr>
            </w:pPr>
            <w:r>
              <w:rPr>
                <w:color w:val="auto"/>
              </w:rPr>
              <w:t>软件内嵌于终端设备，显示端可对多种文件格式文档进行阅览</w:t>
            </w:r>
            <w:r>
              <w:rPr>
                <w:rFonts w:hint="eastAsia"/>
                <w:color w:val="auto"/>
              </w:rPr>
              <w:t>；</w:t>
            </w:r>
            <w:r>
              <w:rPr>
                <w:color w:val="auto"/>
              </w:rPr>
              <w:t>支持多种分辨率适配，可适应各种终端界面</w:t>
            </w:r>
            <w:r>
              <w:rPr>
                <w:rFonts w:hint="eastAsia"/>
                <w:color w:val="auto"/>
              </w:rPr>
              <w:t>；</w:t>
            </w:r>
            <w:r>
              <w:rPr>
                <w:color w:val="auto"/>
              </w:rPr>
              <w:t>支持单机使用，也可以实现集中控制</w:t>
            </w:r>
            <w:r>
              <w:rPr>
                <w:rFonts w:hint="eastAsia"/>
                <w:color w:val="auto"/>
              </w:rPr>
              <w:t>；</w:t>
            </w:r>
            <w:r>
              <w:rPr>
                <w:color w:val="auto"/>
              </w:rPr>
              <w:t>升降器桌面面板预设USB信息接口，支持文档资料导入导出</w:t>
            </w:r>
            <w:r>
              <w:rPr>
                <w:rFonts w:hint="eastAsia"/>
                <w:color w:val="auto"/>
              </w:rPr>
              <w:t>；</w:t>
            </w:r>
            <w:r>
              <w:rPr>
                <w:color w:val="auto"/>
              </w:rPr>
              <w:t>触摸屏幕即可实现对客户端设备的功能使用。</w:t>
            </w:r>
          </w:p>
        </w:tc>
        <w:tc>
          <w:tcPr>
            <w:tcW w:w="0" w:type="auto"/>
            <w:noWrap/>
            <w:vAlign w:val="center"/>
          </w:tcPr>
          <w:p>
            <w:pPr>
              <w:adjustRightInd w:val="0"/>
              <w:snapToGrid w:val="0"/>
              <w:jc w:val="center"/>
              <w:rPr>
                <w:color w:val="auto"/>
              </w:rPr>
            </w:pPr>
            <w:r>
              <w:rPr>
                <w:color w:val="auto"/>
              </w:rPr>
              <w:t>7</w:t>
            </w:r>
          </w:p>
        </w:tc>
        <w:tc>
          <w:tcPr>
            <w:tcW w:w="0" w:type="auto"/>
            <w:noWrap/>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ign w:val="center"/>
          </w:tcPr>
          <w:p>
            <w:pPr>
              <w:adjustRightInd w:val="0"/>
              <w:snapToGrid w:val="0"/>
              <w:jc w:val="center"/>
              <w:rPr>
                <w:color w:val="auto"/>
              </w:rPr>
            </w:pPr>
            <w:r>
              <w:rPr>
                <w:color w:val="auto"/>
              </w:rPr>
              <w:t>3</w:t>
            </w:r>
          </w:p>
        </w:tc>
        <w:tc>
          <w:tcPr>
            <w:tcW w:w="0" w:type="auto"/>
            <w:noWrap w:val="0"/>
            <w:vAlign w:val="center"/>
          </w:tcPr>
          <w:p>
            <w:pPr>
              <w:adjustRightInd w:val="0"/>
              <w:snapToGrid w:val="0"/>
              <w:jc w:val="center"/>
              <w:rPr>
                <w:color w:val="auto"/>
              </w:rPr>
            </w:pPr>
            <w:r>
              <w:rPr>
                <w:color w:val="auto"/>
              </w:rPr>
              <w:t>无纸化会议终端</w:t>
            </w:r>
          </w:p>
        </w:tc>
        <w:tc>
          <w:tcPr>
            <w:tcW w:w="0" w:type="auto"/>
            <w:noWrap w:val="0"/>
            <w:vAlign w:val="center"/>
          </w:tcPr>
          <w:p>
            <w:pPr>
              <w:adjustRightInd w:val="0"/>
              <w:snapToGrid w:val="0"/>
              <w:rPr>
                <w:rFonts w:hint="eastAsia" w:eastAsia="宋体"/>
                <w:color w:val="auto"/>
                <w:lang w:eastAsia="zh-CN"/>
              </w:rPr>
            </w:pPr>
            <w:r>
              <w:rPr>
                <w:color w:val="auto"/>
              </w:rPr>
              <w:t>多媒体会议终端主机搭配终端内嵌软件负责处理会议过程的文件推送、文件分发、浏览阅读、文件批注、智能签到、投票表决、电子白板、电子铭牌、会议交流、会议服务、视频信号互联互通、会议管控、同屏广播等应用，搭配升降器，满足各种高端会议场合，以及重要的政务、商务、企事业单位和大型活动会场。CPU：Intel酷睿I5处理器（四核</w:t>
            </w:r>
            <w:r>
              <w:rPr>
                <w:rFonts w:hint="eastAsia"/>
                <w:color w:val="auto"/>
              </w:rPr>
              <w:t>）；</w:t>
            </w:r>
            <w:r>
              <w:rPr>
                <w:color w:val="auto"/>
              </w:rPr>
              <w:t>内存：</w:t>
            </w:r>
            <w:r>
              <w:rPr>
                <w:rFonts w:hint="eastAsia"/>
                <w:color w:val="auto"/>
              </w:rPr>
              <w:t>≥</w:t>
            </w:r>
            <w:r>
              <w:rPr>
                <w:color w:val="auto"/>
              </w:rPr>
              <w:t>DDR3 1600 4G;硬盘容量：</w:t>
            </w:r>
            <w:r>
              <w:rPr>
                <w:rFonts w:hint="eastAsia"/>
                <w:color w:val="auto"/>
              </w:rPr>
              <w:t>≥</w:t>
            </w:r>
            <w:r>
              <w:rPr>
                <w:color w:val="auto"/>
              </w:rPr>
              <w:t>128GB 固态硬盘</w:t>
            </w:r>
            <w:r>
              <w:rPr>
                <w:rFonts w:hint="eastAsia"/>
                <w:color w:val="auto"/>
              </w:rPr>
              <w:t>;</w:t>
            </w:r>
            <w:r>
              <w:rPr>
                <w:color w:val="auto"/>
              </w:rPr>
              <w:t>网卡：1×千兆网卡，RJ45接口</w:t>
            </w:r>
            <w:r>
              <w:rPr>
                <w:rFonts w:hint="eastAsia"/>
                <w:color w:val="auto"/>
              </w:rPr>
              <w:t>;</w:t>
            </w:r>
            <w:r>
              <w:rPr>
                <w:color w:val="auto"/>
              </w:rPr>
              <w:t>标准接口：</w:t>
            </w:r>
            <w:r>
              <w:rPr>
                <w:rFonts w:hint="eastAsia"/>
                <w:color w:val="auto"/>
              </w:rPr>
              <w:t>≥</w:t>
            </w:r>
            <w:r>
              <w:rPr>
                <w:color w:val="auto"/>
              </w:rPr>
              <w:t>4×USB（3.0/2.0）、</w:t>
            </w:r>
            <w:r>
              <w:rPr>
                <w:rFonts w:hint="eastAsia"/>
                <w:color w:val="auto"/>
              </w:rPr>
              <w:t>≥</w:t>
            </w:r>
            <w:r>
              <w:rPr>
                <w:color w:val="auto"/>
              </w:rPr>
              <w:t>1×HDMI、</w:t>
            </w:r>
            <w:r>
              <w:rPr>
                <w:rFonts w:hint="eastAsia"/>
                <w:color w:val="auto"/>
              </w:rPr>
              <w:t>≥</w:t>
            </w:r>
            <w:r>
              <w:rPr>
                <w:color w:val="auto"/>
              </w:rPr>
              <w:t>1×VGA、</w:t>
            </w:r>
            <w:r>
              <w:rPr>
                <w:rFonts w:hint="eastAsia"/>
                <w:color w:val="auto"/>
              </w:rPr>
              <w:t>≥</w:t>
            </w:r>
            <w:r>
              <w:rPr>
                <w:color w:val="auto"/>
              </w:rPr>
              <w:t>1×LAN、</w:t>
            </w:r>
            <w:r>
              <w:rPr>
                <w:rFonts w:hint="eastAsia"/>
                <w:color w:val="auto"/>
              </w:rPr>
              <w:t>≥</w:t>
            </w:r>
            <w:r>
              <w:rPr>
                <w:color w:val="auto"/>
              </w:rPr>
              <w:t>1×MIC-IN端口、</w:t>
            </w:r>
            <w:r>
              <w:rPr>
                <w:rFonts w:hint="eastAsia"/>
                <w:color w:val="auto"/>
              </w:rPr>
              <w:t>≥</w:t>
            </w:r>
            <w:r>
              <w:rPr>
                <w:color w:val="auto"/>
              </w:rPr>
              <w:t>1×LINE-OUT端口、</w:t>
            </w:r>
            <w:r>
              <w:rPr>
                <w:rFonts w:hint="eastAsia"/>
                <w:color w:val="auto"/>
              </w:rPr>
              <w:t>≥</w:t>
            </w:r>
            <w:r>
              <w:rPr>
                <w:color w:val="auto"/>
              </w:rPr>
              <w:t>1×DC端口、</w:t>
            </w:r>
            <w:r>
              <w:rPr>
                <w:rFonts w:hint="eastAsia"/>
                <w:color w:val="auto"/>
              </w:rPr>
              <w:t>≥</w:t>
            </w:r>
            <w:r>
              <w:rPr>
                <w:color w:val="auto"/>
              </w:rPr>
              <w:t>1×COM口</w:t>
            </w:r>
            <w:r>
              <w:rPr>
                <w:rFonts w:hint="eastAsia"/>
                <w:color w:val="auto"/>
              </w:rPr>
              <w:t>;</w:t>
            </w:r>
            <w:r>
              <w:rPr>
                <w:color w:val="auto"/>
              </w:rPr>
              <w:t>工作环境：环境温度：-10℃～50℃；相对湿度：0% ~ 95%，无结露;工作电源：DC 18.5V/6.5A;功耗：</w:t>
            </w:r>
            <w:r>
              <w:rPr>
                <w:rFonts w:hint="eastAsia"/>
                <w:color w:val="auto"/>
              </w:rPr>
              <w:t>≤</w:t>
            </w:r>
            <w:r>
              <w:rPr>
                <w:color w:val="auto"/>
              </w:rPr>
              <w:t>65W</w:t>
            </w:r>
            <w:r>
              <w:rPr>
                <w:rFonts w:hint="eastAsia"/>
                <w:color w:val="auto"/>
                <w:lang w:eastAsia="zh-CN"/>
              </w:rPr>
              <w:t>。</w:t>
            </w:r>
          </w:p>
        </w:tc>
        <w:tc>
          <w:tcPr>
            <w:tcW w:w="0" w:type="auto"/>
            <w:noWrap/>
            <w:vAlign w:val="center"/>
          </w:tcPr>
          <w:p>
            <w:pPr>
              <w:adjustRightInd w:val="0"/>
              <w:snapToGrid w:val="0"/>
              <w:jc w:val="center"/>
              <w:rPr>
                <w:color w:val="auto"/>
              </w:rPr>
            </w:pPr>
            <w:r>
              <w:rPr>
                <w:color w:val="auto"/>
              </w:rPr>
              <w:t>7</w:t>
            </w:r>
          </w:p>
        </w:tc>
        <w:tc>
          <w:tcPr>
            <w:tcW w:w="0" w:type="auto"/>
            <w:noWrap/>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ign w:val="center"/>
          </w:tcPr>
          <w:p>
            <w:pPr>
              <w:adjustRightInd w:val="0"/>
              <w:snapToGrid w:val="0"/>
              <w:jc w:val="center"/>
              <w:rPr>
                <w:color w:val="auto"/>
              </w:rPr>
            </w:pPr>
            <w:r>
              <w:rPr>
                <w:color w:val="auto"/>
              </w:rPr>
              <w:t>4</w:t>
            </w:r>
          </w:p>
        </w:tc>
        <w:tc>
          <w:tcPr>
            <w:tcW w:w="0" w:type="auto"/>
            <w:noWrap w:val="0"/>
            <w:vAlign w:val="center"/>
          </w:tcPr>
          <w:p>
            <w:pPr>
              <w:adjustRightInd w:val="0"/>
              <w:snapToGrid w:val="0"/>
              <w:jc w:val="center"/>
              <w:rPr>
                <w:color w:val="auto"/>
              </w:rPr>
            </w:pPr>
            <w:r>
              <w:rPr>
                <w:color w:val="auto"/>
              </w:rPr>
              <w:t>会议系统主机</w:t>
            </w:r>
          </w:p>
        </w:tc>
        <w:tc>
          <w:tcPr>
            <w:tcW w:w="0" w:type="auto"/>
            <w:noWrap w:val="0"/>
            <w:vAlign w:val="center"/>
          </w:tcPr>
          <w:p>
            <w:pPr>
              <w:adjustRightInd w:val="0"/>
              <w:snapToGrid w:val="0"/>
              <w:rPr>
                <w:rFonts w:hint="eastAsia" w:eastAsia="宋体"/>
                <w:color w:val="auto"/>
                <w:lang w:eastAsia="zh-CN"/>
              </w:rPr>
            </w:pPr>
            <w:r>
              <w:rPr>
                <w:rFonts w:hint="eastAsia"/>
                <w:color w:val="auto"/>
              </w:rPr>
              <w:t>1、</w:t>
            </w:r>
            <w:r>
              <w:rPr>
                <w:color w:val="auto"/>
              </w:rPr>
              <w:t>采用128位AES加密技术，支持WPA/WPA2无线安全技术，防止窃听和非授权访问，提供更高的会议系统机密性</w:t>
            </w:r>
            <w:r>
              <w:rPr>
                <w:rFonts w:hint="eastAsia"/>
                <w:color w:val="auto"/>
              </w:rPr>
              <w:t>；</w:t>
            </w:r>
            <w:r>
              <w:rPr>
                <w:color w:val="auto"/>
              </w:rPr>
              <w:t>内置高性能双CPU处理器，超强的处理能力，内核具有96位、50MIPS数字音频DSP处理器，立体声音频ADC和DAC，支持8KHz至96KHz范围内的采样速率，并支持数字音量控制。支持输出音频音量大小可调节，支持均衡和消噪等处理算法，提供更好的音质体验</w:t>
            </w:r>
            <w:r>
              <w:rPr>
                <w:rFonts w:hint="eastAsia"/>
                <w:color w:val="auto"/>
              </w:rPr>
              <w:t>；</w:t>
            </w:r>
            <w:r>
              <w:rPr>
                <w:color w:val="auto"/>
              </w:rPr>
              <w:t>采用数字处理和传输技术，20Hz~20KHz带宽的非压缩音频传输，采用超五类线屏蔽线传输，确保会议信息长距离可靠传输，同时提供完美音质。具有WIFI网络接口，可以通过连接POE网络交换机扩充无线AP数量，提供更大的无线覆盖范围</w:t>
            </w:r>
            <w:r>
              <w:rPr>
                <w:rFonts w:hint="eastAsia"/>
                <w:color w:val="auto"/>
              </w:rPr>
              <w:t>；</w:t>
            </w:r>
            <w:r>
              <w:rPr>
                <w:color w:val="auto"/>
              </w:rPr>
              <w:t>支持WiFi会议系统和全数字会议系统同时使用，具有超大系统容量，具有</w:t>
            </w:r>
            <w:r>
              <w:rPr>
                <w:rFonts w:hint="eastAsia"/>
                <w:color w:val="auto"/>
              </w:rPr>
              <w:t>≥</w:t>
            </w:r>
            <w:r>
              <w:rPr>
                <w:color w:val="auto"/>
              </w:rPr>
              <w:t>4路会议单元输出接口，系统最大支持</w:t>
            </w:r>
            <w:r>
              <w:rPr>
                <w:rFonts w:hint="eastAsia"/>
                <w:color w:val="auto"/>
              </w:rPr>
              <w:t>≥</w:t>
            </w:r>
            <w:r>
              <w:rPr>
                <w:color w:val="auto"/>
              </w:rPr>
              <w:t>4096台有线会议单元，</w:t>
            </w:r>
            <w:r>
              <w:rPr>
                <w:rFonts w:hint="eastAsia"/>
                <w:color w:val="auto"/>
              </w:rPr>
              <w:t>≥</w:t>
            </w:r>
            <w:r>
              <w:rPr>
                <w:color w:val="auto"/>
              </w:rPr>
              <w:t>300台无线会议单元。（在理想状态下）系统最大支持同时开8个有线话筒和6个无线话筒</w:t>
            </w:r>
            <w:r>
              <w:rPr>
                <w:rFonts w:hint="eastAsia"/>
                <w:color w:val="auto"/>
              </w:rPr>
              <w:t>；</w:t>
            </w:r>
            <w:r>
              <w:rPr>
                <w:color w:val="auto"/>
              </w:rPr>
              <w:t>支持同声传译功能，系统支持传输15+1的有线同声传译，支持最大可同时传输63+1的有线同声传译</w:t>
            </w:r>
            <w:r>
              <w:rPr>
                <w:rFonts w:hint="eastAsia"/>
                <w:color w:val="auto"/>
              </w:rPr>
              <w:t>；</w:t>
            </w:r>
            <w:r>
              <w:rPr>
                <w:color w:val="auto"/>
              </w:rPr>
              <w:t>支持四种话筒管理模式：FIFO/ NORMAL/VOICE(声控)/APPLY</w:t>
            </w:r>
            <w:r>
              <w:rPr>
                <w:rFonts w:hint="eastAsia"/>
                <w:color w:val="auto"/>
              </w:rPr>
              <w:t>；</w:t>
            </w:r>
            <w:r>
              <w:rPr>
                <w:color w:val="auto"/>
              </w:rPr>
              <w:t>具有1路RS-485接口，支持一台摄像机实现摄像跟踪，支持PELCO-D、VISCA控制协议。配合摄像跟踪主机达到多路视频自动跟踪功能</w:t>
            </w:r>
            <w:r>
              <w:rPr>
                <w:rFonts w:hint="eastAsia"/>
                <w:color w:val="auto"/>
              </w:rPr>
              <w:t>；</w:t>
            </w:r>
            <w:r>
              <w:rPr>
                <w:color w:val="auto"/>
              </w:rPr>
              <w:t>具有1路消防报警联动触发接口，在消防紧急状况下可为会议主机面板触摸屏、单元机屏、PC软件提供火灾报警信息</w:t>
            </w:r>
            <w:r>
              <w:rPr>
                <w:rFonts w:hint="eastAsia"/>
                <w:color w:val="auto"/>
              </w:rPr>
              <w:t>；</w:t>
            </w:r>
            <w:r>
              <w:rPr>
                <w:color w:val="auto"/>
              </w:rPr>
              <w:t>具有1路平衡信号和1路非平衡信号输入接口，1路平衡信号和1路非平衡信号输出接口，采用3针XLR平衡式音频线路，提高系统抗干扰能力</w:t>
            </w:r>
            <w:r>
              <w:rPr>
                <w:rFonts w:hint="eastAsia"/>
                <w:color w:val="auto"/>
              </w:rPr>
              <w:t>；</w:t>
            </w:r>
            <w:r>
              <w:rPr>
                <w:color w:val="auto"/>
              </w:rPr>
              <w:t>具有1路EXTENSION 口，可用于连接扩展主机。支持通过RS-232串口（COM接口）连接到中控系统主机或摄像跟踪主机，实现话筒按键指令下发联动</w:t>
            </w:r>
            <w:r>
              <w:rPr>
                <w:rFonts w:hint="eastAsia"/>
                <w:color w:val="auto"/>
              </w:rPr>
              <w:t>；</w:t>
            </w:r>
            <w:r>
              <w:rPr>
                <w:color w:val="auto"/>
              </w:rPr>
              <w:t>具有1路USB接口，支持插入U盘设备进行录音功能，支持播放背景音乐功能</w:t>
            </w:r>
            <w:r>
              <w:rPr>
                <w:rFonts w:hint="eastAsia"/>
                <w:color w:val="auto"/>
              </w:rPr>
              <w:t>；</w:t>
            </w:r>
            <w:r>
              <w:rPr>
                <w:color w:val="auto"/>
              </w:rPr>
              <w:t>具有两路功放输出接口，可接驳2×25W的定阻音箱</w:t>
            </w:r>
            <w:r>
              <w:rPr>
                <w:rFonts w:hint="eastAsia"/>
                <w:color w:val="auto"/>
              </w:rPr>
              <w:t>；</w:t>
            </w:r>
            <w:r>
              <w:rPr>
                <w:color w:val="auto"/>
              </w:rPr>
              <w:t>PC软件端可查看无线单元的电池电量、WiFi信号等信息状态。具有一键关机所有无线单元功能。支持中英文语言界面切换</w:t>
            </w:r>
            <w:r>
              <w:rPr>
                <w:rFonts w:hint="eastAsia"/>
                <w:color w:val="auto"/>
              </w:rPr>
              <w:t>；</w:t>
            </w:r>
            <w:r>
              <w:rPr>
                <w:color w:val="auto"/>
              </w:rPr>
              <w:t>支持投票表决功能，支持数据在后台实时更新显示，并且可选以文本、柱状图、饼状图方式显示结果；支持将表决结果投影放大显示</w:t>
            </w:r>
            <w:r>
              <w:rPr>
                <w:rFonts w:hint="eastAsia"/>
                <w:color w:val="auto"/>
              </w:rPr>
              <w:t>；</w:t>
            </w:r>
            <w:r>
              <w:rPr>
                <w:color w:val="auto"/>
              </w:rPr>
              <w:t>支持会议签到功能，支持按键签到、IC卡签到等方式，可设定签到限时时间，支持补充签到、远程控制签到，后台实时显示签到结果，并支持将签到结果投影放大显示</w:t>
            </w:r>
            <w:r>
              <w:rPr>
                <w:rFonts w:hint="eastAsia"/>
                <w:color w:val="auto"/>
              </w:rPr>
              <w:t>；</w:t>
            </w:r>
            <w:r>
              <w:rPr>
                <w:color w:val="auto"/>
              </w:rPr>
              <w:t>支持会议信息导出，包括签到信息、表决信息、人员信息、会议总报表等可导出表格</w:t>
            </w:r>
            <w:r>
              <w:rPr>
                <w:rFonts w:hint="eastAsia"/>
                <w:color w:val="auto"/>
              </w:rPr>
              <w:t>；</w:t>
            </w:r>
            <w:r>
              <w:rPr>
                <w:color w:val="auto"/>
              </w:rPr>
              <w:t>支持5段EQ调节功能，可针对发言者的声音特点调节不同的音效，直至达到完美的效果</w:t>
            </w:r>
            <w:r>
              <w:rPr>
                <w:rFonts w:hint="eastAsia"/>
                <w:color w:val="auto"/>
              </w:rPr>
              <w:t>；</w:t>
            </w:r>
            <w:r>
              <w:rPr>
                <w:color w:val="auto"/>
              </w:rPr>
              <w:t>后台软件可单发或广播短消息到单元机显示屏上显示，提醒单元机使用者</w:t>
            </w:r>
            <w:r>
              <w:rPr>
                <w:rFonts w:hint="eastAsia"/>
                <w:color w:val="auto"/>
              </w:rPr>
              <w:t>；</w:t>
            </w:r>
            <w:r>
              <w:rPr>
                <w:color w:val="auto"/>
              </w:rPr>
              <w:t>支持茶水申请服务功能，后台软件可以接收到来自单元机的茶水申请需求，并且提示后台人员处理</w:t>
            </w:r>
            <w:r>
              <w:rPr>
                <w:rFonts w:hint="eastAsia"/>
                <w:color w:val="auto"/>
              </w:rPr>
              <w:t>；</w:t>
            </w:r>
            <w:r>
              <w:rPr>
                <w:color w:val="auto"/>
              </w:rPr>
              <w:t>支持对话筒单元机进行发言控制，包括计时发言和定时发言功能</w:t>
            </w:r>
            <w:r>
              <w:rPr>
                <w:rFonts w:hint="eastAsia"/>
                <w:color w:val="auto"/>
              </w:rPr>
              <w:t>；</w:t>
            </w:r>
            <w:r>
              <w:rPr>
                <w:color w:val="auto"/>
              </w:rPr>
              <w:t>支持从PC端管理软件获取时间，并可同步下发到在线的会议单元。</w:t>
            </w:r>
            <w:r>
              <w:rPr>
                <w:color w:val="auto"/>
              </w:rPr>
              <w:br w:type="textWrapping"/>
            </w:r>
            <w:r>
              <w:rPr>
                <w:color w:val="auto"/>
              </w:rPr>
              <w:t>2</w:t>
            </w:r>
            <w:r>
              <w:rPr>
                <w:rFonts w:hint="eastAsia"/>
                <w:color w:val="auto"/>
              </w:rPr>
              <w:t>、</w:t>
            </w:r>
            <w:r>
              <w:rPr>
                <w:color w:val="auto"/>
              </w:rPr>
              <w:t>话筒容量：有线单元支持</w:t>
            </w:r>
            <w:r>
              <w:rPr>
                <w:rFonts w:hint="eastAsia"/>
                <w:color w:val="auto"/>
              </w:rPr>
              <w:t>≥</w:t>
            </w:r>
            <w:r>
              <w:rPr>
                <w:color w:val="auto"/>
              </w:rPr>
              <w:t>4096台、无线单元支持</w:t>
            </w:r>
            <w:r>
              <w:rPr>
                <w:rFonts w:hint="eastAsia"/>
                <w:color w:val="auto"/>
              </w:rPr>
              <w:t>≥</w:t>
            </w:r>
            <w:r>
              <w:rPr>
                <w:color w:val="auto"/>
              </w:rPr>
              <w:t>300台</w:t>
            </w:r>
            <w:r>
              <w:rPr>
                <w:rFonts w:hint="eastAsia"/>
                <w:color w:val="auto"/>
              </w:rPr>
              <w:t>；</w:t>
            </w:r>
            <w:r>
              <w:rPr>
                <w:color w:val="auto"/>
              </w:rPr>
              <w:t>通道数量：16CH、32CH、64CH</w:t>
            </w:r>
            <w:r>
              <w:rPr>
                <w:rFonts w:hint="eastAsia"/>
                <w:color w:val="auto"/>
              </w:rPr>
              <w:t>；</w:t>
            </w:r>
            <w:r>
              <w:rPr>
                <w:color w:val="auto"/>
              </w:rPr>
              <w:t>频率响应：20Hz~20KHz</w:t>
            </w:r>
            <w:r>
              <w:rPr>
                <w:rFonts w:hint="eastAsia"/>
                <w:color w:val="auto"/>
              </w:rPr>
              <w:t>；</w:t>
            </w:r>
            <w:r>
              <w:rPr>
                <w:color w:val="auto"/>
              </w:rPr>
              <w:t>信噪比：&gt;85dB(A)</w:t>
            </w:r>
            <w:r>
              <w:rPr>
                <w:rFonts w:hint="eastAsia"/>
                <w:color w:val="auto"/>
              </w:rPr>
              <w:t>；</w:t>
            </w:r>
            <w:r>
              <w:rPr>
                <w:color w:val="auto"/>
              </w:rPr>
              <w:t>动态范围：&gt;80dB</w:t>
            </w:r>
            <w:r>
              <w:rPr>
                <w:rFonts w:hint="eastAsia"/>
                <w:color w:val="auto"/>
              </w:rPr>
              <w:t>；</w:t>
            </w:r>
            <w:r>
              <w:rPr>
                <w:color w:val="auto"/>
              </w:rPr>
              <w:t>总谐波失真：&lt;0.05%</w:t>
            </w:r>
            <w:r>
              <w:rPr>
                <w:rFonts w:hint="eastAsia"/>
                <w:color w:val="auto"/>
              </w:rPr>
              <w:t>；</w:t>
            </w:r>
            <w:r>
              <w:rPr>
                <w:color w:val="auto"/>
              </w:rPr>
              <w:t>主电源：90~132VAC/180~264VACbyswitch</w:t>
            </w:r>
            <w:r>
              <w:rPr>
                <w:rFonts w:hint="eastAsia"/>
                <w:color w:val="auto"/>
              </w:rPr>
              <w:t>；</w:t>
            </w:r>
            <w:r>
              <w:rPr>
                <w:color w:val="auto"/>
              </w:rPr>
              <w:t>音频输入：LINE IN1:350mV平衡；LINE IN2:350mV非平衡</w:t>
            </w:r>
            <w:r>
              <w:rPr>
                <w:rFonts w:hint="eastAsia"/>
                <w:color w:val="auto"/>
              </w:rPr>
              <w:t>；</w:t>
            </w:r>
            <w:r>
              <w:rPr>
                <w:color w:val="auto"/>
              </w:rPr>
              <w:t>音频输出：LINE OUT1:1V平衡；LINE OUT2:1V非平衡</w:t>
            </w:r>
            <w:r>
              <w:rPr>
                <w:rFonts w:hint="eastAsia"/>
                <w:color w:val="auto"/>
              </w:rPr>
              <w:t>；</w:t>
            </w:r>
            <w:r>
              <w:rPr>
                <w:color w:val="auto"/>
              </w:rPr>
              <w:t>输出负载：&gt;1KΩ</w:t>
            </w:r>
            <w:r>
              <w:rPr>
                <w:rFonts w:hint="eastAsia"/>
                <w:color w:val="auto"/>
              </w:rPr>
              <w:t>；</w:t>
            </w:r>
            <w:r>
              <w:rPr>
                <w:color w:val="auto"/>
              </w:rPr>
              <w:t>RJ45网口：连接电脑</w:t>
            </w:r>
            <w:r>
              <w:rPr>
                <w:rFonts w:hint="eastAsia"/>
                <w:color w:val="auto"/>
              </w:rPr>
              <w:t>；</w:t>
            </w:r>
            <w:r>
              <w:rPr>
                <w:color w:val="auto"/>
              </w:rPr>
              <w:t>USB接口：录音/播放</w:t>
            </w:r>
            <w:r>
              <w:rPr>
                <w:rFonts w:hint="eastAsia"/>
                <w:color w:val="auto"/>
              </w:rPr>
              <w:t>；</w:t>
            </w:r>
            <w:r>
              <w:rPr>
                <w:color w:val="auto"/>
              </w:rPr>
              <w:t>功放输出：2×25W/4Ω</w:t>
            </w:r>
            <w:r>
              <w:rPr>
                <w:rFonts w:hint="eastAsia"/>
                <w:color w:val="auto"/>
              </w:rPr>
              <w:t>；</w:t>
            </w:r>
            <w:r>
              <w:rPr>
                <w:color w:val="auto"/>
              </w:rPr>
              <w:t>静态功耗：</w:t>
            </w:r>
            <w:r>
              <w:rPr>
                <w:rFonts w:hint="eastAsia"/>
                <w:color w:val="auto"/>
              </w:rPr>
              <w:t>≤</w:t>
            </w:r>
            <w:r>
              <w:rPr>
                <w:color w:val="auto"/>
              </w:rPr>
              <w:t>30W</w:t>
            </w:r>
            <w:r>
              <w:rPr>
                <w:rFonts w:hint="eastAsia"/>
                <w:color w:val="auto"/>
              </w:rPr>
              <w:t>；</w:t>
            </w:r>
            <w:r>
              <w:rPr>
                <w:color w:val="auto"/>
              </w:rPr>
              <w:t>输出功耗：</w:t>
            </w:r>
            <w:r>
              <w:rPr>
                <w:rFonts w:hint="eastAsia"/>
                <w:color w:val="auto"/>
              </w:rPr>
              <w:t>≤</w:t>
            </w:r>
            <w:r>
              <w:rPr>
                <w:color w:val="auto"/>
              </w:rPr>
              <w:t>320W</w:t>
            </w:r>
            <w:r>
              <w:rPr>
                <w:rFonts w:hint="eastAsia"/>
                <w:color w:val="auto"/>
              </w:rPr>
              <w:t>；</w:t>
            </w:r>
            <w:r>
              <w:rPr>
                <w:color w:val="auto"/>
              </w:rPr>
              <w:t>连接方式：专用电缆（6芯）</w:t>
            </w:r>
            <w:r>
              <w:rPr>
                <w:rFonts w:hint="eastAsia"/>
                <w:color w:val="auto"/>
              </w:rPr>
              <w:t>；</w:t>
            </w:r>
            <w:r>
              <w:rPr>
                <w:color w:val="auto"/>
              </w:rPr>
              <w:t>接头可靠性：可靠</w:t>
            </w:r>
            <w:r>
              <w:rPr>
                <w:rFonts w:hint="eastAsia"/>
                <w:color w:val="auto"/>
              </w:rPr>
              <w:t>；</w:t>
            </w:r>
            <w:r>
              <w:rPr>
                <w:color w:val="auto"/>
              </w:rPr>
              <w:t>工作温度：-10℃~+45℃</w:t>
            </w:r>
            <w:r>
              <w:rPr>
                <w:rFonts w:hint="eastAsia"/>
                <w:color w:val="auto"/>
              </w:rPr>
              <w:t>；</w:t>
            </w:r>
            <w:r>
              <w:rPr>
                <w:color w:val="auto"/>
              </w:rPr>
              <w:t>工作湿度：5%～80%相对湿度，无结露</w:t>
            </w:r>
            <w:r>
              <w:rPr>
                <w:rFonts w:hint="eastAsia"/>
                <w:color w:val="auto"/>
              </w:rPr>
              <w:t>；</w:t>
            </w:r>
            <w:r>
              <w:rPr>
                <w:color w:val="auto"/>
              </w:rPr>
              <w:t>触屏控制：</w:t>
            </w:r>
            <w:r>
              <w:rPr>
                <w:rFonts w:hint="eastAsia"/>
                <w:color w:val="auto"/>
              </w:rPr>
              <w:t>≥</w:t>
            </w:r>
            <w:r>
              <w:rPr>
                <w:color w:val="auto"/>
              </w:rPr>
              <w:t>4.3英寸TFT触控彩屏</w:t>
            </w:r>
            <w:r>
              <w:rPr>
                <w:rFonts w:hint="eastAsia"/>
                <w:color w:val="auto"/>
              </w:rPr>
              <w:t>；</w:t>
            </w:r>
            <w:r>
              <w:rPr>
                <w:color w:val="auto"/>
              </w:rPr>
              <w:t>安装方式：19英寸标准机柜</w:t>
            </w:r>
            <w:r>
              <w:rPr>
                <w:rFonts w:hint="eastAsia"/>
                <w:color w:val="auto"/>
                <w:lang w:eastAsia="zh-CN"/>
              </w:rPr>
              <w:t>。</w:t>
            </w:r>
          </w:p>
        </w:tc>
        <w:tc>
          <w:tcPr>
            <w:tcW w:w="0" w:type="auto"/>
            <w:noWrap/>
            <w:vAlign w:val="center"/>
          </w:tcPr>
          <w:p>
            <w:pPr>
              <w:adjustRightInd w:val="0"/>
              <w:snapToGrid w:val="0"/>
              <w:jc w:val="center"/>
              <w:rPr>
                <w:color w:val="auto"/>
              </w:rPr>
            </w:pPr>
            <w:r>
              <w:rPr>
                <w:color w:val="auto"/>
              </w:rPr>
              <w:t>1</w:t>
            </w:r>
          </w:p>
        </w:tc>
        <w:tc>
          <w:tcPr>
            <w:tcW w:w="0" w:type="auto"/>
            <w:noWrap/>
            <w:vAlign w:val="center"/>
          </w:tcPr>
          <w:p>
            <w:pPr>
              <w:adjustRightInd w:val="0"/>
              <w:snapToGrid w:val="0"/>
              <w:jc w:val="center"/>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ign w:val="center"/>
          </w:tcPr>
          <w:p>
            <w:pPr>
              <w:adjustRightInd w:val="0"/>
              <w:snapToGrid w:val="0"/>
              <w:jc w:val="center"/>
              <w:rPr>
                <w:color w:val="auto"/>
              </w:rPr>
            </w:pPr>
            <w:r>
              <w:rPr>
                <w:color w:val="auto"/>
              </w:rPr>
              <w:t>5</w:t>
            </w:r>
          </w:p>
        </w:tc>
        <w:tc>
          <w:tcPr>
            <w:tcW w:w="0" w:type="auto"/>
            <w:noWrap w:val="0"/>
            <w:vAlign w:val="center"/>
          </w:tcPr>
          <w:p>
            <w:pPr>
              <w:adjustRightInd w:val="0"/>
              <w:snapToGrid w:val="0"/>
              <w:jc w:val="center"/>
              <w:rPr>
                <w:color w:val="auto"/>
              </w:rPr>
            </w:pPr>
            <w:r>
              <w:rPr>
                <w:color w:val="auto"/>
              </w:rPr>
              <w:t>无纸化主机</w:t>
            </w:r>
          </w:p>
        </w:tc>
        <w:tc>
          <w:tcPr>
            <w:tcW w:w="0" w:type="auto"/>
            <w:noWrap w:val="0"/>
            <w:vAlign w:val="center"/>
          </w:tcPr>
          <w:p>
            <w:pPr>
              <w:adjustRightInd w:val="0"/>
              <w:snapToGrid w:val="0"/>
              <w:rPr>
                <w:rFonts w:hint="eastAsia" w:eastAsia="宋体"/>
                <w:color w:val="auto"/>
                <w:lang w:eastAsia="zh-CN"/>
              </w:rPr>
            </w:pPr>
            <w:r>
              <w:rPr>
                <w:rFonts w:hint="eastAsia"/>
                <w:color w:val="auto"/>
              </w:rPr>
              <w:t>1、</w:t>
            </w:r>
            <w:r>
              <w:rPr>
                <w:color w:val="auto"/>
              </w:rPr>
              <w:t>无纸化服务主机搭配管理软件，负责处理会议功能模块、会议主题、参会人员信息、会议议题、投票内容等会前信息预设，具有会议各类文件资料的上传共享、人员的权限管理设置、会议信息的实时记录等应用功能。</w:t>
            </w:r>
            <w:r>
              <w:rPr>
                <w:color w:val="auto"/>
              </w:rPr>
              <w:br w:type="textWrapping"/>
            </w:r>
            <w:r>
              <w:rPr>
                <w:color w:val="auto"/>
              </w:rPr>
              <w:t>2</w:t>
            </w:r>
            <w:r>
              <w:rPr>
                <w:rFonts w:hint="eastAsia"/>
                <w:color w:val="auto"/>
              </w:rPr>
              <w:t>、</w:t>
            </w:r>
            <w:r>
              <w:rPr>
                <w:color w:val="auto"/>
              </w:rPr>
              <w:t>CPU：I7-4790（四核/八线程/CPU主频3.6GHz）</w:t>
            </w:r>
            <w:r>
              <w:rPr>
                <w:rFonts w:hint="eastAsia"/>
                <w:color w:val="auto"/>
              </w:rPr>
              <w:t>；</w:t>
            </w:r>
            <w:r>
              <w:rPr>
                <w:color w:val="auto"/>
              </w:rPr>
              <w:t>内存：</w:t>
            </w:r>
            <w:r>
              <w:rPr>
                <w:rFonts w:hint="eastAsia"/>
                <w:color w:val="auto"/>
              </w:rPr>
              <w:t>≥</w:t>
            </w:r>
            <w:r>
              <w:rPr>
                <w:color w:val="auto"/>
              </w:rPr>
              <w:t>8G DDR3 1600</w:t>
            </w:r>
            <w:r>
              <w:rPr>
                <w:rFonts w:hint="eastAsia"/>
                <w:color w:val="auto"/>
              </w:rPr>
              <w:t>；</w:t>
            </w:r>
            <w:r>
              <w:rPr>
                <w:color w:val="auto"/>
              </w:rPr>
              <w:t>硬盘：</w:t>
            </w:r>
            <w:r>
              <w:rPr>
                <w:rFonts w:hint="eastAsia"/>
                <w:color w:val="auto"/>
              </w:rPr>
              <w:t>≥</w:t>
            </w:r>
            <w:r>
              <w:rPr>
                <w:color w:val="auto"/>
              </w:rPr>
              <w:t>1TB</w:t>
            </w:r>
            <w:r>
              <w:rPr>
                <w:rFonts w:hint="eastAsia"/>
                <w:color w:val="auto"/>
              </w:rPr>
              <w:t>；</w:t>
            </w:r>
            <w:r>
              <w:rPr>
                <w:color w:val="auto"/>
              </w:rPr>
              <w:t>网卡：</w:t>
            </w:r>
            <w:r>
              <w:rPr>
                <w:rFonts w:hint="eastAsia"/>
                <w:color w:val="auto"/>
              </w:rPr>
              <w:t>具备</w:t>
            </w:r>
            <w:r>
              <w:rPr>
                <w:color w:val="auto"/>
              </w:rPr>
              <w:t>千兆网络接口（RJ45）</w:t>
            </w:r>
            <w:r>
              <w:rPr>
                <w:rFonts w:hint="eastAsia"/>
                <w:color w:val="auto"/>
              </w:rPr>
              <w:t>；</w:t>
            </w:r>
            <w:r>
              <w:rPr>
                <w:color w:val="auto"/>
              </w:rPr>
              <w:t>视频输出接口：</w:t>
            </w:r>
            <w:r>
              <w:rPr>
                <w:rFonts w:hint="eastAsia"/>
                <w:color w:val="auto"/>
              </w:rPr>
              <w:t>≥</w:t>
            </w:r>
            <w:r>
              <w:rPr>
                <w:color w:val="auto"/>
              </w:rPr>
              <w:t>1×HDMI</w:t>
            </w:r>
            <w:r>
              <w:rPr>
                <w:rFonts w:hint="eastAsia"/>
                <w:color w:val="auto"/>
              </w:rPr>
              <w:t>；≥</w:t>
            </w:r>
            <w:r>
              <w:rPr>
                <w:color w:val="auto"/>
              </w:rPr>
              <w:t>1×DVI</w:t>
            </w:r>
            <w:r>
              <w:rPr>
                <w:rFonts w:hint="eastAsia"/>
                <w:color w:val="auto"/>
              </w:rPr>
              <w:t>；</w:t>
            </w:r>
            <w:r>
              <w:rPr>
                <w:color w:val="auto"/>
              </w:rPr>
              <w:t>音频接口：</w:t>
            </w:r>
            <w:r>
              <w:rPr>
                <w:rFonts w:hint="eastAsia"/>
                <w:color w:val="auto"/>
              </w:rPr>
              <w:t>≥</w:t>
            </w:r>
            <w:r>
              <w:rPr>
                <w:color w:val="auto"/>
              </w:rPr>
              <w:t>1×3.5mm音频输入接口</w:t>
            </w:r>
            <w:r>
              <w:rPr>
                <w:rFonts w:hint="eastAsia"/>
                <w:color w:val="auto"/>
              </w:rPr>
              <w:t>；≥</w:t>
            </w:r>
            <w:r>
              <w:rPr>
                <w:color w:val="auto"/>
              </w:rPr>
              <w:t>1×3.5mm音频输出接口</w:t>
            </w:r>
            <w:r>
              <w:rPr>
                <w:rFonts w:hint="eastAsia"/>
                <w:color w:val="auto"/>
              </w:rPr>
              <w:t>；</w:t>
            </w:r>
            <w:r>
              <w:rPr>
                <w:color w:val="auto"/>
              </w:rPr>
              <w:t>其他：</w:t>
            </w:r>
            <w:r>
              <w:rPr>
                <w:rFonts w:hint="eastAsia"/>
                <w:color w:val="auto"/>
              </w:rPr>
              <w:t>≥</w:t>
            </w:r>
            <w:r>
              <w:rPr>
                <w:color w:val="auto"/>
              </w:rPr>
              <w:t>1×串口</w:t>
            </w:r>
            <w:r>
              <w:rPr>
                <w:rFonts w:hint="eastAsia"/>
                <w:color w:val="auto"/>
              </w:rPr>
              <w:t>；≥</w:t>
            </w:r>
            <w:r>
              <w:rPr>
                <w:color w:val="auto"/>
              </w:rPr>
              <w:t>4×USB接口</w:t>
            </w:r>
            <w:r>
              <w:rPr>
                <w:rFonts w:hint="eastAsia"/>
                <w:color w:val="auto"/>
                <w:lang w:eastAsia="zh-CN"/>
              </w:rPr>
              <w:t>。</w:t>
            </w:r>
          </w:p>
        </w:tc>
        <w:tc>
          <w:tcPr>
            <w:tcW w:w="0" w:type="auto"/>
            <w:noWrap/>
            <w:vAlign w:val="center"/>
          </w:tcPr>
          <w:p>
            <w:pPr>
              <w:adjustRightInd w:val="0"/>
              <w:snapToGrid w:val="0"/>
              <w:jc w:val="center"/>
              <w:rPr>
                <w:color w:val="auto"/>
              </w:rPr>
            </w:pPr>
            <w:r>
              <w:rPr>
                <w:color w:val="auto"/>
              </w:rPr>
              <w:t>1</w:t>
            </w:r>
          </w:p>
        </w:tc>
        <w:tc>
          <w:tcPr>
            <w:tcW w:w="0" w:type="auto"/>
            <w:noWrap/>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ign w:val="center"/>
          </w:tcPr>
          <w:p>
            <w:pPr>
              <w:adjustRightInd w:val="0"/>
              <w:snapToGrid w:val="0"/>
              <w:jc w:val="center"/>
              <w:rPr>
                <w:color w:val="auto"/>
              </w:rPr>
            </w:pPr>
            <w:r>
              <w:rPr>
                <w:color w:val="auto"/>
              </w:rPr>
              <w:t>6</w:t>
            </w:r>
          </w:p>
        </w:tc>
        <w:tc>
          <w:tcPr>
            <w:tcW w:w="0" w:type="auto"/>
            <w:noWrap w:val="0"/>
            <w:vAlign w:val="center"/>
          </w:tcPr>
          <w:p>
            <w:pPr>
              <w:adjustRightInd w:val="0"/>
              <w:snapToGrid w:val="0"/>
              <w:jc w:val="center"/>
              <w:rPr>
                <w:color w:val="auto"/>
              </w:rPr>
            </w:pPr>
            <w:r>
              <w:rPr>
                <w:color w:val="auto"/>
              </w:rPr>
              <w:t>智能无纸化会议管理服务器软件</w:t>
            </w:r>
          </w:p>
        </w:tc>
        <w:tc>
          <w:tcPr>
            <w:tcW w:w="0" w:type="auto"/>
            <w:noWrap w:val="0"/>
            <w:vAlign w:val="center"/>
          </w:tcPr>
          <w:p>
            <w:pPr>
              <w:adjustRightInd w:val="0"/>
              <w:snapToGrid w:val="0"/>
              <w:rPr>
                <w:color w:val="auto"/>
              </w:rPr>
            </w:pPr>
            <w:r>
              <w:rPr>
                <w:color w:val="auto"/>
              </w:rPr>
              <w:t>为无纸化多媒体会议系统提供管理、控制、数据交互、服务等功能，支持远程登录web管理</w:t>
            </w:r>
            <w:r>
              <w:rPr>
                <w:rFonts w:hint="eastAsia"/>
                <w:color w:val="auto"/>
              </w:rPr>
              <w:t>；</w:t>
            </w:r>
            <w:r>
              <w:rPr>
                <w:color w:val="auto"/>
              </w:rPr>
              <w:t>支持添加多个会议室，支持对终端进行单个或多个同时升降机控制/开关机控制</w:t>
            </w:r>
            <w:r>
              <w:rPr>
                <w:rFonts w:hint="eastAsia"/>
                <w:color w:val="auto"/>
              </w:rPr>
              <w:t>；</w:t>
            </w:r>
            <w:r>
              <w:rPr>
                <w:color w:val="auto"/>
              </w:rPr>
              <w:t>支持用户管理功能、不同权限管理模式，含系统管理员、会议秘书、和普通用户，不同会议秘书创建的会议互相保密，系统管理员有管理所有会议的权限</w:t>
            </w:r>
            <w:r>
              <w:rPr>
                <w:rFonts w:hint="eastAsia"/>
                <w:color w:val="auto"/>
              </w:rPr>
              <w:t>；</w:t>
            </w:r>
            <w:r>
              <w:rPr>
                <w:color w:val="auto"/>
              </w:rPr>
              <w:t>会中可以对终端进行欢迎页面、会议信息、显示人名、会议标语等画面的切换，同时支持统一升降机控制、统一开关机</w:t>
            </w:r>
            <w:r>
              <w:rPr>
                <w:rFonts w:hint="eastAsia"/>
                <w:color w:val="auto"/>
              </w:rPr>
              <w:t>；</w:t>
            </w:r>
            <w:r>
              <w:rPr>
                <w:color w:val="auto"/>
              </w:rPr>
              <w:t>支持多会议标语、支持会议投票表决功能、支持视频点播、视频直播功能，支持会议议题、会议议程功能，支持会议签到、会议通知、会议服务、会议交流、电子白板、手写批注等功能</w:t>
            </w:r>
            <w:r>
              <w:rPr>
                <w:rFonts w:hint="eastAsia"/>
                <w:color w:val="auto"/>
              </w:rPr>
              <w:t>；</w:t>
            </w:r>
            <w:r>
              <w:rPr>
                <w:color w:val="auto"/>
              </w:rPr>
              <w:t>支持对文件保密，只有权限才可观看，支持对终端远程升级，支持后台查看历史记录。</w:t>
            </w:r>
          </w:p>
        </w:tc>
        <w:tc>
          <w:tcPr>
            <w:tcW w:w="0" w:type="auto"/>
            <w:noWrap/>
            <w:vAlign w:val="center"/>
          </w:tcPr>
          <w:p>
            <w:pPr>
              <w:adjustRightInd w:val="0"/>
              <w:snapToGrid w:val="0"/>
              <w:jc w:val="center"/>
              <w:rPr>
                <w:color w:val="auto"/>
              </w:rPr>
            </w:pPr>
            <w:r>
              <w:rPr>
                <w:color w:val="auto"/>
              </w:rPr>
              <w:t>1</w:t>
            </w:r>
          </w:p>
        </w:tc>
        <w:tc>
          <w:tcPr>
            <w:tcW w:w="0" w:type="auto"/>
            <w:noWrap/>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ign w:val="center"/>
          </w:tcPr>
          <w:p>
            <w:pPr>
              <w:adjustRightInd w:val="0"/>
              <w:snapToGrid w:val="0"/>
              <w:jc w:val="center"/>
              <w:rPr>
                <w:color w:val="auto"/>
              </w:rPr>
            </w:pPr>
            <w:r>
              <w:rPr>
                <w:color w:val="auto"/>
              </w:rPr>
              <w:t>7</w:t>
            </w:r>
          </w:p>
        </w:tc>
        <w:tc>
          <w:tcPr>
            <w:tcW w:w="0" w:type="auto"/>
            <w:noWrap w:val="0"/>
            <w:vAlign w:val="center"/>
          </w:tcPr>
          <w:p>
            <w:pPr>
              <w:adjustRightInd w:val="0"/>
              <w:snapToGrid w:val="0"/>
              <w:jc w:val="center"/>
              <w:rPr>
                <w:color w:val="auto"/>
              </w:rPr>
            </w:pPr>
            <w:r>
              <w:rPr>
                <w:color w:val="auto"/>
              </w:rPr>
              <w:t>无纸化流媒体主机</w:t>
            </w:r>
          </w:p>
        </w:tc>
        <w:tc>
          <w:tcPr>
            <w:tcW w:w="0" w:type="auto"/>
            <w:noWrap w:val="0"/>
            <w:vAlign w:val="center"/>
          </w:tcPr>
          <w:p>
            <w:pPr>
              <w:adjustRightInd w:val="0"/>
              <w:snapToGrid w:val="0"/>
              <w:rPr>
                <w:color w:val="auto"/>
              </w:rPr>
            </w:pPr>
            <w:r>
              <w:rPr>
                <w:color w:val="auto"/>
              </w:rPr>
              <w:t>1</w:t>
            </w:r>
            <w:r>
              <w:rPr>
                <w:rFonts w:hint="eastAsia"/>
                <w:color w:val="auto"/>
              </w:rPr>
              <w:t>、</w:t>
            </w:r>
            <w:r>
              <w:rPr>
                <w:color w:val="auto"/>
              </w:rPr>
              <w:t>标准机柜式设计（2U），内嵌高清、标清视频信号处理模块，同步、异步处理视频信号输入、输出</w:t>
            </w:r>
            <w:r>
              <w:rPr>
                <w:rFonts w:hint="eastAsia"/>
                <w:color w:val="auto"/>
              </w:rPr>
              <w:t>；</w:t>
            </w:r>
            <w:r>
              <w:rPr>
                <w:color w:val="auto"/>
              </w:rPr>
              <w:t>支持HDMI、VGA信号输入，外部信号通过此接口实时广播画面到所有会议终端并同步显示</w:t>
            </w:r>
            <w:r>
              <w:rPr>
                <w:rFonts w:hint="eastAsia"/>
                <w:color w:val="auto"/>
              </w:rPr>
              <w:t>；</w:t>
            </w:r>
            <w:r>
              <w:rPr>
                <w:color w:val="auto"/>
              </w:rPr>
              <w:t>支持HDMI、DVI信号输出，任何会议终端画面通过此接口输出至大屏幕或其他信号显示设备</w:t>
            </w:r>
            <w:r>
              <w:rPr>
                <w:rFonts w:hint="eastAsia"/>
                <w:color w:val="auto"/>
              </w:rPr>
              <w:t>；</w:t>
            </w:r>
            <w:r>
              <w:rPr>
                <w:color w:val="auto"/>
              </w:rPr>
              <w:t>配置</w:t>
            </w:r>
            <w:r>
              <w:rPr>
                <w:rFonts w:hint="eastAsia"/>
                <w:color w:val="auto"/>
              </w:rPr>
              <w:t>≥</w:t>
            </w:r>
            <w:r>
              <w:rPr>
                <w:color w:val="auto"/>
              </w:rPr>
              <w:t>1路3.5mm音频输入接口</w:t>
            </w:r>
            <w:r>
              <w:rPr>
                <w:rFonts w:hint="eastAsia"/>
                <w:color w:val="auto"/>
              </w:rPr>
              <w:t>，≥</w:t>
            </w:r>
            <w:r>
              <w:rPr>
                <w:color w:val="auto"/>
              </w:rPr>
              <w:t>1路3.5mm音频输出接口</w:t>
            </w:r>
            <w:r>
              <w:rPr>
                <w:rFonts w:hint="eastAsia"/>
                <w:color w:val="auto"/>
              </w:rPr>
              <w:t>，</w:t>
            </w:r>
            <w:r>
              <w:rPr>
                <w:color w:val="auto"/>
              </w:rPr>
              <w:t>实现音视频同步输入输出</w:t>
            </w:r>
            <w:r>
              <w:rPr>
                <w:rFonts w:hint="eastAsia"/>
                <w:color w:val="auto"/>
              </w:rPr>
              <w:t>；</w:t>
            </w:r>
            <w:r>
              <w:rPr>
                <w:color w:val="auto"/>
              </w:rPr>
              <w:t>主机支持全高清1080P、高清720P等多种高清分辨率输出。</w:t>
            </w:r>
          </w:p>
          <w:p>
            <w:pPr>
              <w:adjustRightInd w:val="0"/>
              <w:snapToGrid w:val="0"/>
              <w:rPr>
                <w:color w:val="auto"/>
              </w:rPr>
            </w:pPr>
            <w:r>
              <w:rPr>
                <w:color w:val="auto"/>
              </w:rPr>
              <w:t>2</w:t>
            </w:r>
            <w:r>
              <w:rPr>
                <w:rFonts w:hint="eastAsia"/>
                <w:color w:val="auto"/>
              </w:rPr>
              <w:t>、</w:t>
            </w:r>
            <w:r>
              <w:rPr>
                <w:color w:val="auto"/>
              </w:rPr>
              <w:t>CPU：I5-4460（四核/四线程/CPU主频3.2GHz）</w:t>
            </w:r>
            <w:r>
              <w:rPr>
                <w:rFonts w:hint="eastAsia"/>
                <w:color w:val="auto"/>
              </w:rPr>
              <w:t>；</w:t>
            </w:r>
            <w:r>
              <w:rPr>
                <w:color w:val="auto"/>
              </w:rPr>
              <w:t>内存：</w:t>
            </w:r>
            <w:r>
              <w:rPr>
                <w:rFonts w:hint="eastAsia"/>
                <w:color w:val="auto"/>
              </w:rPr>
              <w:t>≥</w:t>
            </w:r>
            <w:r>
              <w:rPr>
                <w:color w:val="auto"/>
              </w:rPr>
              <w:t>4G DDR3 1600</w:t>
            </w:r>
            <w:r>
              <w:rPr>
                <w:rFonts w:hint="eastAsia"/>
                <w:color w:val="auto"/>
              </w:rPr>
              <w:t>；</w:t>
            </w:r>
            <w:r>
              <w:rPr>
                <w:color w:val="auto"/>
              </w:rPr>
              <w:t>硬盘：</w:t>
            </w:r>
            <w:r>
              <w:rPr>
                <w:rFonts w:hint="eastAsia"/>
                <w:color w:val="auto"/>
              </w:rPr>
              <w:t>≥</w:t>
            </w:r>
            <w:r>
              <w:rPr>
                <w:color w:val="auto"/>
              </w:rPr>
              <w:t>64GB 固态硬盘</w:t>
            </w:r>
            <w:r>
              <w:rPr>
                <w:rFonts w:hint="eastAsia"/>
                <w:color w:val="auto"/>
              </w:rPr>
              <w:t>；</w:t>
            </w:r>
            <w:r>
              <w:rPr>
                <w:color w:val="auto"/>
              </w:rPr>
              <w:t>网卡：</w:t>
            </w:r>
            <w:r>
              <w:rPr>
                <w:rFonts w:hint="eastAsia"/>
                <w:color w:val="auto"/>
              </w:rPr>
              <w:t>具备</w:t>
            </w:r>
            <w:r>
              <w:rPr>
                <w:color w:val="auto"/>
              </w:rPr>
              <w:t>千兆网络接口（RJ45）</w:t>
            </w:r>
            <w:r>
              <w:rPr>
                <w:rFonts w:hint="eastAsia"/>
                <w:color w:val="auto"/>
              </w:rPr>
              <w:t>；</w:t>
            </w:r>
            <w:r>
              <w:rPr>
                <w:color w:val="auto"/>
              </w:rPr>
              <w:t>视频卡：</w:t>
            </w:r>
            <w:r>
              <w:rPr>
                <w:rFonts w:hint="eastAsia"/>
                <w:color w:val="auto"/>
              </w:rPr>
              <w:t>具备</w:t>
            </w:r>
            <w:r>
              <w:rPr>
                <w:color w:val="auto"/>
              </w:rPr>
              <w:t>MiniPCIE 采集卡</w:t>
            </w:r>
            <w:r>
              <w:rPr>
                <w:rFonts w:hint="eastAsia"/>
                <w:color w:val="auto"/>
              </w:rPr>
              <w:t>。</w:t>
            </w:r>
          </w:p>
        </w:tc>
        <w:tc>
          <w:tcPr>
            <w:tcW w:w="0" w:type="auto"/>
            <w:noWrap/>
            <w:vAlign w:val="center"/>
          </w:tcPr>
          <w:p>
            <w:pPr>
              <w:adjustRightInd w:val="0"/>
              <w:snapToGrid w:val="0"/>
              <w:jc w:val="center"/>
              <w:rPr>
                <w:color w:val="auto"/>
              </w:rPr>
            </w:pPr>
            <w:r>
              <w:rPr>
                <w:color w:val="auto"/>
              </w:rPr>
              <w:t>1</w:t>
            </w:r>
          </w:p>
        </w:tc>
        <w:tc>
          <w:tcPr>
            <w:tcW w:w="0" w:type="auto"/>
            <w:noWrap/>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ign w:val="center"/>
          </w:tcPr>
          <w:p>
            <w:pPr>
              <w:adjustRightInd w:val="0"/>
              <w:snapToGrid w:val="0"/>
              <w:jc w:val="center"/>
              <w:rPr>
                <w:color w:val="auto"/>
              </w:rPr>
            </w:pPr>
            <w:r>
              <w:rPr>
                <w:color w:val="auto"/>
              </w:rPr>
              <w:t>8</w:t>
            </w:r>
          </w:p>
        </w:tc>
        <w:tc>
          <w:tcPr>
            <w:tcW w:w="0" w:type="auto"/>
            <w:noWrap w:val="0"/>
            <w:vAlign w:val="center"/>
          </w:tcPr>
          <w:p>
            <w:pPr>
              <w:adjustRightInd w:val="0"/>
              <w:snapToGrid w:val="0"/>
              <w:jc w:val="center"/>
              <w:rPr>
                <w:color w:val="auto"/>
              </w:rPr>
            </w:pPr>
            <w:r>
              <w:rPr>
                <w:color w:val="auto"/>
              </w:rPr>
              <w:t>无纸化流媒体服务器嵌入软件</w:t>
            </w:r>
          </w:p>
        </w:tc>
        <w:tc>
          <w:tcPr>
            <w:tcW w:w="0" w:type="auto"/>
            <w:noWrap w:val="0"/>
            <w:vAlign w:val="center"/>
          </w:tcPr>
          <w:p>
            <w:pPr>
              <w:adjustRightInd w:val="0"/>
              <w:snapToGrid w:val="0"/>
              <w:rPr>
                <w:color w:val="auto"/>
              </w:rPr>
            </w:pPr>
            <w:r>
              <w:rPr>
                <w:color w:val="auto"/>
              </w:rPr>
              <w:t>支持信号格式自动转换功能，网络数据信号转换成数字信号，数字信号自动转换成网络信号传输</w:t>
            </w:r>
            <w:r>
              <w:rPr>
                <w:rFonts w:hint="eastAsia"/>
                <w:color w:val="auto"/>
              </w:rPr>
              <w:t>；</w:t>
            </w:r>
            <w:r>
              <w:rPr>
                <w:color w:val="auto"/>
              </w:rPr>
              <w:t>支持与会场同步信号跟踪功能，当会场有同步信号时保持实时跟踪并同步输出到输出接口，当会场无同步信号时，输出返回原本画面输出</w:t>
            </w:r>
            <w:r>
              <w:rPr>
                <w:rFonts w:hint="eastAsia"/>
                <w:color w:val="auto"/>
              </w:rPr>
              <w:t>；</w:t>
            </w:r>
            <w:r>
              <w:rPr>
                <w:color w:val="auto"/>
              </w:rPr>
              <w:t>支持全高清1080P、高清720P等多种高清分辨率</w:t>
            </w:r>
            <w:r>
              <w:rPr>
                <w:rFonts w:hint="eastAsia"/>
                <w:color w:val="auto"/>
              </w:rPr>
              <w:t>；</w:t>
            </w:r>
            <w:r>
              <w:rPr>
                <w:color w:val="auto"/>
              </w:rPr>
              <w:t>支持将会议标语等信息广播到大屏展示</w:t>
            </w:r>
            <w:r>
              <w:rPr>
                <w:rFonts w:hint="eastAsia"/>
                <w:color w:val="auto"/>
              </w:rPr>
              <w:t>；</w:t>
            </w:r>
            <w:r>
              <w:rPr>
                <w:color w:val="auto"/>
              </w:rPr>
              <w:t>支持投票过程、投票结果、投票结果以图形展示在大屏上</w:t>
            </w:r>
            <w:r>
              <w:rPr>
                <w:rFonts w:hint="eastAsia"/>
                <w:color w:val="auto"/>
              </w:rPr>
              <w:t>；</w:t>
            </w:r>
            <w:r>
              <w:rPr>
                <w:color w:val="auto"/>
              </w:rPr>
              <w:t>支持接收任意无纸化终端画面信号，同步展示到大屏</w:t>
            </w:r>
            <w:r>
              <w:rPr>
                <w:rFonts w:hint="eastAsia"/>
                <w:color w:val="auto"/>
              </w:rPr>
              <w:t>；</w:t>
            </w:r>
            <w:r>
              <w:rPr>
                <w:color w:val="auto"/>
              </w:rPr>
              <w:t>支持将4组不同的无纸化系统屏幕广播画面以4分屏画面投屏输出显示</w:t>
            </w:r>
            <w:r>
              <w:rPr>
                <w:rFonts w:hint="eastAsia"/>
                <w:color w:val="auto"/>
              </w:rPr>
              <w:t>；</w:t>
            </w:r>
            <w:r>
              <w:rPr>
                <w:color w:val="auto"/>
              </w:rPr>
              <w:t>支持大屏锁屏功能，可以被控制息屏、亮屏</w:t>
            </w:r>
            <w:r>
              <w:rPr>
                <w:rFonts w:hint="eastAsia"/>
                <w:color w:val="auto"/>
              </w:rPr>
              <w:t>；</w:t>
            </w:r>
            <w:r>
              <w:rPr>
                <w:color w:val="auto"/>
              </w:rPr>
              <w:t>支持点播功能，可在无纸化终端上远程控制流媒体服务器点播，并可将大屏画面同屏广播到终端上显示。</w:t>
            </w:r>
          </w:p>
        </w:tc>
        <w:tc>
          <w:tcPr>
            <w:tcW w:w="0" w:type="auto"/>
            <w:noWrap/>
            <w:vAlign w:val="center"/>
          </w:tcPr>
          <w:p>
            <w:pPr>
              <w:adjustRightInd w:val="0"/>
              <w:snapToGrid w:val="0"/>
              <w:jc w:val="center"/>
              <w:rPr>
                <w:color w:val="auto"/>
              </w:rPr>
            </w:pPr>
            <w:r>
              <w:rPr>
                <w:color w:val="auto"/>
              </w:rPr>
              <w:t>1</w:t>
            </w:r>
          </w:p>
        </w:tc>
        <w:tc>
          <w:tcPr>
            <w:tcW w:w="0" w:type="auto"/>
            <w:noWrap/>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gridSpan w:val="5"/>
            <w:noWrap/>
            <w:vAlign w:val="center"/>
          </w:tcPr>
          <w:p>
            <w:pPr>
              <w:adjustRightInd w:val="0"/>
              <w:snapToGrid w:val="0"/>
              <w:rPr>
                <w:color w:val="auto"/>
              </w:rPr>
            </w:pPr>
            <w:r>
              <w:rPr>
                <w:color w:val="auto"/>
              </w:rPr>
              <w:t>二、观摩决策区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无纸化升降器</w:t>
            </w:r>
          </w:p>
        </w:tc>
        <w:tc>
          <w:tcPr>
            <w:tcW w:w="0" w:type="auto"/>
            <w:noWrap w:val="0"/>
            <w:vAlign w:val="center"/>
          </w:tcPr>
          <w:p>
            <w:pPr>
              <w:adjustRightInd w:val="0"/>
              <w:snapToGrid w:val="0"/>
              <w:rPr>
                <w:color w:val="auto"/>
              </w:rPr>
            </w:pPr>
            <w:r>
              <w:rPr>
                <w:color w:val="auto"/>
              </w:rPr>
              <w:t>触控超薄高清显示屏与升降器一体化设计</w:t>
            </w:r>
            <w:r>
              <w:rPr>
                <w:rFonts w:hint="eastAsia"/>
                <w:color w:val="auto"/>
              </w:rPr>
              <w:t>；</w:t>
            </w:r>
            <w:r>
              <w:rPr>
                <w:color w:val="auto"/>
              </w:rPr>
              <w:t>设备采用全铝结构，铝材加上CNC精雕加工</w:t>
            </w:r>
            <w:r>
              <w:rPr>
                <w:rFonts w:hint="eastAsia"/>
                <w:color w:val="auto"/>
              </w:rPr>
              <w:t>；</w:t>
            </w:r>
            <w:r>
              <w:rPr>
                <w:color w:val="auto"/>
              </w:rPr>
              <w:t>设备的表面处理为阳极氧化处理</w:t>
            </w:r>
            <w:r>
              <w:rPr>
                <w:rFonts w:hint="eastAsia"/>
                <w:color w:val="auto"/>
              </w:rPr>
              <w:t>；</w:t>
            </w:r>
            <w:r>
              <w:rPr>
                <w:color w:val="auto"/>
              </w:rPr>
              <w:t>设备面板厚度3mm，宽度71mm，占用空间小</w:t>
            </w:r>
            <w:r>
              <w:rPr>
                <w:rFonts w:hint="eastAsia"/>
                <w:color w:val="auto"/>
              </w:rPr>
              <w:t>；</w:t>
            </w:r>
            <w:r>
              <w:rPr>
                <w:color w:val="auto"/>
              </w:rPr>
              <w:t>传动结构做特殊处理，噪音降到最低。产品传动方式以高品质耐拉皮带与高精密度的滑块导轨和直线轴承配合，交流减速电机做驱动动力；中控协议兼容性较强，兼容所有控制主机，控制设备在上升后，屏幕自动供电，下降后，屏幕自行断电，节约环保</w:t>
            </w:r>
            <w:r>
              <w:rPr>
                <w:rFonts w:hint="eastAsia"/>
                <w:color w:val="auto"/>
              </w:rPr>
              <w:t>；</w:t>
            </w:r>
            <w:r>
              <w:rPr>
                <w:color w:val="auto"/>
              </w:rPr>
              <w:t>17.3英寸超薄液晶触屏显示器，分辨率达1920*1080P</w:t>
            </w:r>
            <w:r>
              <w:rPr>
                <w:rFonts w:hint="eastAsia"/>
                <w:color w:val="auto"/>
              </w:rPr>
              <w:t>；</w:t>
            </w:r>
            <w:r>
              <w:rPr>
                <w:color w:val="auto"/>
              </w:rPr>
              <w:t>支持HDMI和VGA两路信号输入</w:t>
            </w:r>
            <w:r>
              <w:rPr>
                <w:rFonts w:hint="eastAsia"/>
                <w:color w:val="auto"/>
              </w:rPr>
              <w:t>；</w:t>
            </w:r>
            <w:r>
              <w:rPr>
                <w:color w:val="auto"/>
              </w:rPr>
              <w:t>设备可通过中控软件进行集中控制，可通过主机进行控制，一键可让室内所有的设备都上升或下降</w:t>
            </w:r>
            <w:r>
              <w:rPr>
                <w:rFonts w:hint="eastAsia"/>
                <w:color w:val="auto"/>
              </w:rPr>
              <w:t>；</w:t>
            </w:r>
            <w:r>
              <w:rPr>
                <w:color w:val="auto"/>
              </w:rPr>
              <w:t>显示屏仰角角度可调0-30°</w:t>
            </w:r>
            <w:r>
              <w:rPr>
                <w:rFonts w:hint="eastAsia"/>
                <w:color w:val="auto"/>
              </w:rPr>
              <w:t>；</w:t>
            </w:r>
            <w:r>
              <w:rPr>
                <w:color w:val="auto"/>
              </w:rPr>
              <w:t>内置环通输出电源插座，可给终端供电减少终端电源插座布线，工程现场布线更加整洁美观。</w:t>
            </w:r>
          </w:p>
        </w:tc>
        <w:tc>
          <w:tcPr>
            <w:tcW w:w="0" w:type="auto"/>
            <w:noWrap/>
            <w:vAlign w:val="center"/>
          </w:tcPr>
          <w:p>
            <w:pPr>
              <w:adjustRightInd w:val="0"/>
              <w:snapToGrid w:val="0"/>
              <w:jc w:val="center"/>
              <w:rPr>
                <w:color w:val="auto"/>
              </w:rPr>
            </w:pPr>
            <w:r>
              <w:rPr>
                <w:color w:val="auto"/>
              </w:rPr>
              <w:t>20</w:t>
            </w:r>
          </w:p>
        </w:tc>
        <w:tc>
          <w:tcPr>
            <w:tcW w:w="0" w:type="auto"/>
            <w:noWrap/>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ign w:val="center"/>
          </w:tcPr>
          <w:p>
            <w:pPr>
              <w:adjustRightInd w:val="0"/>
              <w:snapToGrid w:val="0"/>
              <w:jc w:val="center"/>
              <w:rPr>
                <w:color w:val="auto"/>
              </w:rPr>
            </w:pPr>
            <w:r>
              <w:rPr>
                <w:color w:val="auto"/>
              </w:rPr>
              <w:t>2</w:t>
            </w:r>
          </w:p>
        </w:tc>
        <w:tc>
          <w:tcPr>
            <w:tcW w:w="0" w:type="auto"/>
            <w:noWrap w:val="0"/>
            <w:vAlign w:val="center"/>
          </w:tcPr>
          <w:p>
            <w:pPr>
              <w:adjustRightInd w:val="0"/>
              <w:snapToGrid w:val="0"/>
              <w:jc w:val="center"/>
              <w:rPr>
                <w:color w:val="auto"/>
              </w:rPr>
            </w:pPr>
            <w:r>
              <w:rPr>
                <w:color w:val="auto"/>
              </w:rPr>
              <w:t>无纸化会议终端客户端软件</w:t>
            </w:r>
          </w:p>
        </w:tc>
        <w:tc>
          <w:tcPr>
            <w:tcW w:w="0" w:type="auto"/>
            <w:noWrap w:val="0"/>
            <w:vAlign w:val="center"/>
          </w:tcPr>
          <w:p>
            <w:pPr>
              <w:adjustRightInd w:val="0"/>
              <w:snapToGrid w:val="0"/>
              <w:rPr>
                <w:color w:val="auto"/>
              </w:rPr>
            </w:pPr>
            <w:r>
              <w:rPr>
                <w:color w:val="auto"/>
              </w:rPr>
              <w:t>软件内嵌于终端设备，显示端可对多种文件格式文档进行阅览</w:t>
            </w:r>
            <w:r>
              <w:rPr>
                <w:rFonts w:hint="eastAsia"/>
                <w:color w:val="auto"/>
              </w:rPr>
              <w:t>；</w:t>
            </w:r>
            <w:r>
              <w:rPr>
                <w:color w:val="auto"/>
              </w:rPr>
              <w:t>支持多种分辨率适配，可适应各种终端界面</w:t>
            </w:r>
            <w:r>
              <w:rPr>
                <w:rFonts w:hint="eastAsia"/>
                <w:color w:val="auto"/>
              </w:rPr>
              <w:t>；</w:t>
            </w:r>
            <w:r>
              <w:rPr>
                <w:color w:val="auto"/>
              </w:rPr>
              <w:t>支持单机使用，也可以实现集中控制</w:t>
            </w:r>
            <w:r>
              <w:rPr>
                <w:rFonts w:hint="eastAsia"/>
                <w:color w:val="auto"/>
              </w:rPr>
              <w:t>；</w:t>
            </w:r>
            <w:r>
              <w:rPr>
                <w:color w:val="auto"/>
              </w:rPr>
              <w:t>升降器桌面面板预设USB信息接口，支持文档资料导入导出</w:t>
            </w:r>
            <w:r>
              <w:rPr>
                <w:rFonts w:hint="eastAsia"/>
                <w:color w:val="auto"/>
              </w:rPr>
              <w:t>；</w:t>
            </w:r>
            <w:r>
              <w:rPr>
                <w:color w:val="auto"/>
              </w:rPr>
              <w:t>触摸屏幕即可实现对客户端设备的功能使用。</w:t>
            </w:r>
          </w:p>
        </w:tc>
        <w:tc>
          <w:tcPr>
            <w:tcW w:w="0" w:type="auto"/>
            <w:noWrap/>
            <w:vAlign w:val="center"/>
          </w:tcPr>
          <w:p>
            <w:pPr>
              <w:adjustRightInd w:val="0"/>
              <w:snapToGrid w:val="0"/>
              <w:jc w:val="center"/>
              <w:rPr>
                <w:color w:val="auto"/>
              </w:rPr>
            </w:pPr>
            <w:r>
              <w:rPr>
                <w:color w:val="auto"/>
              </w:rPr>
              <w:t>20</w:t>
            </w:r>
          </w:p>
        </w:tc>
        <w:tc>
          <w:tcPr>
            <w:tcW w:w="0" w:type="auto"/>
            <w:noWrap/>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ign w:val="center"/>
          </w:tcPr>
          <w:p>
            <w:pPr>
              <w:adjustRightInd w:val="0"/>
              <w:snapToGrid w:val="0"/>
              <w:jc w:val="center"/>
              <w:rPr>
                <w:color w:val="auto"/>
              </w:rPr>
            </w:pPr>
            <w:r>
              <w:rPr>
                <w:color w:val="auto"/>
              </w:rPr>
              <w:t>3</w:t>
            </w:r>
          </w:p>
        </w:tc>
        <w:tc>
          <w:tcPr>
            <w:tcW w:w="0" w:type="auto"/>
            <w:noWrap w:val="0"/>
            <w:vAlign w:val="center"/>
          </w:tcPr>
          <w:p>
            <w:pPr>
              <w:adjustRightInd w:val="0"/>
              <w:snapToGrid w:val="0"/>
              <w:jc w:val="center"/>
              <w:rPr>
                <w:color w:val="auto"/>
              </w:rPr>
            </w:pPr>
            <w:r>
              <w:rPr>
                <w:color w:val="auto"/>
              </w:rPr>
              <w:t>无纸化会议终端</w:t>
            </w:r>
          </w:p>
        </w:tc>
        <w:tc>
          <w:tcPr>
            <w:tcW w:w="0" w:type="auto"/>
            <w:noWrap w:val="0"/>
            <w:vAlign w:val="center"/>
          </w:tcPr>
          <w:p>
            <w:pPr>
              <w:adjustRightInd w:val="0"/>
              <w:snapToGrid w:val="0"/>
              <w:rPr>
                <w:rFonts w:hint="eastAsia" w:eastAsia="宋体"/>
                <w:color w:val="auto"/>
                <w:lang w:eastAsia="zh-CN"/>
              </w:rPr>
            </w:pPr>
            <w:r>
              <w:rPr>
                <w:rFonts w:hint="eastAsia"/>
                <w:color w:val="auto"/>
              </w:rPr>
              <w:t>1、</w:t>
            </w:r>
            <w:r>
              <w:rPr>
                <w:color w:val="auto"/>
              </w:rPr>
              <w:t>多媒体会议终端主机搭配终端内嵌软件负责处理会议过程的文件推送、文件分发、浏览阅读、文件批注、智能签到、投票表决、电子白板、电子铭牌、会议交流、会议服务、视频信号互联互通、会议管控、同屏广播等应用，搭配升降器，满足各种高端会议场合，以及重要的政务、商务、企事业单位和大型活动会场。</w:t>
            </w:r>
            <w:r>
              <w:rPr>
                <w:color w:val="auto"/>
              </w:rPr>
              <w:br w:type="textWrapping"/>
            </w:r>
            <w:r>
              <w:rPr>
                <w:color w:val="auto"/>
              </w:rPr>
              <w:t>2</w:t>
            </w:r>
            <w:r>
              <w:rPr>
                <w:rFonts w:hint="eastAsia"/>
                <w:color w:val="auto"/>
              </w:rPr>
              <w:t>、</w:t>
            </w:r>
            <w:r>
              <w:rPr>
                <w:color w:val="auto"/>
              </w:rPr>
              <w:t>CPU：Intel酷睿I5处理器（四核）</w:t>
            </w:r>
            <w:r>
              <w:rPr>
                <w:rFonts w:hint="eastAsia"/>
                <w:color w:val="auto"/>
              </w:rPr>
              <w:t>；</w:t>
            </w:r>
            <w:r>
              <w:rPr>
                <w:color w:val="auto"/>
              </w:rPr>
              <w:t>内存：</w:t>
            </w:r>
            <w:r>
              <w:rPr>
                <w:rFonts w:hint="eastAsia"/>
                <w:color w:val="auto"/>
              </w:rPr>
              <w:t>≥</w:t>
            </w:r>
            <w:r>
              <w:rPr>
                <w:color w:val="auto"/>
              </w:rPr>
              <w:t>DDR3 1600 4G</w:t>
            </w:r>
            <w:r>
              <w:rPr>
                <w:rFonts w:hint="eastAsia"/>
                <w:color w:val="auto"/>
              </w:rPr>
              <w:t>；</w:t>
            </w:r>
            <w:r>
              <w:rPr>
                <w:color w:val="auto"/>
              </w:rPr>
              <w:t>硬盘容量：</w:t>
            </w:r>
            <w:r>
              <w:rPr>
                <w:rFonts w:hint="eastAsia"/>
                <w:color w:val="auto"/>
              </w:rPr>
              <w:t>≥</w:t>
            </w:r>
            <w:r>
              <w:rPr>
                <w:color w:val="auto"/>
              </w:rPr>
              <w:t>128GB 固态硬盘</w:t>
            </w:r>
            <w:r>
              <w:rPr>
                <w:rFonts w:hint="eastAsia"/>
                <w:color w:val="auto"/>
              </w:rPr>
              <w:t>；</w:t>
            </w:r>
            <w:r>
              <w:rPr>
                <w:color w:val="auto"/>
              </w:rPr>
              <w:t>网卡：</w:t>
            </w:r>
            <w:r>
              <w:rPr>
                <w:rFonts w:hint="eastAsia"/>
                <w:color w:val="auto"/>
              </w:rPr>
              <w:t>≥</w:t>
            </w:r>
            <w:r>
              <w:rPr>
                <w:color w:val="auto"/>
              </w:rPr>
              <w:t>1×千兆网卡，RJ45接口</w:t>
            </w:r>
            <w:r>
              <w:rPr>
                <w:rFonts w:hint="eastAsia"/>
                <w:color w:val="auto"/>
              </w:rPr>
              <w:t>；</w:t>
            </w:r>
            <w:r>
              <w:rPr>
                <w:color w:val="auto"/>
              </w:rPr>
              <w:t>标准接口：</w:t>
            </w:r>
            <w:r>
              <w:rPr>
                <w:rFonts w:hint="eastAsia"/>
                <w:color w:val="auto"/>
              </w:rPr>
              <w:t>≥</w:t>
            </w:r>
            <w:r>
              <w:rPr>
                <w:color w:val="auto"/>
              </w:rPr>
              <w:t>4×USB（3.0/2.0）、</w:t>
            </w:r>
            <w:r>
              <w:rPr>
                <w:rFonts w:hint="eastAsia"/>
                <w:color w:val="auto"/>
              </w:rPr>
              <w:t>≥</w:t>
            </w:r>
            <w:r>
              <w:rPr>
                <w:color w:val="auto"/>
              </w:rPr>
              <w:t>1×HDMI、</w:t>
            </w:r>
            <w:r>
              <w:rPr>
                <w:rFonts w:hint="eastAsia"/>
                <w:color w:val="auto"/>
              </w:rPr>
              <w:t>≥</w:t>
            </w:r>
            <w:r>
              <w:rPr>
                <w:color w:val="auto"/>
              </w:rPr>
              <w:t>1×VGA、</w:t>
            </w:r>
            <w:r>
              <w:rPr>
                <w:rFonts w:hint="eastAsia"/>
                <w:color w:val="auto"/>
              </w:rPr>
              <w:t>≥</w:t>
            </w:r>
            <w:r>
              <w:rPr>
                <w:color w:val="auto"/>
              </w:rPr>
              <w:t>1×LAN、</w:t>
            </w:r>
            <w:r>
              <w:rPr>
                <w:rFonts w:hint="eastAsia"/>
                <w:color w:val="auto"/>
              </w:rPr>
              <w:t>≥</w:t>
            </w:r>
            <w:r>
              <w:rPr>
                <w:color w:val="auto"/>
              </w:rPr>
              <w:t>1×MIC-IN端口、</w:t>
            </w:r>
            <w:r>
              <w:rPr>
                <w:rFonts w:hint="eastAsia"/>
                <w:color w:val="auto"/>
              </w:rPr>
              <w:t>≥</w:t>
            </w:r>
            <w:r>
              <w:rPr>
                <w:color w:val="auto"/>
              </w:rPr>
              <w:t>1×LINE-OUT端口、</w:t>
            </w:r>
            <w:r>
              <w:rPr>
                <w:rFonts w:hint="eastAsia"/>
                <w:color w:val="auto"/>
              </w:rPr>
              <w:t>≥</w:t>
            </w:r>
            <w:r>
              <w:rPr>
                <w:color w:val="auto"/>
              </w:rPr>
              <w:t>1×DC端口、</w:t>
            </w:r>
            <w:r>
              <w:rPr>
                <w:rFonts w:hint="eastAsia"/>
                <w:color w:val="auto"/>
              </w:rPr>
              <w:t>≥</w:t>
            </w:r>
            <w:r>
              <w:rPr>
                <w:color w:val="auto"/>
              </w:rPr>
              <w:t>1×COM口</w:t>
            </w:r>
            <w:r>
              <w:rPr>
                <w:rFonts w:hint="eastAsia"/>
                <w:color w:val="auto"/>
              </w:rPr>
              <w:t>；</w:t>
            </w:r>
            <w:r>
              <w:rPr>
                <w:color w:val="auto"/>
              </w:rPr>
              <w:t>工作环境：环境温度：-10℃～50℃；相对湿度：0% ~ 95%，无结露</w:t>
            </w:r>
            <w:r>
              <w:rPr>
                <w:rFonts w:hint="eastAsia"/>
                <w:color w:val="auto"/>
              </w:rPr>
              <w:t>；</w:t>
            </w:r>
            <w:r>
              <w:rPr>
                <w:color w:val="auto"/>
              </w:rPr>
              <w:t>工作电源：DC 18.5V/6.5A</w:t>
            </w:r>
            <w:r>
              <w:rPr>
                <w:rFonts w:hint="eastAsia"/>
                <w:color w:val="auto"/>
              </w:rPr>
              <w:t>；</w:t>
            </w:r>
            <w:r>
              <w:rPr>
                <w:color w:val="auto"/>
              </w:rPr>
              <w:t>功耗：</w:t>
            </w:r>
            <w:r>
              <w:rPr>
                <w:rFonts w:hint="eastAsia"/>
                <w:color w:val="auto"/>
              </w:rPr>
              <w:t>≤</w:t>
            </w:r>
            <w:r>
              <w:rPr>
                <w:color w:val="auto"/>
              </w:rPr>
              <w:t>65W</w:t>
            </w:r>
            <w:r>
              <w:rPr>
                <w:rFonts w:hint="eastAsia"/>
                <w:color w:val="auto"/>
                <w:lang w:eastAsia="zh-CN"/>
              </w:rPr>
              <w:t>。</w:t>
            </w:r>
          </w:p>
        </w:tc>
        <w:tc>
          <w:tcPr>
            <w:tcW w:w="0" w:type="auto"/>
            <w:noWrap/>
            <w:vAlign w:val="center"/>
          </w:tcPr>
          <w:p>
            <w:pPr>
              <w:adjustRightInd w:val="0"/>
              <w:snapToGrid w:val="0"/>
              <w:jc w:val="center"/>
              <w:rPr>
                <w:color w:val="auto"/>
              </w:rPr>
            </w:pPr>
            <w:r>
              <w:rPr>
                <w:color w:val="auto"/>
              </w:rPr>
              <w:t>20</w:t>
            </w:r>
          </w:p>
        </w:tc>
        <w:tc>
          <w:tcPr>
            <w:tcW w:w="0" w:type="auto"/>
            <w:noWrap/>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ign w:val="center"/>
          </w:tcPr>
          <w:p>
            <w:pPr>
              <w:adjustRightInd w:val="0"/>
              <w:snapToGrid w:val="0"/>
              <w:jc w:val="center"/>
              <w:rPr>
                <w:color w:val="auto"/>
              </w:rPr>
            </w:pPr>
            <w:r>
              <w:rPr>
                <w:color w:val="auto"/>
              </w:rPr>
              <w:t>4</w:t>
            </w:r>
          </w:p>
        </w:tc>
        <w:tc>
          <w:tcPr>
            <w:tcW w:w="0" w:type="auto"/>
            <w:noWrap w:val="0"/>
            <w:vAlign w:val="center"/>
          </w:tcPr>
          <w:p>
            <w:pPr>
              <w:adjustRightInd w:val="0"/>
              <w:snapToGrid w:val="0"/>
              <w:jc w:val="center"/>
              <w:rPr>
                <w:color w:val="auto"/>
              </w:rPr>
            </w:pPr>
            <w:r>
              <w:rPr>
                <w:color w:val="auto"/>
              </w:rPr>
              <w:t>会议系统主机</w:t>
            </w:r>
          </w:p>
        </w:tc>
        <w:tc>
          <w:tcPr>
            <w:tcW w:w="0" w:type="auto"/>
            <w:noWrap w:val="0"/>
            <w:vAlign w:val="center"/>
          </w:tcPr>
          <w:p>
            <w:pPr>
              <w:adjustRightInd w:val="0"/>
              <w:snapToGrid w:val="0"/>
              <w:rPr>
                <w:rFonts w:hint="eastAsia" w:eastAsia="宋体"/>
                <w:color w:val="auto"/>
                <w:lang w:eastAsia="zh-CN"/>
              </w:rPr>
            </w:pPr>
            <w:r>
              <w:rPr>
                <w:color w:val="auto"/>
              </w:rPr>
              <w:t>1</w:t>
            </w:r>
            <w:r>
              <w:rPr>
                <w:rFonts w:hint="eastAsia"/>
                <w:color w:val="auto"/>
              </w:rPr>
              <w:t>、</w:t>
            </w:r>
            <w:r>
              <w:rPr>
                <w:color w:val="auto"/>
              </w:rPr>
              <w:t>采用128位AES加密技术，支持WPA/WPA2无线安全技术，防止窃听和非授权访问，提供更高的会议系统机密性</w:t>
            </w:r>
            <w:r>
              <w:rPr>
                <w:rFonts w:hint="eastAsia"/>
                <w:color w:val="auto"/>
              </w:rPr>
              <w:t>；</w:t>
            </w:r>
            <w:r>
              <w:rPr>
                <w:color w:val="auto"/>
              </w:rPr>
              <w:t>内置高性能双CPU处理器，超强的处理能力，内核具有96位、50MIPS数字音频DSP处理器，立体声音频ADC和DAC，支持8KHz至96KHz范围内的采样速率，并支持数字音量控制。支持输出音频音量大小可调节，支持均衡和消噪等处理算法，提供更好的音质体验</w:t>
            </w:r>
            <w:r>
              <w:rPr>
                <w:rFonts w:hint="eastAsia"/>
                <w:color w:val="auto"/>
              </w:rPr>
              <w:t>；</w:t>
            </w:r>
            <w:r>
              <w:rPr>
                <w:color w:val="auto"/>
              </w:rPr>
              <w:t>采用数字处理和传输技术，20Hz~20KHz带宽的非压缩音频传输，采用超五类线屏蔽线传输，确保会议信息长距离可靠传输，同时提供完美音质。具有WIFI网络接口，可以通过连接POE网络交换机扩充无线AP数量，提供更大的无线覆盖范围</w:t>
            </w:r>
            <w:r>
              <w:rPr>
                <w:rFonts w:hint="eastAsia"/>
                <w:color w:val="auto"/>
              </w:rPr>
              <w:t>；</w:t>
            </w:r>
            <w:r>
              <w:rPr>
                <w:color w:val="auto"/>
              </w:rPr>
              <w:t>支持WiFi会议系统和全数字会议系统同时使用，具有超大系统容量，具有</w:t>
            </w:r>
            <w:r>
              <w:rPr>
                <w:rFonts w:hint="eastAsia"/>
                <w:color w:val="auto"/>
              </w:rPr>
              <w:t>≥</w:t>
            </w:r>
            <w:r>
              <w:rPr>
                <w:color w:val="auto"/>
              </w:rPr>
              <w:t>4路会议单元输出接口，系统最大支持</w:t>
            </w:r>
            <w:r>
              <w:rPr>
                <w:rFonts w:hint="eastAsia"/>
                <w:color w:val="auto"/>
              </w:rPr>
              <w:t>≥</w:t>
            </w:r>
            <w:r>
              <w:rPr>
                <w:color w:val="auto"/>
              </w:rPr>
              <w:t>4096台有线会议单元，</w:t>
            </w:r>
            <w:r>
              <w:rPr>
                <w:rFonts w:hint="eastAsia"/>
                <w:color w:val="auto"/>
              </w:rPr>
              <w:t>≥</w:t>
            </w:r>
            <w:r>
              <w:rPr>
                <w:color w:val="auto"/>
              </w:rPr>
              <w:t>300台无线会议单元。系统最大支持同时开8个有线话筒和6个无线话筒</w:t>
            </w:r>
            <w:r>
              <w:rPr>
                <w:rFonts w:hint="eastAsia"/>
                <w:color w:val="auto"/>
              </w:rPr>
              <w:t>；</w:t>
            </w:r>
            <w:r>
              <w:rPr>
                <w:color w:val="auto"/>
              </w:rPr>
              <w:t>支持同声传译功能，系统支持传输15+1的有线同声传译，支持最大可同时传输63+1的有线同声传译</w:t>
            </w:r>
            <w:r>
              <w:rPr>
                <w:rFonts w:hint="eastAsia"/>
                <w:color w:val="auto"/>
              </w:rPr>
              <w:t>；</w:t>
            </w:r>
            <w:r>
              <w:rPr>
                <w:color w:val="auto"/>
              </w:rPr>
              <w:t>支持四种话筒管理模式：FIFO/ NORMAL/VOICE(声控)/APPLY</w:t>
            </w:r>
            <w:r>
              <w:rPr>
                <w:rFonts w:hint="eastAsia"/>
                <w:color w:val="auto"/>
              </w:rPr>
              <w:t>；</w:t>
            </w:r>
            <w:r>
              <w:rPr>
                <w:color w:val="auto"/>
              </w:rPr>
              <w:t>具有1路RS-485接口，支持一台摄像机实现摄像跟踪，支持PELCO-D、VISCA控制协议</w:t>
            </w:r>
            <w:r>
              <w:rPr>
                <w:rFonts w:hint="eastAsia"/>
                <w:color w:val="auto"/>
              </w:rPr>
              <w:t>；</w:t>
            </w:r>
            <w:r>
              <w:rPr>
                <w:color w:val="auto"/>
              </w:rPr>
              <w:t>配合摄像跟踪主机达到多路视频自动跟踪功能</w:t>
            </w:r>
            <w:r>
              <w:rPr>
                <w:rFonts w:hint="eastAsia"/>
                <w:color w:val="auto"/>
              </w:rPr>
              <w:t>；</w:t>
            </w:r>
            <w:r>
              <w:rPr>
                <w:color w:val="auto"/>
              </w:rPr>
              <w:t>具有1路消防报警联动触发接口，在消防紧急状况下可为会议主机面板触摸屏、单元机屏、PC软件提供火灾报警信息</w:t>
            </w:r>
            <w:r>
              <w:rPr>
                <w:rFonts w:hint="eastAsia"/>
                <w:color w:val="auto"/>
              </w:rPr>
              <w:t>；</w:t>
            </w:r>
            <w:r>
              <w:rPr>
                <w:color w:val="auto"/>
              </w:rPr>
              <w:t>具有1路平衡信号和1路非平衡信号输入接口，1路平衡信号和1路非平衡信号输出接口，采用3针XLR平衡式音频线路，提高系统抗干扰能力</w:t>
            </w:r>
            <w:r>
              <w:rPr>
                <w:rFonts w:hint="eastAsia"/>
                <w:color w:val="auto"/>
              </w:rPr>
              <w:t>；</w:t>
            </w:r>
            <w:r>
              <w:rPr>
                <w:color w:val="auto"/>
              </w:rPr>
              <w:t>具有1路EXTENSION 口，可用于连接扩展主机</w:t>
            </w:r>
            <w:r>
              <w:rPr>
                <w:rFonts w:hint="eastAsia"/>
                <w:color w:val="auto"/>
              </w:rPr>
              <w:t>；</w:t>
            </w:r>
            <w:r>
              <w:rPr>
                <w:color w:val="auto"/>
              </w:rPr>
              <w:t>支持通过RS-232串口（COM接口）连接到中控系统主机或摄像跟踪主机，实现话筒按键指令下发联动。具有1路USB接口，支持插入U盘设备进行录音功能，支持播放背景音乐功能。具有两路功放输出接口，可接驳2×25W的定阻音箱。PC软件端可查看无线单元的电池电量、WiFi信号等信息状态。具有一键关机所有无线单元功能。支持中英文语言界面切换</w:t>
            </w:r>
            <w:r>
              <w:rPr>
                <w:rFonts w:hint="eastAsia"/>
                <w:color w:val="auto"/>
              </w:rPr>
              <w:t>；</w:t>
            </w:r>
            <w:r>
              <w:rPr>
                <w:color w:val="auto"/>
              </w:rPr>
              <w:t>支持投票表决功能，支持数据在后台实时更新显示，并且可选以文本、柱状图、饼状图方式显示结果；支持将表决结果投影放大显示。支持会议签到功能，支持按键签到、IC卡签到等方式，可设定签到限时时间，支持补充签到、远程控制签到，后台实时显示签到结果，并支持将签到结果投影放大显示</w:t>
            </w:r>
            <w:r>
              <w:rPr>
                <w:rFonts w:hint="eastAsia"/>
                <w:color w:val="auto"/>
              </w:rPr>
              <w:t>；</w:t>
            </w:r>
            <w:r>
              <w:rPr>
                <w:color w:val="auto"/>
              </w:rPr>
              <w:t>支持会议信息导出，包括签到信息、表决信息、人员信息、会议总报表等可导出表格</w:t>
            </w:r>
            <w:r>
              <w:rPr>
                <w:rFonts w:hint="eastAsia"/>
                <w:color w:val="auto"/>
              </w:rPr>
              <w:t>；</w:t>
            </w:r>
            <w:r>
              <w:rPr>
                <w:color w:val="auto"/>
              </w:rPr>
              <w:t>支持5段EQ调节功能，可针对发言者的声音特点调节不同的音效，直至达到完美的效果</w:t>
            </w:r>
            <w:r>
              <w:rPr>
                <w:rFonts w:hint="eastAsia"/>
                <w:color w:val="auto"/>
              </w:rPr>
              <w:t>；</w:t>
            </w:r>
            <w:r>
              <w:rPr>
                <w:color w:val="auto"/>
              </w:rPr>
              <w:t>后台软件可单发或广播短消息到单元机显示屏上显示，提醒单元机使用者</w:t>
            </w:r>
            <w:r>
              <w:rPr>
                <w:rFonts w:hint="eastAsia"/>
                <w:color w:val="auto"/>
              </w:rPr>
              <w:t>；</w:t>
            </w:r>
            <w:r>
              <w:rPr>
                <w:color w:val="auto"/>
              </w:rPr>
              <w:t>支持茶水申请服务功能，后台软件可以接收到来自单元机的茶水申请需求，并且提示后台人员处理</w:t>
            </w:r>
            <w:r>
              <w:rPr>
                <w:rFonts w:hint="eastAsia"/>
                <w:color w:val="auto"/>
              </w:rPr>
              <w:t>；</w:t>
            </w:r>
            <w:r>
              <w:rPr>
                <w:color w:val="auto"/>
              </w:rPr>
              <w:t>支持对话筒单元机进行发言控制，包括计时发言和定时发言功能</w:t>
            </w:r>
            <w:r>
              <w:rPr>
                <w:rFonts w:hint="eastAsia"/>
                <w:color w:val="auto"/>
              </w:rPr>
              <w:t>；</w:t>
            </w:r>
            <w:r>
              <w:rPr>
                <w:color w:val="auto"/>
              </w:rPr>
              <w:t>支持从PC端管理软件获取时间，并可同步下发到在线的会议单元。</w:t>
            </w:r>
            <w:r>
              <w:rPr>
                <w:color w:val="auto"/>
              </w:rPr>
              <w:br w:type="textWrapping"/>
            </w:r>
            <w:r>
              <w:rPr>
                <w:color w:val="auto"/>
              </w:rPr>
              <w:t>2</w:t>
            </w:r>
            <w:r>
              <w:rPr>
                <w:rFonts w:hint="eastAsia"/>
                <w:color w:val="auto"/>
              </w:rPr>
              <w:t>、</w:t>
            </w:r>
            <w:r>
              <w:rPr>
                <w:color w:val="auto"/>
              </w:rPr>
              <w:t>话筒容量：有线单元支持</w:t>
            </w:r>
            <w:r>
              <w:rPr>
                <w:rFonts w:hint="eastAsia"/>
                <w:color w:val="auto"/>
              </w:rPr>
              <w:t>≥</w:t>
            </w:r>
            <w:r>
              <w:rPr>
                <w:color w:val="auto"/>
              </w:rPr>
              <w:t>4096台、无线单元支持</w:t>
            </w:r>
            <w:r>
              <w:rPr>
                <w:rFonts w:hint="eastAsia"/>
                <w:color w:val="auto"/>
              </w:rPr>
              <w:t>≥</w:t>
            </w:r>
            <w:r>
              <w:rPr>
                <w:color w:val="auto"/>
              </w:rPr>
              <w:t>300台</w:t>
            </w:r>
            <w:r>
              <w:rPr>
                <w:rFonts w:hint="eastAsia"/>
                <w:color w:val="auto"/>
              </w:rPr>
              <w:t>；</w:t>
            </w:r>
            <w:r>
              <w:rPr>
                <w:color w:val="auto"/>
              </w:rPr>
              <w:t>通道数量：16CH、32CH、64CH</w:t>
            </w:r>
            <w:r>
              <w:rPr>
                <w:rFonts w:hint="eastAsia"/>
                <w:color w:val="auto"/>
              </w:rPr>
              <w:t>；</w:t>
            </w:r>
            <w:r>
              <w:rPr>
                <w:color w:val="auto"/>
              </w:rPr>
              <w:t>频率响应：20Hz~20KHz</w:t>
            </w:r>
            <w:r>
              <w:rPr>
                <w:rFonts w:hint="eastAsia"/>
                <w:color w:val="auto"/>
              </w:rPr>
              <w:t>；</w:t>
            </w:r>
            <w:r>
              <w:rPr>
                <w:color w:val="auto"/>
              </w:rPr>
              <w:t>信噪比：&gt;85dB(A)</w:t>
            </w:r>
            <w:r>
              <w:rPr>
                <w:rFonts w:hint="eastAsia"/>
                <w:color w:val="auto"/>
              </w:rPr>
              <w:t>；</w:t>
            </w:r>
            <w:r>
              <w:rPr>
                <w:color w:val="auto"/>
              </w:rPr>
              <w:t>动态范围：&gt;80dB</w:t>
            </w:r>
            <w:r>
              <w:rPr>
                <w:rFonts w:hint="eastAsia"/>
                <w:color w:val="auto"/>
              </w:rPr>
              <w:t>；</w:t>
            </w:r>
            <w:r>
              <w:rPr>
                <w:color w:val="auto"/>
              </w:rPr>
              <w:t>总谐波失真：&lt;0.05%</w:t>
            </w:r>
            <w:r>
              <w:rPr>
                <w:rFonts w:hint="eastAsia"/>
                <w:color w:val="auto"/>
              </w:rPr>
              <w:t>；</w:t>
            </w:r>
            <w:r>
              <w:rPr>
                <w:color w:val="auto"/>
              </w:rPr>
              <w:t>主电源：90~132VAC/180~264VACbyswitch</w:t>
            </w:r>
            <w:r>
              <w:rPr>
                <w:rFonts w:hint="eastAsia"/>
                <w:color w:val="auto"/>
              </w:rPr>
              <w:t>；</w:t>
            </w:r>
            <w:r>
              <w:rPr>
                <w:color w:val="auto"/>
              </w:rPr>
              <w:t>音频输入：LINE IN1:350mV平衡；LINE IN2:350mV非平衡</w:t>
            </w:r>
            <w:r>
              <w:rPr>
                <w:rFonts w:hint="eastAsia"/>
                <w:color w:val="auto"/>
              </w:rPr>
              <w:t>；</w:t>
            </w:r>
            <w:r>
              <w:rPr>
                <w:color w:val="auto"/>
              </w:rPr>
              <w:t>音频输出：LINE OUT1:1V平衡；LINE OUT2:1V非平衡</w:t>
            </w:r>
            <w:r>
              <w:rPr>
                <w:rFonts w:hint="eastAsia"/>
                <w:color w:val="auto"/>
              </w:rPr>
              <w:t>；</w:t>
            </w:r>
            <w:r>
              <w:rPr>
                <w:color w:val="auto"/>
              </w:rPr>
              <w:t>输出负载：&gt;1KΩ</w:t>
            </w:r>
            <w:r>
              <w:rPr>
                <w:rFonts w:hint="eastAsia"/>
                <w:color w:val="auto"/>
              </w:rPr>
              <w:t>；</w:t>
            </w:r>
            <w:r>
              <w:rPr>
                <w:color w:val="auto"/>
              </w:rPr>
              <w:t>RJ45网口：连接电脑</w:t>
            </w:r>
            <w:r>
              <w:rPr>
                <w:rFonts w:hint="eastAsia"/>
                <w:color w:val="auto"/>
              </w:rPr>
              <w:t>；</w:t>
            </w:r>
            <w:r>
              <w:rPr>
                <w:color w:val="auto"/>
              </w:rPr>
              <w:t>USB接口：录音/播放</w:t>
            </w:r>
            <w:r>
              <w:rPr>
                <w:rFonts w:hint="eastAsia"/>
                <w:color w:val="auto"/>
              </w:rPr>
              <w:t>；</w:t>
            </w:r>
            <w:r>
              <w:rPr>
                <w:color w:val="auto"/>
              </w:rPr>
              <w:t>功放输出：2×25W/4Ω</w:t>
            </w:r>
            <w:r>
              <w:rPr>
                <w:rFonts w:hint="eastAsia"/>
                <w:color w:val="auto"/>
              </w:rPr>
              <w:t>；</w:t>
            </w:r>
            <w:r>
              <w:rPr>
                <w:color w:val="auto"/>
              </w:rPr>
              <w:t>静态功耗：</w:t>
            </w:r>
            <w:r>
              <w:rPr>
                <w:rFonts w:hint="eastAsia"/>
                <w:color w:val="auto"/>
              </w:rPr>
              <w:t>≤</w:t>
            </w:r>
            <w:r>
              <w:rPr>
                <w:color w:val="auto"/>
              </w:rPr>
              <w:t>30W</w:t>
            </w:r>
            <w:r>
              <w:rPr>
                <w:rFonts w:hint="eastAsia"/>
                <w:color w:val="auto"/>
              </w:rPr>
              <w:t>；</w:t>
            </w:r>
            <w:r>
              <w:rPr>
                <w:color w:val="auto"/>
              </w:rPr>
              <w:t>输出功耗：</w:t>
            </w:r>
            <w:r>
              <w:rPr>
                <w:rFonts w:hint="eastAsia"/>
                <w:color w:val="auto"/>
              </w:rPr>
              <w:t>≤</w:t>
            </w:r>
            <w:r>
              <w:rPr>
                <w:color w:val="auto"/>
              </w:rPr>
              <w:t>320W</w:t>
            </w:r>
            <w:r>
              <w:rPr>
                <w:rFonts w:hint="eastAsia"/>
                <w:color w:val="auto"/>
              </w:rPr>
              <w:t>；</w:t>
            </w:r>
            <w:r>
              <w:rPr>
                <w:color w:val="auto"/>
              </w:rPr>
              <w:t>连接方式：专用电缆（6芯）</w:t>
            </w:r>
            <w:r>
              <w:rPr>
                <w:rFonts w:hint="eastAsia"/>
                <w:color w:val="auto"/>
              </w:rPr>
              <w:t>；</w:t>
            </w:r>
            <w:r>
              <w:rPr>
                <w:color w:val="auto"/>
              </w:rPr>
              <w:t>接头可靠性：可靠</w:t>
            </w:r>
            <w:r>
              <w:rPr>
                <w:rFonts w:hint="eastAsia"/>
                <w:color w:val="auto"/>
              </w:rPr>
              <w:t>；</w:t>
            </w:r>
            <w:r>
              <w:rPr>
                <w:color w:val="auto"/>
              </w:rPr>
              <w:t>工作温度：-10℃~+45℃</w:t>
            </w:r>
            <w:r>
              <w:rPr>
                <w:rFonts w:hint="eastAsia"/>
                <w:color w:val="auto"/>
              </w:rPr>
              <w:t>；</w:t>
            </w:r>
            <w:r>
              <w:rPr>
                <w:color w:val="auto"/>
              </w:rPr>
              <w:t>工作湿度：5%～80%相对湿度，无结露</w:t>
            </w:r>
            <w:r>
              <w:rPr>
                <w:rFonts w:hint="eastAsia"/>
                <w:color w:val="auto"/>
              </w:rPr>
              <w:t>；</w:t>
            </w:r>
            <w:r>
              <w:rPr>
                <w:color w:val="auto"/>
              </w:rPr>
              <w:t>触屏控制：</w:t>
            </w:r>
            <w:r>
              <w:rPr>
                <w:rFonts w:hint="eastAsia"/>
                <w:color w:val="auto"/>
              </w:rPr>
              <w:t>≥</w:t>
            </w:r>
            <w:r>
              <w:rPr>
                <w:color w:val="auto"/>
              </w:rPr>
              <w:t>4.3英寸TFT触控彩屏</w:t>
            </w:r>
            <w:r>
              <w:rPr>
                <w:rFonts w:hint="eastAsia"/>
                <w:color w:val="auto"/>
              </w:rPr>
              <w:t>；</w:t>
            </w:r>
            <w:r>
              <w:rPr>
                <w:color w:val="auto"/>
              </w:rPr>
              <w:t>安装方式：19英寸标准机柜</w:t>
            </w:r>
            <w:r>
              <w:rPr>
                <w:rFonts w:hint="eastAsia"/>
                <w:color w:val="auto"/>
                <w:lang w:eastAsia="zh-CN"/>
              </w:rPr>
              <w:t>。</w:t>
            </w:r>
          </w:p>
        </w:tc>
        <w:tc>
          <w:tcPr>
            <w:tcW w:w="0" w:type="auto"/>
            <w:noWrap/>
            <w:vAlign w:val="center"/>
          </w:tcPr>
          <w:p>
            <w:pPr>
              <w:adjustRightInd w:val="0"/>
              <w:snapToGrid w:val="0"/>
              <w:jc w:val="center"/>
              <w:rPr>
                <w:color w:val="auto"/>
              </w:rPr>
            </w:pPr>
            <w:r>
              <w:rPr>
                <w:color w:val="auto"/>
              </w:rPr>
              <w:t>1</w:t>
            </w:r>
          </w:p>
        </w:tc>
        <w:tc>
          <w:tcPr>
            <w:tcW w:w="0" w:type="auto"/>
            <w:noWrap/>
            <w:vAlign w:val="center"/>
          </w:tcPr>
          <w:p>
            <w:pPr>
              <w:adjustRightInd w:val="0"/>
              <w:snapToGrid w:val="0"/>
              <w:jc w:val="center"/>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ign w:val="center"/>
          </w:tcPr>
          <w:p>
            <w:pPr>
              <w:adjustRightInd w:val="0"/>
              <w:snapToGrid w:val="0"/>
              <w:jc w:val="center"/>
              <w:rPr>
                <w:color w:val="auto"/>
              </w:rPr>
            </w:pPr>
            <w:r>
              <w:rPr>
                <w:color w:val="auto"/>
              </w:rPr>
              <w:t>5</w:t>
            </w:r>
          </w:p>
        </w:tc>
        <w:tc>
          <w:tcPr>
            <w:tcW w:w="0" w:type="auto"/>
            <w:noWrap w:val="0"/>
            <w:vAlign w:val="center"/>
          </w:tcPr>
          <w:p>
            <w:pPr>
              <w:adjustRightInd w:val="0"/>
              <w:snapToGrid w:val="0"/>
              <w:jc w:val="center"/>
              <w:rPr>
                <w:color w:val="auto"/>
              </w:rPr>
            </w:pPr>
            <w:r>
              <w:rPr>
                <w:color w:val="auto"/>
              </w:rPr>
              <w:t>无纸化主机</w:t>
            </w:r>
          </w:p>
        </w:tc>
        <w:tc>
          <w:tcPr>
            <w:tcW w:w="0" w:type="auto"/>
            <w:noWrap w:val="0"/>
            <w:vAlign w:val="center"/>
          </w:tcPr>
          <w:p>
            <w:pPr>
              <w:adjustRightInd w:val="0"/>
              <w:snapToGrid w:val="0"/>
              <w:rPr>
                <w:rFonts w:hint="eastAsia" w:eastAsia="宋体"/>
                <w:color w:val="auto"/>
                <w:lang w:eastAsia="zh-CN"/>
              </w:rPr>
            </w:pPr>
            <w:r>
              <w:rPr>
                <w:rFonts w:hint="eastAsia"/>
                <w:color w:val="auto"/>
              </w:rPr>
              <w:t>1、</w:t>
            </w:r>
            <w:r>
              <w:rPr>
                <w:color w:val="auto"/>
              </w:rPr>
              <w:t>无纸化服务主机搭配管理软件，负责处理会议功能模块、会议主题、参会人员信息、会议议题、投票内容等会前信息预设，具有会议各类文件资料的上传共享、人员的权限管理设置、会议信息的实时记录等应用功能。</w:t>
            </w:r>
            <w:r>
              <w:rPr>
                <w:color w:val="auto"/>
              </w:rPr>
              <w:br w:type="textWrapping"/>
            </w:r>
            <w:bookmarkStart w:id="3" w:name="OLE_LINK3"/>
            <w:bookmarkStart w:id="4" w:name="OLE_LINK4"/>
            <w:r>
              <w:rPr>
                <w:color w:val="auto"/>
              </w:rPr>
              <w:t>2</w:t>
            </w:r>
            <w:r>
              <w:rPr>
                <w:rFonts w:hint="eastAsia"/>
                <w:color w:val="auto"/>
              </w:rPr>
              <w:t>、</w:t>
            </w:r>
            <w:r>
              <w:rPr>
                <w:color w:val="auto"/>
              </w:rPr>
              <w:t>CPU：I7-4790（四核/八线程/CPU主频</w:t>
            </w:r>
            <w:r>
              <w:rPr>
                <w:rFonts w:hint="eastAsia"/>
                <w:color w:val="auto"/>
              </w:rPr>
              <w:t>≥</w:t>
            </w:r>
            <w:r>
              <w:rPr>
                <w:color w:val="auto"/>
              </w:rPr>
              <w:t>3.6GHz）</w:t>
            </w:r>
            <w:r>
              <w:rPr>
                <w:rFonts w:hint="eastAsia"/>
                <w:color w:val="auto"/>
              </w:rPr>
              <w:t>；</w:t>
            </w:r>
            <w:r>
              <w:rPr>
                <w:color w:val="auto"/>
              </w:rPr>
              <w:t>内存：</w:t>
            </w:r>
            <w:r>
              <w:rPr>
                <w:rFonts w:hint="eastAsia"/>
                <w:color w:val="auto"/>
              </w:rPr>
              <w:t>≥</w:t>
            </w:r>
            <w:r>
              <w:rPr>
                <w:color w:val="auto"/>
              </w:rPr>
              <w:t>8G DDR3 1600</w:t>
            </w:r>
            <w:r>
              <w:rPr>
                <w:rFonts w:hint="eastAsia"/>
                <w:color w:val="auto"/>
              </w:rPr>
              <w:t>；</w:t>
            </w:r>
            <w:r>
              <w:rPr>
                <w:color w:val="auto"/>
              </w:rPr>
              <w:t>硬盘：</w:t>
            </w:r>
            <w:r>
              <w:rPr>
                <w:rFonts w:hint="eastAsia"/>
                <w:color w:val="auto"/>
              </w:rPr>
              <w:t>≥</w:t>
            </w:r>
            <w:r>
              <w:rPr>
                <w:color w:val="auto"/>
              </w:rPr>
              <w:t>1TB</w:t>
            </w:r>
            <w:r>
              <w:rPr>
                <w:rFonts w:hint="eastAsia"/>
                <w:color w:val="auto"/>
              </w:rPr>
              <w:t>；</w:t>
            </w:r>
            <w:r>
              <w:rPr>
                <w:color w:val="auto"/>
              </w:rPr>
              <w:t>网卡：千兆网络接口（RJ45）</w:t>
            </w:r>
            <w:r>
              <w:rPr>
                <w:rFonts w:hint="eastAsia"/>
                <w:color w:val="auto"/>
              </w:rPr>
              <w:t>；</w:t>
            </w:r>
            <w:r>
              <w:rPr>
                <w:color w:val="auto"/>
              </w:rPr>
              <w:t>视频输出接口：</w:t>
            </w:r>
            <w:r>
              <w:rPr>
                <w:rFonts w:hint="eastAsia"/>
                <w:color w:val="auto"/>
              </w:rPr>
              <w:t>≥</w:t>
            </w:r>
            <w:r>
              <w:rPr>
                <w:color w:val="auto"/>
              </w:rPr>
              <w:t>1×HDMI、</w:t>
            </w:r>
            <w:r>
              <w:rPr>
                <w:rFonts w:hint="eastAsia"/>
                <w:color w:val="auto"/>
              </w:rPr>
              <w:t>≥</w:t>
            </w:r>
            <w:r>
              <w:rPr>
                <w:color w:val="auto"/>
              </w:rPr>
              <w:t>1×DVI</w:t>
            </w:r>
            <w:r>
              <w:rPr>
                <w:rFonts w:hint="eastAsia"/>
                <w:color w:val="auto"/>
              </w:rPr>
              <w:t>；</w:t>
            </w:r>
            <w:r>
              <w:rPr>
                <w:color w:val="auto"/>
              </w:rPr>
              <w:t>音频接口：</w:t>
            </w:r>
            <w:r>
              <w:rPr>
                <w:rFonts w:hint="eastAsia"/>
                <w:color w:val="auto"/>
              </w:rPr>
              <w:t>≥</w:t>
            </w:r>
            <w:r>
              <w:rPr>
                <w:color w:val="auto"/>
              </w:rPr>
              <w:t>1×3.5mm音频输入接口、</w:t>
            </w:r>
            <w:r>
              <w:rPr>
                <w:rFonts w:hint="eastAsia"/>
                <w:color w:val="auto"/>
              </w:rPr>
              <w:t>≥</w:t>
            </w:r>
            <w:r>
              <w:rPr>
                <w:color w:val="auto"/>
              </w:rPr>
              <w:t>1×3.5mm音频输出接口</w:t>
            </w:r>
            <w:r>
              <w:rPr>
                <w:rFonts w:hint="eastAsia"/>
                <w:color w:val="auto"/>
              </w:rPr>
              <w:t>；</w:t>
            </w:r>
            <w:r>
              <w:rPr>
                <w:color w:val="auto"/>
              </w:rPr>
              <w:t>其他：</w:t>
            </w:r>
            <w:r>
              <w:rPr>
                <w:rFonts w:hint="eastAsia"/>
                <w:color w:val="auto"/>
              </w:rPr>
              <w:t>≥</w:t>
            </w:r>
            <w:r>
              <w:rPr>
                <w:color w:val="auto"/>
              </w:rPr>
              <w:t>1×串口、</w:t>
            </w:r>
            <w:r>
              <w:rPr>
                <w:rFonts w:hint="eastAsia"/>
                <w:color w:val="auto"/>
              </w:rPr>
              <w:t>≥</w:t>
            </w:r>
            <w:r>
              <w:rPr>
                <w:color w:val="auto"/>
              </w:rPr>
              <w:t>4×USB接口</w:t>
            </w:r>
            <w:bookmarkEnd w:id="3"/>
            <w:bookmarkEnd w:id="4"/>
            <w:r>
              <w:rPr>
                <w:rFonts w:hint="eastAsia"/>
                <w:color w:val="auto"/>
                <w:lang w:eastAsia="zh-CN"/>
              </w:rPr>
              <w:t>。</w:t>
            </w:r>
          </w:p>
        </w:tc>
        <w:tc>
          <w:tcPr>
            <w:tcW w:w="0" w:type="auto"/>
            <w:noWrap/>
            <w:vAlign w:val="center"/>
          </w:tcPr>
          <w:p>
            <w:pPr>
              <w:adjustRightInd w:val="0"/>
              <w:snapToGrid w:val="0"/>
              <w:jc w:val="center"/>
              <w:rPr>
                <w:color w:val="auto"/>
              </w:rPr>
            </w:pPr>
            <w:r>
              <w:rPr>
                <w:color w:val="auto"/>
              </w:rPr>
              <w:t>1</w:t>
            </w:r>
          </w:p>
        </w:tc>
        <w:tc>
          <w:tcPr>
            <w:tcW w:w="0" w:type="auto"/>
            <w:noWrap/>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ign w:val="center"/>
          </w:tcPr>
          <w:p>
            <w:pPr>
              <w:adjustRightInd w:val="0"/>
              <w:snapToGrid w:val="0"/>
              <w:jc w:val="center"/>
              <w:rPr>
                <w:color w:val="auto"/>
              </w:rPr>
            </w:pPr>
            <w:r>
              <w:rPr>
                <w:color w:val="auto"/>
              </w:rPr>
              <w:t>6</w:t>
            </w:r>
          </w:p>
        </w:tc>
        <w:tc>
          <w:tcPr>
            <w:tcW w:w="0" w:type="auto"/>
            <w:noWrap w:val="0"/>
            <w:vAlign w:val="center"/>
          </w:tcPr>
          <w:p>
            <w:pPr>
              <w:adjustRightInd w:val="0"/>
              <w:snapToGrid w:val="0"/>
              <w:jc w:val="center"/>
              <w:rPr>
                <w:color w:val="auto"/>
              </w:rPr>
            </w:pPr>
            <w:r>
              <w:rPr>
                <w:color w:val="auto"/>
              </w:rPr>
              <w:t>智能无纸化会议管理服务器软件</w:t>
            </w:r>
          </w:p>
        </w:tc>
        <w:tc>
          <w:tcPr>
            <w:tcW w:w="0" w:type="auto"/>
            <w:noWrap w:val="0"/>
            <w:vAlign w:val="center"/>
          </w:tcPr>
          <w:p>
            <w:pPr>
              <w:adjustRightInd w:val="0"/>
              <w:snapToGrid w:val="0"/>
              <w:rPr>
                <w:color w:val="auto"/>
              </w:rPr>
            </w:pPr>
            <w:r>
              <w:rPr>
                <w:color w:val="auto"/>
              </w:rPr>
              <w:t>无纸化服务软件，可为无纸化多媒体会议系统提供管理、控制、数据交互、服务等功能，支持远程登录web管理</w:t>
            </w:r>
            <w:r>
              <w:rPr>
                <w:rFonts w:hint="eastAsia"/>
                <w:color w:val="auto"/>
              </w:rPr>
              <w:t>；</w:t>
            </w:r>
            <w:r>
              <w:rPr>
                <w:color w:val="auto"/>
              </w:rPr>
              <w:t>支持添加多个会议室，支持对终端进行单个或多个同时升降机控制/开关机控制</w:t>
            </w:r>
            <w:r>
              <w:rPr>
                <w:rFonts w:hint="eastAsia"/>
                <w:color w:val="auto"/>
              </w:rPr>
              <w:t>；</w:t>
            </w:r>
            <w:r>
              <w:rPr>
                <w:color w:val="auto"/>
              </w:rPr>
              <w:t>支持用户管理功能、不同权限管理模式，含系统管理员、会议秘书、和普通用户，不同会议秘书创建的会议互相保密，系统管理员有管理所有会议的权限</w:t>
            </w:r>
            <w:r>
              <w:rPr>
                <w:rFonts w:hint="eastAsia"/>
                <w:color w:val="auto"/>
              </w:rPr>
              <w:t>；</w:t>
            </w:r>
            <w:r>
              <w:rPr>
                <w:color w:val="auto"/>
              </w:rPr>
              <w:t>会中可以对终端进行欢迎页面、会议信息、显示人名、会议标语等画面的切换，同时支持统一升降机控制、统一开关机</w:t>
            </w:r>
            <w:r>
              <w:rPr>
                <w:rFonts w:hint="eastAsia"/>
                <w:color w:val="auto"/>
              </w:rPr>
              <w:t>；</w:t>
            </w:r>
            <w:r>
              <w:rPr>
                <w:color w:val="auto"/>
              </w:rPr>
              <w:t>支持多会议标语、支持会议投票表决功能、支持视频点播、视频直播功能，支持会议议题、会议议程功能，支持会议签到、会议通知、会议服务、会议交流、电子白板、手写批注等功能</w:t>
            </w:r>
            <w:r>
              <w:rPr>
                <w:rFonts w:hint="eastAsia"/>
                <w:color w:val="auto"/>
              </w:rPr>
              <w:t>；</w:t>
            </w:r>
            <w:r>
              <w:rPr>
                <w:color w:val="auto"/>
              </w:rPr>
              <w:t>支持对文件保密，只有权限才可观看，支持对终端远程升级，支持后台查看历史记录。</w:t>
            </w:r>
          </w:p>
        </w:tc>
        <w:tc>
          <w:tcPr>
            <w:tcW w:w="0" w:type="auto"/>
            <w:noWrap/>
            <w:vAlign w:val="center"/>
          </w:tcPr>
          <w:p>
            <w:pPr>
              <w:adjustRightInd w:val="0"/>
              <w:snapToGrid w:val="0"/>
              <w:jc w:val="center"/>
              <w:rPr>
                <w:color w:val="auto"/>
              </w:rPr>
            </w:pPr>
            <w:r>
              <w:rPr>
                <w:color w:val="auto"/>
              </w:rPr>
              <w:t>1</w:t>
            </w:r>
          </w:p>
        </w:tc>
        <w:tc>
          <w:tcPr>
            <w:tcW w:w="0" w:type="auto"/>
            <w:noWrap/>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ign w:val="center"/>
          </w:tcPr>
          <w:p>
            <w:pPr>
              <w:adjustRightInd w:val="0"/>
              <w:snapToGrid w:val="0"/>
              <w:jc w:val="center"/>
              <w:rPr>
                <w:color w:val="auto"/>
              </w:rPr>
            </w:pPr>
            <w:r>
              <w:rPr>
                <w:color w:val="auto"/>
              </w:rPr>
              <w:t>7</w:t>
            </w:r>
          </w:p>
        </w:tc>
        <w:tc>
          <w:tcPr>
            <w:tcW w:w="0" w:type="auto"/>
            <w:noWrap w:val="0"/>
            <w:vAlign w:val="center"/>
          </w:tcPr>
          <w:p>
            <w:pPr>
              <w:adjustRightInd w:val="0"/>
              <w:snapToGrid w:val="0"/>
              <w:jc w:val="center"/>
              <w:rPr>
                <w:color w:val="auto"/>
              </w:rPr>
            </w:pPr>
            <w:r>
              <w:rPr>
                <w:color w:val="auto"/>
              </w:rPr>
              <w:t>无纸化流媒体主机</w:t>
            </w:r>
          </w:p>
        </w:tc>
        <w:tc>
          <w:tcPr>
            <w:tcW w:w="0" w:type="auto"/>
            <w:noWrap w:val="0"/>
            <w:vAlign w:val="center"/>
          </w:tcPr>
          <w:p>
            <w:pPr>
              <w:adjustRightInd w:val="0"/>
              <w:snapToGrid w:val="0"/>
              <w:rPr>
                <w:rFonts w:hint="eastAsia" w:eastAsia="宋体"/>
                <w:color w:val="auto"/>
                <w:lang w:eastAsia="zh-CN"/>
              </w:rPr>
            </w:pPr>
            <w:r>
              <w:rPr>
                <w:color w:val="auto"/>
              </w:rPr>
              <w:t>1标准机柜式设计（2U），内嵌高清、标清视频信号处理模块，同步、异步处理视频信号输入、输出</w:t>
            </w:r>
            <w:r>
              <w:rPr>
                <w:rFonts w:hint="eastAsia"/>
                <w:color w:val="auto"/>
              </w:rPr>
              <w:t>；</w:t>
            </w:r>
            <w:r>
              <w:rPr>
                <w:color w:val="auto"/>
              </w:rPr>
              <w:t>支持HDMI、VGA信号输入，外部信号通过此接口实时广播画面到所有会议终端并同步显示</w:t>
            </w:r>
            <w:r>
              <w:rPr>
                <w:rFonts w:hint="eastAsia"/>
                <w:color w:val="auto"/>
              </w:rPr>
              <w:t>；</w:t>
            </w:r>
            <w:r>
              <w:rPr>
                <w:color w:val="auto"/>
              </w:rPr>
              <w:t>支持HDMI、DVI信号输出，任何会议终端画面通过此接口输出至大屏幕或其他信号显示设备</w:t>
            </w:r>
            <w:r>
              <w:rPr>
                <w:rFonts w:hint="eastAsia"/>
                <w:color w:val="auto"/>
              </w:rPr>
              <w:t>；</w:t>
            </w:r>
            <w:r>
              <w:rPr>
                <w:color w:val="auto"/>
              </w:rPr>
              <w:t>配置</w:t>
            </w:r>
            <w:r>
              <w:rPr>
                <w:rFonts w:hint="eastAsia"/>
                <w:color w:val="auto"/>
              </w:rPr>
              <w:t>≥1</w:t>
            </w:r>
            <w:r>
              <w:rPr>
                <w:color w:val="auto"/>
              </w:rPr>
              <w:t>路3.5mm音频输入接口</w:t>
            </w:r>
            <w:r>
              <w:rPr>
                <w:rFonts w:hint="eastAsia"/>
                <w:color w:val="auto"/>
              </w:rPr>
              <w:t>，≥</w:t>
            </w:r>
            <w:r>
              <w:rPr>
                <w:color w:val="auto"/>
              </w:rPr>
              <w:t>1路3.5mm音频输出接口，实现音视频同步输入输出</w:t>
            </w:r>
            <w:r>
              <w:rPr>
                <w:rFonts w:hint="eastAsia"/>
                <w:color w:val="auto"/>
              </w:rPr>
              <w:t>；</w:t>
            </w:r>
            <w:r>
              <w:rPr>
                <w:color w:val="auto"/>
              </w:rPr>
              <w:t>主机支持全高清1080P、高清720P等多种高清分辨率输出。</w:t>
            </w:r>
            <w:r>
              <w:rPr>
                <w:color w:val="auto"/>
              </w:rPr>
              <w:br w:type="textWrapping"/>
            </w:r>
            <w:r>
              <w:rPr>
                <w:color w:val="auto"/>
              </w:rPr>
              <w:t>2</w:t>
            </w:r>
            <w:r>
              <w:rPr>
                <w:rFonts w:hint="eastAsia"/>
                <w:color w:val="auto"/>
              </w:rPr>
              <w:t>、</w:t>
            </w:r>
            <w:r>
              <w:rPr>
                <w:color w:val="auto"/>
              </w:rPr>
              <w:t>CPU：I5-4460（四核/四线程/CPU主频</w:t>
            </w:r>
            <w:r>
              <w:rPr>
                <w:rFonts w:hint="eastAsia"/>
                <w:color w:val="auto"/>
              </w:rPr>
              <w:t>≥</w:t>
            </w:r>
            <w:r>
              <w:rPr>
                <w:color w:val="auto"/>
              </w:rPr>
              <w:t>3.2GHz）</w:t>
            </w:r>
            <w:r>
              <w:rPr>
                <w:rFonts w:hint="eastAsia"/>
                <w:color w:val="auto"/>
              </w:rPr>
              <w:t>；</w:t>
            </w:r>
            <w:r>
              <w:rPr>
                <w:color w:val="auto"/>
              </w:rPr>
              <w:t>内存：</w:t>
            </w:r>
            <w:r>
              <w:rPr>
                <w:rFonts w:hint="eastAsia"/>
                <w:color w:val="auto"/>
              </w:rPr>
              <w:t>≥</w:t>
            </w:r>
            <w:r>
              <w:rPr>
                <w:color w:val="auto"/>
              </w:rPr>
              <w:t>4G DDR3 1600</w:t>
            </w:r>
            <w:r>
              <w:rPr>
                <w:rFonts w:hint="eastAsia"/>
                <w:color w:val="auto"/>
              </w:rPr>
              <w:t>；</w:t>
            </w:r>
            <w:r>
              <w:rPr>
                <w:color w:val="auto"/>
              </w:rPr>
              <w:t>硬盘：</w:t>
            </w:r>
            <w:r>
              <w:rPr>
                <w:rFonts w:hint="eastAsia"/>
                <w:color w:val="auto"/>
              </w:rPr>
              <w:t>≥</w:t>
            </w:r>
            <w:r>
              <w:rPr>
                <w:color w:val="auto"/>
              </w:rPr>
              <w:t>64GB 固态硬盘</w:t>
            </w:r>
            <w:r>
              <w:rPr>
                <w:rFonts w:hint="eastAsia"/>
                <w:color w:val="auto"/>
              </w:rPr>
              <w:t>；</w:t>
            </w:r>
            <w:r>
              <w:rPr>
                <w:color w:val="auto"/>
              </w:rPr>
              <w:t>网卡：千兆网络接口（RJ45）</w:t>
            </w:r>
            <w:r>
              <w:rPr>
                <w:rFonts w:hint="eastAsia"/>
                <w:color w:val="auto"/>
              </w:rPr>
              <w:t>；</w:t>
            </w:r>
            <w:r>
              <w:rPr>
                <w:color w:val="auto"/>
              </w:rPr>
              <w:t>视频卡：MiniPCIE 采集卡</w:t>
            </w:r>
            <w:r>
              <w:rPr>
                <w:rFonts w:hint="eastAsia"/>
                <w:color w:val="auto"/>
                <w:lang w:eastAsia="zh-CN"/>
              </w:rPr>
              <w:t>。</w:t>
            </w:r>
          </w:p>
        </w:tc>
        <w:tc>
          <w:tcPr>
            <w:tcW w:w="0" w:type="auto"/>
            <w:noWrap/>
            <w:vAlign w:val="center"/>
          </w:tcPr>
          <w:p>
            <w:pPr>
              <w:adjustRightInd w:val="0"/>
              <w:snapToGrid w:val="0"/>
              <w:jc w:val="center"/>
              <w:rPr>
                <w:color w:val="auto"/>
              </w:rPr>
            </w:pPr>
            <w:r>
              <w:rPr>
                <w:color w:val="auto"/>
              </w:rPr>
              <w:t>1</w:t>
            </w:r>
          </w:p>
        </w:tc>
        <w:tc>
          <w:tcPr>
            <w:tcW w:w="0" w:type="auto"/>
            <w:noWrap/>
            <w:vAlign w:val="center"/>
          </w:tcPr>
          <w:p>
            <w:pPr>
              <w:adjustRightInd w:val="0"/>
              <w:snapToGrid w:val="0"/>
              <w:jc w:val="center"/>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ign w:val="center"/>
          </w:tcPr>
          <w:p>
            <w:pPr>
              <w:adjustRightInd w:val="0"/>
              <w:snapToGrid w:val="0"/>
              <w:jc w:val="center"/>
              <w:rPr>
                <w:color w:val="auto"/>
              </w:rPr>
            </w:pPr>
            <w:r>
              <w:rPr>
                <w:color w:val="auto"/>
              </w:rPr>
              <w:t>8</w:t>
            </w:r>
          </w:p>
        </w:tc>
        <w:tc>
          <w:tcPr>
            <w:tcW w:w="0" w:type="auto"/>
            <w:noWrap w:val="0"/>
            <w:vAlign w:val="center"/>
          </w:tcPr>
          <w:p>
            <w:pPr>
              <w:adjustRightInd w:val="0"/>
              <w:snapToGrid w:val="0"/>
              <w:jc w:val="center"/>
              <w:rPr>
                <w:color w:val="auto"/>
              </w:rPr>
            </w:pPr>
            <w:r>
              <w:rPr>
                <w:color w:val="auto"/>
              </w:rPr>
              <w:t>无纸化流媒体服务器嵌入软件</w:t>
            </w:r>
          </w:p>
        </w:tc>
        <w:tc>
          <w:tcPr>
            <w:tcW w:w="0" w:type="auto"/>
            <w:noWrap w:val="0"/>
            <w:vAlign w:val="center"/>
          </w:tcPr>
          <w:p>
            <w:pPr>
              <w:adjustRightInd w:val="0"/>
              <w:snapToGrid w:val="0"/>
              <w:rPr>
                <w:color w:val="auto"/>
              </w:rPr>
            </w:pPr>
            <w:r>
              <w:rPr>
                <w:color w:val="auto"/>
              </w:rPr>
              <w:t>支持信号格式自动转换功能，网络数据信号转换成数字信号，数字信号自动转换成网络信号传输</w:t>
            </w:r>
            <w:r>
              <w:rPr>
                <w:rFonts w:hint="eastAsia"/>
                <w:color w:val="auto"/>
              </w:rPr>
              <w:t>；</w:t>
            </w:r>
            <w:r>
              <w:rPr>
                <w:color w:val="auto"/>
              </w:rPr>
              <w:t>支持与会场同步信号跟踪功能，当会场有同步信号时保持实时跟踪并同步输出到输出接口，当会场无同步信号时，输出返回原本画面输出</w:t>
            </w:r>
            <w:r>
              <w:rPr>
                <w:rFonts w:hint="eastAsia"/>
                <w:color w:val="auto"/>
              </w:rPr>
              <w:t>；</w:t>
            </w:r>
            <w:r>
              <w:rPr>
                <w:color w:val="auto"/>
              </w:rPr>
              <w:t>支持全高清1080P、高清720P等多种高清分辨率</w:t>
            </w:r>
            <w:r>
              <w:rPr>
                <w:rFonts w:hint="eastAsia"/>
                <w:color w:val="auto"/>
              </w:rPr>
              <w:t>；</w:t>
            </w:r>
            <w:r>
              <w:rPr>
                <w:color w:val="auto"/>
              </w:rPr>
              <w:t>支持将会议标语等信息广播到大屏展示</w:t>
            </w:r>
            <w:r>
              <w:rPr>
                <w:rFonts w:hint="eastAsia"/>
                <w:color w:val="auto"/>
              </w:rPr>
              <w:t>；</w:t>
            </w:r>
            <w:r>
              <w:rPr>
                <w:color w:val="auto"/>
              </w:rPr>
              <w:t>支持投票过程、投票结果、投票结果以图形展示在大屏上</w:t>
            </w:r>
            <w:r>
              <w:rPr>
                <w:rFonts w:hint="eastAsia"/>
                <w:color w:val="auto"/>
              </w:rPr>
              <w:t>；</w:t>
            </w:r>
            <w:r>
              <w:rPr>
                <w:color w:val="auto"/>
              </w:rPr>
              <w:t>支持接收任意无纸化终端画面信号，同步展示到大屏</w:t>
            </w:r>
            <w:r>
              <w:rPr>
                <w:rFonts w:hint="eastAsia"/>
                <w:color w:val="auto"/>
              </w:rPr>
              <w:t>；</w:t>
            </w:r>
            <w:r>
              <w:rPr>
                <w:color w:val="auto"/>
              </w:rPr>
              <w:t>支持将4组不同的无纸化系统屏幕广播画面以4分屏画面投屏输出显示</w:t>
            </w:r>
            <w:r>
              <w:rPr>
                <w:rFonts w:hint="eastAsia"/>
                <w:color w:val="auto"/>
              </w:rPr>
              <w:t>；</w:t>
            </w:r>
            <w:r>
              <w:rPr>
                <w:color w:val="auto"/>
              </w:rPr>
              <w:t>支持大屏锁屏功能，可以被控制息屏、亮屏</w:t>
            </w:r>
            <w:r>
              <w:rPr>
                <w:rFonts w:hint="eastAsia"/>
                <w:color w:val="auto"/>
              </w:rPr>
              <w:t>；</w:t>
            </w:r>
            <w:r>
              <w:rPr>
                <w:color w:val="auto"/>
              </w:rPr>
              <w:t>支持点播功能，可在无纸化终端上远程控制流媒体服务器点播，并可将大屏画面同屏广播到终端上显示。</w:t>
            </w:r>
          </w:p>
        </w:tc>
        <w:tc>
          <w:tcPr>
            <w:tcW w:w="0" w:type="auto"/>
            <w:noWrap/>
            <w:vAlign w:val="center"/>
          </w:tcPr>
          <w:p>
            <w:pPr>
              <w:adjustRightInd w:val="0"/>
              <w:snapToGrid w:val="0"/>
              <w:jc w:val="center"/>
              <w:rPr>
                <w:color w:val="auto"/>
              </w:rPr>
            </w:pPr>
            <w:r>
              <w:rPr>
                <w:color w:val="auto"/>
              </w:rPr>
              <w:t>1</w:t>
            </w:r>
          </w:p>
        </w:tc>
        <w:tc>
          <w:tcPr>
            <w:tcW w:w="0" w:type="auto"/>
            <w:noWrap/>
            <w:vAlign w:val="center"/>
          </w:tcPr>
          <w:p>
            <w:pPr>
              <w:adjustRightInd w:val="0"/>
              <w:snapToGrid w:val="0"/>
              <w:jc w:val="center"/>
              <w:rPr>
                <w:color w:val="auto"/>
              </w:rPr>
            </w:pPr>
            <w:r>
              <w:rPr>
                <w:color w:val="auto"/>
              </w:rPr>
              <w:t>套</w:t>
            </w:r>
          </w:p>
        </w:tc>
      </w:tr>
    </w:tbl>
    <w:p>
      <w:pPr>
        <w:pStyle w:val="8"/>
        <w:widowControl/>
        <w:spacing w:beforeAutospacing="0" w:afterAutospacing="0" w:line="360" w:lineRule="auto"/>
        <w:jc w:val="both"/>
        <w:rPr>
          <w:rFonts w:ascii="宋体" w:hAnsi="宋体" w:eastAsia="宋体" w:cs="Times New Roman"/>
          <w:b/>
          <w:bCs/>
          <w:color w:val="auto"/>
          <w:shd w:val="clear" w:color="auto" w:fill="FFFFFF"/>
        </w:rPr>
      </w:pPr>
      <w:r>
        <w:rPr>
          <w:rFonts w:hint="eastAsia" w:ascii="宋体" w:hAnsi="宋体" w:eastAsia="宋体" w:cs="Times New Roman"/>
          <w:b/>
          <w:bCs/>
          <w:color w:val="auto"/>
          <w:shd w:val="clear" w:color="auto" w:fill="FFFFFF"/>
        </w:rPr>
        <w:t>3.1</w:t>
      </w:r>
      <w:r>
        <w:rPr>
          <w:rFonts w:ascii="宋体" w:hAnsi="宋体" w:eastAsia="宋体" w:cs="Times New Roman"/>
          <w:b/>
          <w:bCs/>
          <w:color w:val="auto"/>
          <w:shd w:val="clear" w:color="auto" w:fill="FFFFFF"/>
        </w:rPr>
        <w:t>.8 网络</w:t>
      </w:r>
      <w:r>
        <w:rPr>
          <w:rFonts w:hint="eastAsia" w:ascii="宋体" w:hAnsi="宋体" w:eastAsia="宋体" w:cs="Times New Roman"/>
          <w:b/>
          <w:bCs/>
          <w:color w:val="auto"/>
          <w:shd w:val="clear" w:color="auto" w:fill="FFFFFF"/>
          <w:lang w:eastAsia="zh-CN"/>
        </w:rPr>
        <w:t>及</w:t>
      </w:r>
      <w:r>
        <w:rPr>
          <w:rFonts w:ascii="宋体" w:hAnsi="宋体" w:eastAsia="宋体" w:cs="Times New Roman"/>
          <w:b/>
          <w:bCs/>
          <w:color w:val="auto"/>
          <w:shd w:val="clear" w:color="auto" w:fill="FFFFFF"/>
        </w:rPr>
        <w:t>安全</w:t>
      </w:r>
    </w:p>
    <w:tbl>
      <w:tblPr>
        <w:tblStyle w:val="9"/>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852"/>
        <w:gridCol w:w="5649"/>
        <w:gridCol w:w="636"/>
        <w:gridCol w:w="6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ign w:val="center"/>
          </w:tcPr>
          <w:p>
            <w:pPr>
              <w:adjustRightInd w:val="0"/>
              <w:snapToGrid w:val="0"/>
              <w:jc w:val="center"/>
              <w:rPr>
                <w:color w:val="auto"/>
              </w:rPr>
            </w:pPr>
            <w:r>
              <w:rPr>
                <w:color w:val="auto"/>
              </w:rPr>
              <w:t>序号</w:t>
            </w:r>
          </w:p>
        </w:tc>
        <w:tc>
          <w:tcPr>
            <w:tcW w:w="0" w:type="auto"/>
            <w:noWrap/>
            <w:vAlign w:val="center"/>
          </w:tcPr>
          <w:p>
            <w:pPr>
              <w:adjustRightInd w:val="0"/>
              <w:snapToGrid w:val="0"/>
              <w:jc w:val="center"/>
              <w:rPr>
                <w:color w:val="auto"/>
              </w:rPr>
            </w:pPr>
            <w:r>
              <w:rPr>
                <w:color w:val="auto"/>
              </w:rPr>
              <w:t>名称</w:t>
            </w:r>
          </w:p>
        </w:tc>
        <w:tc>
          <w:tcPr>
            <w:tcW w:w="0" w:type="auto"/>
            <w:noWrap/>
            <w:vAlign w:val="center"/>
          </w:tcPr>
          <w:p>
            <w:pPr>
              <w:adjustRightInd w:val="0"/>
              <w:snapToGrid w:val="0"/>
              <w:jc w:val="center"/>
              <w:rPr>
                <w:color w:val="auto"/>
              </w:rPr>
            </w:pPr>
            <w:r>
              <w:rPr>
                <w:color w:val="auto"/>
              </w:rPr>
              <w:t>技术要求</w:t>
            </w:r>
          </w:p>
        </w:tc>
        <w:tc>
          <w:tcPr>
            <w:tcW w:w="0" w:type="auto"/>
            <w:noWrap/>
            <w:vAlign w:val="center"/>
          </w:tcPr>
          <w:p>
            <w:pPr>
              <w:adjustRightInd w:val="0"/>
              <w:snapToGrid w:val="0"/>
              <w:jc w:val="center"/>
              <w:rPr>
                <w:color w:val="auto"/>
              </w:rPr>
            </w:pPr>
            <w:r>
              <w:rPr>
                <w:color w:val="auto"/>
              </w:rPr>
              <w:t>单位</w:t>
            </w:r>
          </w:p>
        </w:tc>
        <w:tc>
          <w:tcPr>
            <w:tcW w:w="0" w:type="auto"/>
            <w:noWrap/>
            <w:vAlign w:val="center"/>
          </w:tcPr>
          <w:p>
            <w:pPr>
              <w:adjustRightInd w:val="0"/>
              <w:snapToGrid w:val="0"/>
              <w:jc w:val="center"/>
              <w:rPr>
                <w:color w:val="auto"/>
              </w:rPr>
            </w:pPr>
            <w:r>
              <w:rPr>
                <w:color w:val="auto"/>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1</w:t>
            </w:r>
          </w:p>
        </w:tc>
        <w:tc>
          <w:tcPr>
            <w:tcW w:w="0" w:type="auto"/>
            <w:noWrap w:val="0"/>
            <w:vAlign w:val="center"/>
          </w:tcPr>
          <w:p>
            <w:pPr>
              <w:adjustRightInd w:val="0"/>
              <w:snapToGrid w:val="0"/>
              <w:jc w:val="center"/>
              <w:rPr>
                <w:color w:val="auto"/>
              </w:rPr>
            </w:pPr>
            <w:r>
              <w:rPr>
                <w:color w:val="auto"/>
              </w:rPr>
              <w:t>路由器</w:t>
            </w:r>
          </w:p>
        </w:tc>
        <w:tc>
          <w:tcPr>
            <w:tcW w:w="0" w:type="auto"/>
            <w:noWrap w:val="0"/>
            <w:vAlign w:val="center"/>
          </w:tcPr>
          <w:p>
            <w:pPr>
              <w:adjustRightInd w:val="0"/>
              <w:snapToGrid w:val="0"/>
              <w:rPr>
                <w:color w:val="auto"/>
              </w:rPr>
            </w:pPr>
            <w:r>
              <w:rPr>
                <w:color w:val="auto"/>
              </w:rPr>
              <w:t>1、主控槽位数</w:t>
            </w:r>
            <w:r>
              <w:rPr>
                <w:rFonts w:hint="eastAsia"/>
                <w:color w:val="auto"/>
              </w:rPr>
              <w:t>≥</w:t>
            </w:r>
            <w:r>
              <w:rPr>
                <w:color w:val="auto"/>
              </w:rPr>
              <w:t>2，业务槽位</w:t>
            </w:r>
            <w:r>
              <w:rPr>
                <w:rFonts w:hint="eastAsia"/>
                <w:color w:val="auto"/>
              </w:rPr>
              <w:t>≥</w:t>
            </w:r>
            <w:r>
              <w:rPr>
                <w:color w:val="auto"/>
              </w:rPr>
              <w:t>8，电源槽位</w:t>
            </w:r>
            <w:r>
              <w:rPr>
                <w:rFonts w:hint="eastAsia"/>
                <w:color w:val="auto"/>
              </w:rPr>
              <w:t>≥</w:t>
            </w:r>
            <w:r>
              <w:rPr>
                <w:color w:val="auto"/>
              </w:rPr>
              <w:t>2；设备主控板卡、业务转发板卡、业务子卡、风扇、电源等全部支持热插拔</w:t>
            </w:r>
            <w:r>
              <w:rPr>
                <w:rFonts w:hint="eastAsia"/>
                <w:color w:val="auto"/>
              </w:rPr>
              <w:t>；</w:t>
            </w:r>
            <w:r>
              <w:rPr>
                <w:color w:val="auto"/>
              </w:rPr>
              <w:t>支持主控与转发分离技术，可配置独立的转发业务引擎（非内置、非主控集成）；支持双主控冗余，主控切换时，业务转发数据不丢包</w:t>
            </w:r>
            <w:r>
              <w:rPr>
                <w:rFonts w:hint="eastAsia"/>
                <w:color w:val="auto"/>
              </w:rPr>
              <w:t>；</w:t>
            </w:r>
          </w:p>
          <w:p>
            <w:pPr>
              <w:adjustRightInd w:val="0"/>
              <w:snapToGrid w:val="0"/>
              <w:rPr>
                <w:color w:val="auto"/>
              </w:rPr>
            </w:pPr>
            <w:r>
              <w:rPr>
                <w:color w:val="auto"/>
              </w:rPr>
              <w:t>2</w:t>
            </w:r>
            <w:r>
              <w:rPr>
                <w:rFonts w:hint="eastAsia"/>
                <w:color w:val="auto"/>
              </w:rPr>
              <w:t>、</w:t>
            </w:r>
            <w:r>
              <w:rPr>
                <w:color w:val="auto"/>
              </w:rPr>
              <w:t>交换容量</w:t>
            </w:r>
            <w:r>
              <w:rPr>
                <w:rFonts w:hint="eastAsia"/>
                <w:color w:val="auto"/>
              </w:rPr>
              <w:t>≥</w:t>
            </w:r>
            <w:r>
              <w:rPr>
                <w:color w:val="auto"/>
              </w:rPr>
              <w:t>70Tbps，包转发率</w:t>
            </w:r>
            <w:r>
              <w:rPr>
                <w:rFonts w:hint="eastAsia"/>
                <w:color w:val="auto"/>
              </w:rPr>
              <w:t>≥</w:t>
            </w:r>
            <w:r>
              <w:rPr>
                <w:color w:val="auto"/>
              </w:rPr>
              <w:t xml:space="preserve">12000Mpps；支持并配置国家密码管理局商密SM1、SM2、SM3、SM4加密算法，国密SM1加密整机性能9000Mbps，国密SM4加密整机性能8000Mbps；支持IPv4以及RIP、OSPF、BGP4等动态路由协议；支持IPV6以及RIPng ，OSPFv3 ，IS-ISv6 ，BGP4+动态路由协议；支持VRRP虚拟路由冗余协议： </w:t>
            </w:r>
            <w:r>
              <w:rPr>
                <w:color w:val="auto"/>
              </w:rPr>
              <w:br w:type="textWrapping"/>
            </w:r>
            <w:r>
              <w:rPr>
                <w:color w:val="auto"/>
              </w:rPr>
              <w:t>▲3、支持RIPv2、OSPFv2、ISISv4、BGP协议的国密SM3加密认证功能；整机路由表容量</w:t>
            </w:r>
            <w:r>
              <w:rPr>
                <w:rFonts w:hint="eastAsia"/>
                <w:color w:val="auto"/>
              </w:rPr>
              <w:t>≥</w:t>
            </w:r>
            <w:r>
              <w:rPr>
                <w:color w:val="auto"/>
              </w:rPr>
              <w:t>350万；提供第三方</w:t>
            </w:r>
            <w:r>
              <w:rPr>
                <w:rFonts w:hint="eastAsia"/>
                <w:color w:val="auto"/>
              </w:rPr>
              <w:t>检测</w:t>
            </w:r>
            <w:r>
              <w:rPr>
                <w:color w:val="auto"/>
              </w:rPr>
              <w:t>机构</w:t>
            </w:r>
            <w:r>
              <w:rPr>
                <w:rFonts w:hint="eastAsia"/>
                <w:color w:val="auto"/>
              </w:rPr>
              <w:t>出具的</w:t>
            </w:r>
            <w:r>
              <w:rPr>
                <w:color w:val="auto"/>
              </w:rPr>
              <w:t>检测报告</w:t>
            </w:r>
            <w:r>
              <w:rPr>
                <w:rFonts w:hint="eastAsia"/>
                <w:color w:val="auto"/>
              </w:rPr>
              <w:t>；</w:t>
            </w:r>
            <w:r>
              <w:rPr>
                <w:color w:val="auto"/>
              </w:rPr>
              <w:br w:type="textWrapping"/>
            </w:r>
            <w:r>
              <w:rPr>
                <w:color w:val="auto"/>
              </w:rPr>
              <w:t>4、支持ACL安全过滤、NAT、PPP加密、L2TP、策略路由、AAA、SSH；支持IPsec VPN 功能；支持GRE功能；支持D-VPN动态VPN功能；支持NAT444静态端口、动态端口转换功能；支持NAT64静态地址转换、NAT64动态端口转换、NAT64 IPv6内部服务器转换功能；支持MPLS VPN，MPLS TE,、NetStream等功能；支持N:1虚拟化技术；支持DVMRP、PIM-SM/DM、PIM-SSM/SDM、MSDP、MVPN组播路由协议；支持 HQoS层数≥5, 支持 FIFO、PQ、FQ、WFQ、CBWFQ、LLQ、RSVP、CAR、HQoS、流量整形。配置要求：配置冗余引擎、</w:t>
            </w:r>
            <w:r>
              <w:rPr>
                <w:rFonts w:hint="eastAsia"/>
                <w:color w:val="auto"/>
              </w:rPr>
              <w:t>≥</w:t>
            </w:r>
            <w:r>
              <w:rPr>
                <w:color w:val="auto"/>
              </w:rPr>
              <w:t>8个万兆端口、</w:t>
            </w:r>
            <w:r>
              <w:rPr>
                <w:rFonts w:hint="eastAsia"/>
                <w:color w:val="auto"/>
              </w:rPr>
              <w:t>≥</w:t>
            </w:r>
            <w:r>
              <w:rPr>
                <w:color w:val="auto"/>
              </w:rPr>
              <w:t>16个千兆光口、</w:t>
            </w:r>
            <w:r>
              <w:rPr>
                <w:rFonts w:hint="eastAsia"/>
                <w:color w:val="auto"/>
              </w:rPr>
              <w:t>≥</w:t>
            </w:r>
            <w:r>
              <w:rPr>
                <w:color w:val="auto"/>
              </w:rPr>
              <w:t>16个千兆电口、双交流电源</w:t>
            </w:r>
            <w:r>
              <w:rPr>
                <w:rFonts w:hint="eastAsia"/>
                <w:color w:val="auto"/>
              </w:rPr>
              <w:t>。</w:t>
            </w:r>
          </w:p>
        </w:tc>
        <w:tc>
          <w:tcPr>
            <w:tcW w:w="0" w:type="auto"/>
            <w:noWrap w:val="0"/>
            <w:vAlign w:val="center"/>
          </w:tcPr>
          <w:p>
            <w:pPr>
              <w:adjustRightInd w:val="0"/>
              <w:snapToGrid w:val="0"/>
              <w:jc w:val="center"/>
              <w:rPr>
                <w:color w:val="auto"/>
              </w:rPr>
            </w:pPr>
            <w:r>
              <w:rPr>
                <w:color w:val="auto"/>
              </w:rPr>
              <w:t>台</w:t>
            </w:r>
          </w:p>
        </w:tc>
        <w:tc>
          <w:tcPr>
            <w:tcW w:w="0" w:type="auto"/>
            <w:noWrap w:val="0"/>
            <w:vAlign w:val="center"/>
          </w:tcPr>
          <w:p>
            <w:pPr>
              <w:adjustRightInd w:val="0"/>
              <w:snapToGrid w:val="0"/>
              <w:jc w:val="center"/>
              <w:rPr>
                <w:color w:val="auto"/>
              </w:rPr>
            </w:pPr>
            <w:r>
              <w:rPr>
                <w:color w:val="auto"/>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2</w:t>
            </w:r>
          </w:p>
        </w:tc>
        <w:tc>
          <w:tcPr>
            <w:tcW w:w="0" w:type="auto"/>
            <w:noWrap w:val="0"/>
            <w:vAlign w:val="center"/>
          </w:tcPr>
          <w:p>
            <w:pPr>
              <w:adjustRightInd w:val="0"/>
              <w:snapToGrid w:val="0"/>
              <w:jc w:val="center"/>
              <w:rPr>
                <w:color w:val="auto"/>
              </w:rPr>
            </w:pPr>
            <w:r>
              <w:rPr>
                <w:color w:val="auto"/>
              </w:rPr>
              <w:t>防火墙（政务网）</w:t>
            </w:r>
          </w:p>
        </w:tc>
        <w:tc>
          <w:tcPr>
            <w:tcW w:w="0" w:type="auto"/>
            <w:noWrap w:val="0"/>
            <w:vAlign w:val="center"/>
          </w:tcPr>
          <w:p>
            <w:pPr>
              <w:adjustRightInd w:val="0"/>
              <w:snapToGrid w:val="0"/>
              <w:rPr>
                <w:rFonts w:ascii="Times New Roman" w:hAnsi="Times New Roman" w:eastAsia="宋体" w:cs="Times New Roman"/>
                <w:color w:val="auto"/>
              </w:rPr>
            </w:pPr>
            <w:r>
              <w:rPr>
                <w:rFonts w:ascii="Times New Roman" w:hAnsi="Times New Roman" w:eastAsia="宋体" w:cs="Times New Roman"/>
                <w:color w:val="auto"/>
              </w:rPr>
              <w:t>1、CPU:</w:t>
            </w:r>
            <w:r>
              <w:rPr>
                <w:rFonts w:hint="eastAsia" w:ascii="Times New Roman" w:hAnsi="Times New Roman" w:eastAsia="宋体" w:cs="Times New Roman"/>
                <w:color w:val="auto"/>
              </w:rPr>
              <w:t>国产C</w:t>
            </w:r>
            <w:r>
              <w:rPr>
                <w:rFonts w:ascii="Times New Roman" w:hAnsi="Times New Roman" w:eastAsia="宋体" w:cs="Times New Roman"/>
                <w:color w:val="auto"/>
              </w:rPr>
              <w:t>PU</w:t>
            </w:r>
            <w:r>
              <w:rPr>
                <w:rFonts w:hint="eastAsia" w:ascii="Times New Roman" w:hAnsi="Times New Roman" w:eastAsia="宋体" w:cs="Times New Roman"/>
                <w:color w:val="auto"/>
              </w:rPr>
              <w:t>；</w:t>
            </w:r>
            <w:r>
              <w:rPr>
                <w:rFonts w:ascii="Times New Roman" w:hAnsi="Times New Roman" w:eastAsia="宋体" w:cs="Times New Roman"/>
                <w:color w:val="auto"/>
              </w:rPr>
              <w:t>操作系统</w:t>
            </w:r>
            <w:r>
              <w:rPr>
                <w:rFonts w:hint="eastAsia" w:ascii="Times New Roman" w:hAnsi="Times New Roman" w:eastAsia="宋体" w:cs="Times New Roman"/>
                <w:color w:val="auto"/>
              </w:rPr>
              <w:t>；国产操作系统；</w:t>
            </w:r>
            <w:r>
              <w:rPr>
                <w:rFonts w:ascii="Times New Roman" w:hAnsi="Times New Roman" w:eastAsia="宋体" w:cs="Times New Roman"/>
                <w:color w:val="auto"/>
              </w:rPr>
              <w:t>内存：16GB；硬盘：1TB+4GB；网络接口：</w:t>
            </w:r>
            <w:r>
              <w:rPr>
                <w:rFonts w:hint="eastAsia" w:ascii="Times New Roman" w:hAnsi="Times New Roman" w:eastAsia="宋体" w:cs="Times New Roman"/>
                <w:color w:val="auto"/>
              </w:rPr>
              <w:t>≥</w:t>
            </w:r>
            <w:r>
              <w:rPr>
                <w:rFonts w:ascii="Times New Roman" w:hAnsi="Times New Roman" w:eastAsia="宋体" w:cs="Times New Roman"/>
                <w:color w:val="auto"/>
              </w:rPr>
              <w:t>1个管理口、</w:t>
            </w:r>
            <w:r>
              <w:rPr>
                <w:rFonts w:hint="eastAsia" w:ascii="Times New Roman" w:hAnsi="Times New Roman" w:eastAsia="宋体" w:cs="Times New Roman"/>
                <w:color w:val="auto"/>
              </w:rPr>
              <w:t>≥</w:t>
            </w:r>
            <w:r>
              <w:rPr>
                <w:rFonts w:ascii="Times New Roman" w:hAnsi="Times New Roman" w:eastAsia="宋体" w:cs="Times New Roman"/>
                <w:color w:val="auto"/>
              </w:rPr>
              <w:t>1个HA口、</w:t>
            </w:r>
            <w:r>
              <w:rPr>
                <w:rFonts w:hint="eastAsia" w:ascii="Times New Roman" w:hAnsi="Times New Roman" w:eastAsia="宋体" w:cs="Times New Roman"/>
                <w:color w:val="auto"/>
              </w:rPr>
              <w:t>≥</w:t>
            </w:r>
            <w:r>
              <w:rPr>
                <w:rFonts w:ascii="Times New Roman" w:hAnsi="Times New Roman" w:eastAsia="宋体" w:cs="Times New Roman"/>
                <w:color w:val="auto"/>
              </w:rPr>
              <w:t>12个千兆电口和</w:t>
            </w:r>
            <w:r>
              <w:rPr>
                <w:rFonts w:hint="eastAsia" w:ascii="Times New Roman" w:hAnsi="Times New Roman" w:eastAsia="宋体" w:cs="Times New Roman"/>
                <w:color w:val="auto"/>
              </w:rPr>
              <w:t>≥</w:t>
            </w:r>
            <w:r>
              <w:rPr>
                <w:rFonts w:ascii="Times New Roman" w:hAnsi="Times New Roman" w:eastAsia="宋体" w:cs="Times New Roman"/>
                <w:color w:val="auto"/>
              </w:rPr>
              <w:t>12个千兆光口；整机规格：2U机箱；吞吐量：</w:t>
            </w:r>
            <w:r>
              <w:rPr>
                <w:rFonts w:hint="eastAsia" w:ascii="Times New Roman" w:hAnsi="Times New Roman" w:eastAsia="宋体" w:cs="Times New Roman"/>
                <w:color w:val="auto"/>
              </w:rPr>
              <w:t>≥</w:t>
            </w:r>
            <w:r>
              <w:rPr>
                <w:rFonts w:ascii="Times New Roman" w:hAnsi="Times New Roman" w:eastAsia="宋体" w:cs="Times New Roman"/>
                <w:color w:val="auto"/>
              </w:rPr>
              <w:t>24G；并发连接≥1200万；含三年硬件维保服务，3年应用识别库、URL分类特征库、病毒防护特征库、入侵防御特征库升级服务及威胁情报订阅服务。</w:t>
            </w:r>
            <w:r>
              <w:rPr>
                <w:rFonts w:ascii="Times New Roman" w:hAnsi="Times New Roman" w:eastAsia="宋体" w:cs="Times New Roman"/>
                <w:color w:val="auto"/>
              </w:rPr>
              <w:br w:type="textWrapping"/>
            </w:r>
            <w:r>
              <w:rPr>
                <w:rFonts w:ascii="Times New Roman" w:hAnsi="Times New Roman" w:eastAsia="宋体" w:cs="Times New Roman"/>
                <w:color w:val="auto"/>
              </w:rPr>
              <w:t>▲2、产品采用多核并行安全操作系统，能够提高设备处理性能。（提供</w:t>
            </w:r>
            <w:r>
              <w:rPr>
                <w:rFonts w:hint="eastAsia" w:ascii="Times New Roman" w:hAnsi="Times New Roman" w:eastAsia="宋体" w:cs="Times New Roman"/>
                <w:color w:val="auto"/>
              </w:rPr>
              <w:t>软件著作权证书</w:t>
            </w:r>
            <w:r>
              <w:rPr>
                <w:rFonts w:ascii="Times New Roman" w:hAnsi="Times New Roman" w:eastAsia="宋体" w:cs="Times New Roman"/>
                <w:color w:val="auto"/>
              </w:rPr>
              <w:t>）</w:t>
            </w:r>
            <w:r>
              <w:rPr>
                <w:rFonts w:ascii="Times New Roman" w:hAnsi="Times New Roman" w:eastAsia="宋体" w:cs="Times New Roman"/>
                <w:color w:val="auto"/>
              </w:rPr>
              <w:br w:type="textWrapping"/>
            </w:r>
            <w:r>
              <w:rPr>
                <w:rFonts w:ascii="Times New Roman" w:hAnsi="Times New Roman" w:eastAsia="宋体" w:cs="Times New Roman"/>
                <w:color w:val="auto"/>
              </w:rPr>
              <w:t>3、产品的漏洞防护特征库包含高危漏洞攻击特征，至少包括“SMB溢出攻击”“Struts”、“Struts2”以及对应的攻击的名称、CVEID、CNNVDID、严重性、影响的平台、类型、描述等详细信息</w:t>
            </w:r>
            <w:r>
              <w:rPr>
                <w:rFonts w:hint="eastAsia" w:ascii="Times New Roman" w:hAnsi="Times New Roman" w:eastAsia="宋体" w:cs="Times New Roman"/>
                <w:color w:val="auto"/>
              </w:rPr>
              <w:t>；</w:t>
            </w:r>
            <w:r>
              <w:rPr>
                <w:rFonts w:ascii="Times New Roman" w:hAnsi="Times New Roman" w:eastAsia="宋体" w:cs="Times New Roman"/>
                <w:color w:val="auto"/>
              </w:rPr>
              <w:t>产品支持对失陷的主机进行检测并阻断隔离的功能；产品支持与云端联动，至少实现病毒云查杀、URL云识别、应用云识别、云沙箱、威胁情报云检测等功能；产品支持基于主机或威胁情报视图，统计网络中确认被入侵、攻破的主机数量，至少可查看被入侵、攻破的时间、威胁类别、情报来源、威胁简介、被入侵、攻破的主机IP、用户名、资产等信息；并对威胁情报发现的恶意主机执行自动阻断；为保障安全可靠性，避免因设备宕机而引起网络故障，支持主备模式部署，实现高可用；为确保设备管理的安全性，所投产品支持限制特定主机调用Restful API；支持平台通过调用Restful API 至少可配置所投设备的访问控制策略、NAT策略、路由、接口以及对象等功能；产品支持基于不同安全区域防御DNS Flood、HTTP Flood攻击，并支持警告、阻断、首包丢弃、TC反弹技术、NS重定向、自动重定向、手工确认等多种防护措施；支持文件过滤，文件上传和下载方向过滤，支持多种文件类型，如avi、mp3、php、jpg、imap、pop3、mdf、pdf等并可支持用户自定义；产品支持在虚系统内独立配置病毒防护、漏洞利用防护、间谍软件防护、URL过滤、文件过滤、内容过滤、邮件过滤、行为管控等安全功能。并可支持对本虚系统内产生的日志进行独立审计；</w:t>
            </w:r>
          </w:p>
          <w:p>
            <w:pPr>
              <w:adjustRightInd w:val="0"/>
              <w:snapToGrid w:val="0"/>
              <w:rPr>
                <w:color w:val="auto"/>
              </w:rPr>
            </w:pPr>
            <w:r>
              <w:rPr>
                <w:rFonts w:ascii="Times New Roman" w:hAnsi="Times New Roman" w:eastAsia="宋体" w:cs="Times New Roman"/>
                <w:color w:val="auto"/>
              </w:rPr>
              <w:t>▲4、产品经过脆弱性评定，开发者脆弱性分析、独立脆弱性分析、中级抵抗能力、误用指南审查、误用分析确认等具有很好的自身安全性；（提供</w:t>
            </w:r>
            <w:r>
              <w:rPr>
                <w:rFonts w:hint="eastAsia" w:ascii="Times New Roman" w:hAnsi="Times New Roman" w:eastAsia="宋体" w:cs="Times New Roman"/>
                <w:color w:val="auto"/>
              </w:rPr>
              <w:t>第三方</w:t>
            </w:r>
            <w:r>
              <w:rPr>
                <w:rFonts w:ascii="Times New Roman" w:hAnsi="Times New Roman" w:eastAsia="宋体" w:cs="Times New Roman"/>
                <w:color w:val="auto"/>
              </w:rPr>
              <w:t>机构出具的</w:t>
            </w:r>
            <w:r>
              <w:rPr>
                <w:rFonts w:hint="eastAsia" w:ascii="Times New Roman" w:hAnsi="Times New Roman" w:eastAsia="宋体" w:cs="Times New Roman"/>
                <w:color w:val="auto"/>
              </w:rPr>
              <w:t>检测报告</w:t>
            </w:r>
            <w:r>
              <w:rPr>
                <w:rFonts w:ascii="Times New Roman" w:hAnsi="Times New Roman" w:eastAsia="宋体" w:cs="Times New Roman"/>
                <w:color w:val="auto"/>
              </w:rPr>
              <w:t>）</w:t>
            </w:r>
            <w:r>
              <w:rPr>
                <w:rFonts w:ascii="Times New Roman" w:hAnsi="Times New Roman" w:eastAsia="宋体" w:cs="Times New Roman"/>
                <w:color w:val="auto"/>
              </w:rPr>
              <w:br w:type="textWrapping"/>
            </w:r>
            <w:r>
              <w:rPr>
                <w:rFonts w:ascii="Times New Roman" w:hAnsi="Times New Roman" w:eastAsia="宋体" w:cs="Times New Roman"/>
                <w:color w:val="auto"/>
              </w:rPr>
              <w:t>▲5、产品支持新一代语境关联分析判断技术，通过语义识别多维度关键分析，实时检测和拦截攻击行为，准确查杀各种变种病毒、未知病毒；（提供</w:t>
            </w:r>
            <w:r>
              <w:rPr>
                <w:rFonts w:hint="eastAsia" w:ascii="Times New Roman" w:hAnsi="Times New Roman" w:eastAsia="宋体" w:cs="Times New Roman"/>
                <w:color w:val="auto"/>
              </w:rPr>
              <w:t>软件著作权证书</w:t>
            </w:r>
            <w:r>
              <w:rPr>
                <w:rFonts w:ascii="Times New Roman" w:hAnsi="Times New Roman" w:eastAsia="宋体" w:cs="Times New Roman"/>
                <w:color w:val="auto"/>
              </w:rPr>
              <w:t>）</w:t>
            </w:r>
          </w:p>
        </w:tc>
        <w:tc>
          <w:tcPr>
            <w:tcW w:w="0" w:type="auto"/>
            <w:noWrap w:val="0"/>
            <w:vAlign w:val="center"/>
          </w:tcPr>
          <w:p>
            <w:pPr>
              <w:adjustRightInd w:val="0"/>
              <w:snapToGrid w:val="0"/>
              <w:jc w:val="center"/>
              <w:rPr>
                <w:color w:val="auto"/>
              </w:rPr>
            </w:pPr>
            <w:r>
              <w:rPr>
                <w:color w:val="auto"/>
              </w:rPr>
              <w:t>台</w:t>
            </w:r>
          </w:p>
        </w:tc>
        <w:tc>
          <w:tcPr>
            <w:tcW w:w="0" w:type="auto"/>
            <w:noWrap w:val="0"/>
            <w:vAlign w:val="center"/>
          </w:tcPr>
          <w:p>
            <w:pPr>
              <w:adjustRightInd w:val="0"/>
              <w:snapToGrid w:val="0"/>
              <w:jc w:val="center"/>
              <w:rPr>
                <w:color w:val="auto"/>
              </w:rPr>
            </w:pPr>
            <w:r>
              <w:rPr>
                <w:color w:val="auto"/>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3</w:t>
            </w:r>
          </w:p>
        </w:tc>
        <w:tc>
          <w:tcPr>
            <w:tcW w:w="0" w:type="auto"/>
            <w:noWrap w:val="0"/>
            <w:vAlign w:val="center"/>
          </w:tcPr>
          <w:p>
            <w:pPr>
              <w:adjustRightInd w:val="0"/>
              <w:snapToGrid w:val="0"/>
              <w:jc w:val="center"/>
              <w:rPr>
                <w:color w:val="auto"/>
              </w:rPr>
            </w:pPr>
            <w:r>
              <w:rPr>
                <w:color w:val="auto"/>
              </w:rPr>
              <w:t>防火墙（互联网）</w:t>
            </w:r>
          </w:p>
        </w:tc>
        <w:tc>
          <w:tcPr>
            <w:tcW w:w="0" w:type="auto"/>
            <w:noWrap w:val="0"/>
            <w:vAlign w:val="center"/>
          </w:tcPr>
          <w:p>
            <w:pPr>
              <w:adjustRightInd w:val="0"/>
              <w:snapToGrid w:val="0"/>
              <w:rPr>
                <w:color w:val="auto"/>
              </w:rPr>
            </w:pPr>
            <w:r>
              <w:rPr>
                <w:color w:val="auto"/>
              </w:rPr>
              <w:t>1、CPU:</w:t>
            </w:r>
            <w:r>
              <w:rPr>
                <w:rFonts w:hint="eastAsia"/>
                <w:color w:val="auto"/>
              </w:rPr>
              <w:t xml:space="preserve"> 国产C</w:t>
            </w:r>
            <w:r>
              <w:rPr>
                <w:color w:val="auto"/>
              </w:rPr>
              <w:t>PU</w:t>
            </w:r>
            <w:r>
              <w:rPr>
                <w:rFonts w:hint="eastAsia"/>
                <w:color w:val="auto"/>
              </w:rPr>
              <w:t>；</w:t>
            </w:r>
            <w:r>
              <w:rPr>
                <w:color w:val="auto"/>
              </w:rPr>
              <w:t>操作系统</w:t>
            </w:r>
            <w:r>
              <w:rPr>
                <w:rFonts w:hint="eastAsia"/>
                <w:color w:val="auto"/>
              </w:rPr>
              <w:t>；国产操作系统</w:t>
            </w:r>
            <w:r>
              <w:rPr>
                <w:color w:val="auto"/>
              </w:rPr>
              <w:t>；内存：</w:t>
            </w:r>
            <w:r>
              <w:rPr>
                <w:rFonts w:hint="eastAsia"/>
                <w:color w:val="auto"/>
              </w:rPr>
              <w:t>≥</w:t>
            </w:r>
            <w:r>
              <w:rPr>
                <w:color w:val="auto"/>
              </w:rPr>
              <w:t>16GB</w:t>
            </w:r>
            <w:r>
              <w:rPr>
                <w:rFonts w:hint="eastAsia"/>
                <w:color w:val="auto"/>
              </w:rPr>
              <w:t>，</w:t>
            </w:r>
            <w:r>
              <w:rPr>
                <w:color w:val="auto"/>
              </w:rPr>
              <w:t>硬盘：</w:t>
            </w:r>
            <w:r>
              <w:rPr>
                <w:rFonts w:hint="eastAsia"/>
                <w:color w:val="auto"/>
              </w:rPr>
              <w:t>≥</w:t>
            </w:r>
            <w:r>
              <w:rPr>
                <w:color w:val="auto"/>
              </w:rPr>
              <w:t>1TB+4GB ；网络接口：</w:t>
            </w:r>
            <w:r>
              <w:rPr>
                <w:rFonts w:hint="eastAsia"/>
                <w:color w:val="auto"/>
              </w:rPr>
              <w:t>≥</w:t>
            </w:r>
            <w:r>
              <w:rPr>
                <w:color w:val="auto"/>
              </w:rPr>
              <w:t>1个HA口，</w:t>
            </w:r>
            <w:r>
              <w:rPr>
                <w:rFonts w:hint="eastAsia"/>
                <w:color w:val="auto"/>
              </w:rPr>
              <w:t>≥</w:t>
            </w:r>
            <w:r>
              <w:rPr>
                <w:color w:val="auto"/>
              </w:rPr>
              <w:t>1个管理口、</w:t>
            </w:r>
            <w:r>
              <w:rPr>
                <w:rFonts w:hint="eastAsia"/>
                <w:color w:val="auto"/>
              </w:rPr>
              <w:t>≥</w:t>
            </w:r>
            <w:r>
              <w:rPr>
                <w:color w:val="auto"/>
              </w:rPr>
              <w:t>8个千兆电口、</w:t>
            </w:r>
            <w:r>
              <w:rPr>
                <w:rFonts w:hint="eastAsia"/>
                <w:color w:val="auto"/>
              </w:rPr>
              <w:t>≥</w:t>
            </w:r>
            <w:r>
              <w:rPr>
                <w:color w:val="auto"/>
              </w:rPr>
              <w:t>4个千兆光口，</w:t>
            </w:r>
            <w:r>
              <w:rPr>
                <w:rFonts w:hint="eastAsia"/>
                <w:color w:val="auto"/>
              </w:rPr>
              <w:t>≥</w:t>
            </w:r>
            <w:r>
              <w:rPr>
                <w:color w:val="auto"/>
              </w:rPr>
              <w:t>2个接口板卡扩展插槽；整机规格：2U机箱；网络层吞吐量：</w:t>
            </w:r>
            <w:r>
              <w:rPr>
                <w:rFonts w:hint="eastAsia"/>
                <w:color w:val="auto"/>
              </w:rPr>
              <w:t>≥</w:t>
            </w:r>
            <w:r>
              <w:rPr>
                <w:color w:val="auto"/>
              </w:rPr>
              <w:t>10G；并发连接</w:t>
            </w:r>
            <w:r>
              <w:rPr>
                <w:rFonts w:hint="eastAsia"/>
                <w:color w:val="auto"/>
              </w:rPr>
              <w:t>≥</w:t>
            </w:r>
            <w:r>
              <w:rPr>
                <w:color w:val="auto"/>
              </w:rPr>
              <w:t>900万；每秒新建连接数：48万含三年硬件维保服务，3年应用识别库、URL分类特征库、病毒防护特征库、入侵防御特征库升级服务及威胁情报订阅服务；</w:t>
            </w:r>
            <w:r>
              <w:rPr>
                <w:color w:val="auto"/>
              </w:rPr>
              <w:br w:type="textWrapping"/>
            </w:r>
            <w:r>
              <w:rPr>
                <w:color w:val="auto"/>
              </w:rPr>
              <w:t>▲2、产品采用多核并行安全操作系统，能够提高设备处理性能；（提供</w:t>
            </w:r>
            <w:r>
              <w:rPr>
                <w:rFonts w:hint="eastAsia"/>
                <w:color w:val="auto"/>
              </w:rPr>
              <w:t>软件著作权证书</w:t>
            </w:r>
            <w:r>
              <w:rPr>
                <w:color w:val="auto"/>
              </w:rPr>
              <w:t>）</w:t>
            </w:r>
            <w:r>
              <w:rPr>
                <w:color w:val="auto"/>
              </w:rPr>
              <w:br w:type="textWrapping"/>
            </w:r>
            <w:r>
              <w:rPr>
                <w:color w:val="auto"/>
              </w:rPr>
              <w:t>3、产品的漏洞防护特征库包含高危漏洞攻击特征，至少包括“SMB溢出攻击”“Struts”、“Struts2”以及对应的攻击的名称、CVEID、CNNVDID、严重性、影响的平台、类型、描述等详细信息；产品支持对失陷的主机进行检测并阻断隔离的功能；产品支持与云端联动，至少实现病毒云查杀、URL云识别、应用云识别、云沙箱、威胁情报云检测等功能；产品支持基于主机或威胁情报视图，统计网络中确认被入侵、攻破的主机数量，至少可查看被入侵、攻破的时间、威胁类别、情报来源、威胁简介、被入侵、攻破的主机IP、用户名、资产等信息；并对威胁情报发现的恶意主机执行自动阻断；为保障安全可靠性，避免因设备宕机而引起网络故障，支持主备模式部署，实现高可用；为确保设备管理的安全性，所投产品支持限制特定主机调用Restful API；支持平台通过调用Restful API 至少可配置所投设备的访问控制策略、NAT策略、路由、接口以及对象等功能；产品支持基于不同安全区域防御DNS Flood、HTTP Flood攻击，并支持警告、阻断、首包丢弃、TC反弹技术、NS重定向、自动重定向、手工确认等多种防护措施；支持文件过滤，文件上传和下载方向过滤，支持多种文件类型，如avi、mp3、php、jpg、imap、pop3、mdf、pdf等并可支持用户自定义；产品支持在虚系统内独立配置病毒防护、漏洞利用防护、间谍软件防护、URL过滤、文件过滤、内容过滤、邮件过滤、行为管控等安全功能。并可支持对本虚系统内产生的日志进行独立审计；</w:t>
            </w:r>
            <w:r>
              <w:rPr>
                <w:color w:val="auto"/>
              </w:rPr>
              <w:br w:type="textWrapping"/>
            </w:r>
            <w:r>
              <w:rPr>
                <w:color w:val="auto"/>
              </w:rPr>
              <w:t>▲4、产品经过脆弱性评定，开发者脆弱性分析、独立脆弱性分析、中级抵抗能力、误用指南审查、误用分析确认等具有很好的自身安全性; （提供</w:t>
            </w:r>
            <w:r>
              <w:rPr>
                <w:rFonts w:hint="eastAsia"/>
                <w:color w:val="auto"/>
              </w:rPr>
              <w:t>第三方检测机构出具的检测报告）</w:t>
            </w:r>
            <w:r>
              <w:rPr>
                <w:color w:val="auto"/>
              </w:rPr>
              <w:br w:type="textWrapping"/>
            </w:r>
            <w:r>
              <w:rPr>
                <w:color w:val="auto"/>
              </w:rPr>
              <w:t>▲5、产品支持新一代语境关联分析判断技术，通过语义识别多维度关键分析，实时检测和拦截攻击行为，准确查杀各种变种病毒、未知病毒；（提供</w:t>
            </w:r>
            <w:r>
              <w:rPr>
                <w:rFonts w:hint="eastAsia"/>
                <w:color w:val="auto"/>
              </w:rPr>
              <w:t>软件著作权证书</w:t>
            </w:r>
            <w:r>
              <w:rPr>
                <w:color w:val="auto"/>
              </w:rPr>
              <w:t>）</w:t>
            </w:r>
          </w:p>
        </w:tc>
        <w:tc>
          <w:tcPr>
            <w:tcW w:w="0" w:type="auto"/>
            <w:noWrap w:val="0"/>
            <w:vAlign w:val="center"/>
          </w:tcPr>
          <w:p>
            <w:pPr>
              <w:adjustRightInd w:val="0"/>
              <w:snapToGrid w:val="0"/>
              <w:jc w:val="center"/>
              <w:rPr>
                <w:color w:val="auto"/>
              </w:rPr>
            </w:pPr>
            <w:r>
              <w:rPr>
                <w:color w:val="auto"/>
              </w:rPr>
              <w:t>台</w:t>
            </w:r>
          </w:p>
        </w:tc>
        <w:tc>
          <w:tcPr>
            <w:tcW w:w="0" w:type="auto"/>
            <w:noWrap w:val="0"/>
            <w:vAlign w:val="center"/>
          </w:tcPr>
          <w:p>
            <w:pPr>
              <w:adjustRightInd w:val="0"/>
              <w:snapToGrid w:val="0"/>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4</w:t>
            </w:r>
          </w:p>
        </w:tc>
        <w:tc>
          <w:tcPr>
            <w:tcW w:w="0" w:type="auto"/>
            <w:noWrap w:val="0"/>
            <w:vAlign w:val="center"/>
          </w:tcPr>
          <w:p>
            <w:pPr>
              <w:adjustRightInd w:val="0"/>
              <w:snapToGrid w:val="0"/>
              <w:jc w:val="center"/>
              <w:rPr>
                <w:color w:val="auto"/>
              </w:rPr>
            </w:pPr>
            <w:r>
              <w:rPr>
                <w:color w:val="auto"/>
              </w:rPr>
              <w:t>核心交换机</w:t>
            </w:r>
          </w:p>
        </w:tc>
        <w:tc>
          <w:tcPr>
            <w:tcW w:w="0" w:type="auto"/>
            <w:noWrap w:val="0"/>
            <w:vAlign w:val="center"/>
          </w:tcPr>
          <w:p>
            <w:pPr>
              <w:adjustRightInd w:val="0"/>
              <w:snapToGrid w:val="0"/>
              <w:rPr>
                <w:color w:val="auto"/>
              </w:rPr>
            </w:pPr>
            <w:r>
              <w:rPr>
                <w:color w:val="auto"/>
              </w:rPr>
              <w:t>1、管理引擎1+1冗余；电源槽位数</w:t>
            </w:r>
            <w:r>
              <w:rPr>
                <w:rFonts w:hint="eastAsia"/>
                <w:color w:val="auto"/>
              </w:rPr>
              <w:t>≥</w:t>
            </w:r>
            <w:r>
              <w:rPr>
                <w:color w:val="auto"/>
              </w:rPr>
              <w:t>2；业务槽位</w:t>
            </w:r>
            <w:r>
              <w:rPr>
                <w:rFonts w:hint="eastAsia"/>
                <w:color w:val="auto"/>
              </w:rPr>
              <w:t>≥</w:t>
            </w:r>
            <w:r>
              <w:rPr>
                <w:color w:val="auto"/>
              </w:rPr>
              <w:t>4个； 产品所有部件通风采用前进后出直风道设计</w:t>
            </w:r>
            <w:r>
              <w:rPr>
                <w:rFonts w:hint="eastAsia"/>
                <w:color w:val="auto"/>
              </w:rPr>
              <w:t>；</w:t>
            </w:r>
            <w:r>
              <w:rPr>
                <w:color w:val="auto"/>
              </w:rPr>
              <w:t>交换容量</w:t>
            </w:r>
            <w:r>
              <w:rPr>
                <w:rFonts w:hint="eastAsia"/>
                <w:color w:val="auto"/>
              </w:rPr>
              <w:t>≥</w:t>
            </w:r>
            <w:r>
              <w:rPr>
                <w:color w:val="auto"/>
              </w:rPr>
              <w:t>18Tbps，包转发率</w:t>
            </w:r>
            <w:r>
              <w:rPr>
                <w:rFonts w:hint="eastAsia"/>
                <w:color w:val="auto"/>
              </w:rPr>
              <w:t>≥</w:t>
            </w:r>
            <w:r>
              <w:rPr>
                <w:color w:val="auto"/>
              </w:rPr>
              <w:t xml:space="preserve">2300Mpps；支持提供52*10G端口形态的万兆接口线卡，具备满足48*10G正常业务端口外，还需要提供具备冗余能力的虚拟化互联10G端口。支持4K个802.1Q VLAN，Super vlan，支持基于端口、MAC、IP子网、协议的VLAN；支持静态路由、RIP、OSPF、ISIS、BGP和RIPng、OSPFv3、BGP4+等动态路由协议；支持BFD for VRRP/Static/RIP/OSPF/ISIS等；支持MPLS基本功能MPLS L3 VPN，支持IGMP、IGMP Snooping；支持PIM-S、PIM-DM等三层组播协议，支持手工隧道、支持ISATAP、支持6to4隧道；当设备配置高密度（≥52个）万兆单板和多（≥16个）40GE接口单板时，在256字节至1518字节的环境下，可以实现二层已知单播帧线速转发； </w:t>
            </w:r>
            <w:r>
              <w:rPr>
                <w:color w:val="auto"/>
              </w:rPr>
              <w:br w:type="textWrapping"/>
            </w:r>
            <w:r>
              <w:rPr>
                <w:color w:val="auto"/>
              </w:rPr>
              <w:t>▲2、支持安全加密功能，包括OSPF国密SM3算法加密、配置文件SM3算法加密等； 支持OPENFLOW, NETCONF功能，二层TRILL、三层TRILL，VXLAN二层网关、三层网关等相关数据中心特性功能；支持VST，MVST和VDT等虚拟化功能</w:t>
            </w:r>
            <w:r>
              <w:rPr>
                <w:rFonts w:hint="eastAsia"/>
                <w:color w:val="auto"/>
              </w:rPr>
              <w:t>；</w:t>
            </w:r>
            <w:r>
              <w:rPr>
                <w:color w:val="auto"/>
              </w:rPr>
              <w:t>支持ISSU（不中断业务升级）功能；提供</w:t>
            </w:r>
            <w:r>
              <w:rPr>
                <w:rFonts w:hint="eastAsia"/>
                <w:color w:val="auto"/>
              </w:rPr>
              <w:t>第三方</w:t>
            </w:r>
            <w:r>
              <w:rPr>
                <w:color w:val="auto"/>
              </w:rPr>
              <w:t>检测机构出具的测试报告。</w:t>
            </w:r>
            <w:r>
              <w:rPr>
                <w:color w:val="auto"/>
              </w:rPr>
              <w:br w:type="textWrapping"/>
            </w:r>
            <w:r>
              <w:rPr>
                <w:color w:val="auto"/>
              </w:rPr>
              <w:t>3、配置双主控引擎，电源数量</w:t>
            </w:r>
            <w:r>
              <w:rPr>
                <w:rFonts w:hint="eastAsia"/>
                <w:color w:val="auto"/>
              </w:rPr>
              <w:t>≥</w:t>
            </w:r>
            <w:r>
              <w:rPr>
                <w:color w:val="auto"/>
              </w:rPr>
              <w:t>2个；千兆电端口数量</w:t>
            </w:r>
            <w:r>
              <w:rPr>
                <w:rFonts w:hint="eastAsia"/>
                <w:color w:val="auto"/>
              </w:rPr>
              <w:t>≥</w:t>
            </w:r>
            <w:r>
              <w:rPr>
                <w:color w:val="auto"/>
              </w:rPr>
              <w:t>24个，千兆SFP光端口数量</w:t>
            </w:r>
            <w:r>
              <w:rPr>
                <w:rFonts w:hint="eastAsia"/>
                <w:color w:val="auto"/>
              </w:rPr>
              <w:t>≥</w:t>
            </w:r>
            <w:r>
              <w:rPr>
                <w:color w:val="auto"/>
              </w:rPr>
              <w:t>24个，万兆SFP光端口数量4个。</w:t>
            </w:r>
          </w:p>
        </w:tc>
        <w:tc>
          <w:tcPr>
            <w:tcW w:w="0" w:type="auto"/>
            <w:noWrap w:val="0"/>
            <w:vAlign w:val="center"/>
          </w:tcPr>
          <w:p>
            <w:pPr>
              <w:adjustRightInd w:val="0"/>
              <w:snapToGrid w:val="0"/>
              <w:jc w:val="center"/>
              <w:rPr>
                <w:color w:val="auto"/>
              </w:rPr>
            </w:pPr>
            <w:r>
              <w:rPr>
                <w:color w:val="auto"/>
              </w:rPr>
              <w:t>台</w:t>
            </w:r>
          </w:p>
        </w:tc>
        <w:tc>
          <w:tcPr>
            <w:tcW w:w="0" w:type="auto"/>
            <w:noWrap w:val="0"/>
            <w:vAlign w:val="center"/>
          </w:tcPr>
          <w:p>
            <w:pPr>
              <w:adjustRightInd w:val="0"/>
              <w:snapToGrid w:val="0"/>
              <w:jc w:val="center"/>
              <w:rPr>
                <w:color w:val="auto"/>
              </w:rPr>
            </w:pPr>
            <w:r>
              <w:rPr>
                <w:color w:val="auto"/>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bookmarkStart w:id="5" w:name="_Hlk102985955"/>
            <w:r>
              <w:rPr>
                <w:color w:val="auto"/>
              </w:rPr>
              <w:t>5</w:t>
            </w:r>
          </w:p>
        </w:tc>
        <w:tc>
          <w:tcPr>
            <w:tcW w:w="0" w:type="auto"/>
            <w:noWrap w:val="0"/>
            <w:vAlign w:val="center"/>
          </w:tcPr>
          <w:p>
            <w:pPr>
              <w:adjustRightInd w:val="0"/>
              <w:snapToGrid w:val="0"/>
              <w:jc w:val="center"/>
              <w:rPr>
                <w:color w:val="auto"/>
              </w:rPr>
            </w:pPr>
            <w:r>
              <w:rPr>
                <w:color w:val="auto"/>
              </w:rPr>
              <w:t>接入交换机（48口）</w:t>
            </w:r>
          </w:p>
        </w:tc>
        <w:tc>
          <w:tcPr>
            <w:tcW w:w="0" w:type="auto"/>
            <w:noWrap w:val="0"/>
            <w:vAlign w:val="center"/>
          </w:tcPr>
          <w:p>
            <w:pPr>
              <w:adjustRightInd w:val="0"/>
              <w:snapToGrid w:val="0"/>
              <w:rPr>
                <w:color w:val="auto"/>
              </w:rPr>
            </w:pPr>
            <w:r>
              <w:rPr>
                <w:color w:val="auto"/>
              </w:rPr>
              <w:t>1、10/100/1000M电接口</w:t>
            </w:r>
            <w:r>
              <w:rPr>
                <w:rFonts w:hint="eastAsia"/>
                <w:color w:val="auto"/>
              </w:rPr>
              <w:t>≥</w:t>
            </w:r>
            <w:r>
              <w:rPr>
                <w:color w:val="auto"/>
              </w:rPr>
              <w:t>48，万兆SFP+光口</w:t>
            </w:r>
            <w:r>
              <w:rPr>
                <w:rFonts w:hint="eastAsia"/>
                <w:color w:val="auto"/>
              </w:rPr>
              <w:t>≥</w:t>
            </w:r>
            <w:r>
              <w:rPr>
                <w:color w:val="auto"/>
              </w:rPr>
              <w:t>6，固化双交流电源，不接受RPS电源方式</w:t>
            </w:r>
            <w:r>
              <w:rPr>
                <w:rFonts w:hint="eastAsia"/>
                <w:color w:val="auto"/>
              </w:rPr>
              <w:t>；</w:t>
            </w:r>
            <w:r>
              <w:rPr>
                <w:color w:val="auto"/>
              </w:rPr>
              <w:t>交换容量</w:t>
            </w:r>
            <w:r>
              <w:rPr>
                <w:rFonts w:hint="eastAsia"/>
                <w:color w:val="auto"/>
              </w:rPr>
              <w:t>≥</w:t>
            </w:r>
            <w:r>
              <w:rPr>
                <w:color w:val="auto"/>
              </w:rPr>
              <w:t>430Gbps，包转发率</w:t>
            </w:r>
            <w:r>
              <w:rPr>
                <w:rFonts w:hint="eastAsia"/>
                <w:color w:val="auto"/>
              </w:rPr>
              <w:t>≥</w:t>
            </w:r>
            <w:r>
              <w:rPr>
                <w:color w:val="auto"/>
              </w:rPr>
              <w:t>160Mpps ；电接口均支持POE、POE+供电；支持POE供电0中断，PoE交换机在设备重启时，对下挂摄像头、VoIP电话等受电设备供电不会中断，保证交换机重启过程中受电设备不掉电，实现PoE供电零中断；MAC地址缓存能力</w:t>
            </w:r>
            <w:r>
              <w:rPr>
                <w:rFonts w:hint="eastAsia"/>
                <w:color w:val="auto"/>
              </w:rPr>
              <w:t>≥</w:t>
            </w:r>
            <w:r>
              <w:rPr>
                <w:color w:val="auto"/>
              </w:rPr>
              <w:t>16K；支持4K个VLAN，支持基于MAC、IP子网的VLAN、支持protocol vlan、支持private valn；支持voice vlan、支持Super vlan，QINQ等；支持端口的负载均衡、支持LACP，每个链路聚合组支持8个端口。支持STP/RSTP/MSTP</w:t>
            </w:r>
            <w:r>
              <w:rPr>
                <w:rFonts w:hint="eastAsia"/>
                <w:color w:val="auto"/>
              </w:rPr>
              <w:t>；</w:t>
            </w:r>
            <w:r>
              <w:rPr>
                <w:color w:val="auto"/>
              </w:rPr>
              <w:t>多对一的端口镜像，远程端口镜像RSPAN，流镜像</w:t>
            </w:r>
            <w:r>
              <w:rPr>
                <w:rFonts w:hint="eastAsia"/>
                <w:color w:val="auto"/>
              </w:rPr>
              <w:t>；</w:t>
            </w:r>
            <w:r>
              <w:rPr>
                <w:color w:val="auto"/>
              </w:rPr>
              <w:t>支持DHCP SERVER,支持静态路由、RIPV1/V2、支持OSPF、OSPFv3等动态路由协议</w:t>
            </w:r>
            <w:r>
              <w:rPr>
                <w:rFonts w:hint="eastAsia"/>
                <w:color w:val="auto"/>
              </w:rPr>
              <w:t>；</w:t>
            </w:r>
            <w:r>
              <w:rPr>
                <w:color w:val="auto"/>
              </w:rPr>
              <w:t>支持标准、扩展ACL，基于MAC的ACL、基于时间的ACL等；支持IP+MAC+端口的绑定，支持SP、WRR、SP+WRR、DWRR、SDWRR等队列技术</w:t>
            </w:r>
            <w:r>
              <w:rPr>
                <w:rFonts w:hint="eastAsia"/>
                <w:color w:val="auto"/>
              </w:rPr>
              <w:t>；</w:t>
            </w:r>
          </w:p>
          <w:p>
            <w:pPr>
              <w:adjustRightInd w:val="0"/>
              <w:snapToGrid w:val="0"/>
              <w:rPr>
                <w:color w:val="auto"/>
              </w:rPr>
            </w:pPr>
            <w:r>
              <w:rPr>
                <w:color w:val="auto"/>
              </w:rPr>
              <w:t>▲2、支持多虚一功能，可达到16设备虚1，纵向虚拟化（MVST）功能；支持ERPS（G.8032）协议；支持终端脆弱性扫描功能；支持ZTP零配置开局等功能；支持能效以太网功能；设备经过漏洞扫描软件测试后，不存在高危漏洞；提供第三方</w:t>
            </w:r>
            <w:r>
              <w:rPr>
                <w:rFonts w:hint="eastAsia"/>
                <w:color w:val="auto"/>
              </w:rPr>
              <w:t>检测机构出具的</w:t>
            </w:r>
            <w:r>
              <w:rPr>
                <w:color w:val="auto"/>
              </w:rPr>
              <w:t>测试报告。</w:t>
            </w:r>
          </w:p>
          <w:p>
            <w:pPr>
              <w:adjustRightInd w:val="0"/>
              <w:snapToGrid w:val="0"/>
              <w:rPr>
                <w:rFonts w:hint="eastAsia" w:eastAsia="宋体"/>
                <w:color w:val="auto"/>
                <w:lang w:eastAsia="zh-CN"/>
              </w:rPr>
            </w:pPr>
            <w:r>
              <w:rPr>
                <w:color w:val="auto"/>
              </w:rPr>
              <w:t>3、支持SNMP、TELNET、CONSOLE、SSH管理、WEB等方式管理</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台</w:t>
            </w:r>
          </w:p>
        </w:tc>
        <w:tc>
          <w:tcPr>
            <w:tcW w:w="0" w:type="auto"/>
            <w:noWrap w:val="0"/>
            <w:vAlign w:val="center"/>
          </w:tcPr>
          <w:p>
            <w:pPr>
              <w:adjustRightInd w:val="0"/>
              <w:snapToGrid w:val="0"/>
              <w:jc w:val="center"/>
              <w:rPr>
                <w:color w:val="auto"/>
              </w:rPr>
            </w:pPr>
            <w:r>
              <w:rPr>
                <w:color w:val="auto"/>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6</w:t>
            </w:r>
          </w:p>
        </w:tc>
        <w:tc>
          <w:tcPr>
            <w:tcW w:w="0" w:type="auto"/>
            <w:noWrap w:val="0"/>
            <w:vAlign w:val="center"/>
          </w:tcPr>
          <w:p>
            <w:pPr>
              <w:adjustRightInd w:val="0"/>
              <w:snapToGrid w:val="0"/>
              <w:jc w:val="center"/>
              <w:rPr>
                <w:color w:val="auto"/>
              </w:rPr>
            </w:pPr>
            <w:r>
              <w:rPr>
                <w:color w:val="auto"/>
              </w:rPr>
              <w:t>接入交换机（24口）</w:t>
            </w:r>
          </w:p>
        </w:tc>
        <w:tc>
          <w:tcPr>
            <w:tcW w:w="0" w:type="auto"/>
            <w:noWrap w:val="0"/>
            <w:vAlign w:val="center"/>
          </w:tcPr>
          <w:p>
            <w:pPr>
              <w:adjustRightInd w:val="0"/>
              <w:snapToGrid w:val="0"/>
              <w:rPr>
                <w:color w:val="auto"/>
              </w:rPr>
            </w:pPr>
            <w:r>
              <w:rPr>
                <w:color w:val="auto"/>
              </w:rPr>
              <w:t>1、10/100/1000M电口</w:t>
            </w:r>
            <w:r>
              <w:rPr>
                <w:rFonts w:hint="eastAsia"/>
                <w:color w:val="auto"/>
              </w:rPr>
              <w:t>≥</w:t>
            </w:r>
            <w:r>
              <w:rPr>
                <w:color w:val="auto"/>
              </w:rPr>
              <w:t>24个、万兆SFP+光口</w:t>
            </w:r>
            <w:r>
              <w:rPr>
                <w:rFonts w:hint="eastAsia"/>
                <w:color w:val="auto"/>
              </w:rPr>
              <w:t>≥</w:t>
            </w:r>
            <w:r>
              <w:rPr>
                <w:color w:val="auto"/>
              </w:rPr>
              <w:t>4个，固化单交流电源，电源接口前置</w:t>
            </w:r>
            <w:r>
              <w:rPr>
                <w:rFonts w:hint="eastAsia"/>
                <w:color w:val="auto"/>
              </w:rPr>
              <w:t>；</w:t>
            </w:r>
            <w:r>
              <w:rPr>
                <w:color w:val="auto"/>
              </w:rPr>
              <w:t>交换容量≥330Gbps，包转发率</w:t>
            </w:r>
            <w:r>
              <w:rPr>
                <w:rFonts w:hint="eastAsia"/>
                <w:color w:val="auto"/>
              </w:rPr>
              <w:t>≥</w:t>
            </w:r>
            <w:r>
              <w:rPr>
                <w:color w:val="auto"/>
              </w:rPr>
              <w:t>108Mpps ；MAC地址缓存能力</w:t>
            </w:r>
            <w:r>
              <w:rPr>
                <w:rFonts w:hint="eastAsia"/>
                <w:color w:val="auto"/>
              </w:rPr>
              <w:t>≥</w:t>
            </w:r>
            <w:r>
              <w:rPr>
                <w:color w:val="auto"/>
              </w:rPr>
              <w:t>16K；支持4K个VLAN，支持基于MAC、IP子网的VLAN、支持protocol vlan、支持private valn支持voice vlan、支持Super vlan，QINQ等；支持端口的负载均衡、支持LACP，每个链路聚合组支持</w:t>
            </w:r>
            <w:r>
              <w:rPr>
                <w:rFonts w:hint="eastAsia"/>
                <w:color w:val="auto"/>
              </w:rPr>
              <w:t>≥</w:t>
            </w:r>
            <w:r>
              <w:rPr>
                <w:color w:val="auto"/>
              </w:rPr>
              <w:t>8个端口。支持STP/RSTP/MSTP。多对一的端口镜像，远程端口镜像RSPAN，流镜像;支持DHCP SERVER,支持静态路由、RIPV1/V2动态路由</w:t>
            </w:r>
            <w:r>
              <w:rPr>
                <w:rFonts w:hint="eastAsia"/>
                <w:color w:val="auto"/>
              </w:rPr>
              <w:t>；</w:t>
            </w:r>
            <w:r>
              <w:rPr>
                <w:color w:val="auto"/>
              </w:rPr>
              <w:t>支持标准、扩展ACL，基于MAC的ACL、基于时间的ACL等；支持IP+MAC+端口的绑定，支持SP、WRR、SP+WRR、DWRR、SDWRR等队列技术；</w:t>
            </w:r>
          </w:p>
          <w:p>
            <w:pPr>
              <w:adjustRightInd w:val="0"/>
              <w:snapToGrid w:val="0"/>
              <w:rPr>
                <w:color w:val="auto"/>
              </w:rPr>
            </w:pPr>
            <w:r>
              <w:rPr>
                <w:color w:val="auto"/>
              </w:rPr>
              <w:t>▲2、支持多虚一功能，可达到16设备虚1，纵向虚拟化（MVST）功能；支持ERPS（G.8032）协议, ZTP零配置开局等功能；支持终端脆弱性扫描；设备经过漏洞扫描软件测试后，不存在高危漏洞；提供第三方</w:t>
            </w:r>
            <w:r>
              <w:rPr>
                <w:rFonts w:hint="eastAsia"/>
                <w:color w:val="auto"/>
              </w:rPr>
              <w:t>检测机构出具的</w:t>
            </w:r>
            <w:r>
              <w:rPr>
                <w:color w:val="auto"/>
              </w:rPr>
              <w:t>测试报告</w:t>
            </w:r>
          </w:p>
          <w:p>
            <w:pPr>
              <w:adjustRightInd w:val="0"/>
              <w:snapToGrid w:val="0"/>
              <w:rPr>
                <w:color w:val="auto"/>
              </w:rPr>
            </w:pPr>
            <w:r>
              <w:rPr>
                <w:color w:val="auto"/>
              </w:rPr>
              <w:t>3、支持SNMP、TELNET、CONSOLE、SSH管理、WEB等方式管理。</w:t>
            </w:r>
          </w:p>
        </w:tc>
        <w:tc>
          <w:tcPr>
            <w:tcW w:w="0" w:type="auto"/>
            <w:noWrap w:val="0"/>
            <w:vAlign w:val="center"/>
          </w:tcPr>
          <w:p>
            <w:pPr>
              <w:adjustRightInd w:val="0"/>
              <w:snapToGrid w:val="0"/>
              <w:jc w:val="center"/>
              <w:rPr>
                <w:color w:val="auto"/>
              </w:rPr>
            </w:pPr>
            <w:r>
              <w:rPr>
                <w:color w:val="auto"/>
              </w:rPr>
              <w:t>台</w:t>
            </w:r>
          </w:p>
        </w:tc>
        <w:tc>
          <w:tcPr>
            <w:tcW w:w="0" w:type="auto"/>
            <w:noWrap w:val="0"/>
            <w:vAlign w:val="center"/>
          </w:tcPr>
          <w:p>
            <w:pPr>
              <w:adjustRightInd w:val="0"/>
              <w:snapToGrid w:val="0"/>
              <w:jc w:val="center"/>
              <w:rPr>
                <w:color w:val="auto"/>
              </w:rPr>
            </w:pPr>
            <w:r>
              <w:rPr>
                <w:color w:val="auto"/>
              </w:rPr>
              <w:t>4</w:t>
            </w:r>
          </w:p>
        </w:tc>
      </w:tr>
      <w:bookmarkEnd w:id="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7</w:t>
            </w:r>
          </w:p>
        </w:tc>
        <w:tc>
          <w:tcPr>
            <w:tcW w:w="0" w:type="auto"/>
            <w:noWrap w:val="0"/>
            <w:vAlign w:val="center"/>
          </w:tcPr>
          <w:p>
            <w:pPr>
              <w:adjustRightInd w:val="0"/>
              <w:snapToGrid w:val="0"/>
              <w:jc w:val="center"/>
              <w:rPr>
                <w:color w:val="auto"/>
              </w:rPr>
            </w:pPr>
            <w:r>
              <w:rPr>
                <w:color w:val="auto"/>
              </w:rPr>
              <w:t>无线控制器</w:t>
            </w:r>
          </w:p>
        </w:tc>
        <w:tc>
          <w:tcPr>
            <w:tcW w:w="0" w:type="auto"/>
            <w:noWrap w:val="0"/>
            <w:vAlign w:val="center"/>
          </w:tcPr>
          <w:p>
            <w:pPr>
              <w:adjustRightInd w:val="0"/>
              <w:snapToGrid w:val="0"/>
              <w:rPr>
                <w:color w:val="auto"/>
              </w:rPr>
            </w:pPr>
            <w:r>
              <w:rPr>
                <w:rFonts w:hint="eastAsia"/>
                <w:color w:val="auto"/>
              </w:rPr>
              <w:t>1、</w:t>
            </w:r>
            <w:r>
              <w:rPr>
                <w:color w:val="auto"/>
              </w:rPr>
              <w:t>以太网电口数量</w:t>
            </w:r>
            <w:r>
              <w:rPr>
                <w:rFonts w:hint="eastAsia"/>
                <w:color w:val="auto"/>
              </w:rPr>
              <w:t>≥</w:t>
            </w:r>
            <w:r>
              <w:rPr>
                <w:color w:val="auto"/>
              </w:rPr>
              <w:t>26，其中供电端口数量</w:t>
            </w:r>
            <w:r>
              <w:rPr>
                <w:rFonts w:hint="eastAsia"/>
                <w:color w:val="auto"/>
              </w:rPr>
              <w:t>≥</w:t>
            </w:r>
            <w:r>
              <w:rPr>
                <w:color w:val="auto"/>
              </w:rPr>
              <w:t>8；最大可管理AP数量</w:t>
            </w:r>
            <w:r>
              <w:rPr>
                <w:rFonts w:hint="eastAsia"/>
                <w:color w:val="auto"/>
              </w:rPr>
              <w:t>≥</w:t>
            </w:r>
            <w:r>
              <w:rPr>
                <w:color w:val="auto"/>
              </w:rPr>
              <w:t>32个，本次配置</w:t>
            </w:r>
            <w:r>
              <w:rPr>
                <w:rFonts w:hint="eastAsia"/>
                <w:color w:val="auto"/>
              </w:rPr>
              <w:t>≥</w:t>
            </w:r>
            <w:r>
              <w:rPr>
                <w:color w:val="auto"/>
              </w:rPr>
              <w:t>8个；</w:t>
            </w:r>
          </w:p>
          <w:p>
            <w:pPr>
              <w:adjustRightInd w:val="0"/>
              <w:snapToGrid w:val="0"/>
              <w:rPr>
                <w:color w:val="auto"/>
              </w:rPr>
            </w:pPr>
            <w:r>
              <w:rPr>
                <w:color w:val="auto"/>
              </w:rPr>
              <w:t>2</w:t>
            </w:r>
            <w:r>
              <w:rPr>
                <w:rFonts w:hint="eastAsia"/>
                <w:color w:val="auto"/>
              </w:rPr>
              <w:t>、</w:t>
            </w:r>
            <w:r>
              <w:rPr>
                <w:color w:val="auto"/>
              </w:rPr>
              <w:t>支持标准的CAPWAP协议，支持静态AC发现，支持DHCP option 43,DNS动态AC发现；支持IPV4/V6静态路由，支持ospfv2，支持VRRP；单控制器实现BYOD，可识别IOS、安卓、Windows各类系统，不同终端分配不同安全策略；支持基于AP的用户隔离；支持基于SSID的用户隔离；支持多SSID的用户隔离</w:t>
            </w:r>
            <w:r>
              <w:rPr>
                <w:rFonts w:hint="eastAsia"/>
                <w:color w:val="auto"/>
              </w:rPr>
              <w:t>。</w:t>
            </w:r>
          </w:p>
        </w:tc>
        <w:tc>
          <w:tcPr>
            <w:tcW w:w="0" w:type="auto"/>
            <w:noWrap w:val="0"/>
            <w:vAlign w:val="center"/>
          </w:tcPr>
          <w:p>
            <w:pPr>
              <w:adjustRightInd w:val="0"/>
              <w:snapToGrid w:val="0"/>
              <w:jc w:val="center"/>
              <w:rPr>
                <w:color w:val="auto"/>
              </w:rPr>
            </w:pPr>
            <w:r>
              <w:rPr>
                <w:color w:val="auto"/>
              </w:rPr>
              <w:t>台</w:t>
            </w:r>
          </w:p>
        </w:tc>
        <w:tc>
          <w:tcPr>
            <w:tcW w:w="0" w:type="auto"/>
            <w:noWrap w:val="0"/>
            <w:vAlign w:val="center"/>
          </w:tcPr>
          <w:p>
            <w:pPr>
              <w:adjustRightInd w:val="0"/>
              <w:snapToGrid w:val="0"/>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8</w:t>
            </w:r>
          </w:p>
        </w:tc>
        <w:tc>
          <w:tcPr>
            <w:tcW w:w="0" w:type="auto"/>
            <w:noWrap w:val="0"/>
            <w:vAlign w:val="center"/>
          </w:tcPr>
          <w:p>
            <w:pPr>
              <w:adjustRightInd w:val="0"/>
              <w:snapToGrid w:val="0"/>
              <w:jc w:val="center"/>
              <w:rPr>
                <w:color w:val="auto"/>
              </w:rPr>
            </w:pPr>
            <w:r>
              <w:rPr>
                <w:color w:val="auto"/>
              </w:rPr>
              <w:t xml:space="preserve">无线AP </w:t>
            </w:r>
          </w:p>
        </w:tc>
        <w:tc>
          <w:tcPr>
            <w:tcW w:w="0" w:type="auto"/>
            <w:noWrap w:val="0"/>
            <w:vAlign w:val="center"/>
          </w:tcPr>
          <w:p>
            <w:pPr>
              <w:adjustRightInd w:val="0"/>
              <w:snapToGrid w:val="0"/>
              <w:rPr>
                <w:color w:val="auto"/>
              </w:rPr>
            </w:pPr>
            <w:r>
              <w:rPr>
                <w:color w:val="auto"/>
              </w:rPr>
              <w:t>双频双模，放装吸顶式AP，符合IEEE802.11a/b/g/n/ac/ax标准，内置天线。最高连接速率可以达到1.8Gbps。设备能够自动从无线控制器下载配置，自动加载运行。支持按接入用户数量和流量的负载均衡方式，当无线控制器发现无线接入设备的负载超过设定的门限值以后，对于新接入的用户，无线控制器会自动计算此用户周围是否还有负载较轻的无线接入设备，从而引导用户接入，终端会转而接入其他负载较轻的接入点。</w:t>
            </w:r>
          </w:p>
        </w:tc>
        <w:tc>
          <w:tcPr>
            <w:tcW w:w="0" w:type="auto"/>
            <w:noWrap w:val="0"/>
            <w:vAlign w:val="center"/>
          </w:tcPr>
          <w:p>
            <w:pPr>
              <w:adjustRightInd w:val="0"/>
              <w:snapToGrid w:val="0"/>
              <w:jc w:val="center"/>
              <w:rPr>
                <w:color w:val="auto"/>
              </w:rPr>
            </w:pPr>
            <w:r>
              <w:rPr>
                <w:color w:val="auto"/>
              </w:rPr>
              <w:t>台</w:t>
            </w:r>
          </w:p>
        </w:tc>
        <w:tc>
          <w:tcPr>
            <w:tcW w:w="0" w:type="auto"/>
            <w:noWrap w:val="0"/>
            <w:vAlign w:val="center"/>
          </w:tcPr>
          <w:p>
            <w:pPr>
              <w:adjustRightInd w:val="0"/>
              <w:snapToGrid w:val="0"/>
              <w:jc w:val="center"/>
              <w:rPr>
                <w:color w:val="auto"/>
              </w:rPr>
            </w:pPr>
            <w:r>
              <w:rPr>
                <w:color w:val="auto"/>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9</w:t>
            </w:r>
          </w:p>
        </w:tc>
        <w:tc>
          <w:tcPr>
            <w:tcW w:w="0" w:type="auto"/>
            <w:noWrap w:val="0"/>
            <w:vAlign w:val="center"/>
          </w:tcPr>
          <w:p>
            <w:pPr>
              <w:adjustRightInd w:val="0"/>
              <w:snapToGrid w:val="0"/>
              <w:jc w:val="center"/>
              <w:rPr>
                <w:color w:val="auto"/>
              </w:rPr>
            </w:pPr>
            <w:r>
              <w:rPr>
                <w:color w:val="auto"/>
              </w:rPr>
              <w:t>上网行为管理</w:t>
            </w:r>
          </w:p>
        </w:tc>
        <w:tc>
          <w:tcPr>
            <w:tcW w:w="0" w:type="auto"/>
            <w:noWrap w:val="0"/>
            <w:vAlign w:val="center"/>
          </w:tcPr>
          <w:p>
            <w:pPr>
              <w:adjustRightInd w:val="0"/>
              <w:snapToGrid w:val="0"/>
              <w:rPr>
                <w:color w:val="auto"/>
              </w:rPr>
            </w:pPr>
            <w:r>
              <w:rPr>
                <w:color w:val="auto"/>
              </w:rPr>
              <w:t>1</w:t>
            </w:r>
            <w:r>
              <w:rPr>
                <w:rFonts w:hint="eastAsia"/>
                <w:color w:val="auto"/>
              </w:rPr>
              <w:t>、</w:t>
            </w:r>
            <w:r>
              <w:rPr>
                <w:color w:val="auto"/>
              </w:rPr>
              <w:t>最大并发连接数</w:t>
            </w:r>
            <w:r>
              <w:rPr>
                <w:rFonts w:hint="eastAsia"/>
                <w:color w:val="auto"/>
              </w:rPr>
              <w:t>≥</w:t>
            </w:r>
            <w:r>
              <w:rPr>
                <w:color w:val="auto"/>
              </w:rPr>
              <w:t>16万</w:t>
            </w:r>
            <w:r>
              <w:rPr>
                <w:rFonts w:hint="eastAsia"/>
                <w:color w:val="auto"/>
              </w:rPr>
              <w:t>；</w:t>
            </w:r>
            <w:r>
              <w:rPr>
                <w:color w:val="auto"/>
              </w:rPr>
              <w:t>最大新建连接数为</w:t>
            </w:r>
            <w:r>
              <w:rPr>
                <w:rFonts w:hint="eastAsia"/>
                <w:color w:val="auto"/>
              </w:rPr>
              <w:t>≥3</w:t>
            </w:r>
            <w:r>
              <w:rPr>
                <w:color w:val="auto"/>
              </w:rPr>
              <w:t>2000个/秒；2U硬件</w:t>
            </w:r>
            <w:r>
              <w:rPr>
                <w:rFonts w:hint="eastAsia"/>
                <w:color w:val="auto"/>
              </w:rPr>
              <w:t>；</w:t>
            </w:r>
            <w:r>
              <w:rPr>
                <w:color w:val="auto"/>
              </w:rPr>
              <w:t>标配</w:t>
            </w:r>
            <w:r>
              <w:rPr>
                <w:rFonts w:hint="eastAsia"/>
                <w:color w:val="auto"/>
              </w:rPr>
              <w:t>≥</w:t>
            </w:r>
            <w:r>
              <w:rPr>
                <w:color w:val="auto"/>
              </w:rPr>
              <w:t>6个千兆电接口（其中</w:t>
            </w:r>
            <w:r>
              <w:rPr>
                <w:rFonts w:hint="eastAsia"/>
                <w:color w:val="auto"/>
              </w:rPr>
              <w:t>至少包含</w:t>
            </w:r>
            <w:r>
              <w:rPr>
                <w:color w:val="auto"/>
              </w:rPr>
              <w:t>1个管理接口和1个HA接口）;提供</w:t>
            </w:r>
            <w:r>
              <w:rPr>
                <w:rFonts w:hint="eastAsia"/>
                <w:color w:val="auto"/>
              </w:rPr>
              <w:t>≥</w:t>
            </w:r>
            <w:r>
              <w:rPr>
                <w:color w:val="auto"/>
              </w:rPr>
              <w:t>2个扩展插槽;</w:t>
            </w:r>
            <w:r>
              <w:rPr>
                <w:rFonts w:hint="eastAsia"/>
                <w:color w:val="auto"/>
              </w:rPr>
              <w:t xml:space="preserve"> ≥</w:t>
            </w:r>
            <w:r>
              <w:rPr>
                <w:color w:val="auto"/>
              </w:rPr>
              <w:t>1T硬盘;冗余交流电源。含专用操作系统与上网行为管理标准软件。含三年硬件质保服务</w:t>
            </w:r>
            <w:r>
              <w:rPr>
                <w:rFonts w:hint="eastAsia"/>
                <w:color w:val="auto"/>
              </w:rPr>
              <w:t>；</w:t>
            </w:r>
            <w:r>
              <w:rPr>
                <w:color w:val="auto"/>
              </w:rPr>
              <w:t>为便于设备巡检、设备故障时管理员无需重启、关机、断电即可恢复网络通畅，设备须支持物理硬件bypass按钮；在部署时支持模式选择，可设置为Portal模式，实现Portal服务器功能；支持IPv6环境下的网址访问审计、生成分析报表等功能；能够在IPv6环境下，正确审计显示用户的IPv6地址；支持与云端杀毒平台联动，对网络中传输的文件进行特征比对，以便减少对本地计算资源的消耗；设备内置常用应用标签，分类至少包含内容外发风险、期货行业合规、证券行业合规、高安全风险、影响工作效率、消耗带宽6大类；</w:t>
            </w:r>
            <w:r>
              <w:rPr>
                <w:color w:val="auto"/>
              </w:rPr>
              <w:br w:type="textWrapping"/>
            </w:r>
            <w:r>
              <w:rPr>
                <w:color w:val="auto"/>
              </w:rPr>
              <w:t>2、当用户的网页访问被网页浏览策略封堵时，用户如果发现分类错误能够在页面中向管理员进行反馈；管理员可查看用户反馈的分类错误，并可以选择向服务器反馈；（提供</w:t>
            </w:r>
            <w:r>
              <w:rPr>
                <w:rFonts w:hint="eastAsia"/>
                <w:color w:val="auto"/>
              </w:rPr>
              <w:t>截图</w:t>
            </w:r>
            <w:r>
              <w:rPr>
                <w:color w:val="auto"/>
              </w:rPr>
              <w:t>）</w:t>
            </w:r>
            <w:r>
              <w:rPr>
                <w:color w:val="auto"/>
              </w:rPr>
              <w:br w:type="textWrapping"/>
            </w:r>
            <w:r>
              <w:rPr>
                <w:color w:val="auto"/>
              </w:rPr>
              <w:t>3、支持策略管理、日志审计、权限分配相互独立的三权制衡管理机制，避免超级管理员权限过大的弊端。系统管理员和审计员的账号创建，权限变更需要审核员审批才能生效。管理员和审计员的操作会形成日志受审核员监督。（提供</w:t>
            </w:r>
            <w:r>
              <w:rPr>
                <w:rFonts w:hint="eastAsia"/>
                <w:color w:val="auto"/>
              </w:rPr>
              <w:t>截图</w:t>
            </w:r>
            <w:r>
              <w:rPr>
                <w:color w:val="auto"/>
              </w:rPr>
              <w:t>）</w:t>
            </w:r>
          </w:p>
        </w:tc>
        <w:tc>
          <w:tcPr>
            <w:tcW w:w="0" w:type="auto"/>
            <w:noWrap w:val="0"/>
            <w:vAlign w:val="center"/>
          </w:tcPr>
          <w:p>
            <w:pPr>
              <w:adjustRightInd w:val="0"/>
              <w:snapToGrid w:val="0"/>
              <w:jc w:val="center"/>
              <w:rPr>
                <w:color w:val="auto"/>
              </w:rPr>
            </w:pPr>
            <w:r>
              <w:rPr>
                <w:color w:val="auto"/>
              </w:rPr>
              <w:t>台</w:t>
            </w:r>
          </w:p>
        </w:tc>
        <w:tc>
          <w:tcPr>
            <w:tcW w:w="0" w:type="auto"/>
            <w:noWrap w:val="0"/>
            <w:vAlign w:val="center"/>
          </w:tcPr>
          <w:p>
            <w:pPr>
              <w:adjustRightInd w:val="0"/>
              <w:snapToGrid w:val="0"/>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10</w:t>
            </w:r>
          </w:p>
        </w:tc>
        <w:tc>
          <w:tcPr>
            <w:tcW w:w="0" w:type="auto"/>
            <w:noWrap w:val="0"/>
            <w:vAlign w:val="center"/>
          </w:tcPr>
          <w:p>
            <w:pPr>
              <w:adjustRightInd w:val="0"/>
              <w:snapToGrid w:val="0"/>
              <w:jc w:val="center"/>
              <w:rPr>
                <w:color w:val="auto"/>
              </w:rPr>
            </w:pPr>
            <w:r>
              <w:rPr>
                <w:color w:val="auto"/>
              </w:rPr>
              <w:t>网闸</w:t>
            </w:r>
          </w:p>
        </w:tc>
        <w:tc>
          <w:tcPr>
            <w:tcW w:w="0" w:type="auto"/>
            <w:noWrap w:val="0"/>
            <w:vAlign w:val="center"/>
          </w:tcPr>
          <w:p>
            <w:pPr>
              <w:adjustRightInd w:val="0"/>
              <w:snapToGrid w:val="0"/>
              <w:rPr>
                <w:color w:val="auto"/>
              </w:rPr>
            </w:pPr>
            <w:r>
              <w:rPr>
                <w:color w:val="auto"/>
              </w:rPr>
              <w:t>1、基于</w:t>
            </w:r>
            <w:r>
              <w:rPr>
                <w:rFonts w:hint="eastAsia"/>
                <w:color w:val="auto"/>
              </w:rPr>
              <w:t>国产</w:t>
            </w:r>
            <w:r>
              <w:rPr>
                <w:color w:val="auto"/>
              </w:rPr>
              <w:t>硬件平台及</w:t>
            </w:r>
            <w:r>
              <w:rPr>
                <w:rFonts w:hint="eastAsia"/>
                <w:color w:val="auto"/>
              </w:rPr>
              <w:t>国产</w:t>
            </w:r>
            <w:r>
              <w:rPr>
                <w:color w:val="auto"/>
              </w:rPr>
              <w:t>操作系统；系统吞吐量：800Mbps 硬件配置：2U机箱；冗余电源；具有液晶面板 内网：</w:t>
            </w:r>
            <w:r>
              <w:rPr>
                <w:rFonts w:hint="eastAsia"/>
                <w:color w:val="auto"/>
              </w:rPr>
              <w:t>≥</w:t>
            </w:r>
            <w:r>
              <w:rPr>
                <w:color w:val="auto"/>
              </w:rPr>
              <w:t>6个10/100/1000Base-T端口</w:t>
            </w:r>
            <w:r>
              <w:rPr>
                <w:rFonts w:hint="eastAsia"/>
                <w:color w:val="auto"/>
              </w:rPr>
              <w:t>、≥</w:t>
            </w:r>
            <w:r>
              <w:rPr>
                <w:color w:val="auto"/>
              </w:rPr>
              <w:t>4个SFP接口</w:t>
            </w:r>
            <w:r>
              <w:rPr>
                <w:rFonts w:hint="eastAsia"/>
                <w:color w:val="auto"/>
              </w:rPr>
              <w:t>、≥</w:t>
            </w:r>
            <w:r>
              <w:rPr>
                <w:color w:val="auto"/>
              </w:rPr>
              <w:t>1个Console口</w:t>
            </w:r>
            <w:r>
              <w:rPr>
                <w:rFonts w:hint="eastAsia"/>
                <w:color w:val="auto"/>
              </w:rPr>
              <w:t>、≥</w:t>
            </w:r>
            <w:r>
              <w:rPr>
                <w:color w:val="auto"/>
              </w:rPr>
              <w:t>2个USB口</w:t>
            </w:r>
            <w:r>
              <w:rPr>
                <w:rFonts w:hint="eastAsia"/>
                <w:color w:val="auto"/>
              </w:rPr>
              <w:t>、</w:t>
            </w:r>
            <w:r>
              <w:rPr>
                <w:color w:val="auto"/>
              </w:rPr>
              <w:t>支持</w:t>
            </w:r>
            <w:r>
              <w:rPr>
                <w:rFonts w:hint="eastAsia"/>
                <w:color w:val="auto"/>
              </w:rPr>
              <w:t>≥</w:t>
            </w:r>
            <w:r>
              <w:rPr>
                <w:color w:val="auto"/>
              </w:rPr>
              <w:t>1个扩展槽位；外网：</w:t>
            </w:r>
            <w:r>
              <w:rPr>
                <w:rFonts w:hint="eastAsia"/>
                <w:color w:val="auto"/>
              </w:rPr>
              <w:t>≥</w:t>
            </w:r>
            <w:r>
              <w:rPr>
                <w:color w:val="auto"/>
              </w:rPr>
              <w:t>6个10/100/1000Base-T端口</w:t>
            </w:r>
            <w:r>
              <w:rPr>
                <w:rFonts w:hint="eastAsia"/>
                <w:color w:val="auto"/>
              </w:rPr>
              <w:t>、≥</w:t>
            </w:r>
            <w:r>
              <w:rPr>
                <w:color w:val="auto"/>
              </w:rPr>
              <w:t>4个SFP接口</w:t>
            </w:r>
            <w:r>
              <w:rPr>
                <w:rFonts w:hint="eastAsia"/>
                <w:color w:val="auto"/>
              </w:rPr>
              <w:t>、≥</w:t>
            </w:r>
            <w:r>
              <w:rPr>
                <w:color w:val="auto"/>
              </w:rPr>
              <w:t>1个Console口</w:t>
            </w:r>
            <w:r>
              <w:rPr>
                <w:rFonts w:hint="eastAsia"/>
                <w:color w:val="auto"/>
              </w:rPr>
              <w:t>、≥</w:t>
            </w:r>
            <w:r>
              <w:rPr>
                <w:color w:val="auto"/>
              </w:rPr>
              <w:t>2个USB口；支持</w:t>
            </w:r>
            <w:r>
              <w:rPr>
                <w:rFonts w:hint="eastAsia"/>
                <w:color w:val="auto"/>
              </w:rPr>
              <w:t>≥</w:t>
            </w:r>
            <w:r>
              <w:rPr>
                <w:color w:val="auto"/>
              </w:rPr>
              <w:t>1个扩展槽位；功能模块：产品默认包含数据库同步、文件交换、数据库访问、邮件访问、安全浏览、安全FTP、定制模块、异常告警等； 产品默认包含3年硬件维保；</w:t>
            </w:r>
            <w:r>
              <w:rPr>
                <w:color w:val="auto"/>
              </w:rPr>
              <w:br w:type="textWrapping"/>
            </w:r>
            <w:r>
              <w:rPr>
                <w:color w:val="auto"/>
              </w:rPr>
              <w:t>2、为方便管理及巡检服务，内、外网主机分别具有独立液晶屏，能够显示产品品牌、型号、CPU/内存占用率、网络接口状态等信息；（提供产品截图）</w:t>
            </w:r>
            <w:r>
              <w:rPr>
                <w:color w:val="auto"/>
              </w:rPr>
              <w:br w:type="textWrapping"/>
            </w:r>
            <w:r>
              <w:rPr>
                <w:color w:val="auto"/>
              </w:rPr>
              <w:t>3、支持文件重构技术，可自动剔除文件中夹带的危险程序，可执行代码等；</w:t>
            </w:r>
            <w:r>
              <w:rPr>
                <w:color w:val="auto"/>
              </w:rPr>
              <w:br w:type="textWrapping"/>
            </w:r>
            <w:r>
              <w:rPr>
                <w:color w:val="auto"/>
              </w:rPr>
              <w:t>4、无客户端方式同步由网闸主动发起并完成，不需要第三方软件支持（无需在数据库安全任何第三方软件，可以在网闸系统上完成数据库同步配置）；（提供产品截图）</w:t>
            </w:r>
            <w:r>
              <w:rPr>
                <w:color w:val="auto"/>
              </w:rPr>
              <w:br w:type="textWrapping"/>
            </w:r>
            <w:r>
              <w:rPr>
                <w:color w:val="auto"/>
              </w:rPr>
              <w:t>5、支持SMTP、POP3、IMAP通用协议，对附件及其附件类型进行过滤控制，邮件内容过滤、文档重建、病毒过滤；支持FTP用户在线情况查看，包含但不限于用户地址、登陆日期、登陆时间等信息；支持安全审计能力，可通过自定义时间、任务名称 、文件名称、文件类型、文件大小类型、源目的文件路径、源目IP等详细字段追溯业务数据流向，可自定义配置查询条件，查询条件策略可以自定义设置；</w:t>
            </w:r>
            <w:r>
              <w:rPr>
                <w:color w:val="auto"/>
              </w:rPr>
              <w:br w:type="textWrapping"/>
            </w:r>
            <w:r>
              <w:rPr>
                <w:color w:val="auto"/>
              </w:rPr>
              <w:t>6、支持异构双引擎病毒模块，可根据用户需求选择需要的病毒引擎，支持云查杀模式，可联动云端文件鉴定中心，预判文件安全风险，防止恶意文件通过网闸进入内网，提供高中低不同级别阻断策略。（提供产品截图）</w:t>
            </w:r>
          </w:p>
        </w:tc>
        <w:tc>
          <w:tcPr>
            <w:tcW w:w="0" w:type="auto"/>
            <w:noWrap w:val="0"/>
            <w:vAlign w:val="center"/>
          </w:tcPr>
          <w:p>
            <w:pPr>
              <w:adjustRightInd w:val="0"/>
              <w:snapToGrid w:val="0"/>
              <w:jc w:val="center"/>
              <w:rPr>
                <w:color w:val="auto"/>
              </w:rPr>
            </w:pPr>
            <w:r>
              <w:rPr>
                <w:color w:val="auto"/>
              </w:rPr>
              <w:t>台</w:t>
            </w:r>
          </w:p>
        </w:tc>
        <w:tc>
          <w:tcPr>
            <w:tcW w:w="0" w:type="auto"/>
            <w:noWrap w:val="0"/>
            <w:vAlign w:val="center"/>
          </w:tcPr>
          <w:p>
            <w:pPr>
              <w:adjustRightInd w:val="0"/>
              <w:snapToGrid w:val="0"/>
              <w:jc w:val="center"/>
              <w:rPr>
                <w:color w:val="auto"/>
              </w:rPr>
            </w:pPr>
            <w:r>
              <w:rPr>
                <w:color w:val="auto"/>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11</w:t>
            </w:r>
          </w:p>
        </w:tc>
        <w:tc>
          <w:tcPr>
            <w:tcW w:w="0" w:type="auto"/>
            <w:noWrap w:val="0"/>
            <w:vAlign w:val="center"/>
          </w:tcPr>
          <w:p>
            <w:pPr>
              <w:adjustRightInd w:val="0"/>
              <w:snapToGrid w:val="0"/>
              <w:jc w:val="center"/>
              <w:rPr>
                <w:color w:val="auto"/>
              </w:rPr>
            </w:pPr>
            <w:r>
              <w:rPr>
                <w:color w:val="auto"/>
              </w:rPr>
              <w:t>VPN网关</w:t>
            </w:r>
          </w:p>
        </w:tc>
        <w:tc>
          <w:tcPr>
            <w:tcW w:w="0" w:type="auto"/>
            <w:noWrap w:val="0"/>
            <w:vAlign w:val="center"/>
          </w:tcPr>
          <w:p>
            <w:pPr>
              <w:adjustRightInd w:val="0"/>
              <w:snapToGrid w:val="0"/>
              <w:rPr>
                <w:color w:val="auto"/>
              </w:rPr>
            </w:pPr>
            <w:r>
              <w:rPr>
                <w:color w:val="auto"/>
              </w:rPr>
              <w:t>1、</w:t>
            </w:r>
            <w:r>
              <w:rPr>
                <w:rFonts w:hint="eastAsia"/>
                <w:color w:val="auto"/>
              </w:rPr>
              <w:t>国产C</w:t>
            </w:r>
            <w:r>
              <w:rPr>
                <w:color w:val="auto"/>
              </w:rPr>
              <w:t>PU，</w:t>
            </w:r>
            <w:r>
              <w:rPr>
                <w:rFonts w:hint="eastAsia"/>
                <w:color w:val="auto"/>
              </w:rPr>
              <w:t>国产操作</w:t>
            </w:r>
            <w:r>
              <w:rPr>
                <w:color w:val="auto"/>
              </w:rPr>
              <w:t>系统。板载</w:t>
            </w:r>
            <w:r>
              <w:rPr>
                <w:rFonts w:hint="eastAsia"/>
                <w:color w:val="auto"/>
              </w:rPr>
              <w:t>≥</w:t>
            </w:r>
            <w:r>
              <w:rPr>
                <w:color w:val="auto"/>
              </w:rPr>
              <w:t>1个MGT口，</w:t>
            </w:r>
            <w:r>
              <w:rPr>
                <w:rFonts w:hint="eastAsia"/>
                <w:color w:val="auto"/>
              </w:rPr>
              <w:t>≥</w:t>
            </w:r>
            <w:r>
              <w:rPr>
                <w:color w:val="auto"/>
              </w:rPr>
              <w:t>1个HA口，</w:t>
            </w:r>
            <w:r>
              <w:rPr>
                <w:rFonts w:hint="eastAsia"/>
                <w:color w:val="auto"/>
              </w:rPr>
              <w:t>≥</w:t>
            </w:r>
            <w:r>
              <w:rPr>
                <w:color w:val="auto"/>
              </w:rPr>
              <w:t>2个USB口，</w:t>
            </w:r>
            <w:r>
              <w:rPr>
                <w:rFonts w:hint="eastAsia"/>
                <w:color w:val="auto"/>
              </w:rPr>
              <w:t>≥</w:t>
            </w:r>
            <w:r>
              <w:rPr>
                <w:color w:val="auto"/>
              </w:rPr>
              <w:t>6个千兆电口，</w:t>
            </w:r>
            <w:r>
              <w:rPr>
                <w:rFonts w:hint="eastAsia"/>
                <w:color w:val="auto"/>
              </w:rPr>
              <w:t>≥</w:t>
            </w:r>
            <w:r>
              <w:rPr>
                <w:color w:val="auto"/>
              </w:rPr>
              <w:t>4个千兆光口，</w:t>
            </w:r>
            <w:r>
              <w:rPr>
                <w:rFonts w:hint="eastAsia"/>
                <w:color w:val="auto"/>
              </w:rPr>
              <w:t>≥</w:t>
            </w:r>
            <w:r>
              <w:rPr>
                <w:color w:val="auto"/>
              </w:rPr>
              <w:t>2个扩展槽，</w:t>
            </w:r>
            <w:r>
              <w:rPr>
                <w:rFonts w:hint="eastAsia"/>
                <w:color w:val="auto"/>
              </w:rPr>
              <w:t>≥</w:t>
            </w:r>
            <w:r>
              <w:rPr>
                <w:color w:val="auto"/>
              </w:rPr>
              <w:t>1T硬盘，标配国密卡，最大WEB理论并发用户数</w:t>
            </w:r>
            <w:r>
              <w:rPr>
                <w:rFonts w:hint="eastAsia"/>
                <w:color w:val="auto"/>
              </w:rPr>
              <w:t>≥</w:t>
            </w:r>
            <w:r>
              <w:rPr>
                <w:color w:val="auto"/>
              </w:rPr>
              <w:t>2000、每秒理论新建连接</w:t>
            </w:r>
            <w:r>
              <w:rPr>
                <w:rFonts w:hint="eastAsia"/>
                <w:color w:val="auto"/>
              </w:rPr>
              <w:t>≥</w:t>
            </w:r>
            <w:r>
              <w:rPr>
                <w:color w:val="auto"/>
              </w:rPr>
              <w:t>1000。</w:t>
            </w:r>
            <w:r>
              <w:rPr>
                <w:rFonts w:hint="eastAsia"/>
                <w:color w:val="auto"/>
              </w:rPr>
              <w:t>≥</w:t>
            </w:r>
            <w:r>
              <w:rPr>
                <w:color w:val="auto"/>
              </w:rPr>
              <w:t>125个用户授权，含三年硬件质保服务。支持配置向导功能，用户能够按照配置向导一步一步的操作，向导结束用户能够完成账号建立、服务发布、正常访问；支持虚拟门户功能，能够按照不同的用户组来定义不同的虚拟门户，不同的虚拟门户登录界面、访问地址均可以不同。用户通过不同URL登入会获取不同的登入界面，并且每个登入界面可定制；网关采用国密卡控制模式，拔出管理员和操作员key后，管理员、用户不能登录和操作；支持管理员自定义用户登录帮助文档，通过虚拟门户上传到SSLVPN用户的WEB登录界面，文档格式支持word和TXT。用户登录时刻自行下载帮助文档；支持中标麒麟、银河麒麟、UOS等国产操作系统，采用客户端，而不依赖浏览器，具备独立的SSLVPN客户端。</w:t>
            </w:r>
            <w:r>
              <w:rPr>
                <w:color w:val="auto"/>
              </w:rPr>
              <w:br w:type="textWrapping"/>
            </w:r>
            <w:r>
              <w:rPr>
                <w:color w:val="auto"/>
              </w:rPr>
              <w:t>2、管理员通过国密浏览器采用国密证书+国密key登陆网设备进行设备管理、系统配置。</w:t>
            </w:r>
            <w:r>
              <w:rPr>
                <w:rFonts w:hint="eastAsia"/>
                <w:color w:val="auto"/>
              </w:rPr>
              <w:t>（提供产品截图）</w:t>
            </w:r>
          </w:p>
          <w:p>
            <w:pPr>
              <w:adjustRightInd w:val="0"/>
              <w:snapToGrid w:val="0"/>
              <w:rPr>
                <w:color w:val="auto"/>
              </w:rPr>
            </w:pPr>
            <w:r>
              <w:rPr>
                <w:color w:val="auto"/>
              </w:rPr>
              <w:t>3、支持网关能够支持证书透传功能，即将证书直接传递给业务系统，可以根据证书中的O、OU、CN作为访问控制项，提供用户对某个业务系统的访问控制权限。</w:t>
            </w:r>
          </w:p>
          <w:p>
            <w:pPr>
              <w:adjustRightInd w:val="0"/>
              <w:snapToGrid w:val="0"/>
              <w:rPr>
                <w:color w:val="auto"/>
              </w:rPr>
            </w:pPr>
            <w:r>
              <w:rPr>
                <w:color w:val="auto"/>
              </w:rPr>
              <w:t>4、支持客户端安全性检查，可以检测客户端进程、文件、注册表、服务、模块、端口、mac地址、系统补丁、操作系统等信息，并且能够检查用户是否安装杀毒软件和防火墙，判断杀毒软件病毒库是否过期，凡是不符合检查规则的，均不允许用户登录访问。</w:t>
            </w:r>
            <w:r>
              <w:rPr>
                <w:rFonts w:hint="eastAsia"/>
                <w:color w:val="auto"/>
              </w:rPr>
              <w:t>（提供产品截图）</w:t>
            </w:r>
          </w:p>
        </w:tc>
        <w:tc>
          <w:tcPr>
            <w:tcW w:w="0" w:type="auto"/>
            <w:noWrap w:val="0"/>
            <w:vAlign w:val="center"/>
          </w:tcPr>
          <w:p>
            <w:pPr>
              <w:adjustRightInd w:val="0"/>
              <w:snapToGrid w:val="0"/>
              <w:jc w:val="center"/>
              <w:rPr>
                <w:color w:val="auto"/>
              </w:rPr>
            </w:pPr>
            <w:r>
              <w:rPr>
                <w:color w:val="auto"/>
              </w:rPr>
              <w:t>台</w:t>
            </w:r>
          </w:p>
        </w:tc>
        <w:tc>
          <w:tcPr>
            <w:tcW w:w="0" w:type="auto"/>
            <w:noWrap w:val="0"/>
            <w:vAlign w:val="center"/>
          </w:tcPr>
          <w:p>
            <w:pPr>
              <w:adjustRightInd w:val="0"/>
              <w:snapToGrid w:val="0"/>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12</w:t>
            </w:r>
          </w:p>
        </w:tc>
        <w:tc>
          <w:tcPr>
            <w:tcW w:w="0" w:type="auto"/>
            <w:noWrap w:val="0"/>
            <w:vAlign w:val="center"/>
          </w:tcPr>
          <w:p>
            <w:pPr>
              <w:adjustRightInd w:val="0"/>
              <w:snapToGrid w:val="0"/>
              <w:jc w:val="center"/>
              <w:rPr>
                <w:color w:val="auto"/>
              </w:rPr>
            </w:pPr>
            <w:r>
              <w:rPr>
                <w:color w:val="auto"/>
              </w:rPr>
              <w:t>漏洞扫描</w:t>
            </w:r>
          </w:p>
        </w:tc>
        <w:tc>
          <w:tcPr>
            <w:tcW w:w="0" w:type="auto"/>
            <w:noWrap w:val="0"/>
            <w:vAlign w:val="center"/>
          </w:tcPr>
          <w:p>
            <w:pPr>
              <w:adjustRightInd w:val="0"/>
              <w:snapToGrid w:val="0"/>
              <w:rPr>
                <w:rFonts w:hint="eastAsia" w:eastAsia="宋体"/>
                <w:color w:val="auto"/>
                <w:lang w:eastAsia="zh-CN"/>
              </w:rPr>
            </w:pPr>
            <w:r>
              <w:rPr>
                <w:color w:val="auto"/>
              </w:rPr>
              <w:t>1、国产化漏洞扫描系统，Web扫描域名最大支持3000个，Web扫描任务并发数为3个域名。系统扫描IP地址无限制，支持扫描A类、B类、C类地址，系统扫描支持150个IP地址并行扫描。标准2U机架式，1T硬盘，16G内存，标准配置</w:t>
            </w:r>
            <w:r>
              <w:rPr>
                <w:rFonts w:hint="eastAsia"/>
                <w:color w:val="auto"/>
              </w:rPr>
              <w:t>≥</w:t>
            </w:r>
            <w:r>
              <w:rPr>
                <w:color w:val="auto"/>
              </w:rPr>
              <w:t>6个10/100/1000M自适应电口，</w:t>
            </w:r>
            <w:r>
              <w:rPr>
                <w:rFonts w:hint="eastAsia"/>
                <w:color w:val="auto"/>
              </w:rPr>
              <w:t>≥</w:t>
            </w:r>
            <w:r>
              <w:rPr>
                <w:color w:val="auto"/>
              </w:rPr>
              <w:t>4个千兆光口，</w:t>
            </w:r>
            <w:r>
              <w:rPr>
                <w:rFonts w:hint="eastAsia"/>
                <w:color w:val="auto"/>
              </w:rPr>
              <w:t>≥</w:t>
            </w:r>
            <w:r>
              <w:rPr>
                <w:color w:val="auto"/>
              </w:rPr>
              <w:t>2个扩展插槽,液晶面板显示，</w:t>
            </w:r>
            <w:r>
              <w:rPr>
                <w:rFonts w:hint="eastAsia"/>
                <w:color w:val="auto"/>
              </w:rPr>
              <w:t>≥</w:t>
            </w:r>
            <w:r>
              <w:rPr>
                <w:color w:val="auto"/>
              </w:rPr>
              <w:t>2个USB口，</w:t>
            </w:r>
            <w:r>
              <w:rPr>
                <w:rFonts w:hint="eastAsia"/>
                <w:color w:val="auto"/>
              </w:rPr>
              <w:t>≥</w:t>
            </w:r>
            <w:r>
              <w:rPr>
                <w:color w:val="auto"/>
              </w:rPr>
              <w:t>1个Console口，冗余电源。包含三年漏洞特征库升级，三年硬件维修服务；产品支持Web扫描域名≥3000个，Web扫描任务并发数≥3个域名。系统扫描IP地址无限制，支持扫描A类、B类、C类地址，系统扫描支持≥150个IP地址并行扫描。支持IPv4、IPv6环境部署管理、扫描；</w:t>
            </w:r>
            <w:r>
              <w:rPr>
                <w:color w:val="auto"/>
              </w:rPr>
              <w:br w:type="textWrapping"/>
            </w:r>
            <w:r>
              <w:rPr>
                <w:color w:val="auto"/>
              </w:rPr>
              <w:t>2、支持自定义扫描策略模板，支持按照漏洞类别、漏洞风险等级、CVE编号查看漏洞插件；（提供产品截图）</w:t>
            </w:r>
            <w:r>
              <w:rPr>
                <w:color w:val="auto"/>
              </w:rPr>
              <w:br w:type="textWrapping"/>
            </w:r>
            <w:r>
              <w:rPr>
                <w:color w:val="auto"/>
              </w:rPr>
              <w:t>3、支持检测的漏洞数大于65000条以上，涵盖漏洞标准包含CVE、CVSS、CNVD、CNNVD、CNCVE、Bugtraq 6种，CVSS覆盖CVSS2和CVSS3版本；支持扫描通用操作系统，涵盖Windows系列、苹果操作系统、Linux、AIX、IRIX、BSD、Solaris等；支持扫描交换路由设备，涵盖Cisco、Juniper、华为、F5、Checkpoint、锐捷在内的厂商的设备；支持扫描安全设备，涵盖Checkpoint、赛门铁克、Cisco、Juniper、Palo Alto、华为在内的厂商的防火墙等安全设备；支持扫描物联网设备，支持扫描Brickcom、大华、索尼、TP-LINK、宇视、AXIS、佳能、海康威视等国内外厂商的摄像头，支持扫描佳能、惠普等网络打印；支持中间件漏洞扫描，涵盖Apache、Resin、Nginx、Tomcat、TongWeb、BIND、DOMINO、WebSphere、IIS、Jboss等；支持通过ARP、ICMPping、TCPping及UDPping四种方式进行主机存活探测；支持自动探测指定网段中的Web站点，并可一键转为Web资产或一键下发Web扫描任务；</w:t>
            </w:r>
            <w:r>
              <w:rPr>
                <w:color w:val="auto"/>
              </w:rPr>
              <w:br w:type="textWrapping"/>
            </w:r>
            <w:r>
              <w:rPr>
                <w:color w:val="auto"/>
              </w:rPr>
              <w:t>4、支持对常见设备、数据库、应用服务器的配置核查。支持主机设备操作系统包括Windows系列、Linux系列、HP-UX、AIX、Solaris、麒麟、凝思等；支持数据库包括Oracle、Mysql、SQL Server、Sybase、DB2、Informix、达梦、人大金仓；支持网络设备包括思科、华为、H3C、力腾、锐捷、Juniper等品牌的交换机和路由器；支持防火墙包括思科、华为、Juniper/Netscreen、网神、天融信；支持中间件和应用包括Apache、Bind、Domino、IIS、Jboss、Nginx、Resin、Tomcat、TongWeb、Weblogic、Websphere；支持虚拟化配置核查，包括Xen、FusionCompute、Esxi；（提供产品截图）</w:t>
            </w:r>
            <w:r>
              <w:rPr>
                <w:color w:val="auto"/>
              </w:rPr>
              <w:br w:type="textWrapping"/>
            </w:r>
            <w:r>
              <w:rPr>
                <w:color w:val="auto"/>
              </w:rPr>
              <w:t>5、支持缺省内置标准基线核查模板，包括：等保三级检测要求、工信部配置规范、中国电信安全配置规范、中国移动安全配置规范；漏洞库支持在线升级、FTP方式升级、本地导入升级，在线升级支持设置周期自动升级时间，支持通过代理方式进行升级</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台</w:t>
            </w:r>
          </w:p>
        </w:tc>
        <w:tc>
          <w:tcPr>
            <w:tcW w:w="0" w:type="auto"/>
            <w:noWrap w:val="0"/>
            <w:vAlign w:val="center"/>
          </w:tcPr>
          <w:p>
            <w:pPr>
              <w:adjustRightInd w:val="0"/>
              <w:snapToGrid w:val="0"/>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13</w:t>
            </w:r>
          </w:p>
        </w:tc>
        <w:tc>
          <w:tcPr>
            <w:tcW w:w="0" w:type="auto"/>
            <w:noWrap w:val="0"/>
            <w:vAlign w:val="center"/>
          </w:tcPr>
          <w:p>
            <w:pPr>
              <w:adjustRightInd w:val="0"/>
              <w:snapToGrid w:val="0"/>
              <w:jc w:val="center"/>
              <w:rPr>
                <w:color w:val="auto"/>
              </w:rPr>
            </w:pPr>
            <w:r>
              <w:rPr>
                <w:color w:val="auto"/>
              </w:rPr>
              <w:t>终端安全管理系统（杀毒）</w:t>
            </w:r>
          </w:p>
        </w:tc>
        <w:tc>
          <w:tcPr>
            <w:tcW w:w="0" w:type="auto"/>
            <w:noWrap w:val="0"/>
            <w:vAlign w:val="center"/>
          </w:tcPr>
          <w:p>
            <w:pPr>
              <w:wordWrap w:val="0"/>
              <w:adjustRightInd w:val="0"/>
              <w:snapToGrid w:val="0"/>
              <w:rPr>
                <w:color w:val="auto"/>
              </w:rPr>
            </w:pPr>
            <w:r>
              <w:rPr>
                <w:color w:val="auto"/>
              </w:rPr>
              <w:t>1、终端安全管理系统基础组件，实现系统的集中管理、策略配置、报表查看等功能。可安装在Windows Server 2008/Windows Server 2012上。杀毒、补丁、运维管控、双网切换功能，支持Windows XP/VISTA/WIN7/WIN8/WIN10，可扩展其它操作系统平台和其它功能。含三年升级服务。</w:t>
            </w:r>
          </w:p>
          <w:p>
            <w:pPr>
              <w:adjustRightInd w:val="0"/>
              <w:snapToGrid w:val="0"/>
              <w:rPr>
                <w:color w:val="auto"/>
              </w:rPr>
            </w:pPr>
            <w:r>
              <w:rPr>
                <w:rFonts w:hint="eastAsia"/>
                <w:color w:val="auto"/>
              </w:rPr>
              <w:t>2、</w:t>
            </w:r>
            <w:r>
              <w:rPr>
                <w:color w:val="auto"/>
              </w:rPr>
              <w:t>控制中心支持级联方式和单一部署两种方式，控制中心根据客户端点数的增加支持横向扩展，支持安装在虚拟机上。支持对终端当扫描到感染型病毒、顽固木马时，自动进入深度查模式，可设置禁止终端用户管理路径或文件白名单、禁止终端用户管理扩展名白名单、扫描时不允许终端用户暂停或停止扫描任务；支持对压缩包内的病毒扫描，支持多层压缩包的扫描，可自定义配置压缩包的扫描层数，至少大于10层模式下的扫描。支持对进程防护、注册表防护、驱动防护、U盘安全防护、邮件防护、下载防护、IM防护、局域网文件防护、网页安全防护、勒索软件防护。支持僵尸网络攻击防护，对流出本机的网络包数据和行为进行检测，根据策略在网络层拦截后门攻击、C2连接等威胁。支持免打扰模式和智能模式，使用免打扰模式可以对不能弹窗的终端设备中避免弹窗。使用智能模式是智能调整弹窗，对已知的病毒自动处理，对未知的病毒提示处理。支持对终端节能管理，支持对长时间运行、定时关机、空闲节能、工作时间外开机等节能类型设定策略，支持仅提示、关机、注销、锁定、关闭显示器、锁定+关闭显示器、休眠和睡眠处理。并支持提示倒计时弹窗，可设置在终端取消后下一次提醒时间。支持按补丁类型和级别修复，补丁级别需包括：安全更新、重要补丁、功能补丁、可选补丁。支持仅安装指定补丁设置。支持按照补丁的维度统计补丁安装情况，包括补丁号、系统类型、补丁类型、补丁级别、补丁名称、补丁描述、发布日期、漏洞CVE编号、漏洞CNNVD编号、未安装、已安装、已安装未生效、已排除、未更新补丁库。并支持导出统计报表</w:t>
            </w:r>
            <w:r>
              <w:rPr>
                <w:rFonts w:hint="eastAsia"/>
                <w:color w:val="auto"/>
              </w:rPr>
              <w:t>；</w:t>
            </w:r>
            <w:r>
              <w:rPr>
                <w:color w:val="auto"/>
              </w:rPr>
              <w:t>支持管理员预先设置好灰度发布批次和漏洞修复策略（分时间段、按级别、排除有兼容性问题的补丁等）每当控制台更新补丁库，自动化编排完成漏洞修复——将全网终端划分为由小到大的多个批次，根据业务环境，自动先推送给第一个小批次分组，如无问题自动推送给下一个批次，直到推送给全网。如有问题，只需将有问题的补丁添加到排除列表和卸载已安装的终端即可。整个推送安装过程自动化编排，无需管理员过多参与，只需在有问题时添加排除列表和下发卸载补丁任务。</w:t>
            </w:r>
          </w:p>
        </w:tc>
        <w:tc>
          <w:tcPr>
            <w:tcW w:w="0" w:type="auto"/>
            <w:noWrap w:val="0"/>
            <w:vAlign w:val="center"/>
          </w:tcPr>
          <w:p>
            <w:pPr>
              <w:adjustRightInd w:val="0"/>
              <w:snapToGrid w:val="0"/>
              <w:jc w:val="center"/>
              <w:rPr>
                <w:color w:val="auto"/>
              </w:rPr>
            </w:pPr>
            <w:r>
              <w:rPr>
                <w:color w:val="auto"/>
              </w:rPr>
              <w:t>套</w:t>
            </w:r>
          </w:p>
        </w:tc>
        <w:tc>
          <w:tcPr>
            <w:tcW w:w="0" w:type="auto"/>
            <w:noWrap w:val="0"/>
            <w:vAlign w:val="center"/>
          </w:tcPr>
          <w:p>
            <w:pPr>
              <w:adjustRightInd w:val="0"/>
              <w:snapToGrid w:val="0"/>
              <w:jc w:val="center"/>
              <w:rPr>
                <w:color w:val="auto"/>
              </w:rPr>
            </w:pPr>
            <w:r>
              <w:rPr>
                <w:color w:val="auto"/>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14</w:t>
            </w:r>
          </w:p>
        </w:tc>
        <w:tc>
          <w:tcPr>
            <w:tcW w:w="0" w:type="auto"/>
            <w:noWrap w:val="0"/>
            <w:vAlign w:val="center"/>
          </w:tcPr>
          <w:p>
            <w:pPr>
              <w:adjustRightInd w:val="0"/>
              <w:snapToGrid w:val="0"/>
              <w:jc w:val="center"/>
              <w:rPr>
                <w:color w:val="auto"/>
              </w:rPr>
            </w:pPr>
            <w:r>
              <w:rPr>
                <w:color w:val="auto"/>
              </w:rPr>
              <w:t>运维审计服务器</w:t>
            </w:r>
          </w:p>
        </w:tc>
        <w:tc>
          <w:tcPr>
            <w:tcW w:w="0" w:type="auto"/>
            <w:noWrap w:val="0"/>
            <w:vAlign w:val="center"/>
          </w:tcPr>
          <w:p>
            <w:pPr>
              <w:adjustRightInd w:val="0"/>
              <w:snapToGrid w:val="0"/>
              <w:rPr>
                <w:rFonts w:hint="eastAsia" w:eastAsia="宋体"/>
                <w:color w:val="auto"/>
                <w:lang w:eastAsia="zh-CN"/>
              </w:rPr>
            </w:pPr>
            <w:r>
              <w:rPr>
                <w:color w:val="auto"/>
              </w:rPr>
              <w:t>1、采用</w:t>
            </w:r>
            <w:r>
              <w:rPr>
                <w:rFonts w:hint="eastAsia"/>
                <w:color w:val="auto"/>
              </w:rPr>
              <w:t>国产多</w:t>
            </w:r>
            <w:r>
              <w:rPr>
                <w:color w:val="auto"/>
              </w:rPr>
              <w:t>核硬件平台和</w:t>
            </w:r>
            <w:r>
              <w:rPr>
                <w:rFonts w:hint="eastAsia"/>
                <w:color w:val="auto"/>
              </w:rPr>
              <w:t>国产</w:t>
            </w:r>
            <w:r>
              <w:rPr>
                <w:color w:val="auto"/>
              </w:rPr>
              <w:t>操作系统。标准2U机架式，</w:t>
            </w:r>
            <w:r>
              <w:rPr>
                <w:rFonts w:hint="eastAsia"/>
                <w:color w:val="auto"/>
              </w:rPr>
              <w:t>≥标</w:t>
            </w:r>
            <w:r>
              <w:rPr>
                <w:color w:val="auto"/>
              </w:rPr>
              <w:t>配6个千兆电口、</w:t>
            </w:r>
            <w:r>
              <w:rPr>
                <w:rFonts w:hint="eastAsia"/>
                <w:color w:val="auto"/>
              </w:rPr>
              <w:t>≥</w:t>
            </w:r>
            <w:r>
              <w:rPr>
                <w:color w:val="auto"/>
              </w:rPr>
              <w:t>4个千兆光口,支持</w:t>
            </w:r>
            <w:r>
              <w:rPr>
                <w:rFonts w:hint="eastAsia"/>
                <w:color w:val="auto"/>
              </w:rPr>
              <w:t>≥</w:t>
            </w:r>
            <w:r>
              <w:rPr>
                <w:color w:val="auto"/>
              </w:rPr>
              <w:t>2个扩展插槽，内置</w:t>
            </w:r>
            <w:r>
              <w:rPr>
                <w:rFonts w:hint="eastAsia"/>
                <w:color w:val="auto"/>
              </w:rPr>
              <w:t>≥</w:t>
            </w:r>
            <w:r>
              <w:rPr>
                <w:color w:val="auto"/>
              </w:rPr>
              <w:t>4TB企业级硬盘，冗余电源。支持液晶屏，最大可选500授权许可，含三年标准维保服务。100个授权许可。支持IPv6网络环境下的运维、操作审计；支持SSH、RDP、VNC、Telnet、FTP、SCP、SFTP、DB2、MySQL、Oracle、SQL Server、Rlogin等协议；</w:t>
            </w:r>
            <w:r>
              <w:rPr>
                <w:color w:val="auto"/>
              </w:rPr>
              <w:br w:type="textWrapping"/>
            </w:r>
            <w:r>
              <w:rPr>
                <w:color w:val="auto"/>
              </w:rPr>
              <w:t>2、支持云主机资源批量添加，包括阿里云、百度云、华为云、腾讯云、Ucloud、AWS、Azure云平台的资源；（提供产品截图）</w:t>
            </w:r>
            <w:r>
              <w:rPr>
                <w:color w:val="auto"/>
              </w:rPr>
              <w:br w:type="textWrapping"/>
            </w:r>
            <w:r>
              <w:rPr>
                <w:rFonts w:hint="eastAsia"/>
                <w:color w:val="auto"/>
              </w:rPr>
              <w:t>3、</w:t>
            </w:r>
            <w:r>
              <w:rPr>
                <w:color w:val="auto"/>
              </w:rPr>
              <w:t>支持资源账户自动登录（包含提权登录，TELNET、SSH协议资源使用普通账户自动切换到root或enable账户）和手动登录方式，其中手动登录方式又区分全手动（手动输入账户和密码）和半自动模式（手动输入密码）；不限操作客户端系统类型，无需安装任何客户端插件，使用H5即可直接运维windows、Linux、网络设备等资源</w:t>
            </w:r>
            <w:r>
              <w:rPr>
                <w:rFonts w:hint="eastAsia"/>
                <w:color w:val="auto"/>
              </w:rPr>
              <w:t>；</w:t>
            </w:r>
            <w:r>
              <w:rPr>
                <w:color w:val="auto"/>
              </w:rPr>
              <w:t xml:space="preserve">支持运维过程中会话协同，可邀请其他用户参与、协助操作；会话协同过程中，参与者可以控制会话，创建者强制获取控制权； </w:t>
            </w:r>
            <w:r>
              <w:rPr>
                <w:color w:val="auto"/>
              </w:rPr>
              <w:br w:type="textWrapping"/>
            </w:r>
            <w:r>
              <w:rPr>
                <w:color w:val="auto"/>
              </w:rPr>
              <w:t>4、支持以云盘形式在堡垒机上存储常用文件，实现操作端、堡垒机、目标服务器三者之间文件共享（支持多文件下载，文件展示最近修改时间和权限）并进行审计；（提供产品截图）</w:t>
            </w:r>
            <w:r>
              <w:rPr>
                <w:color w:val="auto"/>
              </w:rPr>
              <w:br w:type="textWrapping"/>
            </w:r>
            <w:r>
              <w:rPr>
                <w:color w:val="auto"/>
              </w:rPr>
              <w:t>5、支持用户信息的批量修改、导入，包括重置密码、移动部门、更改角色、修改多因子配置、修改有效期、修改IP限制、修改MAC限制；支持按用户组和账户组多对多的资源访问授权，用户组和账户组内的新增成员可自动继承授权关系；可根据用户、用户组、账户、账户组、有效期、文件管理控制、文件传输控制（上传、下载）、RDP剪切板控制、时间限制、IP限制为条件，细粒度地进行访问控制；支持记录用户登录资源的操作行为，包含：资源名称、协议类型、主机或应用地址、资源账户、起止时间、会话时长、操作用户、来源IP、操作记录、文件传输记录、会话协同记录、以及会话结束状态的审计；支持自定义系统事件的告警等级及方式，例如邮件、手机短信（内置短信网关）通知及Syslog日志外发</w:t>
            </w:r>
            <w:r>
              <w:rPr>
                <w:rFonts w:hint="eastAsia"/>
                <w:color w:val="auto"/>
                <w:lang w:eastAsia="zh-CN"/>
              </w:rPr>
              <w:t>。</w:t>
            </w:r>
          </w:p>
        </w:tc>
        <w:tc>
          <w:tcPr>
            <w:tcW w:w="0" w:type="auto"/>
            <w:noWrap w:val="0"/>
            <w:vAlign w:val="center"/>
          </w:tcPr>
          <w:p>
            <w:pPr>
              <w:adjustRightInd w:val="0"/>
              <w:snapToGrid w:val="0"/>
              <w:jc w:val="center"/>
              <w:rPr>
                <w:color w:val="auto"/>
              </w:rPr>
            </w:pPr>
            <w:r>
              <w:rPr>
                <w:color w:val="auto"/>
              </w:rPr>
              <w:t>台</w:t>
            </w:r>
          </w:p>
        </w:tc>
        <w:tc>
          <w:tcPr>
            <w:tcW w:w="0" w:type="auto"/>
            <w:noWrap w:val="0"/>
            <w:vAlign w:val="center"/>
          </w:tcPr>
          <w:p>
            <w:pPr>
              <w:adjustRightInd w:val="0"/>
              <w:snapToGrid w:val="0"/>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15</w:t>
            </w:r>
          </w:p>
        </w:tc>
        <w:tc>
          <w:tcPr>
            <w:tcW w:w="0" w:type="auto"/>
            <w:noWrap w:val="0"/>
            <w:vAlign w:val="center"/>
          </w:tcPr>
          <w:p>
            <w:pPr>
              <w:adjustRightInd w:val="0"/>
              <w:snapToGrid w:val="0"/>
              <w:jc w:val="center"/>
              <w:rPr>
                <w:color w:val="auto"/>
              </w:rPr>
            </w:pPr>
            <w:r>
              <w:rPr>
                <w:color w:val="auto"/>
              </w:rPr>
              <w:t>运维平台</w:t>
            </w:r>
          </w:p>
        </w:tc>
        <w:tc>
          <w:tcPr>
            <w:tcW w:w="0" w:type="auto"/>
            <w:noWrap w:val="0"/>
            <w:vAlign w:val="center"/>
          </w:tcPr>
          <w:p>
            <w:pPr>
              <w:adjustRightInd w:val="0"/>
              <w:snapToGrid w:val="0"/>
              <w:rPr>
                <w:color w:val="auto"/>
              </w:rPr>
            </w:pPr>
            <w:r>
              <w:rPr>
                <w:color w:val="auto"/>
              </w:rPr>
              <w:t xml:space="preserve">1、2U标准上架设备，含滑轨；CPU: </w:t>
            </w:r>
            <w:r>
              <w:rPr>
                <w:rFonts w:hint="eastAsia"/>
                <w:color w:val="auto"/>
              </w:rPr>
              <w:t>≥</w:t>
            </w:r>
            <w:r>
              <w:rPr>
                <w:color w:val="auto"/>
              </w:rPr>
              <w:t>2颗10核</w:t>
            </w:r>
            <w:r>
              <w:rPr>
                <w:rFonts w:hint="eastAsia"/>
                <w:color w:val="auto"/>
              </w:rPr>
              <w:t>、</w:t>
            </w:r>
            <w:r>
              <w:rPr>
                <w:color w:val="auto"/>
              </w:rPr>
              <w:t>主频</w:t>
            </w:r>
            <w:r>
              <w:rPr>
                <w:rFonts w:hint="eastAsia"/>
                <w:color w:val="auto"/>
              </w:rPr>
              <w:t>≥</w:t>
            </w:r>
            <w:r>
              <w:rPr>
                <w:color w:val="auto"/>
              </w:rPr>
              <w:t>2.2 GHZ ；内存：</w:t>
            </w:r>
            <w:r>
              <w:rPr>
                <w:rFonts w:hint="eastAsia"/>
                <w:color w:val="auto"/>
              </w:rPr>
              <w:t>≥</w:t>
            </w:r>
            <w:r>
              <w:rPr>
                <w:color w:val="auto"/>
              </w:rPr>
              <w:t xml:space="preserve"> 256G（总容量）DDR4 ；硬盘1：</w:t>
            </w:r>
            <w:r>
              <w:rPr>
                <w:rFonts w:hint="eastAsia"/>
                <w:color w:val="auto"/>
              </w:rPr>
              <w:t>≥</w:t>
            </w:r>
            <w:r>
              <w:rPr>
                <w:color w:val="auto"/>
              </w:rPr>
              <w:t>2块960G SSD固态硬盘组成Raid 1；硬盘2：</w:t>
            </w:r>
            <w:r>
              <w:rPr>
                <w:rFonts w:hint="eastAsia"/>
                <w:color w:val="auto"/>
              </w:rPr>
              <w:t>≥</w:t>
            </w:r>
            <w:r>
              <w:rPr>
                <w:color w:val="auto"/>
              </w:rPr>
              <w:t>12*4TB企业级SATA 3.5寸硬盘</w:t>
            </w:r>
            <w:r>
              <w:rPr>
                <w:rFonts w:hint="eastAsia"/>
                <w:color w:val="auto"/>
              </w:rPr>
              <w:t>，</w:t>
            </w:r>
            <w:r>
              <w:rPr>
                <w:color w:val="auto"/>
              </w:rPr>
              <w:t>总容量</w:t>
            </w:r>
            <w:r>
              <w:rPr>
                <w:rFonts w:hint="eastAsia"/>
                <w:color w:val="auto"/>
              </w:rPr>
              <w:t>≥</w:t>
            </w:r>
            <w:r>
              <w:rPr>
                <w:color w:val="auto"/>
              </w:rPr>
              <w:t>48T；电源：冗余双电源；网口：</w:t>
            </w:r>
            <w:r>
              <w:rPr>
                <w:rFonts w:hint="eastAsia"/>
                <w:color w:val="auto"/>
              </w:rPr>
              <w:t>≥</w:t>
            </w:r>
            <w:r>
              <w:rPr>
                <w:color w:val="auto"/>
              </w:rPr>
              <w:t>4*GE管理电口</w:t>
            </w:r>
            <w:r>
              <w:rPr>
                <w:rFonts w:hint="eastAsia"/>
                <w:color w:val="auto"/>
              </w:rPr>
              <w:t>；≥</w:t>
            </w:r>
            <w:r>
              <w:rPr>
                <w:color w:val="auto"/>
              </w:rPr>
              <w:t>2*SPF+插槽（含两个多模光模块）；其他接口：</w:t>
            </w:r>
            <w:r>
              <w:rPr>
                <w:rFonts w:hint="eastAsia"/>
                <w:color w:val="auto"/>
              </w:rPr>
              <w:t>≥</w:t>
            </w:r>
            <w:r>
              <w:rPr>
                <w:color w:val="auto"/>
              </w:rPr>
              <w:t>3*USB3.0接口</w:t>
            </w:r>
            <w:r>
              <w:rPr>
                <w:rFonts w:hint="eastAsia"/>
                <w:color w:val="auto"/>
              </w:rPr>
              <w:t>、 ≥</w:t>
            </w:r>
            <w:r>
              <w:rPr>
                <w:color w:val="auto"/>
              </w:rPr>
              <w:t>1*DB9 Console接口；提供三年标准维保服务，自签收之日起开始计算。提供包含威胁检测、分析中心、响应中心、资产中心、统计报表、仪表板、系统管理、态势感知（综合安全态势、安全运营态势、外部威胁态势、内网威胁态势、威胁预警态势、攻击者态势、资产态势、资产风险态势、脆弱性态势）等功能。授权≥50个日志数据源的采集能力。提供3年软件维保。集成综合日志审计及入侵检测功能。支持接入并管理日志采集器、流量采集器，可支持第三方采集器接入；支持对网络设备、安全设备、服务器、应用等日志进行解析、范式化、预处理；</w:t>
            </w:r>
            <w:r>
              <w:rPr>
                <w:color w:val="auto"/>
              </w:rPr>
              <w:br w:type="textWrapping"/>
            </w:r>
            <w:r>
              <w:rPr>
                <w:color w:val="auto"/>
              </w:rPr>
              <w:t>2、日志接入支持界面交互式配置，通过图形化界面配置日志解析条件，利用正则表达式、分隔符、Key-Value、JSON等方法定义解析规则，系统自动生成解析规则，无需通过代码编写解析规则；（提供产品截图）</w:t>
            </w:r>
            <w:r>
              <w:rPr>
                <w:color w:val="auto"/>
              </w:rPr>
              <w:br w:type="textWrapping"/>
            </w:r>
            <w:r>
              <w:rPr>
                <w:color w:val="auto"/>
              </w:rPr>
              <w:t>3、支持本地威胁情报的检索，检索类型支持域名、IP地址、文件MD5值；威胁情报内容支持IOC、攻击链阶段、置信度、类型描述、威胁家族、攻击事件/团伙、影响平台、情报状态、威胁描述等；</w:t>
            </w:r>
            <w:r>
              <w:rPr>
                <w:color w:val="auto"/>
              </w:rPr>
              <w:br w:type="textWrapping"/>
            </w:r>
            <w:r>
              <w:rPr>
                <w:color w:val="auto"/>
              </w:rPr>
              <w:t>4、支持云端威胁情报查询，查询结果需包含：IP主机信息、IP位置信息、域名流行度、情报IOC详情、相关样本、可视化分析、域名解析记录、域名注册信息、关联域名、数字证书等信息；（提供产品截图）</w:t>
            </w:r>
            <w:r>
              <w:rPr>
                <w:color w:val="auto"/>
              </w:rPr>
              <w:br w:type="textWrapping"/>
            </w:r>
            <w:r>
              <w:rPr>
                <w:color w:val="auto"/>
              </w:rPr>
              <w:t>5、支持对重大网络安全事件（如永恒之蓝）进行威胁预警，通过厂商对重大网络安全事件的追踪生成预警包，通过预警包导入完成网络安全事件的影响面评估，并持续的跟进事态的发展，快速完成重大网络安全事件的预警及处置；</w:t>
            </w:r>
            <w:r>
              <w:rPr>
                <w:color w:val="auto"/>
              </w:rPr>
              <w:br w:type="textWrapping"/>
            </w:r>
            <w:r>
              <w:rPr>
                <w:color w:val="auto"/>
              </w:rPr>
              <w:t>6、支持根据风险资产数量统计自定义关键点节点条件，比如大面积爆发、有效控制、威胁缓解等。支持事态扩散过程发展趋势图的展示及详细告警列表及告警信息展示。（提供产品截图）</w:t>
            </w:r>
            <w:r>
              <w:rPr>
                <w:color w:val="auto"/>
              </w:rPr>
              <w:br w:type="textWrapping"/>
            </w:r>
            <w:r>
              <w:rPr>
                <w:color w:val="auto"/>
              </w:rPr>
              <w:t>7、系统至少支持绿盟、启明、网神、天融信、Tenable五款漏扫报告的解析识别和导入管理，支持人工漏洞报告导入，使用模板进行漏洞信息的导入；</w:t>
            </w:r>
            <w:r>
              <w:rPr>
                <w:color w:val="auto"/>
              </w:rPr>
              <w:br w:type="textWrapping"/>
            </w:r>
            <w:r>
              <w:rPr>
                <w:color w:val="auto"/>
              </w:rPr>
              <w:t>8、支持接入各种类型数据包括但不限于：设备日志、网络流量、失陷类威胁情报数据、资产数据、漏洞数据等数据进行关联分析，支持对IPV6日志进行关联分析；支持图形化连线拖拽的交互配置方式灵活组合规则建模中的计算单元，计算单元至少包括关联分析、统计分析和序列分析等以应对不同威胁场景建模；（提供产品截图）</w:t>
            </w:r>
            <w:r>
              <w:rPr>
                <w:color w:val="auto"/>
              </w:rPr>
              <w:br w:type="textWrapping"/>
            </w:r>
            <w:r>
              <w:rPr>
                <w:color w:val="auto"/>
              </w:rPr>
              <w:t>9、支持通过告警模块，进行安全分析模块间的快速跳转，可快速跳转模块至少包含资产、实体分析、日志检索。支持对告警进行ATT&amp;CK攻击战术、攻击技术的标识，并支持通过告警关联到ATT&amp;CK知识库。</w:t>
            </w:r>
            <w:r>
              <w:rPr>
                <w:color w:val="auto"/>
              </w:rPr>
              <w:br w:type="textWrapping"/>
            </w:r>
            <w:r>
              <w:rPr>
                <w:color w:val="auto"/>
              </w:rPr>
              <w:t>10、告警管理功能至少预置包括今日新增威胁告警、今日第一次出现的告警、命中威胁情报告警、外部威胁攻击告警、外部攻击成功主机失陷告警、资产外联告警、恶意文件告警、横向移动攻击告警、横向移动失陷危急告警、主机安全危急告警、Web安全危急告警等场景。（提供产品截图）</w:t>
            </w:r>
            <w:r>
              <w:rPr>
                <w:color w:val="auto"/>
              </w:rPr>
              <w:br w:type="textWrapping"/>
            </w:r>
            <w:r>
              <w:rPr>
                <w:color w:val="auto"/>
              </w:rPr>
              <w:t>11、支持通过创建事件调查任务对威胁事件和可疑事件进行调查分析，调查任务中可添加的证据数据包括：日志、告警、漏洞、弱口令、配置核查、文本；支持对以攻击者和受害者情况视角对调查任务中的数据做统计分析；支持调查结果的图形化展示；工单处理流程对告警事件、漏洞、弱口令及配置核查问题进行跟踪；支持将安全事件以工单形式通过邮件、短信、消息中心、企业微信通知到工单的创建人、责任人与相关人； 可对工单自定义逾期提醒时间；支持统计展示全网资产分布情况，并且支持按照资产分组展示对应的资产数量、风险值和风险等级的明细列表；支持统计资产总数，以及统计资产注册状态占比情况；支持统计资产上开放的端口情况、服务情况、协议情况；支持统计资产发现来源（资产探查、数据同步、脆弱性发现、流量解析、人工方式）的分布情况；支持按照资产发现来源（资产探查、数据同步、脆弱性发现、流量解析、人工方式）统计最近30天资产发现的趋势。支持双因子认证方式登录系统，认证方式支持短信和邮箱，支持对登录的并发会话数的设置，限制同时登陆系统的用户数量。支持通过企业微信、钉钉、蓝信方式向个人或群发送系统消息通知；支持对接威胁情报平台，实现对可疑IP、域名、URL的情报鉴定。</w:t>
            </w:r>
          </w:p>
        </w:tc>
        <w:tc>
          <w:tcPr>
            <w:tcW w:w="0" w:type="auto"/>
            <w:noWrap w:val="0"/>
            <w:vAlign w:val="center"/>
          </w:tcPr>
          <w:p>
            <w:pPr>
              <w:adjustRightInd w:val="0"/>
              <w:snapToGrid w:val="0"/>
              <w:jc w:val="center"/>
              <w:rPr>
                <w:color w:val="auto"/>
              </w:rPr>
            </w:pPr>
            <w:r>
              <w:rPr>
                <w:color w:val="auto"/>
              </w:rPr>
              <w:t>套</w:t>
            </w:r>
          </w:p>
        </w:tc>
        <w:tc>
          <w:tcPr>
            <w:tcW w:w="0" w:type="auto"/>
            <w:noWrap w:val="0"/>
            <w:vAlign w:val="center"/>
          </w:tcPr>
          <w:p>
            <w:pPr>
              <w:adjustRightInd w:val="0"/>
              <w:snapToGrid w:val="0"/>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16</w:t>
            </w:r>
          </w:p>
        </w:tc>
        <w:tc>
          <w:tcPr>
            <w:tcW w:w="0" w:type="auto"/>
            <w:noWrap w:val="0"/>
            <w:vAlign w:val="center"/>
          </w:tcPr>
          <w:p>
            <w:pPr>
              <w:adjustRightInd w:val="0"/>
              <w:snapToGrid w:val="0"/>
              <w:jc w:val="center"/>
              <w:rPr>
                <w:color w:val="auto"/>
              </w:rPr>
            </w:pPr>
            <w:r>
              <w:rPr>
                <w:color w:val="auto"/>
              </w:rPr>
              <w:t>流量探针</w:t>
            </w:r>
          </w:p>
        </w:tc>
        <w:tc>
          <w:tcPr>
            <w:tcW w:w="0" w:type="auto"/>
            <w:noWrap w:val="0"/>
            <w:vAlign w:val="center"/>
          </w:tcPr>
          <w:p>
            <w:pPr>
              <w:adjustRightInd w:val="0"/>
              <w:snapToGrid w:val="0"/>
              <w:rPr>
                <w:color w:val="auto"/>
              </w:rPr>
            </w:pPr>
            <w:r>
              <w:rPr>
                <w:color w:val="auto"/>
              </w:rPr>
              <w:t>1、多核AMP架构，同时开启网络流量采集、威胁数据采集和日志上报功能情况下混合流（模拟企业级网络真实场景流量）吞吐量</w:t>
            </w:r>
            <w:r>
              <w:rPr>
                <w:rFonts w:hint="eastAsia"/>
                <w:color w:val="auto"/>
              </w:rPr>
              <w:t>≥</w:t>
            </w:r>
            <w:r>
              <w:rPr>
                <w:color w:val="auto"/>
              </w:rPr>
              <w:t>3Gbps，HTTP并发连接数</w:t>
            </w:r>
            <w:r>
              <w:rPr>
                <w:rFonts w:hint="eastAsia"/>
                <w:color w:val="auto"/>
              </w:rPr>
              <w:t>≥</w:t>
            </w:r>
            <w:r>
              <w:rPr>
                <w:color w:val="auto"/>
              </w:rPr>
              <w:t>400万，HTTP新建连接速率</w:t>
            </w:r>
            <w:r>
              <w:rPr>
                <w:rFonts w:hint="eastAsia"/>
                <w:color w:val="auto"/>
              </w:rPr>
              <w:t>≥</w:t>
            </w:r>
            <w:r>
              <w:rPr>
                <w:color w:val="auto"/>
              </w:rPr>
              <w:t>15万/秒；2U机箱，单电源，标准配置</w:t>
            </w:r>
            <w:r>
              <w:rPr>
                <w:rFonts w:hint="eastAsia"/>
                <w:color w:val="auto"/>
              </w:rPr>
              <w:t>≥</w:t>
            </w:r>
            <w:r>
              <w:rPr>
                <w:color w:val="auto"/>
              </w:rPr>
              <w:t>6个10/100/1000M自适应千兆电口，</w:t>
            </w:r>
            <w:r>
              <w:rPr>
                <w:rFonts w:hint="eastAsia"/>
                <w:color w:val="auto"/>
              </w:rPr>
              <w:t>≥</w:t>
            </w:r>
            <w:r>
              <w:rPr>
                <w:color w:val="auto"/>
              </w:rPr>
              <w:t>1个Console口，</w:t>
            </w:r>
            <w:r>
              <w:rPr>
                <w:rFonts w:hint="eastAsia"/>
                <w:color w:val="auto"/>
              </w:rPr>
              <w:t>≥</w:t>
            </w:r>
            <w:r>
              <w:rPr>
                <w:color w:val="auto"/>
              </w:rPr>
              <w:t>2个接口扩展板卡插槽，提供三年全功能特征库升级服务，包括3年硬件维修服务。支持旁路部署，支持探针同时接入多个镜像口，每个口相互独立不影响；支持TCP流量采集、WEB流量采集、域名流量采集、文件流量采集、LDAP流量采集、登录流量采集、邮件流量采集、数据库流量采集；</w:t>
            </w:r>
            <w:r>
              <w:rPr>
                <w:color w:val="auto"/>
              </w:rPr>
              <w:br w:type="textWrapping"/>
            </w:r>
            <w:r>
              <w:rPr>
                <w:color w:val="auto"/>
              </w:rPr>
              <w:t>2、具有自定义解析流量能力，支持基于正则表达式、TLV格式、固定长度等提取模式对应用流量解析；（提供产品截图）</w:t>
            </w:r>
            <w:r>
              <w:rPr>
                <w:color w:val="auto"/>
              </w:rPr>
              <w:br w:type="textWrapping"/>
            </w:r>
            <w:r>
              <w:rPr>
                <w:color w:val="auto"/>
              </w:rPr>
              <w:t>3、支持精准识别通讯类、语音类、视频类、更新类、下载类、邮件类、金融类、理财类等多类别的应用识别，应用识别库大于等于3000+； 提供全面、强劲的病毒检测和发现能力，支持通过对HTTP、FTP、SMTP、POP3、IMAP、SMB协议进行病毒检测；支持多种类型的漏洞检测，包括：缓缓冲区溢出、拒绝服务和恶意扫描； 支持基于FTP、HTTP、IMAP、OTHER_APP、POP3、SMTP等协议的漏洞检测；</w:t>
            </w:r>
            <w:r>
              <w:rPr>
                <w:color w:val="auto"/>
              </w:rPr>
              <w:br w:type="textWrapping"/>
            </w:r>
            <w:r>
              <w:rPr>
                <w:color w:val="auto"/>
              </w:rPr>
              <w:t>4、本地集成威胁情报库，支持实现基于威胁情报的失陷主机检测，情报不少于200万；（提供产品截图）</w:t>
            </w:r>
            <w:r>
              <w:rPr>
                <w:color w:val="auto"/>
              </w:rPr>
              <w:br w:type="textWrapping"/>
            </w:r>
            <w:r>
              <w:rPr>
                <w:color w:val="auto"/>
              </w:rPr>
              <w:t>5、支持通过镜像流量识别资产信息日志，并在探针提供日志查询展示页面，展示包括：资产IP、MAC、资产发现时间、操作系统、操作系统版本、协议、端口等字段。提供对设备处理流量情况的多种维度展示，包括设备接口接收/发送流量速率、网络并发会话数和新建会话数、传感器生成的流量日志速率（eps）和威胁日志速率（eps）、按应用分别统计的流量大小等；支持与安全运维平台进行联动处置。</w:t>
            </w:r>
          </w:p>
        </w:tc>
        <w:tc>
          <w:tcPr>
            <w:tcW w:w="0" w:type="auto"/>
            <w:noWrap w:val="0"/>
            <w:vAlign w:val="center"/>
          </w:tcPr>
          <w:p>
            <w:pPr>
              <w:adjustRightInd w:val="0"/>
              <w:snapToGrid w:val="0"/>
              <w:jc w:val="center"/>
              <w:rPr>
                <w:color w:val="auto"/>
              </w:rPr>
            </w:pPr>
            <w:r>
              <w:rPr>
                <w:color w:val="auto"/>
              </w:rPr>
              <w:t>台</w:t>
            </w:r>
          </w:p>
        </w:tc>
        <w:tc>
          <w:tcPr>
            <w:tcW w:w="0" w:type="auto"/>
            <w:noWrap w:val="0"/>
            <w:vAlign w:val="center"/>
          </w:tcPr>
          <w:p>
            <w:pPr>
              <w:adjustRightInd w:val="0"/>
              <w:snapToGrid w:val="0"/>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17</w:t>
            </w:r>
          </w:p>
        </w:tc>
        <w:tc>
          <w:tcPr>
            <w:tcW w:w="0" w:type="auto"/>
            <w:noWrap w:val="0"/>
            <w:vAlign w:val="center"/>
          </w:tcPr>
          <w:p>
            <w:pPr>
              <w:adjustRightInd w:val="0"/>
              <w:snapToGrid w:val="0"/>
              <w:jc w:val="center"/>
              <w:rPr>
                <w:color w:val="auto"/>
              </w:rPr>
            </w:pPr>
            <w:r>
              <w:rPr>
                <w:color w:val="auto"/>
              </w:rPr>
              <w:t>准入系统</w:t>
            </w:r>
          </w:p>
        </w:tc>
        <w:tc>
          <w:tcPr>
            <w:tcW w:w="0" w:type="auto"/>
            <w:noWrap w:val="0"/>
            <w:vAlign w:val="center"/>
          </w:tcPr>
          <w:p>
            <w:pPr>
              <w:adjustRightInd w:val="0"/>
              <w:snapToGrid w:val="0"/>
              <w:rPr>
                <w:color w:val="auto"/>
              </w:rPr>
            </w:pPr>
            <w:r>
              <w:rPr>
                <w:color w:val="auto"/>
              </w:rPr>
              <w:t>1、支持办公网、视频监控网、物联网等多种终端设备类型的混合网络场景，实现设备发现、合规评估、身份认证及入网控制等泛终端准入控制管理功能。整机支持1000以下终端认证或1.2G网络流量处理能力。设备默认</w:t>
            </w:r>
            <w:r>
              <w:rPr>
                <w:rFonts w:hint="eastAsia"/>
                <w:color w:val="auto"/>
              </w:rPr>
              <w:t>≥</w:t>
            </w:r>
            <w:r>
              <w:rPr>
                <w:color w:val="auto"/>
              </w:rPr>
              <w:t>1个Console口，</w:t>
            </w:r>
            <w:r>
              <w:rPr>
                <w:rFonts w:hint="eastAsia"/>
                <w:color w:val="auto"/>
              </w:rPr>
              <w:t>≥</w:t>
            </w:r>
            <w:r>
              <w:rPr>
                <w:color w:val="auto"/>
              </w:rPr>
              <w:t>6个千兆电口，</w:t>
            </w:r>
            <w:r>
              <w:rPr>
                <w:rFonts w:hint="eastAsia"/>
                <w:color w:val="auto"/>
              </w:rPr>
              <w:t>≥</w:t>
            </w:r>
            <w:r>
              <w:rPr>
                <w:color w:val="auto"/>
              </w:rPr>
              <w:t>1TB 硬盘，单电源，1U设备。含36个月硬件质保服务；支持设备集中管理，可在同一管理平台集中管理所有设备，支持设备分组，权限管理、策略统一下发、统一升级等操作，实现分布式部署、集中管理，满足大型网络环境下的部署要求。支持设备端口使用情况监测，支持流量统计、接收数据、发送数据、错误数据、丢弃数据等端口状态监测，实时了解设备端口的使用情况。支持多种准入认证及控制方式，支持portal、802.1x、DHCP、MAB MAC、策略路由、旁路镜像等方式，适应多种复杂网络环境下的准入控制；</w:t>
            </w:r>
            <w:r>
              <w:rPr>
                <w:color w:val="auto"/>
              </w:rPr>
              <w:br w:type="textWrapping"/>
            </w:r>
            <w:r>
              <w:rPr>
                <w:color w:val="auto"/>
              </w:rPr>
              <w:t>2、支持通过协议栈指纹、DHCP指纹、浏览器指纹等多种方式综合匹配，获取准确的设备操作系统。（提供产品截图）</w:t>
            </w:r>
            <w:r>
              <w:rPr>
                <w:color w:val="auto"/>
              </w:rPr>
              <w:br w:type="textWrapping"/>
            </w:r>
            <w:r>
              <w:rPr>
                <w:color w:val="auto"/>
              </w:rPr>
              <w:t>3、支持网络内终端位置信息的展现，可准确展示终端所处交换机的ip及交换机具体端口数，支持反查交换机详细信息；</w:t>
            </w:r>
            <w:r>
              <w:rPr>
                <w:color w:val="auto"/>
              </w:rPr>
              <w:br w:type="textWrapping"/>
            </w:r>
            <w:r>
              <w:rPr>
                <w:color w:val="auto"/>
              </w:rPr>
              <w:t>4、使用视频协议对网内视频终端进行盘点，能够准确获取各类网络视频摄像机厂商及型号，能够准确区分网络视频摄像机及网络视频录像机（NVR）；视频终端厂商及型号信息获取不依赖于mac识别库，不依赖于snmp协议，跨三层网络场景下能够准确识别视频终端厂商及型号；（提供产品截图）</w:t>
            </w:r>
            <w:r>
              <w:rPr>
                <w:color w:val="auto"/>
              </w:rPr>
              <w:br w:type="textWrapping"/>
            </w:r>
            <w:r>
              <w:rPr>
                <w:color w:val="auto"/>
              </w:rPr>
              <w:t>5、支持根据管控区域、终端类型、行为模型、设备标签等进行入网控制，支持每个入网条件可包含多个检查规则的组合；支持新入网终端自学习绑定首次入网时使用的IP；支持检查终端网络行为模型，支持多种判断模型机器学习，判断终端网络行为是否满足已学习的安全要求。支持在不安装插件或客户端的情况下检测终端设备是否发生违规外联事件，根据策略配置支持告警或直接阻断；</w:t>
            </w:r>
            <w:r>
              <w:rPr>
                <w:color w:val="auto"/>
              </w:rPr>
              <w:br w:type="textWrapping"/>
            </w:r>
            <w:r>
              <w:rPr>
                <w:color w:val="auto"/>
              </w:rPr>
              <w:t>6、支持设备指纹仿冒检查，能检查终端外在静态指纹特征，支持多种特征维度，支持windowsPC和PC之间的仿冒发现和同摄像头类型间的替换发现；（提供产品截图）</w:t>
            </w:r>
            <w:r>
              <w:rPr>
                <w:color w:val="auto"/>
              </w:rPr>
              <w:br w:type="textWrapping"/>
            </w:r>
            <w:r>
              <w:rPr>
                <w:color w:val="auto"/>
              </w:rPr>
              <w:t>7、检测告警支持添加外联告警策略，绑定外联标签，通过对应的监听端口扫描上报告警信息，同时支持告警外发功能，可以选择邮件告警或短信告警。</w:t>
            </w:r>
          </w:p>
        </w:tc>
        <w:tc>
          <w:tcPr>
            <w:tcW w:w="0" w:type="auto"/>
            <w:noWrap w:val="0"/>
            <w:vAlign w:val="center"/>
          </w:tcPr>
          <w:p>
            <w:pPr>
              <w:adjustRightInd w:val="0"/>
              <w:snapToGrid w:val="0"/>
              <w:jc w:val="center"/>
              <w:rPr>
                <w:color w:val="auto"/>
              </w:rPr>
            </w:pPr>
            <w:r>
              <w:rPr>
                <w:color w:val="auto"/>
              </w:rPr>
              <w:t>台</w:t>
            </w:r>
          </w:p>
        </w:tc>
        <w:tc>
          <w:tcPr>
            <w:tcW w:w="0" w:type="auto"/>
            <w:noWrap w:val="0"/>
            <w:vAlign w:val="center"/>
          </w:tcPr>
          <w:p>
            <w:pPr>
              <w:adjustRightInd w:val="0"/>
              <w:snapToGrid w:val="0"/>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18</w:t>
            </w:r>
          </w:p>
        </w:tc>
        <w:tc>
          <w:tcPr>
            <w:tcW w:w="0" w:type="auto"/>
            <w:noWrap w:val="0"/>
            <w:vAlign w:val="center"/>
          </w:tcPr>
          <w:p>
            <w:pPr>
              <w:adjustRightInd w:val="0"/>
              <w:snapToGrid w:val="0"/>
              <w:jc w:val="center"/>
              <w:rPr>
                <w:color w:val="auto"/>
              </w:rPr>
            </w:pPr>
            <w:r>
              <w:rPr>
                <w:color w:val="auto"/>
              </w:rPr>
              <w:t>光纤模块</w:t>
            </w:r>
          </w:p>
        </w:tc>
        <w:tc>
          <w:tcPr>
            <w:tcW w:w="0" w:type="auto"/>
            <w:noWrap w:val="0"/>
            <w:vAlign w:val="center"/>
          </w:tcPr>
          <w:p>
            <w:pPr>
              <w:adjustRightInd w:val="0"/>
              <w:snapToGrid w:val="0"/>
              <w:rPr>
                <w:color w:val="auto"/>
              </w:rPr>
            </w:pPr>
            <w:r>
              <w:rPr>
                <w:color w:val="auto"/>
              </w:rPr>
              <w:t>SFP+ 万兆模块(1310nm,10km,LC)</w:t>
            </w:r>
          </w:p>
        </w:tc>
        <w:tc>
          <w:tcPr>
            <w:tcW w:w="0" w:type="auto"/>
            <w:noWrap w:val="0"/>
            <w:vAlign w:val="center"/>
          </w:tcPr>
          <w:p>
            <w:pPr>
              <w:adjustRightInd w:val="0"/>
              <w:snapToGrid w:val="0"/>
              <w:jc w:val="center"/>
              <w:rPr>
                <w:color w:val="auto"/>
              </w:rPr>
            </w:pPr>
            <w:r>
              <w:rPr>
                <w:color w:val="auto"/>
              </w:rPr>
              <w:t>个</w:t>
            </w:r>
          </w:p>
        </w:tc>
        <w:tc>
          <w:tcPr>
            <w:tcW w:w="0" w:type="auto"/>
            <w:noWrap w:val="0"/>
            <w:vAlign w:val="center"/>
          </w:tcPr>
          <w:p>
            <w:pPr>
              <w:adjustRightInd w:val="0"/>
              <w:snapToGrid w:val="0"/>
              <w:jc w:val="center"/>
              <w:rPr>
                <w:color w:val="auto"/>
              </w:rPr>
            </w:pPr>
            <w:r>
              <w:rPr>
                <w:color w:val="auto"/>
              </w:rPr>
              <w:t>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adjustRightInd w:val="0"/>
              <w:snapToGrid w:val="0"/>
              <w:jc w:val="center"/>
              <w:rPr>
                <w:color w:val="auto"/>
              </w:rPr>
            </w:pPr>
            <w:r>
              <w:rPr>
                <w:color w:val="auto"/>
              </w:rPr>
              <w:t>19</w:t>
            </w:r>
          </w:p>
        </w:tc>
        <w:tc>
          <w:tcPr>
            <w:tcW w:w="0" w:type="auto"/>
            <w:noWrap w:val="0"/>
            <w:vAlign w:val="center"/>
          </w:tcPr>
          <w:p>
            <w:pPr>
              <w:adjustRightInd w:val="0"/>
              <w:snapToGrid w:val="0"/>
              <w:jc w:val="center"/>
              <w:rPr>
                <w:color w:val="auto"/>
              </w:rPr>
            </w:pPr>
            <w:r>
              <w:rPr>
                <w:color w:val="auto"/>
              </w:rPr>
              <w:t>光纤跳线</w:t>
            </w:r>
          </w:p>
        </w:tc>
        <w:tc>
          <w:tcPr>
            <w:tcW w:w="0" w:type="auto"/>
            <w:noWrap w:val="0"/>
            <w:vAlign w:val="center"/>
          </w:tcPr>
          <w:p>
            <w:pPr>
              <w:adjustRightInd w:val="0"/>
              <w:snapToGrid w:val="0"/>
              <w:rPr>
                <w:color w:val="auto"/>
              </w:rPr>
            </w:pPr>
            <w:r>
              <w:rPr>
                <w:color w:val="auto"/>
              </w:rPr>
              <w:t>单模，</w:t>
            </w:r>
            <w:r>
              <w:rPr>
                <w:rFonts w:hint="eastAsia"/>
                <w:color w:val="auto"/>
              </w:rPr>
              <w:t>≥</w:t>
            </w:r>
            <w:r>
              <w:rPr>
                <w:color w:val="auto"/>
              </w:rPr>
              <w:t>10米</w:t>
            </w:r>
          </w:p>
        </w:tc>
        <w:tc>
          <w:tcPr>
            <w:tcW w:w="0" w:type="auto"/>
            <w:noWrap w:val="0"/>
            <w:vAlign w:val="center"/>
          </w:tcPr>
          <w:p>
            <w:pPr>
              <w:adjustRightInd w:val="0"/>
              <w:snapToGrid w:val="0"/>
              <w:jc w:val="center"/>
              <w:rPr>
                <w:color w:val="auto"/>
              </w:rPr>
            </w:pPr>
            <w:r>
              <w:rPr>
                <w:color w:val="auto"/>
              </w:rPr>
              <w:t>套</w:t>
            </w:r>
          </w:p>
        </w:tc>
        <w:tc>
          <w:tcPr>
            <w:tcW w:w="0" w:type="auto"/>
            <w:noWrap w:val="0"/>
            <w:vAlign w:val="center"/>
          </w:tcPr>
          <w:p>
            <w:pPr>
              <w:adjustRightInd w:val="0"/>
              <w:snapToGrid w:val="0"/>
              <w:jc w:val="center"/>
              <w:rPr>
                <w:color w:val="auto"/>
              </w:rPr>
            </w:pPr>
            <w:r>
              <w:rPr>
                <w:color w:val="auto"/>
              </w:rPr>
              <w:t>46</w:t>
            </w:r>
          </w:p>
        </w:tc>
      </w:tr>
    </w:tbl>
    <w:p>
      <w:pPr>
        <w:pStyle w:val="8"/>
        <w:widowControl/>
        <w:spacing w:beforeAutospacing="0" w:afterAutospacing="0" w:line="360" w:lineRule="auto"/>
        <w:jc w:val="both"/>
        <w:rPr>
          <w:rFonts w:hint="eastAsia" w:ascii="宋体" w:hAnsi="宋体" w:eastAsia="宋体" w:cs="Times New Roman"/>
          <w:b/>
          <w:bCs/>
          <w:color w:val="auto"/>
          <w:shd w:val="clear" w:color="auto" w:fill="FFFFFF"/>
          <w:lang w:eastAsia="zh-CN"/>
        </w:rPr>
      </w:pPr>
      <w:r>
        <w:rPr>
          <w:rFonts w:hint="eastAsia" w:ascii="宋体" w:hAnsi="宋体" w:eastAsia="宋体" w:cs="Times New Roman"/>
          <w:b/>
          <w:bCs/>
          <w:color w:val="auto"/>
          <w:shd w:val="clear" w:color="auto" w:fill="FFFFFF"/>
        </w:rPr>
        <w:t>3.1</w:t>
      </w:r>
      <w:r>
        <w:rPr>
          <w:rFonts w:ascii="宋体" w:hAnsi="宋体" w:eastAsia="宋体" w:cs="Times New Roman"/>
          <w:b/>
          <w:bCs/>
          <w:color w:val="auto"/>
          <w:shd w:val="clear" w:color="auto" w:fill="FFFFFF"/>
        </w:rPr>
        <w:t>.9 机房</w:t>
      </w:r>
      <w:r>
        <w:rPr>
          <w:rFonts w:hint="eastAsia" w:ascii="宋体" w:hAnsi="宋体" w:eastAsia="宋体" w:cs="Times New Roman"/>
          <w:b/>
          <w:bCs/>
          <w:color w:val="auto"/>
          <w:shd w:val="clear" w:color="auto" w:fill="FFFFFF"/>
          <w:lang w:eastAsia="zh-CN"/>
        </w:rPr>
        <w:t>及</w:t>
      </w:r>
      <w:r>
        <w:rPr>
          <w:rFonts w:ascii="宋体" w:hAnsi="宋体" w:eastAsia="宋体" w:cs="Times New Roman"/>
          <w:b/>
          <w:bCs/>
          <w:color w:val="auto"/>
          <w:shd w:val="clear" w:color="auto" w:fill="FFFFFF"/>
        </w:rPr>
        <w:t>配套</w:t>
      </w:r>
      <w:r>
        <w:rPr>
          <w:rFonts w:hint="eastAsia" w:ascii="宋体" w:hAnsi="宋体" w:eastAsia="宋体" w:cs="Times New Roman"/>
          <w:b/>
          <w:bCs/>
          <w:color w:val="auto"/>
          <w:shd w:val="clear" w:color="auto" w:fill="FFFFFF"/>
          <w:lang w:eastAsia="zh-CN"/>
        </w:rPr>
        <w:t>设施</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2394"/>
        <w:gridCol w:w="4022"/>
        <w:gridCol w:w="702"/>
        <w:gridCol w:w="7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12" w:type="pct"/>
            <w:shd w:val="clear" w:color="000000" w:fill="FFFFFF"/>
            <w:noWrap/>
            <w:vAlign w:val="center"/>
          </w:tcPr>
          <w:p>
            <w:pPr>
              <w:jc w:val="center"/>
              <w:rPr>
                <w:color w:val="auto"/>
              </w:rPr>
            </w:pPr>
            <w:r>
              <w:rPr>
                <w:color w:val="auto"/>
              </w:rPr>
              <w:t>序号</w:t>
            </w:r>
          </w:p>
        </w:tc>
        <w:tc>
          <w:tcPr>
            <w:tcW w:w="1404" w:type="pct"/>
            <w:shd w:val="clear" w:color="000000" w:fill="FFFFFF"/>
            <w:noWrap/>
            <w:vAlign w:val="center"/>
          </w:tcPr>
          <w:p>
            <w:pPr>
              <w:jc w:val="center"/>
              <w:rPr>
                <w:color w:val="auto"/>
              </w:rPr>
            </w:pPr>
            <w:r>
              <w:rPr>
                <w:color w:val="auto"/>
              </w:rPr>
              <w:t>名称</w:t>
            </w:r>
          </w:p>
        </w:tc>
        <w:tc>
          <w:tcPr>
            <w:tcW w:w="2359" w:type="pct"/>
            <w:shd w:val="clear" w:color="000000" w:fill="FFFFFF"/>
            <w:noWrap w:val="0"/>
            <w:vAlign w:val="center"/>
          </w:tcPr>
          <w:p>
            <w:pPr>
              <w:jc w:val="center"/>
              <w:rPr>
                <w:color w:val="auto"/>
              </w:rPr>
            </w:pPr>
            <w:r>
              <w:rPr>
                <w:color w:val="auto"/>
              </w:rPr>
              <w:t>技术要求</w:t>
            </w:r>
          </w:p>
        </w:tc>
        <w:tc>
          <w:tcPr>
            <w:tcW w:w="412" w:type="pct"/>
            <w:shd w:val="clear" w:color="000000" w:fill="FFFFFF"/>
            <w:noWrap/>
            <w:vAlign w:val="center"/>
          </w:tcPr>
          <w:p>
            <w:pPr>
              <w:jc w:val="center"/>
              <w:rPr>
                <w:color w:val="auto"/>
              </w:rPr>
            </w:pPr>
            <w:r>
              <w:rPr>
                <w:color w:val="auto"/>
              </w:rPr>
              <w:t>单位</w:t>
            </w:r>
          </w:p>
        </w:tc>
        <w:tc>
          <w:tcPr>
            <w:tcW w:w="412" w:type="pct"/>
            <w:shd w:val="clear" w:color="000000" w:fill="FFFFFF"/>
            <w:noWrap/>
            <w:vAlign w:val="center"/>
          </w:tcPr>
          <w:p>
            <w:pPr>
              <w:jc w:val="center"/>
              <w:rPr>
                <w:color w:val="auto"/>
              </w:rPr>
            </w:pPr>
            <w:r>
              <w:rPr>
                <w:color w:val="auto"/>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6" w:type="pct"/>
            <w:gridSpan w:val="2"/>
            <w:shd w:val="clear" w:color="000000" w:fill="FFFFFF"/>
            <w:noWrap/>
            <w:vAlign w:val="top"/>
          </w:tcPr>
          <w:p>
            <w:pPr>
              <w:rPr>
                <w:color w:val="auto"/>
              </w:rPr>
            </w:pPr>
            <w:r>
              <w:rPr>
                <w:rFonts w:hint="eastAsia"/>
                <w:color w:val="auto"/>
              </w:rPr>
              <w:t>一、</w:t>
            </w:r>
            <w:r>
              <w:rPr>
                <w:color w:val="auto"/>
              </w:rPr>
              <w:t>基础装修</w:t>
            </w:r>
          </w:p>
        </w:tc>
        <w:tc>
          <w:tcPr>
            <w:tcW w:w="2359" w:type="pct"/>
            <w:shd w:val="clear" w:color="000000" w:fill="FFFFFF"/>
            <w:noWrap w:val="0"/>
            <w:vAlign w:val="top"/>
          </w:tcPr>
          <w:p>
            <w:pPr>
              <w:rPr>
                <w:color w:val="auto"/>
              </w:rPr>
            </w:pPr>
            <w:r>
              <w:rPr>
                <w:color w:val="auto"/>
              </w:rPr>
              <w:t>　</w:t>
            </w:r>
          </w:p>
        </w:tc>
        <w:tc>
          <w:tcPr>
            <w:tcW w:w="412" w:type="pct"/>
            <w:shd w:val="clear" w:color="000000" w:fill="FFFFFF"/>
            <w:noWrap/>
            <w:vAlign w:val="top"/>
          </w:tcPr>
          <w:p>
            <w:pPr>
              <w:jc w:val="center"/>
              <w:rPr>
                <w:color w:val="auto"/>
              </w:rPr>
            </w:pPr>
            <w:r>
              <w:rPr>
                <w:color w:val="auto"/>
              </w:rPr>
              <w:t>　</w:t>
            </w:r>
          </w:p>
        </w:tc>
        <w:tc>
          <w:tcPr>
            <w:tcW w:w="412" w:type="pct"/>
            <w:shd w:val="clear" w:color="000000" w:fill="FFFFFF"/>
            <w:noWrap/>
            <w:vAlign w:val="top"/>
          </w:tcPr>
          <w:p>
            <w:pPr>
              <w:jc w:val="center"/>
              <w:rPr>
                <w:color w:val="auto"/>
              </w:rPr>
            </w:pPr>
            <w:r>
              <w:rPr>
                <w:color w:val="auto"/>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1</w:t>
            </w:r>
          </w:p>
        </w:tc>
        <w:tc>
          <w:tcPr>
            <w:tcW w:w="1404" w:type="pct"/>
            <w:shd w:val="clear" w:color="000000" w:fill="FFFFFF"/>
            <w:noWrap w:val="0"/>
            <w:vAlign w:val="top"/>
          </w:tcPr>
          <w:p>
            <w:pPr>
              <w:jc w:val="center"/>
              <w:rPr>
                <w:color w:val="auto"/>
              </w:rPr>
            </w:pPr>
            <w:r>
              <w:rPr>
                <w:color w:val="auto"/>
              </w:rPr>
              <w:t>不锈钢门套</w:t>
            </w:r>
          </w:p>
        </w:tc>
        <w:tc>
          <w:tcPr>
            <w:tcW w:w="2359" w:type="pct"/>
            <w:shd w:val="clear" w:color="000000" w:fill="FFFFFF"/>
            <w:noWrap w:val="0"/>
            <w:vAlign w:val="top"/>
          </w:tcPr>
          <w:p>
            <w:pPr>
              <w:rPr>
                <w:color w:val="auto"/>
              </w:rPr>
            </w:pPr>
            <w:r>
              <w:rPr>
                <w:color w:val="auto"/>
              </w:rPr>
              <w:t xml:space="preserve">内包 </w:t>
            </w:r>
          </w:p>
        </w:tc>
        <w:tc>
          <w:tcPr>
            <w:tcW w:w="412" w:type="pct"/>
            <w:shd w:val="clear" w:color="000000" w:fill="FFFFFF"/>
            <w:noWrap w:val="0"/>
            <w:vAlign w:val="top"/>
          </w:tcPr>
          <w:p>
            <w:pPr>
              <w:jc w:val="center"/>
              <w:rPr>
                <w:color w:val="auto"/>
              </w:rPr>
            </w:pPr>
            <w:r>
              <w:rPr>
                <w:color w:val="auto"/>
              </w:rPr>
              <w:t>樘</w:t>
            </w:r>
          </w:p>
        </w:tc>
        <w:tc>
          <w:tcPr>
            <w:tcW w:w="412" w:type="pct"/>
            <w:shd w:val="clear" w:color="000000" w:fill="FFFFFF"/>
            <w:noWrap w:val="0"/>
            <w:vAlign w:val="top"/>
          </w:tcPr>
          <w:p>
            <w:pPr>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2</w:t>
            </w:r>
          </w:p>
        </w:tc>
        <w:tc>
          <w:tcPr>
            <w:tcW w:w="1404" w:type="pct"/>
            <w:shd w:val="clear" w:color="000000" w:fill="FFFFFF"/>
            <w:noWrap w:val="0"/>
            <w:vAlign w:val="top"/>
          </w:tcPr>
          <w:p>
            <w:pPr>
              <w:jc w:val="center"/>
              <w:rPr>
                <w:color w:val="auto"/>
              </w:rPr>
            </w:pPr>
            <w:r>
              <w:rPr>
                <w:color w:val="auto"/>
              </w:rPr>
              <w:t>铝合金方形顶板</w:t>
            </w:r>
          </w:p>
        </w:tc>
        <w:tc>
          <w:tcPr>
            <w:tcW w:w="2359" w:type="pct"/>
            <w:shd w:val="clear" w:color="000000" w:fill="FFFFFF"/>
            <w:noWrap w:val="0"/>
            <w:vAlign w:val="top"/>
          </w:tcPr>
          <w:p>
            <w:pPr>
              <w:rPr>
                <w:color w:val="auto"/>
              </w:rPr>
            </w:pPr>
            <w:r>
              <w:rPr>
                <w:color w:val="auto"/>
              </w:rPr>
              <w:t>微孔600*600</w:t>
            </w:r>
          </w:p>
        </w:tc>
        <w:tc>
          <w:tcPr>
            <w:tcW w:w="412" w:type="pct"/>
            <w:shd w:val="clear" w:color="000000" w:fill="FFFFFF"/>
            <w:noWrap w:val="0"/>
            <w:vAlign w:val="top"/>
          </w:tcPr>
          <w:p>
            <w:pPr>
              <w:jc w:val="center"/>
              <w:rPr>
                <w:color w:val="auto"/>
              </w:rPr>
            </w:pPr>
            <w:r>
              <w:rPr>
                <w:color w:val="auto"/>
              </w:rPr>
              <w:t>m2</w:t>
            </w:r>
          </w:p>
        </w:tc>
        <w:tc>
          <w:tcPr>
            <w:tcW w:w="412" w:type="pct"/>
            <w:shd w:val="clear" w:color="000000" w:fill="FFFFFF"/>
            <w:noWrap w:val="0"/>
            <w:vAlign w:val="top"/>
          </w:tcPr>
          <w:p>
            <w:pPr>
              <w:jc w:val="center"/>
              <w:rPr>
                <w:color w:val="auto"/>
              </w:rPr>
            </w:pPr>
            <w:r>
              <w:rPr>
                <w:color w:val="auto"/>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3</w:t>
            </w:r>
          </w:p>
        </w:tc>
        <w:tc>
          <w:tcPr>
            <w:tcW w:w="1404" w:type="pct"/>
            <w:shd w:val="clear" w:color="000000" w:fill="FFFFFF"/>
            <w:noWrap w:val="0"/>
            <w:vAlign w:val="top"/>
          </w:tcPr>
          <w:p>
            <w:pPr>
              <w:jc w:val="center"/>
              <w:rPr>
                <w:color w:val="auto"/>
              </w:rPr>
            </w:pPr>
            <w:r>
              <w:rPr>
                <w:color w:val="auto"/>
              </w:rPr>
              <w:t>吊顶板基层龙骨</w:t>
            </w:r>
          </w:p>
        </w:tc>
        <w:tc>
          <w:tcPr>
            <w:tcW w:w="2359" w:type="pct"/>
            <w:shd w:val="clear" w:color="000000" w:fill="FFFFFF"/>
            <w:noWrap w:val="0"/>
            <w:vAlign w:val="top"/>
          </w:tcPr>
          <w:p>
            <w:pPr>
              <w:rPr>
                <w:color w:val="auto"/>
              </w:rPr>
            </w:pPr>
            <w:r>
              <w:rPr>
                <w:color w:val="auto"/>
              </w:rPr>
              <w:t>38加厚型</w:t>
            </w:r>
          </w:p>
        </w:tc>
        <w:tc>
          <w:tcPr>
            <w:tcW w:w="412" w:type="pct"/>
            <w:shd w:val="clear" w:color="000000" w:fill="FFFFFF"/>
            <w:noWrap w:val="0"/>
            <w:vAlign w:val="top"/>
          </w:tcPr>
          <w:p>
            <w:pPr>
              <w:jc w:val="center"/>
              <w:rPr>
                <w:color w:val="auto"/>
              </w:rPr>
            </w:pPr>
            <w:r>
              <w:rPr>
                <w:color w:val="auto"/>
              </w:rPr>
              <w:t>m2</w:t>
            </w:r>
          </w:p>
        </w:tc>
        <w:tc>
          <w:tcPr>
            <w:tcW w:w="412" w:type="pct"/>
            <w:shd w:val="clear" w:color="000000" w:fill="FFFFFF"/>
            <w:noWrap w:val="0"/>
            <w:vAlign w:val="top"/>
          </w:tcPr>
          <w:p>
            <w:pPr>
              <w:jc w:val="center"/>
              <w:rPr>
                <w:color w:val="auto"/>
              </w:rPr>
            </w:pPr>
            <w:r>
              <w:rPr>
                <w:color w:val="auto"/>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4</w:t>
            </w:r>
          </w:p>
        </w:tc>
        <w:tc>
          <w:tcPr>
            <w:tcW w:w="1404" w:type="pct"/>
            <w:shd w:val="clear" w:color="000000" w:fill="FFFFFF"/>
            <w:noWrap w:val="0"/>
            <w:vAlign w:val="top"/>
          </w:tcPr>
          <w:p>
            <w:pPr>
              <w:jc w:val="center"/>
              <w:rPr>
                <w:color w:val="auto"/>
              </w:rPr>
            </w:pPr>
            <w:r>
              <w:rPr>
                <w:color w:val="auto"/>
              </w:rPr>
              <w:t>金属角线</w:t>
            </w:r>
          </w:p>
        </w:tc>
        <w:tc>
          <w:tcPr>
            <w:tcW w:w="2359" w:type="pct"/>
            <w:shd w:val="clear" w:color="000000" w:fill="FFFFFF"/>
            <w:noWrap w:val="0"/>
            <w:vAlign w:val="top"/>
          </w:tcPr>
          <w:p>
            <w:pPr>
              <w:rPr>
                <w:color w:val="auto"/>
              </w:rPr>
            </w:pPr>
            <w:r>
              <w:rPr>
                <w:color w:val="auto"/>
              </w:rPr>
              <w:t>L25</w:t>
            </w:r>
          </w:p>
        </w:tc>
        <w:tc>
          <w:tcPr>
            <w:tcW w:w="412" w:type="pct"/>
            <w:shd w:val="clear" w:color="000000" w:fill="FFFFFF"/>
            <w:noWrap w:val="0"/>
            <w:vAlign w:val="top"/>
          </w:tcPr>
          <w:p>
            <w:pPr>
              <w:jc w:val="center"/>
              <w:rPr>
                <w:color w:val="auto"/>
              </w:rPr>
            </w:pPr>
            <w:r>
              <w:rPr>
                <w:color w:val="auto"/>
              </w:rPr>
              <w:t>m</w:t>
            </w:r>
          </w:p>
        </w:tc>
        <w:tc>
          <w:tcPr>
            <w:tcW w:w="412" w:type="pct"/>
            <w:shd w:val="clear" w:color="000000" w:fill="FFFFFF"/>
            <w:noWrap w:val="0"/>
            <w:vAlign w:val="top"/>
          </w:tcPr>
          <w:p>
            <w:pPr>
              <w:jc w:val="center"/>
              <w:rPr>
                <w:color w:val="auto"/>
              </w:rPr>
            </w:pPr>
            <w:r>
              <w:rPr>
                <w:color w:val="auto"/>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5</w:t>
            </w:r>
          </w:p>
        </w:tc>
        <w:tc>
          <w:tcPr>
            <w:tcW w:w="1404" w:type="pct"/>
            <w:shd w:val="clear" w:color="000000" w:fill="FFFFFF"/>
            <w:noWrap w:val="0"/>
            <w:vAlign w:val="top"/>
          </w:tcPr>
          <w:p>
            <w:pPr>
              <w:jc w:val="center"/>
              <w:rPr>
                <w:color w:val="auto"/>
              </w:rPr>
            </w:pPr>
            <w:r>
              <w:rPr>
                <w:color w:val="auto"/>
              </w:rPr>
              <w:t>抗静电地板</w:t>
            </w:r>
          </w:p>
        </w:tc>
        <w:tc>
          <w:tcPr>
            <w:tcW w:w="2359" w:type="pct"/>
            <w:shd w:val="clear" w:color="000000" w:fill="FFFFFF"/>
            <w:noWrap w:val="0"/>
            <w:vAlign w:val="top"/>
          </w:tcPr>
          <w:p>
            <w:pPr>
              <w:rPr>
                <w:color w:val="auto"/>
              </w:rPr>
            </w:pPr>
            <w:r>
              <w:rPr>
                <w:color w:val="auto"/>
              </w:rPr>
              <w:t>600*600*35，无边 H=250</w:t>
            </w:r>
          </w:p>
        </w:tc>
        <w:tc>
          <w:tcPr>
            <w:tcW w:w="412" w:type="pct"/>
            <w:shd w:val="clear" w:color="000000" w:fill="FFFFFF"/>
            <w:noWrap w:val="0"/>
            <w:vAlign w:val="top"/>
          </w:tcPr>
          <w:p>
            <w:pPr>
              <w:jc w:val="center"/>
              <w:rPr>
                <w:color w:val="auto"/>
              </w:rPr>
            </w:pPr>
            <w:r>
              <w:rPr>
                <w:color w:val="auto"/>
              </w:rPr>
              <w:t>m2</w:t>
            </w:r>
          </w:p>
        </w:tc>
        <w:tc>
          <w:tcPr>
            <w:tcW w:w="412" w:type="pct"/>
            <w:shd w:val="clear" w:color="000000" w:fill="FFFFFF"/>
            <w:noWrap w:val="0"/>
            <w:vAlign w:val="top"/>
          </w:tcPr>
          <w:p>
            <w:pPr>
              <w:jc w:val="center"/>
              <w:rPr>
                <w:color w:val="auto"/>
              </w:rPr>
            </w:pPr>
            <w:r>
              <w:rPr>
                <w:color w:val="auto"/>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6</w:t>
            </w:r>
          </w:p>
        </w:tc>
        <w:tc>
          <w:tcPr>
            <w:tcW w:w="1404" w:type="pct"/>
            <w:shd w:val="clear" w:color="000000" w:fill="FFFFFF"/>
            <w:noWrap w:val="0"/>
            <w:vAlign w:val="top"/>
          </w:tcPr>
          <w:p>
            <w:pPr>
              <w:jc w:val="center"/>
              <w:rPr>
                <w:color w:val="auto"/>
              </w:rPr>
            </w:pPr>
            <w:r>
              <w:rPr>
                <w:color w:val="auto"/>
              </w:rPr>
              <w:t>不锈钢踢脚线</w:t>
            </w:r>
          </w:p>
        </w:tc>
        <w:tc>
          <w:tcPr>
            <w:tcW w:w="2359" w:type="pct"/>
            <w:shd w:val="clear" w:color="000000" w:fill="FFFFFF"/>
            <w:noWrap w:val="0"/>
            <w:vAlign w:val="top"/>
          </w:tcPr>
          <w:p>
            <w:pPr>
              <w:rPr>
                <w:color w:val="auto"/>
              </w:rPr>
            </w:pPr>
            <w:r>
              <w:rPr>
                <w:color w:val="auto"/>
              </w:rPr>
              <w:t>80*10mm板厚1.2</w:t>
            </w:r>
          </w:p>
        </w:tc>
        <w:tc>
          <w:tcPr>
            <w:tcW w:w="412" w:type="pct"/>
            <w:shd w:val="clear" w:color="000000" w:fill="FFFFFF"/>
            <w:noWrap w:val="0"/>
            <w:vAlign w:val="top"/>
          </w:tcPr>
          <w:p>
            <w:pPr>
              <w:jc w:val="center"/>
              <w:rPr>
                <w:color w:val="auto"/>
              </w:rPr>
            </w:pPr>
            <w:r>
              <w:rPr>
                <w:color w:val="auto"/>
              </w:rPr>
              <w:t>m</w:t>
            </w:r>
          </w:p>
        </w:tc>
        <w:tc>
          <w:tcPr>
            <w:tcW w:w="412" w:type="pct"/>
            <w:shd w:val="clear" w:color="000000" w:fill="FFFFFF"/>
            <w:noWrap w:val="0"/>
            <w:vAlign w:val="top"/>
          </w:tcPr>
          <w:p>
            <w:pPr>
              <w:jc w:val="center"/>
              <w:rPr>
                <w:color w:val="auto"/>
              </w:rPr>
            </w:pPr>
            <w:r>
              <w:rPr>
                <w:color w:val="auto"/>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7</w:t>
            </w:r>
          </w:p>
        </w:tc>
        <w:tc>
          <w:tcPr>
            <w:tcW w:w="1404" w:type="pct"/>
            <w:shd w:val="clear" w:color="000000" w:fill="FFFFFF"/>
            <w:noWrap w:val="0"/>
            <w:vAlign w:val="top"/>
          </w:tcPr>
          <w:p>
            <w:pPr>
              <w:jc w:val="center"/>
              <w:rPr>
                <w:color w:val="auto"/>
              </w:rPr>
            </w:pPr>
            <w:r>
              <w:rPr>
                <w:color w:val="auto"/>
              </w:rPr>
              <w:t>地面防尘隔离</w:t>
            </w:r>
          </w:p>
        </w:tc>
        <w:tc>
          <w:tcPr>
            <w:tcW w:w="2359" w:type="pct"/>
            <w:shd w:val="clear" w:color="000000" w:fill="FFFFFF"/>
            <w:noWrap w:val="0"/>
            <w:vAlign w:val="top"/>
          </w:tcPr>
          <w:p>
            <w:pPr>
              <w:rPr>
                <w:color w:val="auto"/>
              </w:rPr>
            </w:pPr>
            <w:r>
              <w:rPr>
                <w:color w:val="auto"/>
              </w:rPr>
              <w:t>镀锌铁皮0.5mm</w:t>
            </w:r>
          </w:p>
        </w:tc>
        <w:tc>
          <w:tcPr>
            <w:tcW w:w="412" w:type="pct"/>
            <w:shd w:val="clear" w:color="000000" w:fill="FFFFFF"/>
            <w:noWrap w:val="0"/>
            <w:vAlign w:val="top"/>
          </w:tcPr>
          <w:p>
            <w:pPr>
              <w:jc w:val="center"/>
              <w:rPr>
                <w:color w:val="auto"/>
              </w:rPr>
            </w:pPr>
            <w:r>
              <w:rPr>
                <w:color w:val="auto"/>
              </w:rPr>
              <w:t>m2</w:t>
            </w:r>
          </w:p>
        </w:tc>
        <w:tc>
          <w:tcPr>
            <w:tcW w:w="412" w:type="pct"/>
            <w:shd w:val="clear" w:color="000000" w:fill="FFFFFF"/>
            <w:noWrap w:val="0"/>
            <w:vAlign w:val="top"/>
          </w:tcPr>
          <w:p>
            <w:pPr>
              <w:jc w:val="center"/>
              <w:rPr>
                <w:color w:val="auto"/>
              </w:rPr>
            </w:pPr>
            <w:r>
              <w:rPr>
                <w:color w:val="auto"/>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8</w:t>
            </w:r>
          </w:p>
        </w:tc>
        <w:tc>
          <w:tcPr>
            <w:tcW w:w="1404" w:type="pct"/>
            <w:shd w:val="clear" w:color="000000" w:fill="FFFFFF"/>
            <w:noWrap w:val="0"/>
            <w:vAlign w:val="top"/>
          </w:tcPr>
          <w:p>
            <w:pPr>
              <w:jc w:val="center"/>
              <w:rPr>
                <w:color w:val="auto"/>
              </w:rPr>
            </w:pPr>
            <w:r>
              <w:rPr>
                <w:color w:val="auto"/>
              </w:rPr>
              <w:t>台阶砖砌基础</w:t>
            </w:r>
          </w:p>
        </w:tc>
        <w:tc>
          <w:tcPr>
            <w:tcW w:w="2359" w:type="pct"/>
            <w:shd w:val="clear" w:color="000000" w:fill="FFFFFF"/>
            <w:noWrap w:val="0"/>
            <w:vAlign w:val="top"/>
          </w:tcPr>
          <w:p>
            <w:pPr>
              <w:rPr>
                <w:color w:val="auto"/>
              </w:rPr>
            </w:pPr>
            <w:r>
              <w:rPr>
                <w:color w:val="auto"/>
              </w:rPr>
              <w:t>宽度1200mm H=250mm</w:t>
            </w:r>
          </w:p>
        </w:tc>
        <w:tc>
          <w:tcPr>
            <w:tcW w:w="412" w:type="pct"/>
            <w:shd w:val="clear" w:color="000000" w:fill="FFFFFF"/>
            <w:noWrap w:val="0"/>
            <w:vAlign w:val="top"/>
          </w:tcPr>
          <w:p>
            <w:pPr>
              <w:jc w:val="center"/>
              <w:rPr>
                <w:color w:val="auto"/>
              </w:rPr>
            </w:pPr>
            <w:r>
              <w:rPr>
                <w:color w:val="auto"/>
              </w:rPr>
              <w:t>个</w:t>
            </w:r>
          </w:p>
        </w:tc>
        <w:tc>
          <w:tcPr>
            <w:tcW w:w="412" w:type="pct"/>
            <w:shd w:val="clear" w:color="000000" w:fill="FFFFFF"/>
            <w:noWrap w:val="0"/>
            <w:vAlign w:val="top"/>
          </w:tcPr>
          <w:p>
            <w:pPr>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9</w:t>
            </w:r>
          </w:p>
        </w:tc>
        <w:tc>
          <w:tcPr>
            <w:tcW w:w="1404" w:type="pct"/>
            <w:shd w:val="clear" w:color="000000" w:fill="FFFFFF"/>
            <w:noWrap w:val="0"/>
            <w:vAlign w:val="top"/>
          </w:tcPr>
          <w:p>
            <w:pPr>
              <w:jc w:val="center"/>
              <w:rPr>
                <w:color w:val="auto"/>
              </w:rPr>
            </w:pPr>
            <w:r>
              <w:rPr>
                <w:color w:val="auto"/>
              </w:rPr>
              <w:t>台阶面层</w:t>
            </w:r>
          </w:p>
        </w:tc>
        <w:tc>
          <w:tcPr>
            <w:tcW w:w="2359" w:type="pct"/>
            <w:shd w:val="clear" w:color="000000" w:fill="FFFFFF"/>
            <w:noWrap w:val="0"/>
            <w:vAlign w:val="top"/>
          </w:tcPr>
          <w:p>
            <w:pPr>
              <w:rPr>
                <w:color w:val="auto"/>
              </w:rPr>
            </w:pPr>
            <w:r>
              <w:rPr>
                <w:color w:val="auto"/>
              </w:rPr>
              <w:t>黑金沙石材收口制作</w:t>
            </w:r>
          </w:p>
        </w:tc>
        <w:tc>
          <w:tcPr>
            <w:tcW w:w="412" w:type="pct"/>
            <w:shd w:val="clear" w:color="000000" w:fill="FFFFFF"/>
            <w:noWrap w:val="0"/>
            <w:vAlign w:val="top"/>
          </w:tcPr>
          <w:p>
            <w:pPr>
              <w:jc w:val="center"/>
              <w:rPr>
                <w:color w:val="auto"/>
              </w:rPr>
            </w:pPr>
            <w:r>
              <w:rPr>
                <w:color w:val="auto"/>
              </w:rPr>
              <w:t>个</w:t>
            </w:r>
          </w:p>
        </w:tc>
        <w:tc>
          <w:tcPr>
            <w:tcW w:w="412" w:type="pct"/>
            <w:shd w:val="clear" w:color="000000" w:fill="FFFFFF"/>
            <w:noWrap w:val="0"/>
            <w:vAlign w:val="top"/>
          </w:tcPr>
          <w:p>
            <w:pPr>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10</w:t>
            </w:r>
          </w:p>
        </w:tc>
        <w:tc>
          <w:tcPr>
            <w:tcW w:w="1404" w:type="pct"/>
            <w:shd w:val="clear" w:color="000000" w:fill="FFFFFF"/>
            <w:noWrap w:val="0"/>
            <w:vAlign w:val="top"/>
          </w:tcPr>
          <w:p>
            <w:pPr>
              <w:jc w:val="center"/>
              <w:rPr>
                <w:color w:val="auto"/>
              </w:rPr>
            </w:pPr>
            <w:r>
              <w:rPr>
                <w:color w:val="auto"/>
              </w:rPr>
              <w:t>墙面彩钢板</w:t>
            </w:r>
          </w:p>
        </w:tc>
        <w:tc>
          <w:tcPr>
            <w:tcW w:w="2359" w:type="pct"/>
            <w:shd w:val="clear" w:color="000000" w:fill="FFFFFF"/>
            <w:noWrap w:val="0"/>
            <w:vAlign w:val="top"/>
          </w:tcPr>
          <w:p>
            <w:pPr>
              <w:rPr>
                <w:color w:val="auto"/>
              </w:rPr>
            </w:pPr>
            <w:r>
              <w:rPr>
                <w:color w:val="auto"/>
              </w:rPr>
              <w:t>1200*3000</w:t>
            </w:r>
          </w:p>
        </w:tc>
        <w:tc>
          <w:tcPr>
            <w:tcW w:w="412" w:type="pct"/>
            <w:shd w:val="clear" w:color="000000" w:fill="FFFFFF"/>
            <w:noWrap w:val="0"/>
            <w:vAlign w:val="top"/>
          </w:tcPr>
          <w:p>
            <w:pPr>
              <w:jc w:val="center"/>
              <w:rPr>
                <w:color w:val="auto"/>
              </w:rPr>
            </w:pPr>
            <w:r>
              <w:rPr>
                <w:color w:val="auto"/>
              </w:rPr>
              <w:t>m2</w:t>
            </w:r>
          </w:p>
        </w:tc>
        <w:tc>
          <w:tcPr>
            <w:tcW w:w="412" w:type="pct"/>
            <w:shd w:val="clear" w:color="000000" w:fill="FFFFFF"/>
            <w:noWrap w:val="0"/>
            <w:vAlign w:val="top"/>
          </w:tcPr>
          <w:p>
            <w:pPr>
              <w:jc w:val="center"/>
              <w:rPr>
                <w:color w:val="auto"/>
              </w:rPr>
            </w:pPr>
            <w:r>
              <w:rPr>
                <w:color w:val="auto"/>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11</w:t>
            </w:r>
          </w:p>
        </w:tc>
        <w:tc>
          <w:tcPr>
            <w:tcW w:w="1404" w:type="pct"/>
            <w:shd w:val="clear" w:color="000000" w:fill="FFFFFF"/>
            <w:noWrap w:val="0"/>
            <w:vAlign w:val="top"/>
          </w:tcPr>
          <w:p>
            <w:pPr>
              <w:jc w:val="center"/>
              <w:rPr>
                <w:color w:val="auto"/>
              </w:rPr>
            </w:pPr>
            <w:r>
              <w:rPr>
                <w:color w:val="auto"/>
              </w:rPr>
              <w:t>墙面龙骨</w:t>
            </w:r>
          </w:p>
        </w:tc>
        <w:tc>
          <w:tcPr>
            <w:tcW w:w="2359" w:type="pct"/>
            <w:shd w:val="clear" w:color="000000" w:fill="FFFFFF"/>
            <w:noWrap w:val="0"/>
            <w:vAlign w:val="top"/>
          </w:tcPr>
          <w:p>
            <w:pPr>
              <w:rPr>
                <w:color w:val="auto"/>
              </w:rPr>
            </w:pPr>
            <w:r>
              <w:rPr>
                <w:color w:val="auto"/>
              </w:rPr>
              <w:t>30*50矩形管焊接</w:t>
            </w:r>
          </w:p>
        </w:tc>
        <w:tc>
          <w:tcPr>
            <w:tcW w:w="412" w:type="pct"/>
            <w:shd w:val="clear" w:color="000000" w:fill="FFFFFF"/>
            <w:noWrap w:val="0"/>
            <w:vAlign w:val="top"/>
          </w:tcPr>
          <w:p>
            <w:pPr>
              <w:jc w:val="center"/>
              <w:rPr>
                <w:color w:val="auto"/>
              </w:rPr>
            </w:pPr>
            <w:r>
              <w:rPr>
                <w:color w:val="auto"/>
              </w:rPr>
              <w:t>m2</w:t>
            </w:r>
          </w:p>
        </w:tc>
        <w:tc>
          <w:tcPr>
            <w:tcW w:w="412" w:type="pct"/>
            <w:shd w:val="clear" w:color="000000" w:fill="FFFFFF"/>
            <w:noWrap w:val="0"/>
            <w:vAlign w:val="top"/>
          </w:tcPr>
          <w:p>
            <w:pPr>
              <w:jc w:val="center"/>
              <w:rPr>
                <w:color w:val="auto"/>
              </w:rPr>
            </w:pPr>
            <w:r>
              <w:rPr>
                <w:color w:val="auto"/>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12</w:t>
            </w:r>
          </w:p>
        </w:tc>
        <w:tc>
          <w:tcPr>
            <w:tcW w:w="1404" w:type="pct"/>
            <w:shd w:val="clear" w:color="000000" w:fill="FFFFFF"/>
            <w:noWrap w:val="0"/>
            <w:vAlign w:val="top"/>
          </w:tcPr>
          <w:p>
            <w:pPr>
              <w:jc w:val="center"/>
              <w:rPr>
                <w:color w:val="auto"/>
              </w:rPr>
            </w:pPr>
            <w:r>
              <w:rPr>
                <w:color w:val="auto"/>
              </w:rPr>
              <w:t>墙面保温</w:t>
            </w:r>
          </w:p>
        </w:tc>
        <w:tc>
          <w:tcPr>
            <w:tcW w:w="2359" w:type="pct"/>
            <w:shd w:val="clear" w:color="000000" w:fill="FFFFFF"/>
            <w:noWrap w:val="0"/>
            <w:vAlign w:val="top"/>
          </w:tcPr>
          <w:p>
            <w:pPr>
              <w:rPr>
                <w:color w:val="auto"/>
              </w:rPr>
            </w:pPr>
            <w:r>
              <w:rPr>
                <w:color w:val="auto"/>
              </w:rPr>
              <w:t>50mm保温棉</w:t>
            </w:r>
          </w:p>
        </w:tc>
        <w:tc>
          <w:tcPr>
            <w:tcW w:w="412" w:type="pct"/>
            <w:shd w:val="clear" w:color="000000" w:fill="FFFFFF"/>
            <w:noWrap w:val="0"/>
            <w:vAlign w:val="top"/>
          </w:tcPr>
          <w:p>
            <w:pPr>
              <w:jc w:val="center"/>
              <w:rPr>
                <w:color w:val="auto"/>
              </w:rPr>
            </w:pPr>
            <w:r>
              <w:rPr>
                <w:color w:val="auto"/>
              </w:rPr>
              <w:t>m2</w:t>
            </w:r>
          </w:p>
        </w:tc>
        <w:tc>
          <w:tcPr>
            <w:tcW w:w="412" w:type="pct"/>
            <w:shd w:val="clear" w:color="000000" w:fill="FFFFFF"/>
            <w:noWrap w:val="0"/>
            <w:vAlign w:val="top"/>
          </w:tcPr>
          <w:p>
            <w:pPr>
              <w:jc w:val="center"/>
              <w:rPr>
                <w:color w:val="auto"/>
              </w:rPr>
            </w:pPr>
            <w:r>
              <w:rPr>
                <w:color w:val="auto"/>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13</w:t>
            </w:r>
          </w:p>
        </w:tc>
        <w:tc>
          <w:tcPr>
            <w:tcW w:w="1404" w:type="pct"/>
            <w:shd w:val="clear" w:color="000000" w:fill="FFFFFF"/>
            <w:noWrap w:val="0"/>
            <w:vAlign w:val="top"/>
          </w:tcPr>
          <w:p>
            <w:pPr>
              <w:jc w:val="center"/>
              <w:rPr>
                <w:color w:val="auto"/>
              </w:rPr>
            </w:pPr>
            <w:r>
              <w:rPr>
                <w:color w:val="auto"/>
              </w:rPr>
              <w:t>天地封闭</w:t>
            </w:r>
          </w:p>
        </w:tc>
        <w:tc>
          <w:tcPr>
            <w:tcW w:w="2359" w:type="pct"/>
            <w:shd w:val="clear" w:color="000000" w:fill="FFFFFF"/>
            <w:noWrap w:val="0"/>
            <w:vAlign w:val="top"/>
          </w:tcPr>
          <w:p>
            <w:pPr>
              <w:rPr>
                <w:color w:val="auto"/>
              </w:rPr>
            </w:pPr>
            <w:r>
              <w:rPr>
                <w:color w:val="auto"/>
              </w:rPr>
              <w:t>8mm硅酸钙板</w:t>
            </w:r>
          </w:p>
        </w:tc>
        <w:tc>
          <w:tcPr>
            <w:tcW w:w="412" w:type="pct"/>
            <w:shd w:val="clear" w:color="000000" w:fill="FFFFFF"/>
            <w:noWrap w:val="0"/>
            <w:vAlign w:val="top"/>
          </w:tcPr>
          <w:p>
            <w:pPr>
              <w:jc w:val="center"/>
              <w:rPr>
                <w:color w:val="auto"/>
              </w:rPr>
            </w:pPr>
            <w:r>
              <w:rPr>
                <w:color w:val="auto"/>
              </w:rPr>
              <w:t>m2</w:t>
            </w:r>
          </w:p>
        </w:tc>
        <w:tc>
          <w:tcPr>
            <w:tcW w:w="412" w:type="pct"/>
            <w:shd w:val="clear" w:color="000000" w:fill="FFFFFF"/>
            <w:noWrap w:val="0"/>
            <w:vAlign w:val="top"/>
          </w:tcPr>
          <w:p>
            <w:pPr>
              <w:jc w:val="center"/>
              <w:rPr>
                <w:color w:val="auto"/>
              </w:rPr>
            </w:pPr>
            <w:r>
              <w:rPr>
                <w:color w:val="auto"/>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14</w:t>
            </w:r>
          </w:p>
        </w:tc>
        <w:tc>
          <w:tcPr>
            <w:tcW w:w="1404" w:type="pct"/>
            <w:shd w:val="clear" w:color="000000" w:fill="FFFFFF"/>
            <w:noWrap w:val="0"/>
            <w:vAlign w:val="top"/>
          </w:tcPr>
          <w:p>
            <w:pPr>
              <w:jc w:val="center"/>
              <w:rPr>
                <w:color w:val="auto"/>
              </w:rPr>
            </w:pPr>
            <w:r>
              <w:rPr>
                <w:color w:val="auto"/>
              </w:rPr>
              <w:t>精密空调区域挡水围堰</w:t>
            </w:r>
          </w:p>
        </w:tc>
        <w:tc>
          <w:tcPr>
            <w:tcW w:w="2359" w:type="pct"/>
            <w:shd w:val="clear" w:color="000000" w:fill="FFFFFF"/>
            <w:noWrap w:val="0"/>
            <w:vAlign w:val="top"/>
          </w:tcPr>
          <w:p>
            <w:pPr>
              <w:rPr>
                <w:color w:val="auto"/>
              </w:rPr>
            </w:pPr>
            <w:r>
              <w:rPr>
                <w:color w:val="auto"/>
              </w:rPr>
              <w:t>C20混泥土宽100*高80mm</w:t>
            </w:r>
          </w:p>
        </w:tc>
        <w:tc>
          <w:tcPr>
            <w:tcW w:w="412" w:type="pct"/>
            <w:shd w:val="clear" w:color="000000" w:fill="FFFFFF"/>
            <w:noWrap w:val="0"/>
            <w:vAlign w:val="top"/>
          </w:tcPr>
          <w:p>
            <w:pPr>
              <w:jc w:val="center"/>
              <w:rPr>
                <w:color w:val="auto"/>
              </w:rPr>
            </w:pPr>
            <w:r>
              <w:rPr>
                <w:color w:val="auto"/>
              </w:rPr>
              <w:t>项</w:t>
            </w:r>
          </w:p>
        </w:tc>
        <w:tc>
          <w:tcPr>
            <w:tcW w:w="412" w:type="pct"/>
            <w:shd w:val="clear" w:color="000000" w:fill="FFFFFF"/>
            <w:noWrap w:val="0"/>
            <w:vAlign w:val="top"/>
          </w:tcPr>
          <w:p>
            <w:pPr>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15</w:t>
            </w:r>
          </w:p>
        </w:tc>
        <w:tc>
          <w:tcPr>
            <w:tcW w:w="1404" w:type="pct"/>
            <w:shd w:val="clear" w:color="000000" w:fill="FFFFFF"/>
            <w:noWrap w:val="0"/>
            <w:vAlign w:val="top"/>
          </w:tcPr>
          <w:p>
            <w:pPr>
              <w:jc w:val="center"/>
              <w:rPr>
                <w:color w:val="auto"/>
              </w:rPr>
            </w:pPr>
            <w:r>
              <w:rPr>
                <w:color w:val="auto"/>
              </w:rPr>
              <w:t>精密空调区防水</w:t>
            </w:r>
          </w:p>
        </w:tc>
        <w:tc>
          <w:tcPr>
            <w:tcW w:w="2359" w:type="pct"/>
            <w:shd w:val="clear" w:color="000000" w:fill="FFFFFF"/>
            <w:noWrap w:val="0"/>
            <w:vAlign w:val="top"/>
          </w:tcPr>
          <w:p>
            <w:pPr>
              <w:rPr>
                <w:color w:val="auto"/>
              </w:rPr>
            </w:pPr>
            <w:r>
              <w:rPr>
                <w:color w:val="auto"/>
              </w:rPr>
              <w:t>K11柔性防水浆</w:t>
            </w:r>
          </w:p>
        </w:tc>
        <w:tc>
          <w:tcPr>
            <w:tcW w:w="412" w:type="pct"/>
            <w:shd w:val="clear" w:color="000000" w:fill="FFFFFF"/>
            <w:noWrap w:val="0"/>
            <w:vAlign w:val="top"/>
          </w:tcPr>
          <w:p>
            <w:pPr>
              <w:jc w:val="center"/>
              <w:rPr>
                <w:color w:val="auto"/>
              </w:rPr>
            </w:pPr>
            <w:r>
              <w:rPr>
                <w:color w:val="auto"/>
              </w:rPr>
              <w:t>项</w:t>
            </w:r>
          </w:p>
        </w:tc>
        <w:tc>
          <w:tcPr>
            <w:tcW w:w="412" w:type="pct"/>
            <w:shd w:val="clear" w:color="000000" w:fill="FFFFFF"/>
            <w:noWrap w:val="0"/>
            <w:vAlign w:val="top"/>
          </w:tcPr>
          <w:p>
            <w:pPr>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16</w:t>
            </w:r>
          </w:p>
        </w:tc>
        <w:tc>
          <w:tcPr>
            <w:tcW w:w="1404" w:type="pct"/>
            <w:shd w:val="clear" w:color="000000" w:fill="FFFFFF"/>
            <w:noWrap w:val="0"/>
            <w:vAlign w:val="top"/>
          </w:tcPr>
          <w:p>
            <w:pPr>
              <w:jc w:val="center"/>
              <w:rPr>
                <w:color w:val="auto"/>
              </w:rPr>
            </w:pPr>
            <w:r>
              <w:rPr>
                <w:color w:val="auto"/>
              </w:rPr>
              <w:t>精密空调给/排水</w:t>
            </w:r>
          </w:p>
        </w:tc>
        <w:tc>
          <w:tcPr>
            <w:tcW w:w="2359" w:type="pct"/>
            <w:shd w:val="clear" w:color="000000" w:fill="FFFFFF"/>
            <w:noWrap w:val="0"/>
            <w:vAlign w:val="top"/>
          </w:tcPr>
          <w:p>
            <w:pPr>
              <w:rPr>
                <w:color w:val="auto"/>
              </w:rPr>
            </w:pPr>
            <w:r>
              <w:rPr>
                <w:color w:val="auto"/>
              </w:rPr>
              <w:t>PVC50/PPR25 含地漏及阀门</w:t>
            </w:r>
          </w:p>
        </w:tc>
        <w:tc>
          <w:tcPr>
            <w:tcW w:w="412" w:type="pct"/>
            <w:shd w:val="clear" w:color="000000" w:fill="FFFFFF"/>
            <w:noWrap w:val="0"/>
            <w:vAlign w:val="top"/>
          </w:tcPr>
          <w:p>
            <w:pPr>
              <w:jc w:val="center"/>
              <w:rPr>
                <w:color w:val="auto"/>
              </w:rPr>
            </w:pPr>
            <w:r>
              <w:rPr>
                <w:color w:val="auto"/>
              </w:rPr>
              <w:t>项</w:t>
            </w:r>
          </w:p>
        </w:tc>
        <w:tc>
          <w:tcPr>
            <w:tcW w:w="412" w:type="pct"/>
            <w:shd w:val="clear" w:color="000000" w:fill="FFFFFF"/>
            <w:noWrap w:val="0"/>
            <w:vAlign w:val="top"/>
          </w:tcPr>
          <w:p>
            <w:pPr>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17</w:t>
            </w:r>
          </w:p>
        </w:tc>
        <w:tc>
          <w:tcPr>
            <w:tcW w:w="1404" w:type="pct"/>
            <w:shd w:val="clear" w:color="000000" w:fill="FFFFFF"/>
            <w:noWrap w:val="0"/>
            <w:vAlign w:val="top"/>
          </w:tcPr>
          <w:p>
            <w:pPr>
              <w:jc w:val="center"/>
              <w:rPr>
                <w:color w:val="auto"/>
              </w:rPr>
            </w:pPr>
            <w:r>
              <w:rPr>
                <w:color w:val="auto"/>
              </w:rPr>
              <w:t>接地引线</w:t>
            </w:r>
          </w:p>
        </w:tc>
        <w:tc>
          <w:tcPr>
            <w:tcW w:w="2359" w:type="pct"/>
            <w:shd w:val="clear" w:color="000000" w:fill="FFFFFF"/>
            <w:noWrap w:val="0"/>
            <w:vAlign w:val="top"/>
          </w:tcPr>
          <w:p>
            <w:pPr>
              <w:rPr>
                <w:color w:val="auto"/>
              </w:rPr>
            </w:pPr>
            <w:r>
              <w:rPr>
                <w:color w:val="auto"/>
              </w:rPr>
              <w:t>BVR-50mm2</w:t>
            </w:r>
          </w:p>
        </w:tc>
        <w:tc>
          <w:tcPr>
            <w:tcW w:w="412" w:type="pct"/>
            <w:shd w:val="clear" w:color="000000" w:fill="FFFFFF"/>
            <w:noWrap w:val="0"/>
            <w:vAlign w:val="top"/>
          </w:tcPr>
          <w:p>
            <w:pPr>
              <w:jc w:val="center"/>
              <w:rPr>
                <w:color w:val="auto"/>
              </w:rPr>
            </w:pPr>
            <w:r>
              <w:rPr>
                <w:color w:val="auto"/>
              </w:rPr>
              <w:t>m</w:t>
            </w:r>
          </w:p>
        </w:tc>
        <w:tc>
          <w:tcPr>
            <w:tcW w:w="412" w:type="pct"/>
            <w:shd w:val="clear" w:color="000000" w:fill="FFFFFF"/>
            <w:noWrap w:val="0"/>
            <w:vAlign w:val="top"/>
          </w:tcPr>
          <w:p>
            <w:pPr>
              <w:jc w:val="center"/>
              <w:rPr>
                <w:color w:val="auto"/>
              </w:rPr>
            </w:pPr>
            <w:r>
              <w:rPr>
                <w:color w:val="auto"/>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18</w:t>
            </w:r>
          </w:p>
        </w:tc>
        <w:tc>
          <w:tcPr>
            <w:tcW w:w="1404" w:type="pct"/>
            <w:shd w:val="clear" w:color="000000" w:fill="FFFFFF"/>
            <w:noWrap w:val="0"/>
            <w:vAlign w:val="top"/>
          </w:tcPr>
          <w:p>
            <w:pPr>
              <w:jc w:val="center"/>
              <w:rPr>
                <w:color w:val="auto"/>
              </w:rPr>
            </w:pPr>
            <w:r>
              <w:rPr>
                <w:color w:val="auto"/>
              </w:rPr>
              <w:t>接地点制作</w:t>
            </w:r>
          </w:p>
        </w:tc>
        <w:tc>
          <w:tcPr>
            <w:tcW w:w="2359" w:type="pct"/>
            <w:shd w:val="clear" w:color="000000" w:fill="FFFFFF"/>
            <w:noWrap w:val="0"/>
            <w:vAlign w:val="top"/>
          </w:tcPr>
          <w:p>
            <w:pPr>
              <w:rPr>
                <w:color w:val="auto"/>
              </w:rPr>
            </w:pPr>
            <w:r>
              <w:rPr>
                <w:color w:val="auto"/>
              </w:rPr>
              <w:t>焊接主体钢筋连接点</w:t>
            </w:r>
          </w:p>
        </w:tc>
        <w:tc>
          <w:tcPr>
            <w:tcW w:w="412" w:type="pct"/>
            <w:shd w:val="clear" w:color="000000" w:fill="FFFFFF"/>
            <w:noWrap w:val="0"/>
            <w:vAlign w:val="top"/>
          </w:tcPr>
          <w:p>
            <w:pPr>
              <w:jc w:val="center"/>
              <w:rPr>
                <w:color w:val="auto"/>
              </w:rPr>
            </w:pPr>
            <w:r>
              <w:rPr>
                <w:color w:val="auto"/>
              </w:rPr>
              <w:t>个</w:t>
            </w:r>
          </w:p>
        </w:tc>
        <w:tc>
          <w:tcPr>
            <w:tcW w:w="412" w:type="pct"/>
            <w:shd w:val="clear" w:color="000000" w:fill="FFFFFF"/>
            <w:noWrap w:val="0"/>
            <w:vAlign w:val="top"/>
          </w:tcPr>
          <w:p>
            <w:pPr>
              <w:jc w:val="center"/>
              <w:rPr>
                <w:color w:val="auto"/>
              </w:rPr>
            </w:pPr>
            <w:r>
              <w:rPr>
                <w:color w:val="auto"/>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19</w:t>
            </w:r>
          </w:p>
        </w:tc>
        <w:tc>
          <w:tcPr>
            <w:tcW w:w="1404" w:type="pct"/>
            <w:shd w:val="clear" w:color="000000" w:fill="FFFFFF"/>
            <w:noWrap w:val="0"/>
            <w:vAlign w:val="top"/>
          </w:tcPr>
          <w:p>
            <w:pPr>
              <w:jc w:val="center"/>
              <w:rPr>
                <w:color w:val="auto"/>
              </w:rPr>
            </w:pPr>
            <w:r>
              <w:rPr>
                <w:color w:val="auto"/>
              </w:rPr>
              <w:t>绝缘子</w:t>
            </w:r>
          </w:p>
        </w:tc>
        <w:tc>
          <w:tcPr>
            <w:tcW w:w="2359" w:type="pct"/>
            <w:shd w:val="clear" w:color="000000" w:fill="FFFFFF"/>
            <w:noWrap w:val="0"/>
            <w:vAlign w:val="top"/>
          </w:tcPr>
          <w:p>
            <w:pPr>
              <w:rPr>
                <w:color w:val="auto"/>
              </w:rPr>
            </w:pPr>
            <w:r>
              <w:rPr>
                <w:color w:val="auto"/>
              </w:rPr>
              <w:t>FS10/3</w:t>
            </w:r>
          </w:p>
        </w:tc>
        <w:tc>
          <w:tcPr>
            <w:tcW w:w="412" w:type="pct"/>
            <w:shd w:val="clear" w:color="000000" w:fill="FFFFFF"/>
            <w:noWrap w:val="0"/>
            <w:vAlign w:val="top"/>
          </w:tcPr>
          <w:p>
            <w:pPr>
              <w:jc w:val="center"/>
              <w:rPr>
                <w:color w:val="auto"/>
              </w:rPr>
            </w:pPr>
            <w:r>
              <w:rPr>
                <w:color w:val="auto"/>
              </w:rPr>
              <w:t>个</w:t>
            </w:r>
          </w:p>
        </w:tc>
        <w:tc>
          <w:tcPr>
            <w:tcW w:w="412" w:type="pct"/>
            <w:shd w:val="clear" w:color="000000" w:fill="FFFFFF"/>
            <w:noWrap w:val="0"/>
            <w:vAlign w:val="top"/>
          </w:tcPr>
          <w:p>
            <w:pPr>
              <w:jc w:val="center"/>
              <w:rPr>
                <w:color w:val="auto"/>
              </w:rPr>
            </w:pPr>
            <w:r>
              <w:rPr>
                <w:color w:val="auto"/>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20</w:t>
            </w:r>
          </w:p>
        </w:tc>
        <w:tc>
          <w:tcPr>
            <w:tcW w:w="1404" w:type="pct"/>
            <w:shd w:val="clear" w:color="000000" w:fill="FFFFFF"/>
            <w:noWrap w:val="0"/>
            <w:vAlign w:val="top"/>
          </w:tcPr>
          <w:p>
            <w:pPr>
              <w:jc w:val="center"/>
              <w:rPr>
                <w:color w:val="auto"/>
              </w:rPr>
            </w:pPr>
            <w:r>
              <w:rPr>
                <w:color w:val="auto"/>
              </w:rPr>
              <w:t>接地铜排</w:t>
            </w:r>
          </w:p>
        </w:tc>
        <w:tc>
          <w:tcPr>
            <w:tcW w:w="2359" w:type="pct"/>
            <w:shd w:val="clear" w:color="000000" w:fill="FFFFFF"/>
            <w:noWrap w:val="0"/>
            <w:vAlign w:val="top"/>
          </w:tcPr>
          <w:p>
            <w:pPr>
              <w:rPr>
                <w:color w:val="auto"/>
              </w:rPr>
            </w:pPr>
            <w:r>
              <w:rPr>
                <w:color w:val="auto"/>
              </w:rPr>
              <w:t>30*3mm</w:t>
            </w:r>
          </w:p>
        </w:tc>
        <w:tc>
          <w:tcPr>
            <w:tcW w:w="412" w:type="pct"/>
            <w:shd w:val="clear" w:color="000000" w:fill="FFFFFF"/>
            <w:noWrap w:val="0"/>
            <w:vAlign w:val="top"/>
          </w:tcPr>
          <w:p>
            <w:pPr>
              <w:jc w:val="center"/>
              <w:rPr>
                <w:color w:val="auto"/>
              </w:rPr>
            </w:pPr>
            <w:r>
              <w:rPr>
                <w:color w:val="auto"/>
              </w:rPr>
              <w:t>m</w:t>
            </w:r>
          </w:p>
        </w:tc>
        <w:tc>
          <w:tcPr>
            <w:tcW w:w="412" w:type="pct"/>
            <w:shd w:val="clear" w:color="000000" w:fill="FFFFFF"/>
            <w:noWrap w:val="0"/>
            <w:vAlign w:val="top"/>
          </w:tcPr>
          <w:p>
            <w:pPr>
              <w:jc w:val="center"/>
              <w:rPr>
                <w:color w:val="auto"/>
              </w:rPr>
            </w:pPr>
            <w:r>
              <w:rPr>
                <w:color w:val="auto"/>
              </w:rPr>
              <w:t>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21</w:t>
            </w:r>
          </w:p>
        </w:tc>
        <w:tc>
          <w:tcPr>
            <w:tcW w:w="1404" w:type="pct"/>
            <w:shd w:val="clear" w:color="000000" w:fill="FFFFFF"/>
            <w:noWrap w:val="0"/>
            <w:vAlign w:val="top"/>
          </w:tcPr>
          <w:p>
            <w:pPr>
              <w:jc w:val="center"/>
              <w:rPr>
                <w:color w:val="auto"/>
              </w:rPr>
            </w:pPr>
            <w:r>
              <w:rPr>
                <w:color w:val="auto"/>
              </w:rPr>
              <w:t>机柜接地线</w:t>
            </w:r>
          </w:p>
        </w:tc>
        <w:tc>
          <w:tcPr>
            <w:tcW w:w="2359" w:type="pct"/>
            <w:shd w:val="clear" w:color="000000" w:fill="FFFFFF"/>
            <w:noWrap w:val="0"/>
            <w:vAlign w:val="top"/>
          </w:tcPr>
          <w:p>
            <w:pPr>
              <w:rPr>
                <w:color w:val="auto"/>
              </w:rPr>
            </w:pPr>
            <w:r>
              <w:rPr>
                <w:color w:val="auto"/>
              </w:rPr>
              <w:t>BVR-10mm2</w:t>
            </w:r>
          </w:p>
        </w:tc>
        <w:tc>
          <w:tcPr>
            <w:tcW w:w="412" w:type="pct"/>
            <w:shd w:val="clear" w:color="000000" w:fill="FFFFFF"/>
            <w:noWrap w:val="0"/>
            <w:vAlign w:val="top"/>
          </w:tcPr>
          <w:p>
            <w:pPr>
              <w:jc w:val="center"/>
              <w:rPr>
                <w:color w:val="auto"/>
              </w:rPr>
            </w:pPr>
            <w:r>
              <w:rPr>
                <w:color w:val="auto"/>
              </w:rPr>
              <w:t>根</w:t>
            </w:r>
          </w:p>
        </w:tc>
        <w:tc>
          <w:tcPr>
            <w:tcW w:w="412" w:type="pct"/>
            <w:shd w:val="clear" w:color="000000" w:fill="FFFFFF"/>
            <w:noWrap w:val="0"/>
            <w:vAlign w:val="top"/>
          </w:tcPr>
          <w:p>
            <w:pPr>
              <w:jc w:val="center"/>
              <w:rPr>
                <w:color w:val="auto"/>
              </w:rPr>
            </w:pPr>
            <w:r>
              <w:rPr>
                <w:color w:val="auto"/>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22</w:t>
            </w:r>
          </w:p>
        </w:tc>
        <w:tc>
          <w:tcPr>
            <w:tcW w:w="1404" w:type="pct"/>
            <w:shd w:val="clear" w:color="000000" w:fill="FFFFFF"/>
            <w:noWrap w:val="0"/>
            <w:vAlign w:val="top"/>
          </w:tcPr>
          <w:p>
            <w:pPr>
              <w:jc w:val="center"/>
              <w:rPr>
                <w:color w:val="auto"/>
              </w:rPr>
            </w:pPr>
            <w:r>
              <w:rPr>
                <w:color w:val="auto"/>
              </w:rPr>
              <w:t>接地跨接线</w:t>
            </w:r>
          </w:p>
        </w:tc>
        <w:tc>
          <w:tcPr>
            <w:tcW w:w="2359" w:type="pct"/>
            <w:shd w:val="clear" w:color="000000" w:fill="FFFFFF"/>
            <w:noWrap w:val="0"/>
            <w:vAlign w:val="top"/>
          </w:tcPr>
          <w:p>
            <w:pPr>
              <w:rPr>
                <w:color w:val="auto"/>
              </w:rPr>
            </w:pPr>
            <w:r>
              <w:rPr>
                <w:color w:val="auto"/>
              </w:rPr>
              <w:t>BVR-6mm2含接线端子</w:t>
            </w:r>
          </w:p>
        </w:tc>
        <w:tc>
          <w:tcPr>
            <w:tcW w:w="412" w:type="pct"/>
            <w:shd w:val="clear" w:color="000000" w:fill="FFFFFF"/>
            <w:noWrap w:val="0"/>
            <w:vAlign w:val="top"/>
          </w:tcPr>
          <w:p>
            <w:pPr>
              <w:jc w:val="center"/>
              <w:rPr>
                <w:color w:val="auto"/>
              </w:rPr>
            </w:pPr>
            <w:r>
              <w:rPr>
                <w:color w:val="auto"/>
              </w:rPr>
              <w:t>根</w:t>
            </w:r>
          </w:p>
        </w:tc>
        <w:tc>
          <w:tcPr>
            <w:tcW w:w="412" w:type="pct"/>
            <w:shd w:val="clear" w:color="000000" w:fill="FFFFFF"/>
            <w:noWrap w:val="0"/>
            <w:vAlign w:val="top"/>
          </w:tcPr>
          <w:p>
            <w:pPr>
              <w:jc w:val="center"/>
              <w:rPr>
                <w:color w:val="auto"/>
              </w:rPr>
            </w:pPr>
            <w:r>
              <w:rPr>
                <w:color w:val="auto"/>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23</w:t>
            </w:r>
          </w:p>
        </w:tc>
        <w:tc>
          <w:tcPr>
            <w:tcW w:w="1404" w:type="pct"/>
            <w:shd w:val="clear" w:color="000000" w:fill="FFFFFF"/>
            <w:noWrap w:val="0"/>
            <w:vAlign w:val="top"/>
          </w:tcPr>
          <w:p>
            <w:pPr>
              <w:jc w:val="center"/>
              <w:rPr>
                <w:color w:val="auto"/>
              </w:rPr>
            </w:pPr>
            <w:r>
              <w:rPr>
                <w:color w:val="auto"/>
              </w:rPr>
              <w:t>等电位连接箱</w:t>
            </w:r>
          </w:p>
        </w:tc>
        <w:tc>
          <w:tcPr>
            <w:tcW w:w="2359" w:type="pct"/>
            <w:shd w:val="clear" w:color="000000" w:fill="FFFFFF"/>
            <w:noWrap w:val="0"/>
            <w:vAlign w:val="top"/>
          </w:tcPr>
          <w:p>
            <w:pPr>
              <w:rPr>
                <w:color w:val="auto"/>
              </w:rPr>
            </w:pPr>
            <w:r>
              <w:rPr>
                <w:color w:val="auto"/>
              </w:rPr>
              <w:t>200</w:t>
            </w:r>
            <w:r>
              <w:rPr>
                <w:rFonts w:hint="eastAsia"/>
                <w:color w:val="auto"/>
              </w:rPr>
              <w:t>mm</w:t>
            </w:r>
            <w:r>
              <w:rPr>
                <w:color w:val="auto"/>
              </w:rPr>
              <w:t>*300</w:t>
            </w:r>
            <w:r>
              <w:rPr>
                <w:rFonts w:hint="eastAsia"/>
                <w:color w:val="auto"/>
              </w:rPr>
              <w:t>mm</w:t>
            </w:r>
          </w:p>
        </w:tc>
        <w:tc>
          <w:tcPr>
            <w:tcW w:w="412" w:type="pct"/>
            <w:shd w:val="clear" w:color="000000" w:fill="FFFFFF"/>
            <w:noWrap w:val="0"/>
            <w:vAlign w:val="top"/>
          </w:tcPr>
          <w:p>
            <w:pPr>
              <w:jc w:val="center"/>
              <w:rPr>
                <w:color w:val="auto"/>
              </w:rPr>
            </w:pPr>
            <w:r>
              <w:rPr>
                <w:color w:val="auto"/>
              </w:rPr>
              <w:t>个</w:t>
            </w:r>
          </w:p>
        </w:tc>
        <w:tc>
          <w:tcPr>
            <w:tcW w:w="412" w:type="pct"/>
            <w:shd w:val="clear" w:color="000000" w:fill="FFFFFF"/>
            <w:noWrap w:val="0"/>
            <w:vAlign w:val="top"/>
          </w:tcPr>
          <w:p>
            <w:pPr>
              <w:jc w:val="center"/>
              <w:rPr>
                <w:color w:val="auto"/>
              </w:rPr>
            </w:pPr>
            <w:r>
              <w:rPr>
                <w:color w:val="auto"/>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24</w:t>
            </w:r>
          </w:p>
        </w:tc>
        <w:tc>
          <w:tcPr>
            <w:tcW w:w="1404" w:type="pct"/>
            <w:shd w:val="clear" w:color="000000" w:fill="FFFFFF"/>
            <w:noWrap w:val="0"/>
            <w:vAlign w:val="top"/>
          </w:tcPr>
          <w:p>
            <w:pPr>
              <w:jc w:val="center"/>
              <w:rPr>
                <w:color w:val="auto"/>
              </w:rPr>
            </w:pPr>
            <w:r>
              <w:rPr>
                <w:color w:val="auto"/>
              </w:rPr>
              <w:t>三相四线电源防雷器</w:t>
            </w:r>
          </w:p>
        </w:tc>
        <w:tc>
          <w:tcPr>
            <w:tcW w:w="2359" w:type="pct"/>
            <w:shd w:val="clear" w:color="000000" w:fill="FFFFFF"/>
            <w:noWrap w:val="0"/>
            <w:vAlign w:val="top"/>
          </w:tcPr>
          <w:p>
            <w:pPr>
              <w:rPr>
                <w:color w:val="auto"/>
              </w:rPr>
            </w:pPr>
            <w:r>
              <w:rPr>
                <w:color w:val="auto"/>
              </w:rPr>
              <w:t>80KA 监控接口</w:t>
            </w:r>
          </w:p>
        </w:tc>
        <w:tc>
          <w:tcPr>
            <w:tcW w:w="412" w:type="pct"/>
            <w:shd w:val="clear" w:color="000000" w:fill="FFFFFF"/>
            <w:noWrap w:val="0"/>
            <w:vAlign w:val="top"/>
          </w:tcPr>
          <w:p>
            <w:pPr>
              <w:jc w:val="center"/>
              <w:rPr>
                <w:color w:val="auto"/>
              </w:rPr>
            </w:pPr>
            <w:r>
              <w:rPr>
                <w:color w:val="auto"/>
              </w:rPr>
              <w:t>组</w:t>
            </w:r>
          </w:p>
        </w:tc>
        <w:tc>
          <w:tcPr>
            <w:tcW w:w="412" w:type="pct"/>
            <w:shd w:val="clear" w:color="000000" w:fill="FFFFFF"/>
            <w:noWrap w:val="0"/>
            <w:vAlign w:val="top"/>
          </w:tcPr>
          <w:p>
            <w:pPr>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25</w:t>
            </w:r>
          </w:p>
        </w:tc>
        <w:tc>
          <w:tcPr>
            <w:tcW w:w="1404" w:type="pct"/>
            <w:shd w:val="clear" w:color="000000" w:fill="FFFFFF"/>
            <w:noWrap w:val="0"/>
            <w:vAlign w:val="top"/>
          </w:tcPr>
          <w:p>
            <w:pPr>
              <w:jc w:val="center"/>
              <w:rPr>
                <w:color w:val="auto"/>
              </w:rPr>
            </w:pPr>
            <w:r>
              <w:rPr>
                <w:color w:val="auto"/>
              </w:rPr>
              <w:t>新风机</w:t>
            </w:r>
          </w:p>
        </w:tc>
        <w:tc>
          <w:tcPr>
            <w:tcW w:w="2359" w:type="pct"/>
            <w:shd w:val="clear" w:color="000000" w:fill="FFFFFF"/>
            <w:noWrap w:val="0"/>
            <w:vAlign w:val="top"/>
          </w:tcPr>
          <w:p>
            <w:pPr>
              <w:rPr>
                <w:color w:val="auto"/>
              </w:rPr>
            </w:pPr>
            <w:r>
              <w:rPr>
                <w:color w:val="auto"/>
              </w:rPr>
              <w:t>柜式，</w:t>
            </w:r>
            <w:r>
              <w:rPr>
                <w:rFonts w:hint="eastAsia"/>
                <w:color w:val="auto"/>
              </w:rPr>
              <w:t>≥</w:t>
            </w:r>
            <w:r>
              <w:rPr>
                <w:color w:val="auto"/>
              </w:rPr>
              <w:t>800m³/h</w:t>
            </w:r>
          </w:p>
        </w:tc>
        <w:tc>
          <w:tcPr>
            <w:tcW w:w="412" w:type="pct"/>
            <w:shd w:val="clear" w:color="000000" w:fill="FFFFFF"/>
            <w:noWrap w:val="0"/>
            <w:vAlign w:val="top"/>
          </w:tcPr>
          <w:p>
            <w:pPr>
              <w:jc w:val="center"/>
              <w:rPr>
                <w:color w:val="auto"/>
              </w:rPr>
            </w:pPr>
            <w:r>
              <w:rPr>
                <w:color w:val="auto"/>
              </w:rPr>
              <w:t>台</w:t>
            </w:r>
          </w:p>
        </w:tc>
        <w:tc>
          <w:tcPr>
            <w:tcW w:w="412" w:type="pct"/>
            <w:shd w:val="clear" w:color="000000" w:fill="FFFFFF"/>
            <w:noWrap w:val="0"/>
            <w:vAlign w:val="top"/>
          </w:tcPr>
          <w:p>
            <w:pPr>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26</w:t>
            </w:r>
          </w:p>
        </w:tc>
        <w:tc>
          <w:tcPr>
            <w:tcW w:w="1404" w:type="pct"/>
            <w:shd w:val="clear" w:color="000000" w:fill="FFFFFF"/>
            <w:noWrap w:val="0"/>
            <w:vAlign w:val="top"/>
          </w:tcPr>
          <w:p>
            <w:pPr>
              <w:jc w:val="center"/>
              <w:rPr>
                <w:color w:val="auto"/>
              </w:rPr>
            </w:pPr>
            <w:r>
              <w:rPr>
                <w:color w:val="auto"/>
              </w:rPr>
              <w:t>排风机</w:t>
            </w:r>
          </w:p>
        </w:tc>
        <w:tc>
          <w:tcPr>
            <w:tcW w:w="2359" w:type="pct"/>
            <w:shd w:val="clear" w:color="000000" w:fill="FFFFFF"/>
            <w:noWrap w:val="0"/>
            <w:vAlign w:val="top"/>
          </w:tcPr>
          <w:p>
            <w:pPr>
              <w:rPr>
                <w:color w:val="auto"/>
              </w:rPr>
            </w:pPr>
            <w:r>
              <w:rPr>
                <w:color w:val="auto"/>
              </w:rPr>
              <w:t>窗式，</w:t>
            </w:r>
            <w:r>
              <w:rPr>
                <w:rFonts w:hint="eastAsia"/>
                <w:color w:val="auto"/>
              </w:rPr>
              <w:t>≥</w:t>
            </w:r>
            <w:r>
              <w:rPr>
                <w:color w:val="auto"/>
              </w:rPr>
              <w:t>700m³/h</w:t>
            </w:r>
          </w:p>
        </w:tc>
        <w:tc>
          <w:tcPr>
            <w:tcW w:w="412" w:type="pct"/>
            <w:shd w:val="clear" w:color="000000" w:fill="FFFFFF"/>
            <w:noWrap w:val="0"/>
            <w:vAlign w:val="top"/>
          </w:tcPr>
          <w:p>
            <w:pPr>
              <w:jc w:val="center"/>
              <w:rPr>
                <w:color w:val="auto"/>
              </w:rPr>
            </w:pPr>
            <w:r>
              <w:rPr>
                <w:color w:val="auto"/>
              </w:rPr>
              <w:t>台</w:t>
            </w:r>
          </w:p>
        </w:tc>
        <w:tc>
          <w:tcPr>
            <w:tcW w:w="412" w:type="pct"/>
            <w:shd w:val="clear" w:color="000000" w:fill="FFFFFF"/>
            <w:noWrap w:val="0"/>
            <w:vAlign w:val="top"/>
          </w:tcPr>
          <w:p>
            <w:pPr>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27</w:t>
            </w:r>
          </w:p>
        </w:tc>
        <w:tc>
          <w:tcPr>
            <w:tcW w:w="1404" w:type="pct"/>
            <w:shd w:val="clear" w:color="000000" w:fill="FFFFFF"/>
            <w:noWrap w:val="0"/>
            <w:vAlign w:val="top"/>
          </w:tcPr>
          <w:p>
            <w:pPr>
              <w:jc w:val="center"/>
              <w:rPr>
                <w:color w:val="auto"/>
              </w:rPr>
            </w:pPr>
            <w:r>
              <w:rPr>
                <w:color w:val="auto"/>
              </w:rPr>
              <w:t>室外进风防雨百叶</w:t>
            </w:r>
          </w:p>
        </w:tc>
        <w:tc>
          <w:tcPr>
            <w:tcW w:w="2359" w:type="pct"/>
            <w:shd w:val="clear" w:color="000000" w:fill="FFFFFF"/>
            <w:noWrap w:val="0"/>
            <w:vAlign w:val="top"/>
          </w:tcPr>
          <w:p>
            <w:pPr>
              <w:rPr>
                <w:color w:val="auto"/>
              </w:rPr>
            </w:pPr>
            <w:r>
              <w:rPr>
                <w:color w:val="auto"/>
              </w:rPr>
              <w:t>400</w:t>
            </w:r>
            <w:r>
              <w:rPr>
                <w:rFonts w:hint="eastAsia"/>
                <w:color w:val="auto"/>
              </w:rPr>
              <w:t>mm</w:t>
            </w:r>
            <w:r>
              <w:rPr>
                <w:color w:val="auto"/>
              </w:rPr>
              <w:t>*400</w:t>
            </w:r>
            <w:r>
              <w:rPr>
                <w:rFonts w:hint="eastAsia"/>
                <w:color w:val="auto"/>
              </w:rPr>
              <w:t>mm</w:t>
            </w:r>
          </w:p>
        </w:tc>
        <w:tc>
          <w:tcPr>
            <w:tcW w:w="412" w:type="pct"/>
            <w:shd w:val="clear" w:color="000000" w:fill="FFFFFF"/>
            <w:noWrap w:val="0"/>
            <w:vAlign w:val="top"/>
          </w:tcPr>
          <w:p>
            <w:pPr>
              <w:jc w:val="center"/>
              <w:rPr>
                <w:color w:val="auto"/>
              </w:rPr>
            </w:pPr>
            <w:r>
              <w:rPr>
                <w:color w:val="auto"/>
              </w:rPr>
              <w:t>个</w:t>
            </w:r>
          </w:p>
        </w:tc>
        <w:tc>
          <w:tcPr>
            <w:tcW w:w="412" w:type="pct"/>
            <w:shd w:val="clear" w:color="000000" w:fill="FFFFFF"/>
            <w:noWrap w:val="0"/>
            <w:vAlign w:val="top"/>
          </w:tcPr>
          <w:p>
            <w:pPr>
              <w:jc w:val="center"/>
              <w:rPr>
                <w:color w:val="auto"/>
              </w:rPr>
            </w:pPr>
            <w:r>
              <w:rPr>
                <w:color w:val="auto"/>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28</w:t>
            </w:r>
          </w:p>
        </w:tc>
        <w:tc>
          <w:tcPr>
            <w:tcW w:w="1404" w:type="pct"/>
            <w:shd w:val="clear" w:color="000000" w:fill="FFFFFF"/>
            <w:noWrap w:val="0"/>
            <w:vAlign w:val="top"/>
          </w:tcPr>
          <w:p>
            <w:pPr>
              <w:jc w:val="center"/>
              <w:rPr>
                <w:color w:val="auto"/>
              </w:rPr>
            </w:pPr>
            <w:r>
              <w:rPr>
                <w:color w:val="auto"/>
              </w:rPr>
              <w:t>风机启动停止控制箱</w:t>
            </w:r>
          </w:p>
        </w:tc>
        <w:tc>
          <w:tcPr>
            <w:tcW w:w="2359" w:type="pct"/>
            <w:shd w:val="clear" w:color="000000" w:fill="FFFFFF"/>
            <w:noWrap w:val="0"/>
            <w:vAlign w:val="top"/>
          </w:tcPr>
          <w:p>
            <w:pPr>
              <w:rPr>
                <w:color w:val="auto"/>
              </w:rPr>
            </w:pPr>
            <w:r>
              <w:rPr>
                <w:color w:val="auto"/>
              </w:rPr>
              <w:t>风机启动停止控制箱</w:t>
            </w:r>
          </w:p>
        </w:tc>
        <w:tc>
          <w:tcPr>
            <w:tcW w:w="412" w:type="pct"/>
            <w:shd w:val="clear" w:color="000000" w:fill="FFFFFF"/>
            <w:noWrap w:val="0"/>
            <w:vAlign w:val="top"/>
          </w:tcPr>
          <w:p>
            <w:pPr>
              <w:jc w:val="center"/>
              <w:rPr>
                <w:color w:val="auto"/>
              </w:rPr>
            </w:pPr>
            <w:r>
              <w:rPr>
                <w:color w:val="auto"/>
              </w:rPr>
              <w:t>台</w:t>
            </w:r>
          </w:p>
        </w:tc>
        <w:tc>
          <w:tcPr>
            <w:tcW w:w="412" w:type="pct"/>
            <w:shd w:val="clear" w:color="000000" w:fill="FFFFFF"/>
            <w:noWrap w:val="0"/>
            <w:vAlign w:val="top"/>
          </w:tcPr>
          <w:p>
            <w:pPr>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29</w:t>
            </w:r>
          </w:p>
        </w:tc>
        <w:tc>
          <w:tcPr>
            <w:tcW w:w="1404" w:type="pct"/>
            <w:shd w:val="clear" w:color="000000" w:fill="FFFFFF"/>
            <w:noWrap w:val="0"/>
            <w:vAlign w:val="top"/>
          </w:tcPr>
          <w:p>
            <w:pPr>
              <w:jc w:val="center"/>
              <w:rPr>
                <w:color w:val="auto"/>
              </w:rPr>
            </w:pPr>
            <w:r>
              <w:rPr>
                <w:color w:val="auto"/>
              </w:rPr>
              <w:t>开风机洞</w:t>
            </w:r>
          </w:p>
        </w:tc>
        <w:tc>
          <w:tcPr>
            <w:tcW w:w="2359" w:type="pct"/>
            <w:shd w:val="clear" w:color="000000" w:fill="FFFFFF"/>
            <w:noWrap w:val="0"/>
            <w:vAlign w:val="top"/>
          </w:tcPr>
          <w:p>
            <w:pPr>
              <w:rPr>
                <w:color w:val="auto"/>
              </w:rPr>
            </w:pPr>
            <w:r>
              <w:rPr>
                <w:color w:val="auto"/>
              </w:rPr>
              <w:t>开墙洞及风机洞口制作</w:t>
            </w:r>
          </w:p>
        </w:tc>
        <w:tc>
          <w:tcPr>
            <w:tcW w:w="412" w:type="pct"/>
            <w:shd w:val="clear" w:color="000000" w:fill="FFFFFF"/>
            <w:noWrap w:val="0"/>
            <w:vAlign w:val="top"/>
          </w:tcPr>
          <w:p>
            <w:pPr>
              <w:jc w:val="center"/>
              <w:rPr>
                <w:color w:val="auto"/>
              </w:rPr>
            </w:pPr>
            <w:r>
              <w:rPr>
                <w:color w:val="auto"/>
              </w:rPr>
              <w:t>个</w:t>
            </w:r>
          </w:p>
        </w:tc>
        <w:tc>
          <w:tcPr>
            <w:tcW w:w="412" w:type="pct"/>
            <w:shd w:val="clear" w:color="000000" w:fill="FFFFFF"/>
            <w:noWrap w:val="0"/>
            <w:vAlign w:val="top"/>
          </w:tcPr>
          <w:p>
            <w:pPr>
              <w:jc w:val="center"/>
              <w:rPr>
                <w:color w:val="auto"/>
              </w:rPr>
            </w:pPr>
            <w:r>
              <w:rPr>
                <w:color w:val="auto"/>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noWrap w:val="0"/>
            <w:vAlign w:val="top"/>
          </w:tcPr>
          <w:p>
            <w:pPr>
              <w:jc w:val="center"/>
              <w:rPr>
                <w:color w:val="auto"/>
              </w:rPr>
            </w:pPr>
            <w:r>
              <w:rPr>
                <w:color w:val="auto"/>
              </w:rPr>
              <w:t>30</w:t>
            </w:r>
          </w:p>
        </w:tc>
        <w:tc>
          <w:tcPr>
            <w:tcW w:w="1404" w:type="pct"/>
            <w:noWrap w:val="0"/>
            <w:vAlign w:val="top"/>
          </w:tcPr>
          <w:p>
            <w:pPr>
              <w:jc w:val="center"/>
              <w:rPr>
                <w:color w:val="auto"/>
              </w:rPr>
            </w:pPr>
            <w:r>
              <w:rPr>
                <w:color w:val="auto"/>
              </w:rPr>
              <w:t>电线</w:t>
            </w:r>
          </w:p>
        </w:tc>
        <w:tc>
          <w:tcPr>
            <w:tcW w:w="2359" w:type="pct"/>
            <w:noWrap w:val="0"/>
            <w:vAlign w:val="top"/>
          </w:tcPr>
          <w:p>
            <w:pPr>
              <w:rPr>
                <w:color w:val="auto"/>
              </w:rPr>
            </w:pPr>
            <w:r>
              <w:rPr>
                <w:color w:val="auto"/>
              </w:rPr>
              <w:t>ZRBV-2.5mm2</w:t>
            </w:r>
          </w:p>
        </w:tc>
        <w:tc>
          <w:tcPr>
            <w:tcW w:w="412" w:type="pct"/>
            <w:noWrap w:val="0"/>
            <w:vAlign w:val="top"/>
          </w:tcPr>
          <w:p>
            <w:pPr>
              <w:jc w:val="center"/>
              <w:rPr>
                <w:color w:val="auto"/>
              </w:rPr>
            </w:pPr>
            <w:r>
              <w:rPr>
                <w:color w:val="auto"/>
              </w:rPr>
              <w:t>m</w:t>
            </w:r>
          </w:p>
        </w:tc>
        <w:tc>
          <w:tcPr>
            <w:tcW w:w="412" w:type="pct"/>
            <w:noWrap w:val="0"/>
            <w:vAlign w:val="top"/>
          </w:tcPr>
          <w:p>
            <w:pPr>
              <w:jc w:val="center"/>
              <w:rPr>
                <w:color w:val="auto"/>
              </w:rPr>
            </w:pPr>
            <w:r>
              <w:rPr>
                <w:color w:val="auto"/>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noWrap w:val="0"/>
            <w:vAlign w:val="top"/>
          </w:tcPr>
          <w:p>
            <w:pPr>
              <w:jc w:val="center"/>
              <w:rPr>
                <w:color w:val="auto"/>
              </w:rPr>
            </w:pPr>
            <w:r>
              <w:rPr>
                <w:color w:val="auto"/>
              </w:rPr>
              <w:t>31</w:t>
            </w:r>
          </w:p>
        </w:tc>
        <w:tc>
          <w:tcPr>
            <w:tcW w:w="1404" w:type="pct"/>
            <w:noWrap w:val="0"/>
            <w:vAlign w:val="top"/>
          </w:tcPr>
          <w:p>
            <w:pPr>
              <w:jc w:val="center"/>
              <w:rPr>
                <w:color w:val="auto"/>
              </w:rPr>
            </w:pPr>
            <w:r>
              <w:rPr>
                <w:color w:val="auto"/>
              </w:rPr>
              <w:t>风机控制线</w:t>
            </w:r>
          </w:p>
        </w:tc>
        <w:tc>
          <w:tcPr>
            <w:tcW w:w="2359" w:type="pct"/>
            <w:noWrap w:val="0"/>
            <w:vAlign w:val="top"/>
          </w:tcPr>
          <w:p>
            <w:pPr>
              <w:rPr>
                <w:color w:val="auto"/>
              </w:rPr>
            </w:pPr>
            <w:r>
              <w:rPr>
                <w:color w:val="auto"/>
              </w:rPr>
              <w:t>RVV7*0.75</w:t>
            </w:r>
          </w:p>
        </w:tc>
        <w:tc>
          <w:tcPr>
            <w:tcW w:w="412" w:type="pct"/>
            <w:noWrap w:val="0"/>
            <w:vAlign w:val="top"/>
          </w:tcPr>
          <w:p>
            <w:pPr>
              <w:jc w:val="center"/>
              <w:rPr>
                <w:color w:val="auto"/>
              </w:rPr>
            </w:pPr>
            <w:r>
              <w:rPr>
                <w:color w:val="auto"/>
              </w:rPr>
              <w:t>m</w:t>
            </w:r>
          </w:p>
        </w:tc>
        <w:tc>
          <w:tcPr>
            <w:tcW w:w="412" w:type="pct"/>
            <w:noWrap w:val="0"/>
            <w:vAlign w:val="top"/>
          </w:tcPr>
          <w:p>
            <w:pPr>
              <w:jc w:val="center"/>
              <w:rPr>
                <w:color w:val="auto"/>
              </w:rPr>
            </w:pPr>
            <w:r>
              <w:rPr>
                <w:color w:val="auto"/>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noWrap w:val="0"/>
            <w:vAlign w:val="top"/>
          </w:tcPr>
          <w:p>
            <w:pPr>
              <w:jc w:val="center"/>
              <w:rPr>
                <w:color w:val="auto"/>
              </w:rPr>
            </w:pPr>
            <w:r>
              <w:rPr>
                <w:color w:val="auto"/>
              </w:rPr>
              <w:t>32</w:t>
            </w:r>
          </w:p>
        </w:tc>
        <w:tc>
          <w:tcPr>
            <w:tcW w:w="1404" w:type="pct"/>
            <w:noWrap w:val="0"/>
            <w:vAlign w:val="top"/>
          </w:tcPr>
          <w:p>
            <w:pPr>
              <w:jc w:val="center"/>
              <w:rPr>
                <w:color w:val="auto"/>
              </w:rPr>
            </w:pPr>
            <w:r>
              <w:rPr>
                <w:color w:val="auto"/>
              </w:rPr>
              <w:t>穿线钢管</w:t>
            </w:r>
          </w:p>
        </w:tc>
        <w:tc>
          <w:tcPr>
            <w:tcW w:w="2359" w:type="pct"/>
            <w:noWrap w:val="0"/>
            <w:vAlign w:val="top"/>
          </w:tcPr>
          <w:p>
            <w:pPr>
              <w:rPr>
                <w:color w:val="auto"/>
              </w:rPr>
            </w:pPr>
            <w:r>
              <w:rPr>
                <w:color w:val="auto"/>
              </w:rPr>
              <w:t>SC20</w:t>
            </w:r>
          </w:p>
        </w:tc>
        <w:tc>
          <w:tcPr>
            <w:tcW w:w="412" w:type="pct"/>
            <w:noWrap w:val="0"/>
            <w:vAlign w:val="top"/>
          </w:tcPr>
          <w:p>
            <w:pPr>
              <w:jc w:val="center"/>
              <w:rPr>
                <w:color w:val="auto"/>
              </w:rPr>
            </w:pPr>
            <w:r>
              <w:rPr>
                <w:color w:val="auto"/>
              </w:rPr>
              <w:t>m</w:t>
            </w:r>
          </w:p>
        </w:tc>
        <w:tc>
          <w:tcPr>
            <w:tcW w:w="412" w:type="pct"/>
            <w:noWrap w:val="0"/>
            <w:vAlign w:val="top"/>
          </w:tcPr>
          <w:p>
            <w:pPr>
              <w:jc w:val="center"/>
              <w:rPr>
                <w:color w:val="auto"/>
              </w:rPr>
            </w:pPr>
            <w:r>
              <w:rPr>
                <w:color w:val="auto"/>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noWrap w:val="0"/>
            <w:vAlign w:val="top"/>
          </w:tcPr>
          <w:p>
            <w:pPr>
              <w:jc w:val="center"/>
              <w:rPr>
                <w:color w:val="auto"/>
              </w:rPr>
            </w:pPr>
            <w:r>
              <w:rPr>
                <w:color w:val="auto"/>
              </w:rPr>
              <w:t>33</w:t>
            </w:r>
          </w:p>
        </w:tc>
        <w:tc>
          <w:tcPr>
            <w:tcW w:w="1404" w:type="pct"/>
            <w:noWrap w:val="0"/>
            <w:vAlign w:val="top"/>
          </w:tcPr>
          <w:p>
            <w:pPr>
              <w:jc w:val="center"/>
              <w:rPr>
                <w:color w:val="auto"/>
              </w:rPr>
            </w:pPr>
            <w:r>
              <w:rPr>
                <w:color w:val="auto"/>
              </w:rPr>
              <w:t>金属软管</w:t>
            </w:r>
          </w:p>
        </w:tc>
        <w:tc>
          <w:tcPr>
            <w:tcW w:w="2359" w:type="pct"/>
            <w:noWrap w:val="0"/>
            <w:vAlign w:val="top"/>
          </w:tcPr>
          <w:p>
            <w:pPr>
              <w:rPr>
                <w:color w:val="auto"/>
              </w:rPr>
            </w:pPr>
            <w:r>
              <w:rPr>
                <w:color w:val="auto"/>
              </w:rPr>
              <w:t>Φ20</w:t>
            </w:r>
          </w:p>
        </w:tc>
        <w:tc>
          <w:tcPr>
            <w:tcW w:w="412" w:type="pct"/>
            <w:noWrap w:val="0"/>
            <w:vAlign w:val="top"/>
          </w:tcPr>
          <w:p>
            <w:pPr>
              <w:jc w:val="center"/>
              <w:rPr>
                <w:color w:val="auto"/>
              </w:rPr>
            </w:pPr>
            <w:r>
              <w:rPr>
                <w:color w:val="auto"/>
              </w:rPr>
              <w:t>m</w:t>
            </w:r>
          </w:p>
        </w:tc>
        <w:tc>
          <w:tcPr>
            <w:tcW w:w="412" w:type="pct"/>
            <w:noWrap w:val="0"/>
            <w:vAlign w:val="top"/>
          </w:tcPr>
          <w:p>
            <w:pPr>
              <w:jc w:val="center"/>
              <w:rPr>
                <w:color w:val="auto"/>
              </w:rPr>
            </w:pPr>
            <w:r>
              <w:rPr>
                <w:color w:val="auto"/>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34</w:t>
            </w:r>
          </w:p>
        </w:tc>
        <w:tc>
          <w:tcPr>
            <w:tcW w:w="1404" w:type="pct"/>
            <w:shd w:val="clear" w:color="000000" w:fill="FFFFFF"/>
            <w:noWrap w:val="0"/>
            <w:vAlign w:val="top"/>
          </w:tcPr>
          <w:p>
            <w:pPr>
              <w:jc w:val="center"/>
              <w:rPr>
                <w:color w:val="auto"/>
              </w:rPr>
            </w:pPr>
            <w:r>
              <w:rPr>
                <w:color w:val="auto"/>
              </w:rPr>
              <w:t>接线盒</w:t>
            </w:r>
          </w:p>
        </w:tc>
        <w:tc>
          <w:tcPr>
            <w:tcW w:w="2359" w:type="pct"/>
            <w:shd w:val="clear" w:color="000000" w:fill="FFFFFF"/>
            <w:noWrap w:val="0"/>
            <w:vAlign w:val="top"/>
          </w:tcPr>
          <w:p>
            <w:pPr>
              <w:rPr>
                <w:color w:val="auto"/>
              </w:rPr>
            </w:pPr>
            <w:r>
              <w:rPr>
                <w:color w:val="auto"/>
              </w:rPr>
              <w:t>86H</w:t>
            </w:r>
          </w:p>
        </w:tc>
        <w:tc>
          <w:tcPr>
            <w:tcW w:w="412" w:type="pct"/>
            <w:shd w:val="clear" w:color="000000" w:fill="FFFFFF"/>
            <w:noWrap w:val="0"/>
            <w:vAlign w:val="top"/>
          </w:tcPr>
          <w:p>
            <w:pPr>
              <w:jc w:val="center"/>
              <w:rPr>
                <w:color w:val="auto"/>
              </w:rPr>
            </w:pPr>
            <w:r>
              <w:rPr>
                <w:color w:val="auto"/>
              </w:rPr>
              <w:t>个</w:t>
            </w:r>
          </w:p>
        </w:tc>
        <w:tc>
          <w:tcPr>
            <w:tcW w:w="412" w:type="pct"/>
            <w:shd w:val="clear" w:color="000000" w:fill="FFFFFF"/>
            <w:noWrap w:val="0"/>
            <w:vAlign w:val="top"/>
          </w:tcPr>
          <w:p>
            <w:pPr>
              <w:jc w:val="center"/>
              <w:rPr>
                <w:color w:val="auto"/>
              </w:rPr>
            </w:pPr>
            <w:r>
              <w:rPr>
                <w:color w:val="auto"/>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35</w:t>
            </w:r>
          </w:p>
        </w:tc>
        <w:tc>
          <w:tcPr>
            <w:tcW w:w="1404" w:type="pct"/>
            <w:shd w:val="clear" w:color="000000" w:fill="FFFFFF"/>
            <w:noWrap w:val="0"/>
            <w:vAlign w:val="top"/>
          </w:tcPr>
          <w:p>
            <w:pPr>
              <w:jc w:val="center"/>
              <w:rPr>
                <w:color w:val="auto"/>
              </w:rPr>
            </w:pPr>
            <w:r>
              <w:rPr>
                <w:color w:val="auto"/>
              </w:rPr>
              <w:t>综合配电柜</w:t>
            </w:r>
          </w:p>
        </w:tc>
        <w:tc>
          <w:tcPr>
            <w:tcW w:w="2359" w:type="pct"/>
            <w:shd w:val="clear" w:color="000000" w:fill="FFFFFF"/>
            <w:noWrap w:val="0"/>
            <w:vAlign w:val="top"/>
          </w:tcPr>
          <w:p>
            <w:pPr>
              <w:rPr>
                <w:rFonts w:hint="eastAsia" w:eastAsia="宋体"/>
                <w:color w:val="auto"/>
                <w:lang w:eastAsia="zh-CN"/>
              </w:rPr>
            </w:pPr>
            <w:r>
              <w:rPr>
                <w:color w:val="auto"/>
              </w:rPr>
              <w:t>600*1200*2000MM，含UPS输入输出控制开关</w:t>
            </w:r>
            <w:r>
              <w:rPr>
                <w:rFonts w:hint="eastAsia"/>
                <w:color w:val="auto"/>
              </w:rPr>
              <w:t>；</w:t>
            </w:r>
            <w:r>
              <w:rPr>
                <w:color w:val="auto"/>
              </w:rPr>
              <w:t>采用1.2mm-2.0mm冷扎钢柜体，表面喷黑色磨砂塑，防护等级</w:t>
            </w:r>
            <w:r>
              <w:rPr>
                <w:rFonts w:hint="eastAsia"/>
                <w:color w:val="auto"/>
              </w:rPr>
              <w:t>≥</w:t>
            </w:r>
            <w:r>
              <w:rPr>
                <w:color w:val="auto"/>
              </w:rPr>
              <w:t>IP20；柜门与柜体需有效接地连接；具备B级防雷装置；采用终端母排配线系统，为配电设备提供安全的方案；采用智能仪表，测量主电源电压、电流、频率、有功功率、功率因数、电压谐波、电流谐波、开关状态、负载百分比、电量，测量支路电流、负载百分比、开关状态</w:t>
            </w:r>
            <w:r>
              <w:rPr>
                <w:rFonts w:hint="eastAsia"/>
                <w:color w:val="auto"/>
              </w:rPr>
              <w:t>；</w:t>
            </w:r>
            <w:r>
              <w:rPr>
                <w:color w:val="auto"/>
              </w:rPr>
              <w:t>监控系统通讯接口：设备预留RS485智能通讯接口，所有配电柜电气参数信息可通过智能接口上传</w:t>
            </w:r>
            <w:r>
              <w:rPr>
                <w:rFonts w:hint="eastAsia"/>
                <w:color w:val="auto"/>
                <w:lang w:eastAsia="zh-CN"/>
              </w:rPr>
              <w:t>。</w:t>
            </w:r>
          </w:p>
        </w:tc>
        <w:tc>
          <w:tcPr>
            <w:tcW w:w="412" w:type="pct"/>
            <w:shd w:val="clear" w:color="000000" w:fill="FFFFFF"/>
            <w:noWrap w:val="0"/>
            <w:vAlign w:val="top"/>
          </w:tcPr>
          <w:p>
            <w:pPr>
              <w:jc w:val="center"/>
              <w:rPr>
                <w:color w:val="auto"/>
              </w:rPr>
            </w:pPr>
            <w:r>
              <w:rPr>
                <w:color w:val="auto"/>
              </w:rPr>
              <w:t>台</w:t>
            </w:r>
          </w:p>
        </w:tc>
        <w:tc>
          <w:tcPr>
            <w:tcW w:w="412" w:type="pct"/>
            <w:shd w:val="clear" w:color="000000" w:fill="FFFFFF"/>
            <w:noWrap w:val="0"/>
            <w:vAlign w:val="top"/>
          </w:tcPr>
          <w:p>
            <w:pPr>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36</w:t>
            </w:r>
          </w:p>
        </w:tc>
        <w:tc>
          <w:tcPr>
            <w:tcW w:w="1404" w:type="pct"/>
            <w:shd w:val="clear" w:color="000000" w:fill="FFFFFF"/>
            <w:noWrap w:val="0"/>
            <w:vAlign w:val="top"/>
          </w:tcPr>
          <w:p>
            <w:pPr>
              <w:jc w:val="center"/>
              <w:rPr>
                <w:color w:val="auto"/>
              </w:rPr>
            </w:pPr>
            <w:r>
              <w:rPr>
                <w:color w:val="auto"/>
              </w:rPr>
              <w:t>精密列头柜</w:t>
            </w:r>
          </w:p>
        </w:tc>
        <w:tc>
          <w:tcPr>
            <w:tcW w:w="2359" w:type="pct"/>
            <w:shd w:val="clear" w:color="000000" w:fill="FFFFFF"/>
            <w:noWrap w:val="0"/>
            <w:vAlign w:val="top"/>
          </w:tcPr>
          <w:p>
            <w:pPr>
              <w:rPr>
                <w:rFonts w:hint="eastAsia" w:eastAsia="宋体"/>
                <w:color w:val="auto"/>
                <w:lang w:eastAsia="zh-CN"/>
              </w:rPr>
            </w:pPr>
            <w:r>
              <w:rPr>
                <w:color w:val="auto"/>
              </w:rPr>
              <w:t>600*1200*2000MM</w:t>
            </w:r>
            <w:r>
              <w:rPr>
                <w:rFonts w:hint="eastAsia"/>
                <w:color w:val="auto"/>
              </w:rPr>
              <w:t>；采</w:t>
            </w:r>
            <w:r>
              <w:rPr>
                <w:color w:val="auto"/>
              </w:rPr>
              <w:t>用1.2mm-2.0mm冷扎钢柜体，表面喷黑色磨砂塑，防护等级</w:t>
            </w:r>
            <w:r>
              <w:rPr>
                <w:rFonts w:hint="eastAsia"/>
                <w:color w:val="auto"/>
              </w:rPr>
              <w:t>≥</w:t>
            </w:r>
            <w:r>
              <w:rPr>
                <w:color w:val="auto"/>
              </w:rPr>
              <w:t>IP20；柜门与柜体需有效接地连接；具备B级防雷装置；采用终端母排配线系统，为配电设备提供安全的方案；采用智能仪表，测量主电源电压、电流、频率、有功功率、功率因数、电压谐波、电流谐波、开关状态、负载百分比、电量，测量支路电流、负载百分比、开关状态</w:t>
            </w:r>
            <w:r>
              <w:rPr>
                <w:rFonts w:hint="eastAsia"/>
                <w:color w:val="auto"/>
              </w:rPr>
              <w:t>；</w:t>
            </w:r>
            <w:r>
              <w:rPr>
                <w:color w:val="auto"/>
              </w:rPr>
              <w:t>监控系统通讯接口：设备预留RS485智能通讯接口，所有配电柜电气参数信息可通过智能接口上传</w:t>
            </w:r>
            <w:r>
              <w:rPr>
                <w:rFonts w:hint="eastAsia"/>
                <w:color w:val="auto"/>
                <w:lang w:eastAsia="zh-CN"/>
              </w:rPr>
              <w:t>。</w:t>
            </w:r>
          </w:p>
        </w:tc>
        <w:tc>
          <w:tcPr>
            <w:tcW w:w="412" w:type="pct"/>
            <w:shd w:val="clear" w:color="000000" w:fill="FFFFFF"/>
            <w:noWrap w:val="0"/>
            <w:vAlign w:val="top"/>
          </w:tcPr>
          <w:p>
            <w:pPr>
              <w:jc w:val="center"/>
              <w:rPr>
                <w:color w:val="auto"/>
              </w:rPr>
            </w:pPr>
            <w:r>
              <w:rPr>
                <w:color w:val="auto"/>
              </w:rPr>
              <w:t>台</w:t>
            </w:r>
          </w:p>
        </w:tc>
        <w:tc>
          <w:tcPr>
            <w:tcW w:w="412" w:type="pct"/>
            <w:shd w:val="clear" w:color="000000" w:fill="FFFFFF"/>
            <w:noWrap w:val="0"/>
            <w:vAlign w:val="top"/>
          </w:tcPr>
          <w:p>
            <w:pPr>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37</w:t>
            </w:r>
          </w:p>
        </w:tc>
        <w:tc>
          <w:tcPr>
            <w:tcW w:w="1404" w:type="pct"/>
            <w:shd w:val="clear" w:color="000000" w:fill="FFFFFF"/>
            <w:noWrap w:val="0"/>
            <w:vAlign w:val="top"/>
          </w:tcPr>
          <w:p>
            <w:pPr>
              <w:jc w:val="center"/>
              <w:rPr>
                <w:color w:val="auto"/>
              </w:rPr>
            </w:pPr>
            <w:r>
              <w:rPr>
                <w:color w:val="auto"/>
              </w:rPr>
              <w:t>LED灯盘</w:t>
            </w:r>
          </w:p>
        </w:tc>
        <w:tc>
          <w:tcPr>
            <w:tcW w:w="2359" w:type="pct"/>
            <w:shd w:val="clear" w:color="000000" w:fill="FFFFFF"/>
            <w:noWrap w:val="0"/>
            <w:vAlign w:val="top"/>
          </w:tcPr>
          <w:p>
            <w:pPr>
              <w:rPr>
                <w:color w:val="auto"/>
              </w:rPr>
            </w:pPr>
            <w:r>
              <w:rPr>
                <w:color w:val="auto"/>
              </w:rPr>
              <w:t>LED 600*600 亚光铝</w:t>
            </w:r>
          </w:p>
        </w:tc>
        <w:tc>
          <w:tcPr>
            <w:tcW w:w="412" w:type="pct"/>
            <w:shd w:val="clear" w:color="000000" w:fill="FFFFFF"/>
            <w:noWrap w:val="0"/>
            <w:vAlign w:val="top"/>
          </w:tcPr>
          <w:p>
            <w:pPr>
              <w:jc w:val="center"/>
              <w:rPr>
                <w:color w:val="auto"/>
              </w:rPr>
            </w:pPr>
            <w:r>
              <w:rPr>
                <w:color w:val="auto"/>
              </w:rPr>
              <w:t>套</w:t>
            </w:r>
          </w:p>
        </w:tc>
        <w:tc>
          <w:tcPr>
            <w:tcW w:w="412" w:type="pct"/>
            <w:shd w:val="clear" w:color="000000" w:fill="FFFFFF"/>
            <w:noWrap w:val="0"/>
            <w:vAlign w:val="top"/>
          </w:tcPr>
          <w:p>
            <w:pPr>
              <w:jc w:val="center"/>
              <w:rPr>
                <w:color w:val="auto"/>
              </w:rPr>
            </w:pPr>
            <w:r>
              <w:rPr>
                <w:color w:val="auto"/>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38</w:t>
            </w:r>
          </w:p>
        </w:tc>
        <w:tc>
          <w:tcPr>
            <w:tcW w:w="1404" w:type="pct"/>
            <w:shd w:val="clear" w:color="000000" w:fill="FFFFFF"/>
            <w:noWrap w:val="0"/>
            <w:vAlign w:val="top"/>
          </w:tcPr>
          <w:p>
            <w:pPr>
              <w:jc w:val="center"/>
              <w:rPr>
                <w:color w:val="auto"/>
              </w:rPr>
            </w:pPr>
            <w:r>
              <w:rPr>
                <w:color w:val="auto"/>
              </w:rPr>
              <w:t>安全出口指示灯</w:t>
            </w:r>
          </w:p>
        </w:tc>
        <w:tc>
          <w:tcPr>
            <w:tcW w:w="2359" w:type="pct"/>
            <w:shd w:val="clear" w:color="000000" w:fill="FFFFFF"/>
            <w:noWrap w:val="0"/>
            <w:vAlign w:val="top"/>
          </w:tcPr>
          <w:p>
            <w:pPr>
              <w:rPr>
                <w:color w:val="auto"/>
              </w:rPr>
            </w:pPr>
            <w:r>
              <w:rPr>
                <w:color w:val="auto"/>
              </w:rPr>
              <w:t>LED 3W</w:t>
            </w:r>
          </w:p>
        </w:tc>
        <w:tc>
          <w:tcPr>
            <w:tcW w:w="412" w:type="pct"/>
            <w:shd w:val="clear" w:color="000000" w:fill="FFFFFF"/>
            <w:noWrap w:val="0"/>
            <w:vAlign w:val="top"/>
          </w:tcPr>
          <w:p>
            <w:pPr>
              <w:jc w:val="center"/>
              <w:rPr>
                <w:color w:val="auto"/>
              </w:rPr>
            </w:pPr>
            <w:r>
              <w:rPr>
                <w:color w:val="auto"/>
              </w:rPr>
              <w:t>套</w:t>
            </w:r>
          </w:p>
        </w:tc>
        <w:tc>
          <w:tcPr>
            <w:tcW w:w="412" w:type="pct"/>
            <w:shd w:val="clear" w:color="000000" w:fill="FFFFFF"/>
            <w:noWrap w:val="0"/>
            <w:vAlign w:val="top"/>
          </w:tcPr>
          <w:p>
            <w:pPr>
              <w:jc w:val="center"/>
              <w:rPr>
                <w:color w:val="auto"/>
              </w:rPr>
            </w:pPr>
            <w:r>
              <w:rPr>
                <w:color w:val="auto"/>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39</w:t>
            </w:r>
          </w:p>
        </w:tc>
        <w:tc>
          <w:tcPr>
            <w:tcW w:w="1404" w:type="pct"/>
            <w:shd w:val="clear" w:color="000000" w:fill="FFFFFF"/>
            <w:noWrap w:val="0"/>
            <w:vAlign w:val="top"/>
          </w:tcPr>
          <w:p>
            <w:pPr>
              <w:jc w:val="center"/>
              <w:rPr>
                <w:color w:val="auto"/>
              </w:rPr>
            </w:pPr>
            <w:r>
              <w:rPr>
                <w:color w:val="auto"/>
              </w:rPr>
              <w:t>金属桥架</w:t>
            </w:r>
          </w:p>
        </w:tc>
        <w:tc>
          <w:tcPr>
            <w:tcW w:w="2359" w:type="pct"/>
            <w:shd w:val="clear" w:color="000000" w:fill="FFFFFF"/>
            <w:noWrap w:val="0"/>
            <w:vAlign w:val="top"/>
          </w:tcPr>
          <w:p>
            <w:pPr>
              <w:rPr>
                <w:color w:val="auto"/>
              </w:rPr>
            </w:pPr>
            <w:r>
              <w:rPr>
                <w:color w:val="auto"/>
              </w:rPr>
              <w:t>200*100*1.5mm</w:t>
            </w:r>
          </w:p>
        </w:tc>
        <w:tc>
          <w:tcPr>
            <w:tcW w:w="412" w:type="pct"/>
            <w:shd w:val="clear" w:color="000000" w:fill="FFFFFF"/>
            <w:noWrap w:val="0"/>
            <w:vAlign w:val="top"/>
          </w:tcPr>
          <w:p>
            <w:pPr>
              <w:jc w:val="center"/>
              <w:rPr>
                <w:color w:val="auto"/>
              </w:rPr>
            </w:pPr>
            <w:r>
              <w:rPr>
                <w:color w:val="auto"/>
              </w:rPr>
              <w:t>m</w:t>
            </w:r>
          </w:p>
        </w:tc>
        <w:tc>
          <w:tcPr>
            <w:tcW w:w="412" w:type="pct"/>
            <w:shd w:val="clear" w:color="000000" w:fill="FFFFFF"/>
            <w:noWrap w:val="0"/>
            <w:vAlign w:val="top"/>
          </w:tcPr>
          <w:p>
            <w:pPr>
              <w:jc w:val="center"/>
              <w:rPr>
                <w:color w:val="auto"/>
              </w:rPr>
            </w:pPr>
            <w:r>
              <w:rPr>
                <w:color w:val="auto"/>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40</w:t>
            </w:r>
          </w:p>
        </w:tc>
        <w:tc>
          <w:tcPr>
            <w:tcW w:w="1404" w:type="pct"/>
            <w:shd w:val="clear" w:color="000000" w:fill="FFFFFF"/>
            <w:noWrap w:val="0"/>
            <w:vAlign w:val="top"/>
          </w:tcPr>
          <w:p>
            <w:pPr>
              <w:jc w:val="center"/>
              <w:rPr>
                <w:color w:val="auto"/>
              </w:rPr>
            </w:pPr>
            <w:r>
              <w:rPr>
                <w:color w:val="auto"/>
              </w:rPr>
              <w:t>桥架弯头</w:t>
            </w:r>
          </w:p>
        </w:tc>
        <w:tc>
          <w:tcPr>
            <w:tcW w:w="2359" w:type="pct"/>
            <w:shd w:val="clear" w:color="000000" w:fill="FFFFFF"/>
            <w:noWrap w:val="0"/>
            <w:vAlign w:val="top"/>
          </w:tcPr>
          <w:p>
            <w:pPr>
              <w:rPr>
                <w:color w:val="auto"/>
              </w:rPr>
            </w:pPr>
            <w:r>
              <w:rPr>
                <w:color w:val="auto"/>
              </w:rPr>
              <w:t>200*100*1.5mm</w:t>
            </w:r>
          </w:p>
        </w:tc>
        <w:tc>
          <w:tcPr>
            <w:tcW w:w="412" w:type="pct"/>
            <w:shd w:val="clear" w:color="000000" w:fill="FFFFFF"/>
            <w:noWrap w:val="0"/>
            <w:vAlign w:val="top"/>
          </w:tcPr>
          <w:p>
            <w:pPr>
              <w:jc w:val="center"/>
              <w:rPr>
                <w:color w:val="auto"/>
              </w:rPr>
            </w:pPr>
            <w:r>
              <w:rPr>
                <w:color w:val="auto"/>
              </w:rPr>
              <w:t>个</w:t>
            </w:r>
          </w:p>
        </w:tc>
        <w:tc>
          <w:tcPr>
            <w:tcW w:w="412" w:type="pct"/>
            <w:shd w:val="clear" w:color="000000" w:fill="FFFFFF"/>
            <w:noWrap w:val="0"/>
            <w:vAlign w:val="top"/>
          </w:tcPr>
          <w:p>
            <w:pPr>
              <w:jc w:val="center"/>
              <w:rPr>
                <w:color w:val="auto"/>
              </w:rPr>
            </w:pPr>
            <w:r>
              <w:rPr>
                <w:color w:val="auto"/>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41</w:t>
            </w:r>
          </w:p>
        </w:tc>
        <w:tc>
          <w:tcPr>
            <w:tcW w:w="1404" w:type="pct"/>
            <w:shd w:val="clear" w:color="000000" w:fill="FFFFFF"/>
            <w:noWrap w:val="0"/>
            <w:vAlign w:val="top"/>
          </w:tcPr>
          <w:p>
            <w:pPr>
              <w:jc w:val="center"/>
              <w:rPr>
                <w:color w:val="auto"/>
              </w:rPr>
            </w:pPr>
            <w:r>
              <w:rPr>
                <w:color w:val="auto"/>
              </w:rPr>
              <w:t>桥架三通</w:t>
            </w:r>
          </w:p>
        </w:tc>
        <w:tc>
          <w:tcPr>
            <w:tcW w:w="2359" w:type="pct"/>
            <w:shd w:val="clear" w:color="000000" w:fill="FFFFFF"/>
            <w:noWrap w:val="0"/>
            <w:vAlign w:val="top"/>
          </w:tcPr>
          <w:p>
            <w:pPr>
              <w:rPr>
                <w:color w:val="auto"/>
              </w:rPr>
            </w:pPr>
            <w:r>
              <w:rPr>
                <w:color w:val="auto"/>
              </w:rPr>
              <w:t>200*100*1.5mm</w:t>
            </w:r>
          </w:p>
        </w:tc>
        <w:tc>
          <w:tcPr>
            <w:tcW w:w="412" w:type="pct"/>
            <w:shd w:val="clear" w:color="000000" w:fill="FFFFFF"/>
            <w:noWrap w:val="0"/>
            <w:vAlign w:val="top"/>
          </w:tcPr>
          <w:p>
            <w:pPr>
              <w:jc w:val="center"/>
              <w:rPr>
                <w:color w:val="auto"/>
              </w:rPr>
            </w:pPr>
            <w:r>
              <w:rPr>
                <w:color w:val="auto"/>
              </w:rPr>
              <w:t>个</w:t>
            </w:r>
          </w:p>
        </w:tc>
        <w:tc>
          <w:tcPr>
            <w:tcW w:w="412" w:type="pct"/>
            <w:shd w:val="clear" w:color="000000" w:fill="FFFFFF"/>
            <w:noWrap w:val="0"/>
            <w:vAlign w:val="top"/>
          </w:tcPr>
          <w:p>
            <w:pPr>
              <w:jc w:val="center"/>
              <w:rPr>
                <w:color w:val="auto"/>
              </w:rPr>
            </w:pPr>
            <w:r>
              <w:rPr>
                <w:color w:val="auto"/>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42</w:t>
            </w:r>
          </w:p>
        </w:tc>
        <w:tc>
          <w:tcPr>
            <w:tcW w:w="1404" w:type="pct"/>
            <w:shd w:val="clear" w:color="000000" w:fill="FFFFFF"/>
            <w:noWrap w:val="0"/>
            <w:vAlign w:val="top"/>
          </w:tcPr>
          <w:p>
            <w:pPr>
              <w:jc w:val="center"/>
              <w:rPr>
                <w:color w:val="auto"/>
              </w:rPr>
            </w:pPr>
            <w:r>
              <w:rPr>
                <w:color w:val="auto"/>
              </w:rPr>
              <w:t>市电主进电缆</w:t>
            </w:r>
          </w:p>
        </w:tc>
        <w:tc>
          <w:tcPr>
            <w:tcW w:w="2359" w:type="pct"/>
            <w:shd w:val="clear" w:color="000000" w:fill="FFFFFF"/>
            <w:noWrap w:val="0"/>
            <w:vAlign w:val="top"/>
          </w:tcPr>
          <w:p>
            <w:pPr>
              <w:rPr>
                <w:color w:val="auto"/>
              </w:rPr>
            </w:pPr>
            <w:r>
              <w:rPr>
                <w:color w:val="auto"/>
              </w:rPr>
              <w:t>ZRYJV-4×120+1*70mm2</w:t>
            </w:r>
          </w:p>
        </w:tc>
        <w:tc>
          <w:tcPr>
            <w:tcW w:w="412" w:type="pct"/>
            <w:shd w:val="clear" w:color="000000" w:fill="FFFFFF"/>
            <w:noWrap w:val="0"/>
            <w:vAlign w:val="top"/>
          </w:tcPr>
          <w:p>
            <w:pPr>
              <w:jc w:val="center"/>
              <w:rPr>
                <w:color w:val="auto"/>
              </w:rPr>
            </w:pPr>
            <w:r>
              <w:rPr>
                <w:color w:val="auto"/>
              </w:rPr>
              <w:t>m</w:t>
            </w:r>
          </w:p>
        </w:tc>
        <w:tc>
          <w:tcPr>
            <w:tcW w:w="412" w:type="pct"/>
            <w:shd w:val="clear" w:color="000000" w:fill="FFFFFF"/>
            <w:noWrap w:val="0"/>
            <w:vAlign w:val="top"/>
          </w:tcPr>
          <w:p>
            <w:pPr>
              <w:jc w:val="center"/>
              <w:rPr>
                <w:color w:val="auto"/>
              </w:rPr>
            </w:pPr>
            <w:r>
              <w:rPr>
                <w:color w:val="auto"/>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43</w:t>
            </w:r>
          </w:p>
        </w:tc>
        <w:tc>
          <w:tcPr>
            <w:tcW w:w="1404" w:type="pct"/>
            <w:shd w:val="clear" w:color="000000" w:fill="FFFFFF"/>
            <w:noWrap w:val="0"/>
            <w:vAlign w:val="top"/>
          </w:tcPr>
          <w:p>
            <w:pPr>
              <w:jc w:val="center"/>
              <w:rPr>
                <w:color w:val="auto"/>
              </w:rPr>
            </w:pPr>
            <w:r>
              <w:rPr>
                <w:color w:val="auto"/>
              </w:rPr>
              <w:t>UPS输入及输出</w:t>
            </w:r>
          </w:p>
        </w:tc>
        <w:tc>
          <w:tcPr>
            <w:tcW w:w="2359" w:type="pct"/>
            <w:shd w:val="clear" w:color="000000" w:fill="FFFFFF"/>
            <w:noWrap w:val="0"/>
            <w:vAlign w:val="top"/>
          </w:tcPr>
          <w:p>
            <w:pPr>
              <w:rPr>
                <w:color w:val="auto"/>
              </w:rPr>
            </w:pPr>
            <w:r>
              <w:rPr>
                <w:color w:val="auto"/>
              </w:rPr>
              <w:t>ZRYJV-4×95+1*50mm2</w:t>
            </w:r>
          </w:p>
        </w:tc>
        <w:tc>
          <w:tcPr>
            <w:tcW w:w="412" w:type="pct"/>
            <w:shd w:val="clear" w:color="000000" w:fill="FFFFFF"/>
            <w:noWrap w:val="0"/>
            <w:vAlign w:val="top"/>
          </w:tcPr>
          <w:p>
            <w:pPr>
              <w:jc w:val="center"/>
              <w:rPr>
                <w:color w:val="auto"/>
              </w:rPr>
            </w:pPr>
            <w:r>
              <w:rPr>
                <w:color w:val="auto"/>
              </w:rPr>
              <w:t>m</w:t>
            </w:r>
          </w:p>
        </w:tc>
        <w:tc>
          <w:tcPr>
            <w:tcW w:w="412" w:type="pct"/>
            <w:shd w:val="clear" w:color="000000" w:fill="FFFFFF"/>
            <w:noWrap w:val="0"/>
            <w:vAlign w:val="top"/>
          </w:tcPr>
          <w:p>
            <w:pPr>
              <w:jc w:val="center"/>
              <w:rPr>
                <w:color w:val="auto"/>
              </w:rPr>
            </w:pPr>
            <w:r>
              <w:rPr>
                <w:color w:val="auto"/>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44</w:t>
            </w:r>
          </w:p>
        </w:tc>
        <w:tc>
          <w:tcPr>
            <w:tcW w:w="1404" w:type="pct"/>
            <w:shd w:val="clear" w:color="000000" w:fill="FFFFFF"/>
            <w:noWrap w:val="0"/>
            <w:vAlign w:val="top"/>
          </w:tcPr>
          <w:p>
            <w:pPr>
              <w:jc w:val="center"/>
              <w:rPr>
                <w:color w:val="auto"/>
              </w:rPr>
            </w:pPr>
            <w:r>
              <w:rPr>
                <w:color w:val="auto"/>
              </w:rPr>
              <w:t>空调电源线</w:t>
            </w:r>
          </w:p>
        </w:tc>
        <w:tc>
          <w:tcPr>
            <w:tcW w:w="2359" w:type="pct"/>
            <w:shd w:val="clear" w:color="000000" w:fill="FFFFFF"/>
            <w:noWrap w:val="0"/>
            <w:vAlign w:val="top"/>
          </w:tcPr>
          <w:p>
            <w:pPr>
              <w:rPr>
                <w:color w:val="auto"/>
              </w:rPr>
            </w:pPr>
            <w:r>
              <w:rPr>
                <w:color w:val="auto"/>
              </w:rPr>
              <w:t>ZRYJV-5*16mm2</w:t>
            </w:r>
          </w:p>
        </w:tc>
        <w:tc>
          <w:tcPr>
            <w:tcW w:w="412" w:type="pct"/>
            <w:shd w:val="clear" w:color="000000" w:fill="FFFFFF"/>
            <w:noWrap w:val="0"/>
            <w:vAlign w:val="top"/>
          </w:tcPr>
          <w:p>
            <w:pPr>
              <w:jc w:val="center"/>
              <w:rPr>
                <w:color w:val="auto"/>
              </w:rPr>
            </w:pPr>
            <w:r>
              <w:rPr>
                <w:color w:val="auto"/>
              </w:rPr>
              <w:t>m</w:t>
            </w:r>
          </w:p>
        </w:tc>
        <w:tc>
          <w:tcPr>
            <w:tcW w:w="412" w:type="pct"/>
            <w:shd w:val="clear" w:color="000000" w:fill="FFFFFF"/>
            <w:noWrap w:val="0"/>
            <w:vAlign w:val="top"/>
          </w:tcPr>
          <w:p>
            <w:pPr>
              <w:jc w:val="center"/>
              <w:rPr>
                <w:color w:val="auto"/>
              </w:rPr>
            </w:pPr>
            <w:r>
              <w:rPr>
                <w:color w:val="auto"/>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45</w:t>
            </w:r>
          </w:p>
        </w:tc>
        <w:tc>
          <w:tcPr>
            <w:tcW w:w="1404" w:type="pct"/>
            <w:shd w:val="clear" w:color="000000" w:fill="FFFFFF"/>
            <w:noWrap w:val="0"/>
            <w:vAlign w:val="top"/>
          </w:tcPr>
          <w:p>
            <w:pPr>
              <w:jc w:val="center"/>
              <w:rPr>
                <w:color w:val="auto"/>
              </w:rPr>
            </w:pPr>
            <w:r>
              <w:rPr>
                <w:color w:val="auto"/>
              </w:rPr>
              <w:t xml:space="preserve">机柜电源线 </w:t>
            </w:r>
          </w:p>
        </w:tc>
        <w:tc>
          <w:tcPr>
            <w:tcW w:w="2359" w:type="pct"/>
            <w:shd w:val="clear" w:color="000000" w:fill="FFFFFF"/>
            <w:noWrap w:val="0"/>
            <w:vAlign w:val="top"/>
          </w:tcPr>
          <w:p>
            <w:pPr>
              <w:rPr>
                <w:color w:val="auto"/>
              </w:rPr>
            </w:pPr>
            <w:r>
              <w:rPr>
                <w:color w:val="auto"/>
              </w:rPr>
              <w:t>ZRRVV-3×6mm2</w:t>
            </w:r>
          </w:p>
        </w:tc>
        <w:tc>
          <w:tcPr>
            <w:tcW w:w="412" w:type="pct"/>
            <w:shd w:val="clear" w:color="000000" w:fill="FFFFFF"/>
            <w:noWrap w:val="0"/>
            <w:vAlign w:val="top"/>
          </w:tcPr>
          <w:p>
            <w:pPr>
              <w:jc w:val="center"/>
              <w:rPr>
                <w:color w:val="auto"/>
              </w:rPr>
            </w:pPr>
            <w:r>
              <w:rPr>
                <w:color w:val="auto"/>
              </w:rPr>
              <w:t>m</w:t>
            </w:r>
          </w:p>
        </w:tc>
        <w:tc>
          <w:tcPr>
            <w:tcW w:w="412" w:type="pct"/>
            <w:shd w:val="clear" w:color="000000" w:fill="FFFFFF"/>
            <w:noWrap w:val="0"/>
            <w:vAlign w:val="top"/>
          </w:tcPr>
          <w:p>
            <w:pPr>
              <w:jc w:val="center"/>
              <w:rPr>
                <w:color w:val="auto"/>
              </w:rPr>
            </w:pPr>
            <w:r>
              <w:rPr>
                <w:color w:val="auto"/>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46</w:t>
            </w:r>
          </w:p>
        </w:tc>
        <w:tc>
          <w:tcPr>
            <w:tcW w:w="1404" w:type="pct"/>
            <w:shd w:val="clear" w:color="000000" w:fill="FFFFFF"/>
            <w:noWrap w:val="0"/>
            <w:vAlign w:val="top"/>
          </w:tcPr>
          <w:p>
            <w:pPr>
              <w:jc w:val="center"/>
              <w:rPr>
                <w:color w:val="auto"/>
              </w:rPr>
            </w:pPr>
            <w:r>
              <w:rPr>
                <w:color w:val="auto"/>
              </w:rPr>
              <w:t>插座电线</w:t>
            </w:r>
          </w:p>
        </w:tc>
        <w:tc>
          <w:tcPr>
            <w:tcW w:w="2359" w:type="pct"/>
            <w:shd w:val="clear" w:color="000000" w:fill="FFFFFF"/>
            <w:noWrap w:val="0"/>
            <w:vAlign w:val="top"/>
          </w:tcPr>
          <w:p>
            <w:pPr>
              <w:rPr>
                <w:color w:val="auto"/>
              </w:rPr>
            </w:pPr>
            <w:r>
              <w:rPr>
                <w:color w:val="auto"/>
              </w:rPr>
              <w:t>ZRBV-4mm2</w:t>
            </w:r>
          </w:p>
        </w:tc>
        <w:tc>
          <w:tcPr>
            <w:tcW w:w="412" w:type="pct"/>
            <w:shd w:val="clear" w:color="000000" w:fill="FFFFFF"/>
            <w:noWrap w:val="0"/>
            <w:vAlign w:val="top"/>
          </w:tcPr>
          <w:p>
            <w:pPr>
              <w:jc w:val="center"/>
              <w:rPr>
                <w:color w:val="auto"/>
              </w:rPr>
            </w:pPr>
            <w:r>
              <w:rPr>
                <w:color w:val="auto"/>
              </w:rPr>
              <w:t>m</w:t>
            </w:r>
          </w:p>
        </w:tc>
        <w:tc>
          <w:tcPr>
            <w:tcW w:w="412" w:type="pct"/>
            <w:shd w:val="clear" w:color="000000" w:fill="FFFFFF"/>
            <w:noWrap w:val="0"/>
            <w:vAlign w:val="top"/>
          </w:tcPr>
          <w:p>
            <w:pPr>
              <w:jc w:val="center"/>
              <w:rPr>
                <w:color w:val="auto"/>
              </w:rPr>
            </w:pPr>
            <w:r>
              <w:rPr>
                <w:color w:val="auto"/>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47</w:t>
            </w:r>
          </w:p>
        </w:tc>
        <w:tc>
          <w:tcPr>
            <w:tcW w:w="1404" w:type="pct"/>
            <w:shd w:val="clear" w:color="000000" w:fill="FFFFFF"/>
            <w:noWrap w:val="0"/>
            <w:vAlign w:val="top"/>
          </w:tcPr>
          <w:p>
            <w:pPr>
              <w:jc w:val="center"/>
              <w:rPr>
                <w:color w:val="auto"/>
              </w:rPr>
            </w:pPr>
            <w:r>
              <w:rPr>
                <w:color w:val="auto"/>
              </w:rPr>
              <w:t>照明电线</w:t>
            </w:r>
          </w:p>
        </w:tc>
        <w:tc>
          <w:tcPr>
            <w:tcW w:w="2359" w:type="pct"/>
            <w:shd w:val="clear" w:color="000000" w:fill="FFFFFF"/>
            <w:noWrap w:val="0"/>
            <w:vAlign w:val="top"/>
          </w:tcPr>
          <w:p>
            <w:pPr>
              <w:rPr>
                <w:color w:val="auto"/>
              </w:rPr>
            </w:pPr>
            <w:r>
              <w:rPr>
                <w:color w:val="auto"/>
              </w:rPr>
              <w:t>ZRBV-2.5mm2</w:t>
            </w:r>
          </w:p>
        </w:tc>
        <w:tc>
          <w:tcPr>
            <w:tcW w:w="412" w:type="pct"/>
            <w:shd w:val="clear" w:color="000000" w:fill="FFFFFF"/>
            <w:noWrap w:val="0"/>
            <w:vAlign w:val="top"/>
          </w:tcPr>
          <w:p>
            <w:pPr>
              <w:jc w:val="center"/>
              <w:rPr>
                <w:color w:val="auto"/>
              </w:rPr>
            </w:pPr>
            <w:r>
              <w:rPr>
                <w:color w:val="auto"/>
              </w:rPr>
              <w:t>m</w:t>
            </w:r>
          </w:p>
        </w:tc>
        <w:tc>
          <w:tcPr>
            <w:tcW w:w="412" w:type="pct"/>
            <w:shd w:val="clear" w:color="000000" w:fill="FFFFFF"/>
            <w:noWrap w:val="0"/>
            <w:vAlign w:val="top"/>
          </w:tcPr>
          <w:p>
            <w:pPr>
              <w:jc w:val="center"/>
              <w:rPr>
                <w:color w:val="auto"/>
              </w:rPr>
            </w:pPr>
            <w:r>
              <w:rPr>
                <w:color w:val="auto"/>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48</w:t>
            </w:r>
          </w:p>
        </w:tc>
        <w:tc>
          <w:tcPr>
            <w:tcW w:w="1404" w:type="pct"/>
            <w:shd w:val="clear" w:color="000000" w:fill="FFFFFF"/>
            <w:noWrap w:val="0"/>
            <w:vAlign w:val="top"/>
          </w:tcPr>
          <w:p>
            <w:pPr>
              <w:jc w:val="center"/>
              <w:rPr>
                <w:color w:val="auto"/>
              </w:rPr>
            </w:pPr>
            <w:r>
              <w:rPr>
                <w:color w:val="auto"/>
              </w:rPr>
              <w:t>穿线钢管</w:t>
            </w:r>
          </w:p>
        </w:tc>
        <w:tc>
          <w:tcPr>
            <w:tcW w:w="2359" w:type="pct"/>
            <w:shd w:val="clear" w:color="000000" w:fill="FFFFFF"/>
            <w:noWrap w:val="0"/>
            <w:vAlign w:val="top"/>
          </w:tcPr>
          <w:p>
            <w:pPr>
              <w:rPr>
                <w:color w:val="auto"/>
              </w:rPr>
            </w:pPr>
            <w:r>
              <w:rPr>
                <w:color w:val="auto"/>
              </w:rPr>
              <w:t>SC20</w:t>
            </w:r>
          </w:p>
        </w:tc>
        <w:tc>
          <w:tcPr>
            <w:tcW w:w="412" w:type="pct"/>
            <w:shd w:val="clear" w:color="000000" w:fill="FFFFFF"/>
            <w:noWrap w:val="0"/>
            <w:vAlign w:val="top"/>
          </w:tcPr>
          <w:p>
            <w:pPr>
              <w:jc w:val="center"/>
              <w:rPr>
                <w:color w:val="auto"/>
              </w:rPr>
            </w:pPr>
            <w:r>
              <w:rPr>
                <w:color w:val="auto"/>
              </w:rPr>
              <w:t>m</w:t>
            </w:r>
          </w:p>
        </w:tc>
        <w:tc>
          <w:tcPr>
            <w:tcW w:w="412" w:type="pct"/>
            <w:shd w:val="clear" w:color="000000" w:fill="FFFFFF"/>
            <w:noWrap w:val="0"/>
            <w:vAlign w:val="top"/>
          </w:tcPr>
          <w:p>
            <w:pPr>
              <w:jc w:val="center"/>
              <w:rPr>
                <w:color w:val="auto"/>
              </w:rPr>
            </w:pPr>
            <w:r>
              <w:rPr>
                <w:color w:val="auto"/>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49</w:t>
            </w:r>
          </w:p>
        </w:tc>
        <w:tc>
          <w:tcPr>
            <w:tcW w:w="1404" w:type="pct"/>
            <w:shd w:val="clear" w:color="000000" w:fill="FFFFFF"/>
            <w:noWrap w:val="0"/>
            <w:vAlign w:val="top"/>
          </w:tcPr>
          <w:p>
            <w:pPr>
              <w:jc w:val="center"/>
              <w:rPr>
                <w:color w:val="auto"/>
              </w:rPr>
            </w:pPr>
            <w:r>
              <w:rPr>
                <w:color w:val="auto"/>
              </w:rPr>
              <w:t>金属软管</w:t>
            </w:r>
          </w:p>
        </w:tc>
        <w:tc>
          <w:tcPr>
            <w:tcW w:w="2359" w:type="pct"/>
            <w:shd w:val="clear" w:color="000000" w:fill="FFFFFF"/>
            <w:noWrap w:val="0"/>
            <w:vAlign w:val="top"/>
          </w:tcPr>
          <w:p>
            <w:pPr>
              <w:rPr>
                <w:color w:val="auto"/>
              </w:rPr>
            </w:pPr>
            <w:r>
              <w:rPr>
                <w:color w:val="auto"/>
              </w:rPr>
              <w:t>Φ20</w:t>
            </w:r>
          </w:p>
        </w:tc>
        <w:tc>
          <w:tcPr>
            <w:tcW w:w="412" w:type="pct"/>
            <w:shd w:val="clear" w:color="000000" w:fill="FFFFFF"/>
            <w:noWrap w:val="0"/>
            <w:vAlign w:val="top"/>
          </w:tcPr>
          <w:p>
            <w:pPr>
              <w:jc w:val="center"/>
              <w:rPr>
                <w:color w:val="auto"/>
              </w:rPr>
            </w:pPr>
            <w:r>
              <w:rPr>
                <w:color w:val="auto"/>
              </w:rPr>
              <w:t>m</w:t>
            </w:r>
          </w:p>
        </w:tc>
        <w:tc>
          <w:tcPr>
            <w:tcW w:w="412" w:type="pct"/>
            <w:shd w:val="clear" w:color="000000" w:fill="FFFFFF"/>
            <w:noWrap w:val="0"/>
            <w:vAlign w:val="top"/>
          </w:tcPr>
          <w:p>
            <w:pPr>
              <w:jc w:val="center"/>
              <w:rPr>
                <w:color w:val="auto"/>
              </w:rPr>
            </w:pPr>
            <w:r>
              <w:rPr>
                <w:color w:val="auto"/>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50</w:t>
            </w:r>
          </w:p>
        </w:tc>
        <w:tc>
          <w:tcPr>
            <w:tcW w:w="1404" w:type="pct"/>
            <w:shd w:val="clear" w:color="000000" w:fill="FFFFFF"/>
            <w:noWrap w:val="0"/>
            <w:vAlign w:val="top"/>
          </w:tcPr>
          <w:p>
            <w:pPr>
              <w:jc w:val="center"/>
              <w:rPr>
                <w:color w:val="auto"/>
              </w:rPr>
            </w:pPr>
            <w:r>
              <w:rPr>
                <w:color w:val="auto"/>
              </w:rPr>
              <w:t>接线盒</w:t>
            </w:r>
          </w:p>
        </w:tc>
        <w:tc>
          <w:tcPr>
            <w:tcW w:w="2359" w:type="pct"/>
            <w:shd w:val="clear" w:color="000000" w:fill="FFFFFF"/>
            <w:noWrap w:val="0"/>
            <w:vAlign w:val="top"/>
          </w:tcPr>
          <w:p>
            <w:pPr>
              <w:rPr>
                <w:color w:val="auto"/>
              </w:rPr>
            </w:pPr>
            <w:r>
              <w:rPr>
                <w:color w:val="auto"/>
              </w:rPr>
              <w:t>86H</w:t>
            </w:r>
          </w:p>
        </w:tc>
        <w:tc>
          <w:tcPr>
            <w:tcW w:w="412" w:type="pct"/>
            <w:shd w:val="clear" w:color="000000" w:fill="FFFFFF"/>
            <w:noWrap w:val="0"/>
            <w:vAlign w:val="top"/>
          </w:tcPr>
          <w:p>
            <w:pPr>
              <w:jc w:val="center"/>
              <w:rPr>
                <w:color w:val="auto"/>
              </w:rPr>
            </w:pPr>
            <w:r>
              <w:rPr>
                <w:color w:val="auto"/>
              </w:rPr>
              <w:t>个</w:t>
            </w:r>
          </w:p>
        </w:tc>
        <w:tc>
          <w:tcPr>
            <w:tcW w:w="412" w:type="pct"/>
            <w:shd w:val="clear" w:color="000000" w:fill="FFFFFF"/>
            <w:noWrap w:val="0"/>
            <w:vAlign w:val="top"/>
          </w:tcPr>
          <w:p>
            <w:pPr>
              <w:jc w:val="center"/>
              <w:rPr>
                <w:color w:val="auto"/>
              </w:rPr>
            </w:pPr>
            <w:r>
              <w:rPr>
                <w:color w:val="auto"/>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51</w:t>
            </w:r>
          </w:p>
        </w:tc>
        <w:tc>
          <w:tcPr>
            <w:tcW w:w="1404" w:type="pct"/>
            <w:shd w:val="clear" w:color="000000" w:fill="FFFFFF"/>
            <w:noWrap w:val="0"/>
            <w:vAlign w:val="top"/>
          </w:tcPr>
          <w:p>
            <w:pPr>
              <w:jc w:val="center"/>
              <w:rPr>
                <w:color w:val="auto"/>
              </w:rPr>
            </w:pPr>
            <w:r>
              <w:rPr>
                <w:color w:val="auto"/>
              </w:rPr>
              <w:t>墙面插座</w:t>
            </w:r>
          </w:p>
        </w:tc>
        <w:tc>
          <w:tcPr>
            <w:tcW w:w="2359" w:type="pct"/>
            <w:shd w:val="clear" w:color="000000" w:fill="FFFFFF"/>
            <w:noWrap w:val="0"/>
            <w:vAlign w:val="top"/>
          </w:tcPr>
          <w:p>
            <w:pPr>
              <w:rPr>
                <w:color w:val="auto"/>
              </w:rPr>
            </w:pPr>
            <w:r>
              <w:rPr>
                <w:color w:val="auto"/>
              </w:rPr>
              <w:t>10A 5孔</w:t>
            </w:r>
          </w:p>
        </w:tc>
        <w:tc>
          <w:tcPr>
            <w:tcW w:w="412" w:type="pct"/>
            <w:shd w:val="clear" w:color="000000" w:fill="FFFFFF"/>
            <w:noWrap w:val="0"/>
            <w:vAlign w:val="top"/>
          </w:tcPr>
          <w:p>
            <w:pPr>
              <w:jc w:val="center"/>
              <w:rPr>
                <w:color w:val="auto"/>
              </w:rPr>
            </w:pPr>
            <w:r>
              <w:rPr>
                <w:color w:val="auto"/>
              </w:rPr>
              <w:t>套</w:t>
            </w:r>
          </w:p>
        </w:tc>
        <w:tc>
          <w:tcPr>
            <w:tcW w:w="412" w:type="pct"/>
            <w:shd w:val="clear" w:color="000000" w:fill="FFFFFF"/>
            <w:noWrap w:val="0"/>
            <w:vAlign w:val="top"/>
          </w:tcPr>
          <w:p>
            <w:pPr>
              <w:jc w:val="center"/>
              <w:rPr>
                <w:color w:val="auto"/>
              </w:rPr>
            </w:pPr>
            <w:r>
              <w:rPr>
                <w:color w:val="auto"/>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52</w:t>
            </w:r>
          </w:p>
        </w:tc>
        <w:tc>
          <w:tcPr>
            <w:tcW w:w="1404" w:type="pct"/>
            <w:shd w:val="clear" w:color="000000" w:fill="FFFFFF"/>
            <w:noWrap w:val="0"/>
            <w:vAlign w:val="top"/>
          </w:tcPr>
          <w:p>
            <w:pPr>
              <w:jc w:val="center"/>
              <w:rPr>
                <w:color w:val="auto"/>
              </w:rPr>
            </w:pPr>
            <w:r>
              <w:rPr>
                <w:color w:val="auto"/>
              </w:rPr>
              <w:t>照明开关</w:t>
            </w:r>
          </w:p>
        </w:tc>
        <w:tc>
          <w:tcPr>
            <w:tcW w:w="2359" w:type="pct"/>
            <w:shd w:val="clear" w:color="000000" w:fill="FFFFFF"/>
            <w:noWrap w:val="0"/>
            <w:vAlign w:val="top"/>
          </w:tcPr>
          <w:p>
            <w:pPr>
              <w:rPr>
                <w:color w:val="auto"/>
              </w:rPr>
            </w:pPr>
            <w:r>
              <w:rPr>
                <w:color w:val="auto"/>
              </w:rPr>
              <w:t>10A 单开</w:t>
            </w:r>
          </w:p>
        </w:tc>
        <w:tc>
          <w:tcPr>
            <w:tcW w:w="412" w:type="pct"/>
            <w:shd w:val="clear" w:color="000000" w:fill="FFFFFF"/>
            <w:noWrap w:val="0"/>
            <w:vAlign w:val="top"/>
          </w:tcPr>
          <w:p>
            <w:pPr>
              <w:jc w:val="center"/>
              <w:rPr>
                <w:color w:val="auto"/>
              </w:rPr>
            </w:pPr>
            <w:r>
              <w:rPr>
                <w:color w:val="auto"/>
              </w:rPr>
              <w:t>只</w:t>
            </w:r>
          </w:p>
        </w:tc>
        <w:tc>
          <w:tcPr>
            <w:tcW w:w="412" w:type="pct"/>
            <w:shd w:val="clear" w:color="000000" w:fill="FFFFFF"/>
            <w:noWrap w:val="0"/>
            <w:vAlign w:val="top"/>
          </w:tcPr>
          <w:p>
            <w:pPr>
              <w:jc w:val="center"/>
              <w:rPr>
                <w:color w:val="auto"/>
              </w:rPr>
            </w:pPr>
            <w:r>
              <w:rPr>
                <w:color w:val="auto"/>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5" w:type="pct"/>
            <w:gridSpan w:val="3"/>
            <w:noWrap/>
            <w:vAlign w:val="top"/>
          </w:tcPr>
          <w:p>
            <w:pPr>
              <w:rPr>
                <w:color w:val="auto"/>
              </w:rPr>
            </w:pPr>
            <w:r>
              <w:rPr>
                <w:color w:val="auto"/>
              </w:rPr>
              <w:t>二、配套系统</w:t>
            </w:r>
          </w:p>
        </w:tc>
        <w:tc>
          <w:tcPr>
            <w:tcW w:w="412" w:type="pct"/>
            <w:noWrap/>
            <w:vAlign w:val="top"/>
          </w:tcPr>
          <w:p>
            <w:pPr>
              <w:jc w:val="center"/>
              <w:rPr>
                <w:color w:val="auto"/>
              </w:rPr>
            </w:pPr>
            <w:r>
              <w:rPr>
                <w:color w:val="auto"/>
              </w:rPr>
              <w:t>　</w:t>
            </w:r>
          </w:p>
        </w:tc>
        <w:tc>
          <w:tcPr>
            <w:tcW w:w="412" w:type="pct"/>
            <w:noWrap/>
            <w:vAlign w:val="top"/>
          </w:tcPr>
          <w:p>
            <w:pPr>
              <w:jc w:val="center"/>
              <w:rPr>
                <w:color w:val="auto"/>
              </w:rPr>
            </w:pPr>
            <w:r>
              <w:rPr>
                <w:color w:val="auto"/>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6" w:type="pct"/>
            <w:gridSpan w:val="2"/>
            <w:shd w:val="clear" w:color="000000" w:fill="FFFFFF"/>
            <w:noWrap w:val="0"/>
            <w:vAlign w:val="top"/>
          </w:tcPr>
          <w:p>
            <w:pPr>
              <w:rPr>
                <w:color w:val="auto"/>
              </w:rPr>
            </w:pPr>
            <w:r>
              <w:rPr>
                <w:rFonts w:hint="eastAsia"/>
                <w:color w:val="auto"/>
              </w:rPr>
              <w:t>（一）</w:t>
            </w:r>
            <w:r>
              <w:rPr>
                <w:color w:val="auto"/>
              </w:rPr>
              <w:t>UPS系统</w:t>
            </w:r>
          </w:p>
        </w:tc>
        <w:tc>
          <w:tcPr>
            <w:tcW w:w="2359" w:type="pct"/>
            <w:shd w:val="clear" w:color="000000" w:fill="FFFFFF"/>
            <w:noWrap w:val="0"/>
            <w:vAlign w:val="top"/>
          </w:tcPr>
          <w:p>
            <w:pPr>
              <w:rPr>
                <w:color w:val="auto"/>
              </w:rPr>
            </w:pPr>
            <w:r>
              <w:rPr>
                <w:color w:val="auto"/>
              </w:rPr>
              <w:t>　</w:t>
            </w:r>
          </w:p>
        </w:tc>
        <w:tc>
          <w:tcPr>
            <w:tcW w:w="412" w:type="pct"/>
            <w:shd w:val="clear" w:color="000000" w:fill="FFFFFF"/>
            <w:noWrap w:val="0"/>
            <w:vAlign w:val="top"/>
          </w:tcPr>
          <w:p>
            <w:pPr>
              <w:jc w:val="center"/>
              <w:rPr>
                <w:color w:val="auto"/>
              </w:rPr>
            </w:pPr>
            <w:r>
              <w:rPr>
                <w:color w:val="auto"/>
              </w:rPr>
              <w:t>　</w:t>
            </w:r>
          </w:p>
        </w:tc>
        <w:tc>
          <w:tcPr>
            <w:tcW w:w="412" w:type="pct"/>
            <w:shd w:val="clear" w:color="000000" w:fill="FFFFFF"/>
            <w:noWrap w:val="0"/>
            <w:vAlign w:val="top"/>
          </w:tcPr>
          <w:p>
            <w:pPr>
              <w:jc w:val="center"/>
              <w:rPr>
                <w:color w:val="auto"/>
              </w:rPr>
            </w:pPr>
            <w:r>
              <w:rPr>
                <w:color w:val="auto"/>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center"/>
          </w:tcPr>
          <w:p>
            <w:pPr>
              <w:jc w:val="center"/>
              <w:rPr>
                <w:color w:val="auto"/>
              </w:rPr>
            </w:pPr>
            <w:r>
              <w:rPr>
                <w:color w:val="auto"/>
              </w:rPr>
              <w:t>1</w:t>
            </w:r>
          </w:p>
        </w:tc>
        <w:tc>
          <w:tcPr>
            <w:tcW w:w="1404" w:type="pct"/>
            <w:shd w:val="clear" w:color="000000" w:fill="FFFFFF"/>
            <w:noWrap w:val="0"/>
            <w:vAlign w:val="center"/>
          </w:tcPr>
          <w:p>
            <w:pPr>
              <w:jc w:val="center"/>
              <w:rPr>
                <w:color w:val="auto"/>
              </w:rPr>
            </w:pPr>
            <w:r>
              <w:rPr>
                <w:color w:val="auto"/>
              </w:rPr>
              <w:t>UPS主机柜</w:t>
            </w:r>
          </w:p>
        </w:tc>
        <w:tc>
          <w:tcPr>
            <w:tcW w:w="2359" w:type="pct"/>
            <w:shd w:val="clear" w:color="000000" w:fill="FFFFFF"/>
            <w:noWrap w:val="0"/>
            <w:vAlign w:val="top"/>
          </w:tcPr>
          <w:p>
            <w:pPr>
              <w:rPr>
                <w:color w:val="auto"/>
              </w:rPr>
            </w:pPr>
            <w:r>
              <w:rPr>
                <w:color w:val="auto"/>
              </w:rPr>
              <w:t>三进三出，UPS采用模块化结构，所有模块均支持在线热插拔，模块内电子元件和风道完全隔离；UPS主机应具备双路输入，满足系统的可靠性；为提高电池的使用寿命，充电器必须采用三段式充电技术；为了避免单点故障，不采用充电模块，由主机的每个功率模块提供充电功能，充电电流不小于12A；主机风扇具有智能调速功能，任何一路风扇损坏仍可带35%负载</w:t>
            </w:r>
            <w:r>
              <w:rPr>
                <w:rFonts w:hint="eastAsia"/>
                <w:color w:val="auto"/>
              </w:rPr>
              <w:t>；</w:t>
            </w:r>
            <w:r>
              <w:rPr>
                <w:color w:val="auto"/>
              </w:rPr>
              <w:t>UPS主机同时能兼容铅酸电池和铁锂电池，以满足用户不同的应用场景；采用</w:t>
            </w:r>
            <w:r>
              <w:rPr>
                <w:rFonts w:hint="eastAsia"/>
                <w:color w:val="auto"/>
              </w:rPr>
              <w:t>≥</w:t>
            </w:r>
            <w:r>
              <w:rPr>
                <w:color w:val="auto"/>
              </w:rPr>
              <w:t>7寸LCD彩色触摸屏，可以显示详细的信息，输入电压、输入频率、输入电流、旁路电压、旁路频率、旁路电流、输出电压、输出电流、输出频率、有功功率、视载功率、负载率、电池电压、电池剩余放电时间、电池剩余容量、最近放电时间等参数；UPS主机应采用集中旁路模块</w:t>
            </w:r>
            <w:r>
              <w:rPr>
                <w:rFonts w:hint="eastAsia"/>
                <w:color w:val="auto"/>
              </w:rPr>
              <w:t>；</w:t>
            </w:r>
            <w:r>
              <w:rPr>
                <w:color w:val="auto"/>
              </w:rPr>
              <w:t>UPS主机应具备内置防尘网、EPO紧急关机功能；UPS主机电池节数应可以在30-46节之间灵活设置；UPS标配输入、旁路、输出、维修旁路开关，所有开关必须内置UPS系统机柜里面，由于空间有限，无需外部配置配电柜；可通过面板设置各种通信协议，以满足不同监控需求；UPS主机应具备智能化休眠功能；UPS主机应具有自老化功能，测试现场不需要外接负载就可以带载测试。</w:t>
            </w:r>
          </w:p>
        </w:tc>
        <w:tc>
          <w:tcPr>
            <w:tcW w:w="412" w:type="pct"/>
            <w:shd w:val="clear" w:color="000000" w:fill="FFFFFF"/>
            <w:noWrap w:val="0"/>
            <w:vAlign w:val="top"/>
          </w:tcPr>
          <w:p>
            <w:pPr>
              <w:jc w:val="center"/>
              <w:rPr>
                <w:color w:val="auto"/>
              </w:rPr>
            </w:pPr>
            <w:r>
              <w:rPr>
                <w:color w:val="auto"/>
              </w:rPr>
              <w:t>台</w:t>
            </w:r>
          </w:p>
        </w:tc>
        <w:tc>
          <w:tcPr>
            <w:tcW w:w="412" w:type="pct"/>
            <w:shd w:val="clear" w:color="000000" w:fill="FFFFFF"/>
            <w:noWrap w:val="0"/>
            <w:vAlign w:val="top"/>
          </w:tcPr>
          <w:p>
            <w:pPr>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center"/>
          </w:tcPr>
          <w:p>
            <w:pPr>
              <w:jc w:val="center"/>
              <w:rPr>
                <w:color w:val="auto"/>
              </w:rPr>
            </w:pPr>
            <w:r>
              <w:rPr>
                <w:color w:val="auto"/>
              </w:rPr>
              <w:t>2</w:t>
            </w:r>
          </w:p>
        </w:tc>
        <w:tc>
          <w:tcPr>
            <w:tcW w:w="1404" w:type="pct"/>
            <w:shd w:val="clear" w:color="000000" w:fill="FFFFFF"/>
            <w:noWrap w:val="0"/>
            <w:vAlign w:val="center"/>
          </w:tcPr>
          <w:p>
            <w:pPr>
              <w:jc w:val="center"/>
              <w:rPr>
                <w:color w:val="auto"/>
              </w:rPr>
            </w:pPr>
            <w:r>
              <w:rPr>
                <w:color w:val="auto"/>
              </w:rPr>
              <w:t>功率模块</w:t>
            </w:r>
          </w:p>
        </w:tc>
        <w:tc>
          <w:tcPr>
            <w:tcW w:w="2359" w:type="pct"/>
            <w:shd w:val="clear" w:color="000000" w:fill="FFFFFF"/>
            <w:noWrap w:val="0"/>
            <w:vAlign w:val="top"/>
          </w:tcPr>
          <w:p>
            <w:pPr>
              <w:rPr>
                <w:color w:val="auto"/>
              </w:rPr>
            </w:pPr>
            <w:r>
              <w:rPr>
                <w:rFonts w:hint="eastAsia"/>
                <w:color w:val="auto"/>
              </w:rPr>
              <w:t>≥</w:t>
            </w:r>
            <w:r>
              <w:rPr>
                <w:color w:val="auto"/>
              </w:rPr>
              <w:t>25KVA功率模块</w:t>
            </w:r>
          </w:p>
        </w:tc>
        <w:tc>
          <w:tcPr>
            <w:tcW w:w="412" w:type="pct"/>
            <w:shd w:val="clear" w:color="000000" w:fill="FFFFFF"/>
            <w:noWrap w:val="0"/>
            <w:vAlign w:val="top"/>
          </w:tcPr>
          <w:p>
            <w:pPr>
              <w:jc w:val="center"/>
              <w:rPr>
                <w:color w:val="auto"/>
              </w:rPr>
            </w:pPr>
            <w:r>
              <w:rPr>
                <w:color w:val="auto"/>
              </w:rPr>
              <w:t>台</w:t>
            </w:r>
          </w:p>
        </w:tc>
        <w:tc>
          <w:tcPr>
            <w:tcW w:w="412" w:type="pct"/>
            <w:shd w:val="clear" w:color="000000" w:fill="FFFFFF"/>
            <w:noWrap w:val="0"/>
            <w:vAlign w:val="top"/>
          </w:tcPr>
          <w:p>
            <w:pPr>
              <w:jc w:val="center"/>
              <w:rPr>
                <w:color w:val="auto"/>
              </w:rPr>
            </w:pPr>
            <w:r>
              <w:rPr>
                <w:color w:val="auto"/>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center"/>
          </w:tcPr>
          <w:p>
            <w:pPr>
              <w:jc w:val="center"/>
              <w:rPr>
                <w:color w:val="auto"/>
              </w:rPr>
            </w:pPr>
            <w:r>
              <w:rPr>
                <w:color w:val="auto"/>
              </w:rPr>
              <w:t>3</w:t>
            </w:r>
          </w:p>
        </w:tc>
        <w:tc>
          <w:tcPr>
            <w:tcW w:w="1404" w:type="pct"/>
            <w:shd w:val="clear" w:color="000000" w:fill="FFFFFF"/>
            <w:noWrap w:val="0"/>
            <w:vAlign w:val="center"/>
          </w:tcPr>
          <w:p>
            <w:pPr>
              <w:jc w:val="center"/>
              <w:rPr>
                <w:color w:val="auto"/>
              </w:rPr>
            </w:pPr>
            <w:r>
              <w:rPr>
                <w:color w:val="auto"/>
              </w:rPr>
              <w:t>电池</w:t>
            </w:r>
          </w:p>
        </w:tc>
        <w:tc>
          <w:tcPr>
            <w:tcW w:w="2359" w:type="pct"/>
            <w:shd w:val="clear" w:color="000000" w:fill="FFFFFF"/>
            <w:noWrap w:val="0"/>
            <w:vAlign w:val="top"/>
          </w:tcPr>
          <w:p>
            <w:pPr>
              <w:rPr>
                <w:color w:val="auto"/>
              </w:rPr>
            </w:pPr>
            <w:r>
              <w:rPr>
                <w:color w:val="auto"/>
              </w:rPr>
              <w:t>后备2H</w:t>
            </w:r>
            <w:r>
              <w:rPr>
                <w:rFonts w:hint="eastAsia"/>
                <w:color w:val="auto"/>
              </w:rPr>
              <w:t>；</w:t>
            </w:r>
            <w:r>
              <w:rPr>
                <w:color w:val="auto"/>
              </w:rPr>
              <w:t>UPS采用12V100AH免维护铅酸蓄电池，蓄电池设计寿命7-10年以上；蓄电池间的连接电压降</w:t>
            </w:r>
            <w:r>
              <w:rPr>
                <w:rFonts w:cs="Cambria Math"/>
                <w:color w:val="auto"/>
              </w:rPr>
              <w:t>△</w:t>
            </w:r>
            <w:r>
              <w:rPr>
                <w:color w:val="auto"/>
              </w:rPr>
              <w:t>U≤3mv；蓄电池应能承受</w:t>
            </w:r>
            <w:r>
              <w:rPr>
                <w:rFonts w:hint="eastAsia"/>
                <w:color w:val="auto"/>
              </w:rPr>
              <w:t>≥</w:t>
            </w:r>
            <w:r>
              <w:rPr>
                <w:color w:val="auto"/>
              </w:rPr>
              <w:t>50KPa的正压或负压而不断裂、不开胶,压力释放后壳体无残余变形</w:t>
            </w:r>
            <w:r>
              <w:rPr>
                <w:rFonts w:hint="eastAsia"/>
                <w:color w:val="auto"/>
              </w:rPr>
              <w:t>；</w:t>
            </w:r>
            <w:r>
              <w:rPr>
                <w:color w:val="auto"/>
              </w:rPr>
              <w:t>蓄电池按规定方法试验，10h率容量第一次循环不低于0.95C10，在第三次循环应达到C10；大电流放电：电池以30I10（a）放电3min，极柱不应熔断、其外观不得出现异常；完全充电后的蓄电池，在25℃±2℃的环境中静置28天后，其容量不低于99.1％</w:t>
            </w:r>
            <w:r>
              <w:rPr>
                <w:rFonts w:hint="eastAsia"/>
                <w:color w:val="auto"/>
              </w:rPr>
              <w:t>；</w:t>
            </w:r>
            <w:r>
              <w:rPr>
                <w:color w:val="auto"/>
              </w:rPr>
              <w:t>将完全充电后的电池以0.1I10A电流连续充电96h后，改用0.05I10A充电1h，然后收集气体1h，其密封反应效率≥99.6％</w:t>
            </w:r>
            <w:r>
              <w:rPr>
                <w:rFonts w:hint="eastAsia"/>
                <w:color w:val="auto"/>
              </w:rPr>
              <w:t>；</w:t>
            </w:r>
            <w:r>
              <w:rPr>
                <w:color w:val="auto"/>
              </w:rPr>
              <w:t>安全阀应具有自动开启和自动关闭的功能，其开阀压应在10KPA—49kpa，闭阀压应时1KPA—49KPA</w:t>
            </w:r>
            <w:r>
              <w:rPr>
                <w:rFonts w:hint="eastAsia"/>
                <w:color w:val="auto"/>
              </w:rPr>
              <w:t>；</w:t>
            </w:r>
            <w:r>
              <w:rPr>
                <w:color w:val="auto"/>
              </w:rPr>
              <w:t>完全充电后的电池静止24h后，测量各单体电池开路电压，其最高值与最低值之差不大于20Mv；电池进入浮充状态24小时后各电池之间的端电压差不大于45mV</w:t>
            </w:r>
            <w:r>
              <w:rPr>
                <w:rFonts w:hint="eastAsia"/>
                <w:color w:val="auto"/>
              </w:rPr>
              <w:t>；</w:t>
            </w:r>
            <w:r>
              <w:rPr>
                <w:color w:val="auto"/>
              </w:rPr>
              <w:t>防爆性能:将完全充电后的电池以0.5I10A电流充电1h，同时在出气孔处用1-3A保险丝产生明火，无引爆</w:t>
            </w:r>
            <w:r>
              <w:rPr>
                <w:rFonts w:hint="eastAsia"/>
                <w:color w:val="auto"/>
              </w:rPr>
              <w:t>；</w:t>
            </w:r>
            <w:r>
              <w:rPr>
                <w:color w:val="auto"/>
              </w:rPr>
              <w:t>封口剂性能:采用封口剂的蓄电池，在-30℃～65℃温度范围内无裂纹与溢流现象</w:t>
            </w:r>
            <w:r>
              <w:rPr>
                <w:rFonts w:hint="eastAsia"/>
                <w:color w:val="auto"/>
              </w:rPr>
              <w:t>；</w:t>
            </w:r>
            <w:r>
              <w:rPr>
                <w:color w:val="auto"/>
              </w:rPr>
              <w:t>蓄电池必须满足7、8、9烈度抗震要求。</w:t>
            </w:r>
          </w:p>
        </w:tc>
        <w:tc>
          <w:tcPr>
            <w:tcW w:w="412" w:type="pct"/>
            <w:shd w:val="clear" w:color="000000" w:fill="FFFFFF"/>
            <w:noWrap w:val="0"/>
            <w:vAlign w:val="top"/>
          </w:tcPr>
          <w:p>
            <w:pPr>
              <w:jc w:val="center"/>
              <w:rPr>
                <w:color w:val="auto"/>
              </w:rPr>
            </w:pPr>
            <w:r>
              <w:rPr>
                <w:color w:val="auto"/>
              </w:rPr>
              <w:t>节</w:t>
            </w:r>
          </w:p>
        </w:tc>
        <w:tc>
          <w:tcPr>
            <w:tcW w:w="412" w:type="pct"/>
            <w:shd w:val="clear" w:color="000000" w:fill="FFFFFF"/>
            <w:noWrap w:val="0"/>
            <w:vAlign w:val="top"/>
          </w:tcPr>
          <w:p>
            <w:pPr>
              <w:jc w:val="center"/>
              <w:rPr>
                <w:color w:val="auto"/>
              </w:rPr>
            </w:pPr>
            <w:r>
              <w:rPr>
                <w:color w:val="auto"/>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4</w:t>
            </w:r>
          </w:p>
        </w:tc>
        <w:tc>
          <w:tcPr>
            <w:tcW w:w="1404" w:type="pct"/>
            <w:shd w:val="clear" w:color="000000" w:fill="FFFFFF"/>
            <w:noWrap w:val="0"/>
            <w:vAlign w:val="top"/>
          </w:tcPr>
          <w:p>
            <w:pPr>
              <w:jc w:val="center"/>
              <w:rPr>
                <w:color w:val="auto"/>
              </w:rPr>
            </w:pPr>
            <w:r>
              <w:rPr>
                <w:color w:val="auto"/>
              </w:rPr>
              <w:t>电池柜</w:t>
            </w:r>
          </w:p>
        </w:tc>
        <w:tc>
          <w:tcPr>
            <w:tcW w:w="2359" w:type="pct"/>
            <w:shd w:val="clear" w:color="000000" w:fill="FFFFFF"/>
            <w:noWrap w:val="0"/>
            <w:vAlign w:val="top"/>
          </w:tcPr>
          <w:p>
            <w:pPr>
              <w:rPr>
                <w:color w:val="auto"/>
              </w:rPr>
            </w:pPr>
            <w:r>
              <w:rPr>
                <w:color w:val="auto"/>
              </w:rPr>
              <w:t>780*880*1190</w:t>
            </w:r>
          </w:p>
        </w:tc>
        <w:tc>
          <w:tcPr>
            <w:tcW w:w="412" w:type="pct"/>
            <w:shd w:val="clear" w:color="000000" w:fill="FFFFFF"/>
            <w:noWrap w:val="0"/>
            <w:vAlign w:val="top"/>
          </w:tcPr>
          <w:p>
            <w:pPr>
              <w:jc w:val="center"/>
              <w:rPr>
                <w:color w:val="auto"/>
              </w:rPr>
            </w:pPr>
            <w:r>
              <w:rPr>
                <w:color w:val="auto"/>
              </w:rPr>
              <w:t>套</w:t>
            </w:r>
          </w:p>
        </w:tc>
        <w:tc>
          <w:tcPr>
            <w:tcW w:w="412" w:type="pct"/>
            <w:shd w:val="clear" w:color="000000" w:fill="FFFFFF"/>
            <w:noWrap w:val="0"/>
            <w:vAlign w:val="top"/>
          </w:tcPr>
          <w:p>
            <w:pPr>
              <w:jc w:val="center"/>
              <w:rPr>
                <w:color w:val="auto"/>
              </w:rPr>
            </w:pPr>
            <w:r>
              <w:rPr>
                <w:color w:val="auto"/>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5</w:t>
            </w:r>
          </w:p>
        </w:tc>
        <w:tc>
          <w:tcPr>
            <w:tcW w:w="1404" w:type="pct"/>
            <w:shd w:val="clear" w:color="000000" w:fill="FFFFFF"/>
            <w:noWrap w:val="0"/>
            <w:vAlign w:val="top"/>
          </w:tcPr>
          <w:p>
            <w:pPr>
              <w:jc w:val="center"/>
              <w:rPr>
                <w:color w:val="auto"/>
              </w:rPr>
            </w:pPr>
            <w:r>
              <w:rPr>
                <w:color w:val="auto"/>
              </w:rPr>
              <w:t>开关盒及开关</w:t>
            </w:r>
          </w:p>
        </w:tc>
        <w:tc>
          <w:tcPr>
            <w:tcW w:w="2359" w:type="pct"/>
            <w:shd w:val="clear" w:color="000000" w:fill="FFFFFF"/>
            <w:noWrap w:val="0"/>
            <w:vAlign w:val="top"/>
          </w:tcPr>
          <w:p>
            <w:pPr>
              <w:rPr>
                <w:color w:val="auto"/>
              </w:rPr>
            </w:pPr>
            <w:r>
              <w:rPr>
                <w:color w:val="auto"/>
              </w:rPr>
              <w:t>SWB125-630含空开630A 4P*1</w:t>
            </w:r>
          </w:p>
        </w:tc>
        <w:tc>
          <w:tcPr>
            <w:tcW w:w="412" w:type="pct"/>
            <w:shd w:val="clear" w:color="000000" w:fill="FFFFFF"/>
            <w:noWrap w:val="0"/>
            <w:vAlign w:val="top"/>
          </w:tcPr>
          <w:p>
            <w:pPr>
              <w:jc w:val="center"/>
              <w:rPr>
                <w:color w:val="auto"/>
              </w:rPr>
            </w:pPr>
            <w:r>
              <w:rPr>
                <w:color w:val="auto"/>
              </w:rPr>
              <w:t>套</w:t>
            </w:r>
          </w:p>
        </w:tc>
        <w:tc>
          <w:tcPr>
            <w:tcW w:w="412" w:type="pct"/>
            <w:shd w:val="clear" w:color="000000" w:fill="FFFFFF"/>
            <w:noWrap w:val="0"/>
            <w:vAlign w:val="top"/>
          </w:tcPr>
          <w:p>
            <w:pPr>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6</w:t>
            </w:r>
          </w:p>
        </w:tc>
        <w:tc>
          <w:tcPr>
            <w:tcW w:w="1404" w:type="pct"/>
            <w:shd w:val="clear" w:color="000000" w:fill="FFFFFF"/>
            <w:noWrap w:val="0"/>
            <w:vAlign w:val="top"/>
          </w:tcPr>
          <w:p>
            <w:pPr>
              <w:jc w:val="center"/>
              <w:rPr>
                <w:color w:val="auto"/>
              </w:rPr>
            </w:pPr>
            <w:r>
              <w:rPr>
                <w:color w:val="auto"/>
              </w:rPr>
              <w:t>电池连接电线</w:t>
            </w:r>
          </w:p>
        </w:tc>
        <w:tc>
          <w:tcPr>
            <w:tcW w:w="2359" w:type="pct"/>
            <w:shd w:val="clear" w:color="000000" w:fill="FFFFFF"/>
            <w:noWrap w:val="0"/>
            <w:vAlign w:val="top"/>
          </w:tcPr>
          <w:p>
            <w:pPr>
              <w:rPr>
                <w:color w:val="auto"/>
              </w:rPr>
            </w:pPr>
            <w:r>
              <w:rPr>
                <w:color w:val="auto"/>
              </w:rPr>
              <w:t>提供电池连接电线</w:t>
            </w:r>
          </w:p>
        </w:tc>
        <w:tc>
          <w:tcPr>
            <w:tcW w:w="412" w:type="pct"/>
            <w:shd w:val="clear" w:color="000000" w:fill="FFFFFF"/>
            <w:noWrap w:val="0"/>
            <w:vAlign w:val="top"/>
          </w:tcPr>
          <w:p>
            <w:pPr>
              <w:jc w:val="center"/>
              <w:rPr>
                <w:color w:val="auto"/>
              </w:rPr>
            </w:pPr>
            <w:r>
              <w:rPr>
                <w:color w:val="auto"/>
              </w:rPr>
              <w:t>批</w:t>
            </w:r>
          </w:p>
        </w:tc>
        <w:tc>
          <w:tcPr>
            <w:tcW w:w="412" w:type="pct"/>
            <w:shd w:val="clear" w:color="000000" w:fill="FFFFFF"/>
            <w:noWrap w:val="0"/>
            <w:vAlign w:val="top"/>
          </w:tcPr>
          <w:p>
            <w:pPr>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0"/>
            <w:vAlign w:val="top"/>
          </w:tcPr>
          <w:p>
            <w:pPr>
              <w:jc w:val="center"/>
              <w:rPr>
                <w:color w:val="auto"/>
              </w:rPr>
            </w:pPr>
            <w:r>
              <w:rPr>
                <w:color w:val="auto"/>
              </w:rPr>
              <w:t>7</w:t>
            </w:r>
          </w:p>
        </w:tc>
        <w:tc>
          <w:tcPr>
            <w:tcW w:w="1404" w:type="pct"/>
            <w:shd w:val="clear" w:color="000000" w:fill="FFFFFF"/>
            <w:noWrap w:val="0"/>
            <w:vAlign w:val="top"/>
          </w:tcPr>
          <w:p>
            <w:pPr>
              <w:jc w:val="center"/>
              <w:rPr>
                <w:color w:val="auto"/>
              </w:rPr>
            </w:pPr>
            <w:r>
              <w:rPr>
                <w:color w:val="auto"/>
              </w:rPr>
              <w:t>设备底座</w:t>
            </w:r>
          </w:p>
        </w:tc>
        <w:tc>
          <w:tcPr>
            <w:tcW w:w="2359" w:type="pct"/>
            <w:shd w:val="clear" w:color="000000" w:fill="FFFFFF"/>
            <w:noWrap w:val="0"/>
            <w:vAlign w:val="top"/>
          </w:tcPr>
          <w:p>
            <w:pPr>
              <w:rPr>
                <w:color w:val="auto"/>
              </w:rPr>
            </w:pPr>
            <w:r>
              <w:rPr>
                <w:color w:val="auto"/>
              </w:rPr>
              <w:t>UPS主机*1及电池架底座*4</w:t>
            </w:r>
          </w:p>
        </w:tc>
        <w:tc>
          <w:tcPr>
            <w:tcW w:w="412" w:type="pct"/>
            <w:shd w:val="clear" w:color="000000" w:fill="FFFFFF"/>
            <w:noWrap w:val="0"/>
            <w:vAlign w:val="top"/>
          </w:tcPr>
          <w:p>
            <w:pPr>
              <w:jc w:val="center"/>
              <w:rPr>
                <w:color w:val="auto"/>
              </w:rPr>
            </w:pPr>
            <w:r>
              <w:rPr>
                <w:color w:val="auto"/>
              </w:rPr>
              <w:t>个</w:t>
            </w:r>
          </w:p>
        </w:tc>
        <w:tc>
          <w:tcPr>
            <w:tcW w:w="412" w:type="pct"/>
            <w:shd w:val="clear" w:color="000000" w:fill="FFFFFF"/>
            <w:noWrap w:val="0"/>
            <w:vAlign w:val="top"/>
          </w:tcPr>
          <w:p>
            <w:pPr>
              <w:jc w:val="center"/>
              <w:rPr>
                <w:color w:val="auto"/>
              </w:rPr>
            </w:pPr>
            <w:r>
              <w:rPr>
                <w:color w:val="auto"/>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6" w:type="pct"/>
            <w:gridSpan w:val="2"/>
            <w:shd w:val="clear" w:color="000000" w:fill="FFFFFF"/>
            <w:noWrap/>
            <w:vAlign w:val="top"/>
          </w:tcPr>
          <w:p>
            <w:pPr>
              <w:rPr>
                <w:color w:val="auto"/>
              </w:rPr>
            </w:pPr>
            <w:r>
              <w:rPr>
                <w:rFonts w:hint="eastAsia"/>
                <w:color w:val="auto"/>
              </w:rPr>
              <w:t>（二）</w:t>
            </w:r>
            <w:r>
              <w:rPr>
                <w:color w:val="auto"/>
              </w:rPr>
              <w:t>精密空调系统</w:t>
            </w:r>
          </w:p>
        </w:tc>
        <w:tc>
          <w:tcPr>
            <w:tcW w:w="2359" w:type="pct"/>
            <w:shd w:val="clear" w:color="000000" w:fill="FFFFFF"/>
            <w:noWrap/>
            <w:vAlign w:val="top"/>
          </w:tcPr>
          <w:p>
            <w:pPr>
              <w:rPr>
                <w:color w:val="auto"/>
              </w:rPr>
            </w:pPr>
            <w:r>
              <w:rPr>
                <w:color w:val="auto"/>
              </w:rPr>
              <w:t>　</w:t>
            </w:r>
          </w:p>
        </w:tc>
        <w:tc>
          <w:tcPr>
            <w:tcW w:w="412" w:type="pct"/>
            <w:shd w:val="clear" w:color="000000" w:fill="FFFFFF"/>
            <w:noWrap/>
            <w:vAlign w:val="top"/>
          </w:tcPr>
          <w:p>
            <w:pPr>
              <w:jc w:val="center"/>
              <w:rPr>
                <w:color w:val="auto"/>
              </w:rPr>
            </w:pPr>
            <w:r>
              <w:rPr>
                <w:color w:val="auto"/>
              </w:rPr>
              <w:t>　</w:t>
            </w:r>
          </w:p>
        </w:tc>
        <w:tc>
          <w:tcPr>
            <w:tcW w:w="412" w:type="pct"/>
            <w:shd w:val="clear" w:color="000000" w:fill="FFFFFF"/>
            <w:noWrap/>
            <w:vAlign w:val="top"/>
          </w:tcPr>
          <w:p>
            <w:pPr>
              <w:jc w:val="center"/>
              <w:rPr>
                <w:color w:val="auto"/>
              </w:rPr>
            </w:pPr>
            <w:r>
              <w:rPr>
                <w:color w:val="auto"/>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center"/>
          </w:tcPr>
          <w:p>
            <w:pPr>
              <w:jc w:val="center"/>
              <w:rPr>
                <w:color w:val="auto"/>
              </w:rPr>
            </w:pPr>
            <w:r>
              <w:rPr>
                <w:color w:val="auto"/>
              </w:rPr>
              <w:t>1</w:t>
            </w:r>
          </w:p>
        </w:tc>
        <w:tc>
          <w:tcPr>
            <w:tcW w:w="1404" w:type="pct"/>
            <w:shd w:val="clear" w:color="000000" w:fill="FFFFFF"/>
            <w:noWrap w:val="0"/>
            <w:vAlign w:val="center"/>
          </w:tcPr>
          <w:p>
            <w:pPr>
              <w:jc w:val="center"/>
              <w:rPr>
                <w:color w:val="auto"/>
              </w:rPr>
            </w:pPr>
            <w:r>
              <w:rPr>
                <w:color w:val="auto"/>
              </w:rPr>
              <w:t>精密空调</w:t>
            </w:r>
          </w:p>
        </w:tc>
        <w:tc>
          <w:tcPr>
            <w:tcW w:w="2359" w:type="pct"/>
            <w:shd w:val="clear" w:color="000000" w:fill="FFFFFF"/>
            <w:noWrap w:val="0"/>
            <w:vAlign w:val="top"/>
          </w:tcPr>
          <w:p>
            <w:pPr>
              <w:rPr>
                <w:color w:val="auto"/>
              </w:rPr>
            </w:pPr>
            <w:r>
              <w:rPr>
                <w:color w:val="auto"/>
              </w:rPr>
              <w:t>前送风，后回风，总制冷量</w:t>
            </w:r>
            <w:r>
              <w:rPr>
                <w:rFonts w:hint="eastAsia"/>
                <w:color w:val="auto"/>
              </w:rPr>
              <w:t>≥4</w:t>
            </w:r>
            <w:r>
              <w:rPr>
                <w:color w:val="auto"/>
              </w:rPr>
              <w:t>0KW，显冷量</w:t>
            </w:r>
            <w:r>
              <w:rPr>
                <w:rFonts w:hint="eastAsia"/>
                <w:color w:val="auto"/>
              </w:rPr>
              <w:t>≥</w:t>
            </w:r>
            <w:r>
              <w:rPr>
                <w:color w:val="auto"/>
              </w:rPr>
              <w:t>40KW，风量</w:t>
            </w:r>
            <w:r>
              <w:rPr>
                <w:rFonts w:hint="eastAsia"/>
                <w:color w:val="auto"/>
              </w:rPr>
              <w:t>≥</w:t>
            </w:r>
            <w:r>
              <w:rPr>
                <w:color w:val="auto"/>
              </w:rPr>
              <w:t>8000m3/h；EC风机、液晶屏、带室外机、通讯卡，尺寸600*1200*2000mm</w:t>
            </w:r>
          </w:p>
        </w:tc>
        <w:tc>
          <w:tcPr>
            <w:tcW w:w="412" w:type="pct"/>
            <w:shd w:val="clear" w:color="000000" w:fill="FFFFFF"/>
            <w:noWrap w:val="0"/>
            <w:vAlign w:val="top"/>
          </w:tcPr>
          <w:p>
            <w:pPr>
              <w:jc w:val="center"/>
              <w:rPr>
                <w:color w:val="auto"/>
              </w:rPr>
            </w:pPr>
            <w:r>
              <w:rPr>
                <w:color w:val="auto"/>
              </w:rPr>
              <w:t>台</w:t>
            </w:r>
          </w:p>
        </w:tc>
        <w:tc>
          <w:tcPr>
            <w:tcW w:w="412" w:type="pct"/>
            <w:shd w:val="clear" w:color="000000" w:fill="FFFFFF"/>
            <w:noWrap w:val="0"/>
            <w:vAlign w:val="top"/>
          </w:tcPr>
          <w:p>
            <w:pPr>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center"/>
          </w:tcPr>
          <w:p>
            <w:pPr>
              <w:jc w:val="center"/>
              <w:rPr>
                <w:color w:val="auto"/>
              </w:rPr>
            </w:pPr>
            <w:r>
              <w:rPr>
                <w:color w:val="auto"/>
              </w:rPr>
              <w:t>2</w:t>
            </w:r>
          </w:p>
        </w:tc>
        <w:tc>
          <w:tcPr>
            <w:tcW w:w="1404" w:type="pct"/>
            <w:shd w:val="clear" w:color="000000" w:fill="FFFFFF"/>
            <w:noWrap w:val="0"/>
            <w:vAlign w:val="center"/>
          </w:tcPr>
          <w:p>
            <w:pPr>
              <w:jc w:val="center"/>
              <w:rPr>
                <w:color w:val="auto"/>
              </w:rPr>
            </w:pPr>
            <w:r>
              <w:rPr>
                <w:color w:val="auto"/>
              </w:rPr>
              <w:t>精密空调</w:t>
            </w:r>
          </w:p>
        </w:tc>
        <w:tc>
          <w:tcPr>
            <w:tcW w:w="2359" w:type="pct"/>
            <w:shd w:val="clear" w:color="000000" w:fill="FFFFFF"/>
            <w:noWrap w:val="0"/>
            <w:vAlign w:val="top"/>
          </w:tcPr>
          <w:p>
            <w:pPr>
              <w:rPr>
                <w:color w:val="auto"/>
              </w:rPr>
            </w:pPr>
            <w:r>
              <w:rPr>
                <w:color w:val="auto"/>
              </w:rPr>
              <w:t>前送风，后回风，总制冷量</w:t>
            </w:r>
            <w:r>
              <w:rPr>
                <w:rFonts w:hint="eastAsia"/>
                <w:color w:val="auto"/>
              </w:rPr>
              <w:t>≥</w:t>
            </w:r>
            <w:r>
              <w:rPr>
                <w:color w:val="auto"/>
              </w:rPr>
              <w:t>25KW，显冷量</w:t>
            </w:r>
            <w:r>
              <w:rPr>
                <w:rFonts w:hint="eastAsia"/>
                <w:color w:val="auto"/>
              </w:rPr>
              <w:t>≥</w:t>
            </w:r>
            <w:r>
              <w:rPr>
                <w:color w:val="auto"/>
              </w:rPr>
              <w:t>25KW；EC风机、液晶屏、带室外机、通讯卡，尺寸600*1200*2000mm</w:t>
            </w:r>
          </w:p>
        </w:tc>
        <w:tc>
          <w:tcPr>
            <w:tcW w:w="412" w:type="pct"/>
            <w:shd w:val="clear" w:color="000000" w:fill="FFFFFF"/>
            <w:noWrap w:val="0"/>
            <w:vAlign w:val="top"/>
          </w:tcPr>
          <w:p>
            <w:pPr>
              <w:jc w:val="center"/>
              <w:rPr>
                <w:color w:val="auto"/>
              </w:rPr>
            </w:pPr>
            <w:r>
              <w:rPr>
                <w:color w:val="auto"/>
              </w:rPr>
              <w:t>台</w:t>
            </w:r>
          </w:p>
        </w:tc>
        <w:tc>
          <w:tcPr>
            <w:tcW w:w="412" w:type="pct"/>
            <w:shd w:val="clear" w:color="000000" w:fill="FFFFFF"/>
            <w:noWrap w:val="0"/>
            <w:vAlign w:val="top"/>
          </w:tcPr>
          <w:p>
            <w:pPr>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center"/>
          </w:tcPr>
          <w:p>
            <w:pPr>
              <w:jc w:val="center"/>
              <w:rPr>
                <w:color w:val="auto"/>
              </w:rPr>
            </w:pPr>
            <w:r>
              <w:rPr>
                <w:color w:val="auto"/>
              </w:rPr>
              <w:t>3</w:t>
            </w:r>
          </w:p>
        </w:tc>
        <w:tc>
          <w:tcPr>
            <w:tcW w:w="1404" w:type="pct"/>
            <w:shd w:val="clear" w:color="000000" w:fill="FFFFFF"/>
            <w:noWrap w:val="0"/>
            <w:vAlign w:val="top"/>
          </w:tcPr>
          <w:p>
            <w:pPr>
              <w:jc w:val="center"/>
              <w:rPr>
                <w:color w:val="auto"/>
              </w:rPr>
            </w:pPr>
            <w:r>
              <w:rPr>
                <w:color w:val="auto"/>
              </w:rPr>
              <w:t>精密空调安装配件</w:t>
            </w:r>
          </w:p>
        </w:tc>
        <w:tc>
          <w:tcPr>
            <w:tcW w:w="2359" w:type="pct"/>
            <w:shd w:val="clear" w:color="000000" w:fill="FFFFFF"/>
            <w:noWrap w:val="0"/>
            <w:vAlign w:val="top"/>
          </w:tcPr>
          <w:p>
            <w:pPr>
              <w:rPr>
                <w:color w:val="auto"/>
              </w:rPr>
            </w:pPr>
            <w:r>
              <w:rPr>
                <w:color w:val="auto"/>
              </w:rPr>
              <w:t>支架及管线</w:t>
            </w:r>
          </w:p>
        </w:tc>
        <w:tc>
          <w:tcPr>
            <w:tcW w:w="412" w:type="pct"/>
            <w:shd w:val="clear" w:color="000000" w:fill="FFFFFF"/>
            <w:noWrap w:val="0"/>
            <w:vAlign w:val="top"/>
          </w:tcPr>
          <w:p>
            <w:pPr>
              <w:jc w:val="center"/>
              <w:rPr>
                <w:color w:val="auto"/>
              </w:rPr>
            </w:pPr>
            <w:r>
              <w:rPr>
                <w:color w:val="auto"/>
              </w:rPr>
              <w:t>台</w:t>
            </w:r>
          </w:p>
        </w:tc>
        <w:tc>
          <w:tcPr>
            <w:tcW w:w="412" w:type="pct"/>
            <w:shd w:val="clear" w:color="000000" w:fill="FFFFFF"/>
            <w:noWrap w:val="0"/>
            <w:vAlign w:val="top"/>
          </w:tcPr>
          <w:p>
            <w:pPr>
              <w:jc w:val="center"/>
              <w:rPr>
                <w:color w:val="auto"/>
              </w:rPr>
            </w:pPr>
            <w:r>
              <w:rPr>
                <w:color w:val="auto"/>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6" w:type="pct"/>
            <w:gridSpan w:val="2"/>
            <w:shd w:val="clear" w:color="000000" w:fill="FFFFFF"/>
            <w:noWrap/>
            <w:vAlign w:val="top"/>
          </w:tcPr>
          <w:p>
            <w:pPr>
              <w:rPr>
                <w:color w:val="auto"/>
              </w:rPr>
            </w:pPr>
            <w:r>
              <w:rPr>
                <w:rFonts w:hint="eastAsia"/>
                <w:color w:val="auto"/>
              </w:rPr>
              <w:t>（三）</w:t>
            </w:r>
            <w:r>
              <w:rPr>
                <w:color w:val="auto"/>
              </w:rPr>
              <w:t>机柜系统</w:t>
            </w:r>
          </w:p>
        </w:tc>
        <w:tc>
          <w:tcPr>
            <w:tcW w:w="2359" w:type="pct"/>
            <w:shd w:val="clear" w:color="000000" w:fill="FFFFFF"/>
            <w:noWrap/>
            <w:vAlign w:val="top"/>
          </w:tcPr>
          <w:p>
            <w:pPr>
              <w:rPr>
                <w:color w:val="auto"/>
              </w:rPr>
            </w:pPr>
            <w:r>
              <w:rPr>
                <w:color w:val="auto"/>
              </w:rPr>
              <w:t>　</w:t>
            </w:r>
          </w:p>
        </w:tc>
        <w:tc>
          <w:tcPr>
            <w:tcW w:w="412" w:type="pct"/>
            <w:shd w:val="clear" w:color="000000" w:fill="FFFFFF"/>
            <w:noWrap/>
            <w:vAlign w:val="top"/>
          </w:tcPr>
          <w:p>
            <w:pPr>
              <w:jc w:val="center"/>
              <w:rPr>
                <w:color w:val="auto"/>
              </w:rPr>
            </w:pPr>
            <w:r>
              <w:rPr>
                <w:color w:val="auto"/>
              </w:rPr>
              <w:t>　</w:t>
            </w:r>
          </w:p>
        </w:tc>
        <w:tc>
          <w:tcPr>
            <w:tcW w:w="412" w:type="pct"/>
            <w:shd w:val="clear" w:color="000000" w:fill="FFFFFF"/>
            <w:noWrap/>
            <w:vAlign w:val="top"/>
          </w:tcPr>
          <w:p>
            <w:pPr>
              <w:jc w:val="center"/>
              <w:rPr>
                <w:color w:val="auto"/>
              </w:rPr>
            </w:pPr>
            <w:r>
              <w:rPr>
                <w:color w:val="auto"/>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center"/>
          </w:tcPr>
          <w:p>
            <w:pPr>
              <w:jc w:val="center"/>
              <w:rPr>
                <w:color w:val="auto"/>
              </w:rPr>
            </w:pPr>
            <w:r>
              <w:rPr>
                <w:color w:val="auto"/>
              </w:rPr>
              <w:t>1</w:t>
            </w:r>
          </w:p>
        </w:tc>
        <w:tc>
          <w:tcPr>
            <w:tcW w:w="1404" w:type="pct"/>
            <w:shd w:val="clear" w:color="000000" w:fill="FFFFFF"/>
            <w:noWrap/>
            <w:vAlign w:val="center"/>
          </w:tcPr>
          <w:p>
            <w:pPr>
              <w:jc w:val="center"/>
              <w:rPr>
                <w:color w:val="auto"/>
              </w:rPr>
            </w:pPr>
            <w:r>
              <w:rPr>
                <w:color w:val="auto"/>
              </w:rPr>
              <w:t>服务器机柜</w:t>
            </w:r>
          </w:p>
        </w:tc>
        <w:tc>
          <w:tcPr>
            <w:tcW w:w="2359" w:type="pct"/>
            <w:shd w:val="clear" w:color="000000" w:fill="FFFFFF"/>
            <w:noWrap w:val="0"/>
            <w:vAlign w:val="top"/>
          </w:tcPr>
          <w:p>
            <w:pPr>
              <w:rPr>
                <w:color w:val="auto"/>
              </w:rPr>
            </w:pPr>
            <w:r>
              <w:rPr>
                <w:color w:val="auto"/>
              </w:rPr>
              <w:t>1</w:t>
            </w:r>
            <w:r>
              <w:rPr>
                <w:rFonts w:hint="eastAsia"/>
                <w:color w:val="auto"/>
              </w:rPr>
              <w:t>、</w:t>
            </w:r>
            <w:r>
              <w:rPr>
                <w:color w:val="auto"/>
              </w:rPr>
              <w:t>600*1200*2000mm机柜，九折型材结构</w:t>
            </w:r>
            <w:r>
              <w:rPr>
                <w:rFonts w:hint="eastAsia"/>
                <w:color w:val="auto"/>
              </w:rPr>
              <w:t>；</w:t>
            </w:r>
            <w:r>
              <w:rPr>
                <w:color w:val="auto"/>
              </w:rPr>
              <w:t>机柜静态承载能力≥1500kg</w:t>
            </w:r>
            <w:r>
              <w:rPr>
                <w:rFonts w:hint="eastAsia"/>
                <w:color w:val="auto"/>
              </w:rPr>
              <w:t>；</w:t>
            </w:r>
            <w:r>
              <w:rPr>
                <w:color w:val="auto"/>
              </w:rPr>
              <w:t>符合标准：IEC60297-2</w:t>
            </w:r>
            <w:r>
              <w:rPr>
                <w:rFonts w:hint="eastAsia"/>
                <w:color w:val="auto"/>
              </w:rPr>
              <w:t>、</w:t>
            </w:r>
            <w:r>
              <w:rPr>
                <w:color w:val="auto"/>
              </w:rPr>
              <w:t>GB/T3047.2-92</w:t>
            </w:r>
            <w:r>
              <w:rPr>
                <w:rFonts w:hint="eastAsia"/>
                <w:color w:val="auto"/>
              </w:rPr>
              <w:t>、</w:t>
            </w:r>
            <w:r>
              <w:rPr>
                <w:color w:val="auto"/>
              </w:rPr>
              <w:t>YDT2319-2011,兼容19"国际标准，ETSL标准。</w:t>
            </w:r>
          </w:p>
        </w:tc>
        <w:tc>
          <w:tcPr>
            <w:tcW w:w="412" w:type="pct"/>
            <w:shd w:val="clear" w:color="000000" w:fill="FFFFFF"/>
            <w:noWrap/>
            <w:vAlign w:val="top"/>
          </w:tcPr>
          <w:p>
            <w:pPr>
              <w:jc w:val="center"/>
              <w:rPr>
                <w:color w:val="auto"/>
              </w:rPr>
            </w:pPr>
            <w:r>
              <w:rPr>
                <w:color w:val="auto"/>
              </w:rPr>
              <w:t>台</w:t>
            </w:r>
          </w:p>
        </w:tc>
        <w:tc>
          <w:tcPr>
            <w:tcW w:w="412" w:type="pct"/>
            <w:shd w:val="clear" w:color="000000" w:fill="FFFFFF"/>
            <w:noWrap/>
            <w:vAlign w:val="top"/>
          </w:tcPr>
          <w:p>
            <w:pPr>
              <w:jc w:val="center"/>
              <w:rPr>
                <w:color w:val="auto"/>
              </w:rPr>
            </w:pPr>
            <w:r>
              <w:rPr>
                <w:color w:val="auto"/>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center"/>
          </w:tcPr>
          <w:p>
            <w:pPr>
              <w:jc w:val="center"/>
              <w:rPr>
                <w:color w:val="auto"/>
              </w:rPr>
            </w:pPr>
            <w:r>
              <w:rPr>
                <w:color w:val="auto"/>
              </w:rPr>
              <w:t>2</w:t>
            </w:r>
          </w:p>
        </w:tc>
        <w:tc>
          <w:tcPr>
            <w:tcW w:w="1404" w:type="pct"/>
            <w:shd w:val="clear" w:color="000000" w:fill="FFFFFF"/>
            <w:noWrap/>
            <w:vAlign w:val="center"/>
          </w:tcPr>
          <w:p>
            <w:pPr>
              <w:jc w:val="center"/>
              <w:rPr>
                <w:color w:val="auto"/>
              </w:rPr>
            </w:pPr>
            <w:r>
              <w:rPr>
                <w:color w:val="auto"/>
              </w:rPr>
              <w:t>机柜承板</w:t>
            </w:r>
          </w:p>
        </w:tc>
        <w:tc>
          <w:tcPr>
            <w:tcW w:w="2359" w:type="pct"/>
            <w:shd w:val="clear" w:color="000000" w:fill="FFFFFF"/>
            <w:noWrap w:val="0"/>
            <w:vAlign w:val="top"/>
          </w:tcPr>
          <w:p>
            <w:pPr>
              <w:rPr>
                <w:color w:val="auto"/>
              </w:rPr>
            </w:pPr>
            <w:r>
              <w:rPr>
                <w:color w:val="auto"/>
              </w:rPr>
              <w:t>每个机柜配1块</w:t>
            </w:r>
          </w:p>
        </w:tc>
        <w:tc>
          <w:tcPr>
            <w:tcW w:w="412" w:type="pct"/>
            <w:shd w:val="clear" w:color="000000" w:fill="FFFFFF"/>
            <w:noWrap/>
            <w:vAlign w:val="top"/>
          </w:tcPr>
          <w:p>
            <w:pPr>
              <w:jc w:val="center"/>
              <w:rPr>
                <w:color w:val="auto"/>
              </w:rPr>
            </w:pPr>
            <w:r>
              <w:rPr>
                <w:color w:val="auto"/>
              </w:rPr>
              <w:t>块</w:t>
            </w:r>
          </w:p>
        </w:tc>
        <w:tc>
          <w:tcPr>
            <w:tcW w:w="412" w:type="pct"/>
            <w:shd w:val="clear" w:color="000000" w:fill="FFFFFF"/>
            <w:noWrap/>
            <w:vAlign w:val="top"/>
          </w:tcPr>
          <w:p>
            <w:pPr>
              <w:jc w:val="center"/>
              <w:rPr>
                <w:color w:val="auto"/>
              </w:rPr>
            </w:pPr>
            <w:r>
              <w:rPr>
                <w:color w:val="auto"/>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center"/>
          </w:tcPr>
          <w:p>
            <w:pPr>
              <w:jc w:val="center"/>
              <w:rPr>
                <w:color w:val="auto"/>
              </w:rPr>
            </w:pPr>
            <w:r>
              <w:rPr>
                <w:color w:val="auto"/>
              </w:rPr>
              <w:t>3</w:t>
            </w:r>
          </w:p>
        </w:tc>
        <w:tc>
          <w:tcPr>
            <w:tcW w:w="1404" w:type="pct"/>
            <w:shd w:val="clear" w:color="000000" w:fill="FFFFFF"/>
            <w:noWrap/>
            <w:vAlign w:val="center"/>
          </w:tcPr>
          <w:p>
            <w:pPr>
              <w:jc w:val="center"/>
              <w:rPr>
                <w:color w:val="auto"/>
              </w:rPr>
            </w:pPr>
            <w:r>
              <w:rPr>
                <w:color w:val="auto"/>
              </w:rPr>
              <w:t>L型支架</w:t>
            </w:r>
          </w:p>
        </w:tc>
        <w:tc>
          <w:tcPr>
            <w:tcW w:w="2359" w:type="pct"/>
            <w:shd w:val="clear" w:color="000000" w:fill="FFFFFF"/>
            <w:noWrap w:val="0"/>
            <w:vAlign w:val="top"/>
          </w:tcPr>
          <w:p>
            <w:pPr>
              <w:rPr>
                <w:color w:val="auto"/>
              </w:rPr>
            </w:pPr>
            <w:r>
              <w:rPr>
                <w:color w:val="auto"/>
              </w:rPr>
              <w:t>每个机柜配1对</w:t>
            </w:r>
          </w:p>
        </w:tc>
        <w:tc>
          <w:tcPr>
            <w:tcW w:w="412" w:type="pct"/>
            <w:shd w:val="clear" w:color="000000" w:fill="FFFFFF"/>
            <w:noWrap/>
            <w:vAlign w:val="top"/>
          </w:tcPr>
          <w:p>
            <w:pPr>
              <w:jc w:val="center"/>
              <w:rPr>
                <w:color w:val="auto"/>
              </w:rPr>
            </w:pPr>
            <w:r>
              <w:rPr>
                <w:color w:val="auto"/>
              </w:rPr>
              <w:t>对</w:t>
            </w:r>
          </w:p>
        </w:tc>
        <w:tc>
          <w:tcPr>
            <w:tcW w:w="412" w:type="pct"/>
            <w:shd w:val="clear" w:color="000000" w:fill="FFFFFF"/>
            <w:noWrap/>
            <w:vAlign w:val="top"/>
          </w:tcPr>
          <w:p>
            <w:pPr>
              <w:jc w:val="center"/>
              <w:rPr>
                <w:color w:val="auto"/>
              </w:rPr>
            </w:pPr>
            <w:r>
              <w:rPr>
                <w:color w:val="auto"/>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center"/>
          </w:tcPr>
          <w:p>
            <w:pPr>
              <w:jc w:val="center"/>
              <w:rPr>
                <w:color w:val="auto"/>
              </w:rPr>
            </w:pPr>
            <w:r>
              <w:rPr>
                <w:color w:val="auto"/>
              </w:rPr>
              <w:t>4</w:t>
            </w:r>
          </w:p>
        </w:tc>
        <w:tc>
          <w:tcPr>
            <w:tcW w:w="1404" w:type="pct"/>
            <w:shd w:val="clear" w:color="000000" w:fill="FFFFFF"/>
            <w:noWrap/>
            <w:vAlign w:val="center"/>
          </w:tcPr>
          <w:p>
            <w:pPr>
              <w:jc w:val="center"/>
              <w:rPr>
                <w:color w:val="auto"/>
              </w:rPr>
            </w:pPr>
            <w:r>
              <w:rPr>
                <w:color w:val="auto"/>
              </w:rPr>
              <w:t>侧门</w:t>
            </w:r>
          </w:p>
        </w:tc>
        <w:tc>
          <w:tcPr>
            <w:tcW w:w="2359" w:type="pct"/>
            <w:shd w:val="clear" w:color="000000" w:fill="FFFFFF"/>
            <w:noWrap w:val="0"/>
            <w:vAlign w:val="top"/>
          </w:tcPr>
          <w:p>
            <w:pPr>
              <w:rPr>
                <w:color w:val="auto"/>
              </w:rPr>
            </w:pPr>
            <w:r>
              <w:rPr>
                <w:color w:val="auto"/>
              </w:rPr>
              <w:t>配置冷通道外置机柜，其余机柜不配侧门</w:t>
            </w:r>
          </w:p>
        </w:tc>
        <w:tc>
          <w:tcPr>
            <w:tcW w:w="412" w:type="pct"/>
            <w:shd w:val="clear" w:color="000000" w:fill="FFFFFF"/>
            <w:noWrap/>
            <w:vAlign w:val="top"/>
          </w:tcPr>
          <w:p>
            <w:pPr>
              <w:jc w:val="center"/>
              <w:rPr>
                <w:color w:val="auto"/>
              </w:rPr>
            </w:pPr>
            <w:r>
              <w:rPr>
                <w:color w:val="auto"/>
              </w:rPr>
              <w:t>面</w:t>
            </w:r>
          </w:p>
        </w:tc>
        <w:tc>
          <w:tcPr>
            <w:tcW w:w="412" w:type="pct"/>
            <w:shd w:val="clear" w:color="000000" w:fill="FFFFFF"/>
            <w:noWrap/>
            <w:vAlign w:val="top"/>
          </w:tcPr>
          <w:p>
            <w:pPr>
              <w:jc w:val="center"/>
              <w:rPr>
                <w:color w:val="auto"/>
              </w:rPr>
            </w:pPr>
            <w:r>
              <w:rPr>
                <w:color w:val="auto"/>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center"/>
          </w:tcPr>
          <w:p>
            <w:pPr>
              <w:jc w:val="center"/>
              <w:rPr>
                <w:color w:val="auto"/>
              </w:rPr>
            </w:pPr>
            <w:r>
              <w:rPr>
                <w:color w:val="auto"/>
              </w:rPr>
              <w:t>5</w:t>
            </w:r>
          </w:p>
        </w:tc>
        <w:tc>
          <w:tcPr>
            <w:tcW w:w="1404" w:type="pct"/>
            <w:shd w:val="clear" w:color="000000" w:fill="FFFFFF"/>
            <w:noWrap/>
            <w:vAlign w:val="top"/>
          </w:tcPr>
          <w:p>
            <w:pPr>
              <w:jc w:val="center"/>
              <w:rPr>
                <w:color w:val="auto"/>
              </w:rPr>
            </w:pPr>
            <w:r>
              <w:rPr>
                <w:color w:val="auto"/>
              </w:rPr>
              <w:t>机柜底座</w:t>
            </w:r>
          </w:p>
        </w:tc>
        <w:tc>
          <w:tcPr>
            <w:tcW w:w="2359" w:type="pct"/>
            <w:shd w:val="clear" w:color="000000" w:fill="FFFFFF"/>
            <w:noWrap/>
            <w:vAlign w:val="top"/>
          </w:tcPr>
          <w:p>
            <w:pPr>
              <w:rPr>
                <w:color w:val="auto"/>
              </w:rPr>
            </w:pPr>
            <w:r>
              <w:rPr>
                <w:color w:val="auto"/>
              </w:rPr>
              <w:t>提供机柜底座</w:t>
            </w:r>
          </w:p>
        </w:tc>
        <w:tc>
          <w:tcPr>
            <w:tcW w:w="412" w:type="pct"/>
            <w:shd w:val="clear" w:color="000000" w:fill="FFFFFF"/>
            <w:noWrap/>
            <w:vAlign w:val="top"/>
          </w:tcPr>
          <w:p>
            <w:pPr>
              <w:jc w:val="center"/>
              <w:rPr>
                <w:color w:val="auto"/>
              </w:rPr>
            </w:pPr>
            <w:r>
              <w:rPr>
                <w:color w:val="auto"/>
              </w:rPr>
              <w:t>个</w:t>
            </w:r>
          </w:p>
        </w:tc>
        <w:tc>
          <w:tcPr>
            <w:tcW w:w="412" w:type="pct"/>
            <w:shd w:val="clear" w:color="000000" w:fill="FFFFFF"/>
            <w:noWrap/>
            <w:vAlign w:val="top"/>
          </w:tcPr>
          <w:p>
            <w:pPr>
              <w:jc w:val="center"/>
              <w:rPr>
                <w:color w:val="auto"/>
              </w:rPr>
            </w:pPr>
            <w:r>
              <w:rPr>
                <w:color w:val="auto"/>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top"/>
          </w:tcPr>
          <w:p>
            <w:pPr>
              <w:jc w:val="center"/>
              <w:rPr>
                <w:color w:val="auto"/>
              </w:rPr>
            </w:pPr>
            <w:r>
              <w:rPr>
                <w:color w:val="auto"/>
              </w:rPr>
              <w:t>6</w:t>
            </w:r>
          </w:p>
        </w:tc>
        <w:tc>
          <w:tcPr>
            <w:tcW w:w="1404" w:type="pct"/>
            <w:shd w:val="clear" w:color="000000" w:fill="FFFFFF"/>
            <w:noWrap/>
            <w:vAlign w:val="top"/>
          </w:tcPr>
          <w:p>
            <w:pPr>
              <w:jc w:val="center"/>
              <w:rPr>
                <w:color w:val="auto"/>
              </w:rPr>
            </w:pPr>
            <w:r>
              <w:rPr>
                <w:color w:val="auto"/>
              </w:rPr>
              <w:t>冷通道推拉门</w:t>
            </w:r>
          </w:p>
        </w:tc>
        <w:tc>
          <w:tcPr>
            <w:tcW w:w="2359" w:type="pct"/>
            <w:shd w:val="clear" w:color="000000" w:fill="FFFFFF"/>
            <w:noWrap/>
            <w:vAlign w:val="top"/>
          </w:tcPr>
          <w:p>
            <w:pPr>
              <w:rPr>
                <w:color w:val="auto"/>
              </w:rPr>
            </w:pPr>
            <w:r>
              <w:rPr>
                <w:color w:val="auto"/>
              </w:rPr>
              <w:t>推拉门(转动门)</w:t>
            </w:r>
          </w:p>
        </w:tc>
        <w:tc>
          <w:tcPr>
            <w:tcW w:w="412" w:type="pct"/>
            <w:shd w:val="clear" w:color="000000" w:fill="FFFFFF"/>
            <w:noWrap/>
            <w:vAlign w:val="top"/>
          </w:tcPr>
          <w:p>
            <w:pPr>
              <w:jc w:val="center"/>
              <w:rPr>
                <w:color w:val="auto"/>
              </w:rPr>
            </w:pPr>
            <w:r>
              <w:rPr>
                <w:color w:val="auto"/>
              </w:rPr>
              <w:t>套</w:t>
            </w:r>
          </w:p>
        </w:tc>
        <w:tc>
          <w:tcPr>
            <w:tcW w:w="412" w:type="pct"/>
            <w:shd w:val="clear" w:color="000000" w:fill="FFFFFF"/>
            <w:noWrap/>
            <w:vAlign w:val="top"/>
          </w:tcPr>
          <w:p>
            <w:pPr>
              <w:jc w:val="center"/>
              <w:rPr>
                <w:color w:val="auto"/>
              </w:rPr>
            </w:pPr>
            <w:r>
              <w:rPr>
                <w:color w:val="auto"/>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top"/>
          </w:tcPr>
          <w:p>
            <w:pPr>
              <w:jc w:val="center"/>
              <w:rPr>
                <w:color w:val="auto"/>
              </w:rPr>
            </w:pPr>
            <w:r>
              <w:rPr>
                <w:color w:val="auto"/>
              </w:rPr>
              <w:t>7</w:t>
            </w:r>
          </w:p>
        </w:tc>
        <w:tc>
          <w:tcPr>
            <w:tcW w:w="1404" w:type="pct"/>
            <w:shd w:val="clear" w:color="000000" w:fill="FFFFFF"/>
            <w:noWrap/>
            <w:vAlign w:val="top"/>
          </w:tcPr>
          <w:p>
            <w:pPr>
              <w:jc w:val="center"/>
              <w:rPr>
                <w:color w:val="auto"/>
              </w:rPr>
            </w:pPr>
            <w:r>
              <w:rPr>
                <w:color w:val="auto"/>
              </w:rPr>
              <w:t>固定天窗</w:t>
            </w:r>
          </w:p>
        </w:tc>
        <w:tc>
          <w:tcPr>
            <w:tcW w:w="2359" w:type="pct"/>
            <w:shd w:val="clear" w:color="000000" w:fill="FFFFFF"/>
            <w:noWrap/>
            <w:vAlign w:val="top"/>
          </w:tcPr>
          <w:p>
            <w:pPr>
              <w:rPr>
                <w:color w:val="auto"/>
              </w:rPr>
            </w:pPr>
            <w:r>
              <w:rPr>
                <w:color w:val="auto"/>
              </w:rPr>
              <w:t>600*1200MM</w:t>
            </w:r>
          </w:p>
        </w:tc>
        <w:tc>
          <w:tcPr>
            <w:tcW w:w="412" w:type="pct"/>
            <w:shd w:val="clear" w:color="000000" w:fill="FFFFFF"/>
            <w:noWrap/>
            <w:vAlign w:val="top"/>
          </w:tcPr>
          <w:p>
            <w:pPr>
              <w:jc w:val="center"/>
              <w:rPr>
                <w:color w:val="auto"/>
              </w:rPr>
            </w:pPr>
            <w:r>
              <w:rPr>
                <w:color w:val="auto"/>
              </w:rPr>
              <w:t>个</w:t>
            </w:r>
          </w:p>
        </w:tc>
        <w:tc>
          <w:tcPr>
            <w:tcW w:w="412" w:type="pct"/>
            <w:shd w:val="clear" w:color="000000" w:fill="FFFFFF"/>
            <w:noWrap/>
            <w:vAlign w:val="top"/>
          </w:tcPr>
          <w:p>
            <w:pPr>
              <w:jc w:val="center"/>
              <w:rPr>
                <w:color w:val="auto"/>
              </w:rPr>
            </w:pPr>
            <w:r>
              <w:rPr>
                <w:color w:val="auto"/>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top"/>
          </w:tcPr>
          <w:p>
            <w:pPr>
              <w:jc w:val="center"/>
              <w:rPr>
                <w:color w:val="auto"/>
              </w:rPr>
            </w:pPr>
            <w:r>
              <w:rPr>
                <w:color w:val="auto"/>
              </w:rPr>
              <w:t>8</w:t>
            </w:r>
          </w:p>
        </w:tc>
        <w:tc>
          <w:tcPr>
            <w:tcW w:w="1404" w:type="pct"/>
            <w:shd w:val="clear" w:color="000000" w:fill="FFFFFF"/>
            <w:noWrap/>
            <w:vAlign w:val="top"/>
          </w:tcPr>
          <w:p>
            <w:pPr>
              <w:jc w:val="center"/>
              <w:rPr>
                <w:color w:val="auto"/>
              </w:rPr>
            </w:pPr>
            <w:r>
              <w:rPr>
                <w:color w:val="auto"/>
              </w:rPr>
              <w:t>自动翻转天窗</w:t>
            </w:r>
          </w:p>
        </w:tc>
        <w:tc>
          <w:tcPr>
            <w:tcW w:w="2359" w:type="pct"/>
            <w:shd w:val="clear" w:color="000000" w:fill="FFFFFF"/>
            <w:noWrap/>
            <w:vAlign w:val="top"/>
          </w:tcPr>
          <w:p>
            <w:pPr>
              <w:rPr>
                <w:color w:val="auto"/>
              </w:rPr>
            </w:pPr>
            <w:r>
              <w:rPr>
                <w:color w:val="auto"/>
              </w:rPr>
              <w:t>600*1200MM；</w:t>
            </w:r>
          </w:p>
        </w:tc>
        <w:tc>
          <w:tcPr>
            <w:tcW w:w="412" w:type="pct"/>
            <w:shd w:val="clear" w:color="000000" w:fill="FFFFFF"/>
            <w:noWrap/>
            <w:vAlign w:val="top"/>
          </w:tcPr>
          <w:p>
            <w:pPr>
              <w:jc w:val="center"/>
              <w:rPr>
                <w:color w:val="auto"/>
              </w:rPr>
            </w:pPr>
            <w:r>
              <w:rPr>
                <w:color w:val="auto"/>
              </w:rPr>
              <w:t>个</w:t>
            </w:r>
          </w:p>
        </w:tc>
        <w:tc>
          <w:tcPr>
            <w:tcW w:w="412" w:type="pct"/>
            <w:shd w:val="clear" w:color="000000" w:fill="FFFFFF"/>
            <w:noWrap/>
            <w:vAlign w:val="top"/>
          </w:tcPr>
          <w:p>
            <w:pPr>
              <w:jc w:val="center"/>
              <w:rPr>
                <w:color w:val="auto"/>
              </w:rPr>
            </w:pPr>
            <w:r>
              <w:rPr>
                <w:color w:val="auto"/>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top"/>
          </w:tcPr>
          <w:p>
            <w:pPr>
              <w:jc w:val="center"/>
              <w:rPr>
                <w:color w:val="auto"/>
              </w:rPr>
            </w:pPr>
            <w:r>
              <w:rPr>
                <w:color w:val="auto"/>
              </w:rPr>
              <w:t>9</w:t>
            </w:r>
          </w:p>
        </w:tc>
        <w:tc>
          <w:tcPr>
            <w:tcW w:w="1404" w:type="pct"/>
            <w:shd w:val="clear" w:color="000000" w:fill="FFFFFF"/>
            <w:noWrap/>
            <w:vAlign w:val="top"/>
          </w:tcPr>
          <w:p>
            <w:pPr>
              <w:jc w:val="center"/>
              <w:rPr>
                <w:color w:val="auto"/>
              </w:rPr>
            </w:pPr>
            <w:r>
              <w:rPr>
                <w:color w:val="auto"/>
              </w:rPr>
              <w:t>前隔板</w:t>
            </w:r>
          </w:p>
        </w:tc>
        <w:tc>
          <w:tcPr>
            <w:tcW w:w="2359" w:type="pct"/>
            <w:shd w:val="clear" w:color="000000" w:fill="FFFFFF"/>
            <w:noWrap/>
            <w:vAlign w:val="top"/>
          </w:tcPr>
          <w:p>
            <w:pPr>
              <w:rPr>
                <w:color w:val="auto"/>
              </w:rPr>
            </w:pPr>
            <w:r>
              <w:rPr>
                <w:color w:val="auto"/>
              </w:rPr>
              <w:t>600*260MM；</w:t>
            </w:r>
          </w:p>
        </w:tc>
        <w:tc>
          <w:tcPr>
            <w:tcW w:w="412" w:type="pct"/>
            <w:shd w:val="clear" w:color="000000" w:fill="FFFFFF"/>
            <w:noWrap/>
            <w:vAlign w:val="top"/>
          </w:tcPr>
          <w:p>
            <w:pPr>
              <w:jc w:val="center"/>
              <w:rPr>
                <w:color w:val="auto"/>
              </w:rPr>
            </w:pPr>
            <w:r>
              <w:rPr>
                <w:color w:val="auto"/>
              </w:rPr>
              <w:t>个</w:t>
            </w:r>
          </w:p>
        </w:tc>
        <w:tc>
          <w:tcPr>
            <w:tcW w:w="412" w:type="pct"/>
            <w:shd w:val="clear" w:color="000000" w:fill="FFFFFF"/>
            <w:noWrap/>
            <w:vAlign w:val="top"/>
          </w:tcPr>
          <w:p>
            <w:pPr>
              <w:jc w:val="center"/>
              <w:rPr>
                <w:color w:val="auto"/>
              </w:rPr>
            </w:pPr>
            <w:r>
              <w:rPr>
                <w:color w:val="auto"/>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top"/>
          </w:tcPr>
          <w:p>
            <w:pPr>
              <w:jc w:val="center"/>
              <w:rPr>
                <w:color w:val="auto"/>
              </w:rPr>
            </w:pPr>
            <w:r>
              <w:rPr>
                <w:color w:val="auto"/>
              </w:rPr>
              <w:t>10</w:t>
            </w:r>
          </w:p>
        </w:tc>
        <w:tc>
          <w:tcPr>
            <w:tcW w:w="1404" w:type="pct"/>
            <w:shd w:val="clear" w:color="000000" w:fill="FFFFFF"/>
            <w:noWrap/>
            <w:vAlign w:val="top"/>
          </w:tcPr>
          <w:p>
            <w:pPr>
              <w:jc w:val="center"/>
              <w:rPr>
                <w:color w:val="auto"/>
              </w:rPr>
            </w:pPr>
            <w:r>
              <w:rPr>
                <w:color w:val="auto"/>
              </w:rPr>
              <w:t>消防联动控制模块</w:t>
            </w:r>
          </w:p>
        </w:tc>
        <w:tc>
          <w:tcPr>
            <w:tcW w:w="2359" w:type="pct"/>
            <w:shd w:val="clear" w:color="000000" w:fill="FFFFFF"/>
            <w:noWrap/>
            <w:vAlign w:val="top"/>
          </w:tcPr>
          <w:p>
            <w:pPr>
              <w:rPr>
                <w:color w:val="auto"/>
              </w:rPr>
            </w:pPr>
            <w:r>
              <w:rPr>
                <w:color w:val="auto"/>
              </w:rPr>
              <w:t>用于控制天窗的开启</w:t>
            </w:r>
          </w:p>
        </w:tc>
        <w:tc>
          <w:tcPr>
            <w:tcW w:w="412" w:type="pct"/>
            <w:shd w:val="clear" w:color="000000" w:fill="FFFFFF"/>
            <w:noWrap/>
            <w:vAlign w:val="top"/>
          </w:tcPr>
          <w:p>
            <w:pPr>
              <w:jc w:val="center"/>
              <w:rPr>
                <w:color w:val="auto"/>
              </w:rPr>
            </w:pPr>
            <w:r>
              <w:rPr>
                <w:color w:val="auto"/>
              </w:rPr>
              <w:t>套</w:t>
            </w:r>
          </w:p>
        </w:tc>
        <w:tc>
          <w:tcPr>
            <w:tcW w:w="412" w:type="pct"/>
            <w:shd w:val="clear" w:color="000000" w:fill="FFFFFF"/>
            <w:noWrap/>
            <w:vAlign w:val="top"/>
          </w:tcPr>
          <w:p>
            <w:pPr>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top"/>
          </w:tcPr>
          <w:p>
            <w:pPr>
              <w:jc w:val="center"/>
              <w:rPr>
                <w:color w:val="auto"/>
              </w:rPr>
            </w:pPr>
            <w:r>
              <w:rPr>
                <w:color w:val="auto"/>
              </w:rPr>
              <w:t>11</w:t>
            </w:r>
          </w:p>
        </w:tc>
        <w:tc>
          <w:tcPr>
            <w:tcW w:w="1404" w:type="pct"/>
            <w:shd w:val="clear" w:color="000000" w:fill="FFFFFF"/>
            <w:noWrap/>
            <w:vAlign w:val="top"/>
          </w:tcPr>
          <w:p>
            <w:pPr>
              <w:jc w:val="center"/>
              <w:rPr>
                <w:color w:val="auto"/>
              </w:rPr>
            </w:pPr>
            <w:r>
              <w:rPr>
                <w:color w:val="auto"/>
              </w:rPr>
              <w:t>LED监控显示屏</w:t>
            </w:r>
          </w:p>
        </w:tc>
        <w:tc>
          <w:tcPr>
            <w:tcW w:w="2359" w:type="pct"/>
            <w:shd w:val="clear" w:color="000000" w:fill="FFFFFF"/>
            <w:noWrap w:val="0"/>
            <w:vAlign w:val="top"/>
          </w:tcPr>
          <w:p>
            <w:pPr>
              <w:rPr>
                <w:color w:val="auto"/>
              </w:rPr>
            </w:pPr>
            <w:r>
              <w:rPr>
                <w:color w:val="auto"/>
              </w:rPr>
              <w:t>安装于冷通道门上方，用于显示标语及温湿度</w:t>
            </w:r>
          </w:p>
        </w:tc>
        <w:tc>
          <w:tcPr>
            <w:tcW w:w="412" w:type="pct"/>
            <w:shd w:val="clear" w:color="000000" w:fill="FFFFFF"/>
            <w:noWrap/>
            <w:vAlign w:val="top"/>
          </w:tcPr>
          <w:p>
            <w:pPr>
              <w:jc w:val="center"/>
              <w:rPr>
                <w:color w:val="auto"/>
              </w:rPr>
            </w:pPr>
            <w:r>
              <w:rPr>
                <w:color w:val="auto"/>
              </w:rPr>
              <w:t>套</w:t>
            </w:r>
          </w:p>
        </w:tc>
        <w:tc>
          <w:tcPr>
            <w:tcW w:w="412" w:type="pct"/>
            <w:shd w:val="clear" w:color="000000" w:fill="FFFFFF"/>
            <w:noWrap/>
            <w:vAlign w:val="top"/>
          </w:tcPr>
          <w:p>
            <w:pPr>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top"/>
          </w:tcPr>
          <w:p>
            <w:pPr>
              <w:jc w:val="center"/>
              <w:rPr>
                <w:color w:val="auto"/>
              </w:rPr>
            </w:pPr>
            <w:r>
              <w:rPr>
                <w:color w:val="auto"/>
              </w:rPr>
              <w:t>12</w:t>
            </w:r>
          </w:p>
        </w:tc>
        <w:tc>
          <w:tcPr>
            <w:tcW w:w="1404" w:type="pct"/>
            <w:shd w:val="clear" w:color="000000" w:fill="FFFFFF"/>
            <w:noWrap/>
            <w:vAlign w:val="top"/>
          </w:tcPr>
          <w:p>
            <w:pPr>
              <w:jc w:val="center"/>
              <w:rPr>
                <w:color w:val="auto"/>
              </w:rPr>
            </w:pPr>
            <w:r>
              <w:rPr>
                <w:color w:val="auto"/>
              </w:rPr>
              <w:t>快装封板</w:t>
            </w:r>
          </w:p>
        </w:tc>
        <w:tc>
          <w:tcPr>
            <w:tcW w:w="2359" w:type="pct"/>
            <w:shd w:val="clear" w:color="000000" w:fill="FFFFFF"/>
            <w:noWrap w:val="0"/>
            <w:vAlign w:val="top"/>
          </w:tcPr>
          <w:p>
            <w:pPr>
              <w:rPr>
                <w:color w:val="auto"/>
              </w:rPr>
            </w:pPr>
            <w:r>
              <w:rPr>
                <w:color w:val="auto"/>
              </w:rPr>
              <w:t>每个机柜配5块</w:t>
            </w:r>
          </w:p>
        </w:tc>
        <w:tc>
          <w:tcPr>
            <w:tcW w:w="412" w:type="pct"/>
            <w:shd w:val="clear" w:color="000000" w:fill="FFFFFF"/>
            <w:noWrap/>
            <w:vAlign w:val="top"/>
          </w:tcPr>
          <w:p>
            <w:pPr>
              <w:jc w:val="center"/>
              <w:rPr>
                <w:color w:val="auto"/>
              </w:rPr>
            </w:pPr>
            <w:r>
              <w:rPr>
                <w:color w:val="auto"/>
              </w:rPr>
              <w:t>块</w:t>
            </w:r>
          </w:p>
        </w:tc>
        <w:tc>
          <w:tcPr>
            <w:tcW w:w="412" w:type="pct"/>
            <w:shd w:val="clear" w:color="000000" w:fill="FFFFFF"/>
            <w:noWrap/>
            <w:vAlign w:val="top"/>
          </w:tcPr>
          <w:p>
            <w:pPr>
              <w:jc w:val="center"/>
              <w:rPr>
                <w:color w:val="auto"/>
              </w:rPr>
            </w:pPr>
            <w:r>
              <w:rPr>
                <w:color w:val="auto"/>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top"/>
          </w:tcPr>
          <w:p>
            <w:pPr>
              <w:jc w:val="center"/>
              <w:rPr>
                <w:color w:val="auto"/>
              </w:rPr>
            </w:pPr>
            <w:r>
              <w:rPr>
                <w:color w:val="auto"/>
              </w:rPr>
              <w:t>13</w:t>
            </w:r>
          </w:p>
        </w:tc>
        <w:tc>
          <w:tcPr>
            <w:tcW w:w="1404" w:type="pct"/>
            <w:shd w:val="clear" w:color="000000" w:fill="FFFFFF"/>
            <w:noWrap/>
            <w:vAlign w:val="top"/>
          </w:tcPr>
          <w:p>
            <w:pPr>
              <w:jc w:val="center"/>
              <w:rPr>
                <w:color w:val="auto"/>
              </w:rPr>
            </w:pPr>
            <w:r>
              <w:rPr>
                <w:color w:val="auto"/>
              </w:rPr>
              <w:t>快装封板</w:t>
            </w:r>
          </w:p>
        </w:tc>
        <w:tc>
          <w:tcPr>
            <w:tcW w:w="2359" w:type="pct"/>
            <w:shd w:val="clear" w:color="000000" w:fill="FFFFFF"/>
            <w:noWrap w:val="0"/>
            <w:vAlign w:val="top"/>
          </w:tcPr>
          <w:p>
            <w:pPr>
              <w:rPr>
                <w:color w:val="auto"/>
              </w:rPr>
            </w:pPr>
            <w:r>
              <w:rPr>
                <w:color w:val="auto"/>
              </w:rPr>
              <w:t>每个机柜配10块</w:t>
            </w:r>
          </w:p>
        </w:tc>
        <w:tc>
          <w:tcPr>
            <w:tcW w:w="412" w:type="pct"/>
            <w:shd w:val="clear" w:color="000000" w:fill="FFFFFF"/>
            <w:noWrap/>
            <w:vAlign w:val="top"/>
          </w:tcPr>
          <w:p>
            <w:pPr>
              <w:jc w:val="center"/>
              <w:rPr>
                <w:color w:val="auto"/>
              </w:rPr>
            </w:pPr>
            <w:r>
              <w:rPr>
                <w:color w:val="auto"/>
              </w:rPr>
              <w:t>块</w:t>
            </w:r>
          </w:p>
        </w:tc>
        <w:tc>
          <w:tcPr>
            <w:tcW w:w="412" w:type="pct"/>
            <w:shd w:val="clear" w:color="000000" w:fill="FFFFFF"/>
            <w:noWrap/>
            <w:vAlign w:val="top"/>
          </w:tcPr>
          <w:p>
            <w:pPr>
              <w:jc w:val="center"/>
              <w:rPr>
                <w:color w:val="auto"/>
              </w:rPr>
            </w:pPr>
            <w:r>
              <w:rPr>
                <w:color w:val="auto"/>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top"/>
          </w:tcPr>
          <w:p>
            <w:pPr>
              <w:jc w:val="center"/>
              <w:rPr>
                <w:color w:val="auto"/>
              </w:rPr>
            </w:pPr>
            <w:r>
              <w:rPr>
                <w:color w:val="auto"/>
              </w:rPr>
              <w:t>14</w:t>
            </w:r>
          </w:p>
        </w:tc>
        <w:tc>
          <w:tcPr>
            <w:tcW w:w="1404" w:type="pct"/>
            <w:shd w:val="clear" w:color="000000" w:fill="FFFFFF"/>
            <w:noWrap w:val="0"/>
            <w:vAlign w:val="top"/>
          </w:tcPr>
          <w:p>
            <w:pPr>
              <w:jc w:val="center"/>
              <w:rPr>
                <w:color w:val="auto"/>
              </w:rPr>
            </w:pPr>
            <w:r>
              <w:rPr>
                <w:color w:val="auto"/>
              </w:rPr>
              <w:t>安装配件</w:t>
            </w:r>
          </w:p>
        </w:tc>
        <w:tc>
          <w:tcPr>
            <w:tcW w:w="2359" w:type="pct"/>
            <w:shd w:val="clear" w:color="000000" w:fill="FFFFFF"/>
            <w:noWrap w:val="0"/>
            <w:vAlign w:val="top"/>
          </w:tcPr>
          <w:p>
            <w:pPr>
              <w:rPr>
                <w:color w:val="auto"/>
              </w:rPr>
            </w:pPr>
            <w:r>
              <w:rPr>
                <w:color w:val="auto"/>
              </w:rPr>
              <w:t>安装备件，接口板，支架等</w:t>
            </w:r>
          </w:p>
        </w:tc>
        <w:tc>
          <w:tcPr>
            <w:tcW w:w="412" w:type="pct"/>
            <w:shd w:val="clear" w:color="000000" w:fill="FFFFFF"/>
            <w:noWrap/>
            <w:vAlign w:val="top"/>
          </w:tcPr>
          <w:p>
            <w:pPr>
              <w:jc w:val="center"/>
              <w:rPr>
                <w:color w:val="auto"/>
              </w:rPr>
            </w:pPr>
            <w:r>
              <w:rPr>
                <w:color w:val="auto"/>
              </w:rPr>
              <w:t>批</w:t>
            </w:r>
          </w:p>
        </w:tc>
        <w:tc>
          <w:tcPr>
            <w:tcW w:w="412" w:type="pct"/>
            <w:shd w:val="clear" w:color="000000" w:fill="FFFFFF"/>
            <w:noWrap w:val="0"/>
            <w:vAlign w:val="top"/>
          </w:tcPr>
          <w:p>
            <w:pPr>
              <w:jc w:val="center"/>
              <w:rPr>
                <w:color w:val="auto"/>
              </w:rPr>
            </w:pPr>
            <w:r>
              <w:rPr>
                <w:color w:val="auto"/>
              </w:rPr>
              <w:t xml:space="preserve">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top"/>
          </w:tcPr>
          <w:p>
            <w:pPr>
              <w:jc w:val="center"/>
              <w:rPr>
                <w:color w:val="auto"/>
              </w:rPr>
            </w:pPr>
            <w:r>
              <w:rPr>
                <w:color w:val="auto"/>
              </w:rPr>
              <w:t>15</w:t>
            </w:r>
          </w:p>
        </w:tc>
        <w:tc>
          <w:tcPr>
            <w:tcW w:w="1404" w:type="pct"/>
            <w:shd w:val="clear" w:color="000000" w:fill="FFFFFF"/>
            <w:noWrap w:val="0"/>
            <w:vAlign w:val="top"/>
          </w:tcPr>
          <w:p>
            <w:pPr>
              <w:jc w:val="center"/>
              <w:rPr>
                <w:color w:val="auto"/>
              </w:rPr>
            </w:pPr>
            <w:r>
              <w:rPr>
                <w:color w:val="auto"/>
              </w:rPr>
              <w:t>LED灯</w:t>
            </w:r>
          </w:p>
        </w:tc>
        <w:tc>
          <w:tcPr>
            <w:tcW w:w="2359" w:type="pct"/>
            <w:shd w:val="clear" w:color="000000" w:fill="FFFFFF"/>
            <w:noWrap w:val="0"/>
            <w:vAlign w:val="top"/>
          </w:tcPr>
          <w:p>
            <w:pPr>
              <w:rPr>
                <w:color w:val="auto"/>
              </w:rPr>
            </w:pPr>
            <w:r>
              <w:rPr>
                <w:color w:val="auto"/>
              </w:rPr>
              <w:t>安装于通道固定天窗处</w:t>
            </w:r>
          </w:p>
        </w:tc>
        <w:tc>
          <w:tcPr>
            <w:tcW w:w="412" w:type="pct"/>
            <w:shd w:val="clear" w:color="000000" w:fill="FFFFFF"/>
            <w:noWrap/>
            <w:vAlign w:val="top"/>
          </w:tcPr>
          <w:p>
            <w:pPr>
              <w:jc w:val="center"/>
              <w:rPr>
                <w:color w:val="auto"/>
              </w:rPr>
            </w:pPr>
            <w:r>
              <w:rPr>
                <w:color w:val="auto"/>
              </w:rPr>
              <w:t>支</w:t>
            </w:r>
          </w:p>
        </w:tc>
        <w:tc>
          <w:tcPr>
            <w:tcW w:w="412" w:type="pct"/>
            <w:shd w:val="clear" w:color="000000" w:fill="FFFFFF"/>
            <w:noWrap w:val="0"/>
            <w:vAlign w:val="top"/>
          </w:tcPr>
          <w:p>
            <w:pPr>
              <w:jc w:val="center"/>
              <w:rPr>
                <w:color w:val="auto"/>
              </w:rPr>
            </w:pPr>
            <w:r>
              <w:rPr>
                <w:color w:val="auto"/>
              </w:rPr>
              <w:t xml:space="preserve">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center"/>
          </w:tcPr>
          <w:p>
            <w:pPr>
              <w:jc w:val="center"/>
              <w:rPr>
                <w:color w:val="auto"/>
              </w:rPr>
            </w:pPr>
            <w:r>
              <w:rPr>
                <w:color w:val="auto"/>
              </w:rPr>
              <w:t>16</w:t>
            </w:r>
          </w:p>
        </w:tc>
        <w:tc>
          <w:tcPr>
            <w:tcW w:w="1404" w:type="pct"/>
            <w:shd w:val="clear" w:color="000000" w:fill="FFFFFF"/>
            <w:noWrap/>
            <w:vAlign w:val="center"/>
          </w:tcPr>
          <w:p>
            <w:pPr>
              <w:jc w:val="center"/>
              <w:rPr>
                <w:color w:val="auto"/>
              </w:rPr>
            </w:pPr>
            <w:r>
              <w:rPr>
                <w:color w:val="auto"/>
              </w:rPr>
              <w:t>12位PDU</w:t>
            </w:r>
          </w:p>
        </w:tc>
        <w:tc>
          <w:tcPr>
            <w:tcW w:w="2359" w:type="pct"/>
            <w:shd w:val="clear" w:color="000000" w:fill="FFFFFF"/>
            <w:noWrap w:val="0"/>
            <w:vAlign w:val="center"/>
          </w:tcPr>
          <w:p>
            <w:pPr>
              <w:rPr>
                <w:color w:val="auto"/>
              </w:rPr>
            </w:pPr>
            <w:r>
              <w:rPr>
                <w:color w:val="auto"/>
              </w:rPr>
              <w:t>适合垂直纵向安装于机柜后部，总输入电流32A、16口IEC C13插座、配置小型断路器、2米接线、无插头</w:t>
            </w:r>
          </w:p>
        </w:tc>
        <w:tc>
          <w:tcPr>
            <w:tcW w:w="412" w:type="pct"/>
            <w:shd w:val="clear" w:color="000000" w:fill="FFFFFF"/>
            <w:noWrap/>
            <w:vAlign w:val="center"/>
          </w:tcPr>
          <w:p>
            <w:pPr>
              <w:jc w:val="center"/>
              <w:rPr>
                <w:color w:val="auto"/>
              </w:rPr>
            </w:pPr>
            <w:r>
              <w:rPr>
                <w:color w:val="auto"/>
              </w:rPr>
              <w:t>个</w:t>
            </w:r>
          </w:p>
        </w:tc>
        <w:tc>
          <w:tcPr>
            <w:tcW w:w="412" w:type="pct"/>
            <w:shd w:val="clear" w:color="000000" w:fill="FFFFFF"/>
            <w:noWrap w:val="0"/>
            <w:vAlign w:val="center"/>
          </w:tcPr>
          <w:p>
            <w:pPr>
              <w:jc w:val="center"/>
              <w:rPr>
                <w:color w:val="auto"/>
              </w:rPr>
            </w:pPr>
            <w:r>
              <w:rPr>
                <w:color w:val="auto"/>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6" w:type="pct"/>
            <w:gridSpan w:val="2"/>
            <w:shd w:val="clear" w:color="000000" w:fill="FFFFFF"/>
            <w:noWrap/>
            <w:vAlign w:val="top"/>
          </w:tcPr>
          <w:p>
            <w:pPr>
              <w:rPr>
                <w:color w:val="auto"/>
              </w:rPr>
            </w:pPr>
            <w:r>
              <w:rPr>
                <w:rFonts w:hint="eastAsia"/>
                <w:color w:val="auto"/>
              </w:rPr>
              <w:t>（四）</w:t>
            </w:r>
            <w:r>
              <w:rPr>
                <w:color w:val="auto"/>
              </w:rPr>
              <w:t>动环监测系统</w:t>
            </w:r>
          </w:p>
        </w:tc>
        <w:tc>
          <w:tcPr>
            <w:tcW w:w="2359" w:type="pct"/>
            <w:shd w:val="clear" w:color="000000" w:fill="FFFFFF"/>
            <w:noWrap/>
            <w:vAlign w:val="top"/>
          </w:tcPr>
          <w:p>
            <w:pPr>
              <w:rPr>
                <w:color w:val="auto"/>
              </w:rPr>
            </w:pPr>
            <w:r>
              <w:rPr>
                <w:color w:val="auto"/>
              </w:rPr>
              <w:t>　</w:t>
            </w:r>
          </w:p>
        </w:tc>
        <w:tc>
          <w:tcPr>
            <w:tcW w:w="412" w:type="pct"/>
            <w:shd w:val="clear" w:color="000000" w:fill="FFFFFF"/>
            <w:noWrap/>
            <w:vAlign w:val="top"/>
          </w:tcPr>
          <w:p>
            <w:pPr>
              <w:jc w:val="center"/>
              <w:rPr>
                <w:color w:val="auto"/>
              </w:rPr>
            </w:pPr>
            <w:r>
              <w:rPr>
                <w:color w:val="auto"/>
              </w:rPr>
              <w:t>　</w:t>
            </w:r>
          </w:p>
        </w:tc>
        <w:tc>
          <w:tcPr>
            <w:tcW w:w="412" w:type="pct"/>
            <w:shd w:val="clear" w:color="000000" w:fill="FFFFFF"/>
            <w:noWrap/>
            <w:vAlign w:val="top"/>
          </w:tcPr>
          <w:p>
            <w:pPr>
              <w:jc w:val="center"/>
              <w:rPr>
                <w:color w:val="auto"/>
              </w:rPr>
            </w:pPr>
            <w:r>
              <w:rPr>
                <w:color w:val="auto"/>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center"/>
          </w:tcPr>
          <w:p>
            <w:pPr>
              <w:jc w:val="center"/>
              <w:rPr>
                <w:color w:val="auto"/>
              </w:rPr>
            </w:pPr>
            <w:r>
              <w:rPr>
                <w:color w:val="auto"/>
              </w:rPr>
              <w:t>1</w:t>
            </w:r>
          </w:p>
        </w:tc>
        <w:tc>
          <w:tcPr>
            <w:tcW w:w="1404" w:type="pct"/>
            <w:shd w:val="clear" w:color="000000" w:fill="FFFFFF"/>
            <w:noWrap w:val="0"/>
            <w:vAlign w:val="center"/>
          </w:tcPr>
          <w:p>
            <w:pPr>
              <w:jc w:val="center"/>
              <w:rPr>
                <w:color w:val="auto"/>
              </w:rPr>
            </w:pPr>
            <w:r>
              <w:rPr>
                <w:color w:val="auto"/>
              </w:rPr>
              <w:t>环境监控主机(含软件）</w:t>
            </w:r>
          </w:p>
        </w:tc>
        <w:tc>
          <w:tcPr>
            <w:tcW w:w="2359" w:type="pct"/>
            <w:shd w:val="clear" w:color="000000" w:fill="FFFFFF"/>
            <w:noWrap w:val="0"/>
            <w:vAlign w:val="top"/>
          </w:tcPr>
          <w:p>
            <w:pPr>
              <w:rPr>
                <w:color w:val="auto"/>
              </w:rPr>
            </w:pPr>
            <w:r>
              <w:rPr>
                <w:color w:val="auto"/>
              </w:rPr>
              <w:t>1U机架式安装，内置</w:t>
            </w:r>
            <w:r>
              <w:rPr>
                <w:rFonts w:hint="eastAsia"/>
                <w:color w:val="auto"/>
              </w:rPr>
              <w:t>≥</w:t>
            </w:r>
            <w:r>
              <w:rPr>
                <w:color w:val="auto"/>
              </w:rPr>
              <w:t>6个RS232口或RS485口</w:t>
            </w:r>
            <w:r>
              <w:rPr>
                <w:rFonts w:hint="eastAsia"/>
                <w:color w:val="auto"/>
              </w:rPr>
              <w:t>，≥</w:t>
            </w:r>
            <w:r>
              <w:rPr>
                <w:color w:val="auto"/>
              </w:rPr>
              <w:t>10个数字量输入,</w:t>
            </w:r>
            <w:r>
              <w:rPr>
                <w:rFonts w:hint="eastAsia"/>
                <w:color w:val="auto"/>
              </w:rPr>
              <w:t xml:space="preserve"> ≥</w:t>
            </w:r>
            <w:r>
              <w:rPr>
                <w:color w:val="auto"/>
              </w:rPr>
              <w:t>4个数字量输出，支持3D浏览、3D组态。</w:t>
            </w:r>
          </w:p>
        </w:tc>
        <w:tc>
          <w:tcPr>
            <w:tcW w:w="412" w:type="pct"/>
            <w:shd w:val="clear" w:color="000000" w:fill="FFFFFF"/>
            <w:noWrap w:val="0"/>
            <w:vAlign w:val="top"/>
          </w:tcPr>
          <w:p>
            <w:pPr>
              <w:jc w:val="center"/>
              <w:rPr>
                <w:color w:val="auto"/>
              </w:rPr>
            </w:pPr>
            <w:r>
              <w:rPr>
                <w:color w:val="auto"/>
              </w:rPr>
              <w:t>套</w:t>
            </w:r>
          </w:p>
        </w:tc>
        <w:tc>
          <w:tcPr>
            <w:tcW w:w="412" w:type="pct"/>
            <w:shd w:val="clear" w:color="000000" w:fill="FFFFFF"/>
            <w:noWrap w:val="0"/>
            <w:vAlign w:val="top"/>
          </w:tcPr>
          <w:p>
            <w:pPr>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center"/>
          </w:tcPr>
          <w:p>
            <w:pPr>
              <w:jc w:val="center"/>
              <w:rPr>
                <w:color w:val="auto"/>
              </w:rPr>
            </w:pPr>
            <w:r>
              <w:rPr>
                <w:color w:val="auto"/>
              </w:rPr>
              <w:t>2</w:t>
            </w:r>
          </w:p>
        </w:tc>
        <w:tc>
          <w:tcPr>
            <w:tcW w:w="1404" w:type="pct"/>
            <w:shd w:val="clear" w:color="000000" w:fill="FFFFFF"/>
            <w:noWrap w:val="0"/>
            <w:vAlign w:val="center"/>
          </w:tcPr>
          <w:p>
            <w:pPr>
              <w:jc w:val="center"/>
              <w:rPr>
                <w:color w:val="auto"/>
              </w:rPr>
            </w:pPr>
            <w:r>
              <w:rPr>
                <w:color w:val="auto"/>
              </w:rPr>
              <w:t>精密配电柜接口软件</w:t>
            </w:r>
          </w:p>
        </w:tc>
        <w:tc>
          <w:tcPr>
            <w:tcW w:w="2359" w:type="pct"/>
            <w:shd w:val="clear" w:color="000000" w:fill="FFFFFF"/>
            <w:noWrap w:val="0"/>
            <w:vAlign w:val="top"/>
          </w:tcPr>
          <w:p>
            <w:pPr>
              <w:rPr>
                <w:color w:val="auto"/>
              </w:rPr>
            </w:pPr>
            <w:r>
              <w:rPr>
                <w:color w:val="auto"/>
              </w:rPr>
              <w:t>配电柜，通讯接口软件</w:t>
            </w:r>
          </w:p>
        </w:tc>
        <w:tc>
          <w:tcPr>
            <w:tcW w:w="412" w:type="pct"/>
            <w:shd w:val="clear" w:color="000000" w:fill="FFFFFF"/>
            <w:noWrap w:val="0"/>
            <w:vAlign w:val="top"/>
          </w:tcPr>
          <w:p>
            <w:pPr>
              <w:jc w:val="center"/>
              <w:rPr>
                <w:color w:val="auto"/>
              </w:rPr>
            </w:pPr>
            <w:r>
              <w:rPr>
                <w:color w:val="auto"/>
              </w:rPr>
              <w:t>套</w:t>
            </w:r>
          </w:p>
        </w:tc>
        <w:tc>
          <w:tcPr>
            <w:tcW w:w="412" w:type="pct"/>
            <w:shd w:val="clear" w:color="000000" w:fill="FFFFFF"/>
            <w:noWrap w:val="0"/>
            <w:vAlign w:val="top"/>
          </w:tcPr>
          <w:p>
            <w:pPr>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center"/>
          </w:tcPr>
          <w:p>
            <w:pPr>
              <w:jc w:val="center"/>
              <w:rPr>
                <w:color w:val="auto"/>
              </w:rPr>
            </w:pPr>
            <w:r>
              <w:rPr>
                <w:color w:val="auto"/>
              </w:rPr>
              <w:t>3</w:t>
            </w:r>
          </w:p>
        </w:tc>
        <w:tc>
          <w:tcPr>
            <w:tcW w:w="1404" w:type="pct"/>
            <w:shd w:val="clear" w:color="000000" w:fill="FFFFFF"/>
            <w:noWrap w:val="0"/>
            <w:vAlign w:val="center"/>
          </w:tcPr>
          <w:p>
            <w:pPr>
              <w:jc w:val="center"/>
              <w:rPr>
                <w:color w:val="auto"/>
              </w:rPr>
            </w:pPr>
            <w:r>
              <w:rPr>
                <w:color w:val="auto"/>
              </w:rPr>
              <w:t>UPS通信接口软件</w:t>
            </w:r>
          </w:p>
        </w:tc>
        <w:tc>
          <w:tcPr>
            <w:tcW w:w="2359" w:type="pct"/>
            <w:shd w:val="clear" w:color="000000" w:fill="FFFFFF"/>
            <w:noWrap w:val="0"/>
            <w:vAlign w:val="top"/>
          </w:tcPr>
          <w:p>
            <w:pPr>
              <w:rPr>
                <w:color w:val="auto"/>
              </w:rPr>
            </w:pPr>
            <w:r>
              <w:rPr>
                <w:color w:val="auto"/>
              </w:rPr>
              <w:t>UPS，通讯接口软件</w:t>
            </w:r>
          </w:p>
        </w:tc>
        <w:tc>
          <w:tcPr>
            <w:tcW w:w="412" w:type="pct"/>
            <w:shd w:val="clear" w:color="000000" w:fill="FFFFFF"/>
            <w:noWrap w:val="0"/>
            <w:vAlign w:val="top"/>
          </w:tcPr>
          <w:p>
            <w:pPr>
              <w:jc w:val="center"/>
              <w:rPr>
                <w:color w:val="auto"/>
              </w:rPr>
            </w:pPr>
            <w:r>
              <w:rPr>
                <w:color w:val="auto"/>
              </w:rPr>
              <w:t>套</w:t>
            </w:r>
          </w:p>
        </w:tc>
        <w:tc>
          <w:tcPr>
            <w:tcW w:w="412" w:type="pct"/>
            <w:shd w:val="clear" w:color="000000" w:fill="FFFFFF"/>
            <w:noWrap w:val="0"/>
            <w:vAlign w:val="top"/>
          </w:tcPr>
          <w:p>
            <w:pPr>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center"/>
          </w:tcPr>
          <w:p>
            <w:pPr>
              <w:jc w:val="center"/>
              <w:rPr>
                <w:color w:val="auto"/>
              </w:rPr>
            </w:pPr>
            <w:r>
              <w:rPr>
                <w:color w:val="auto"/>
              </w:rPr>
              <w:t>4</w:t>
            </w:r>
          </w:p>
        </w:tc>
        <w:tc>
          <w:tcPr>
            <w:tcW w:w="1404" w:type="pct"/>
            <w:shd w:val="clear" w:color="000000" w:fill="FFFFFF"/>
            <w:noWrap w:val="0"/>
            <w:vAlign w:val="center"/>
          </w:tcPr>
          <w:p>
            <w:pPr>
              <w:jc w:val="center"/>
              <w:rPr>
                <w:color w:val="auto"/>
              </w:rPr>
            </w:pPr>
            <w:r>
              <w:rPr>
                <w:color w:val="auto"/>
              </w:rPr>
              <w:t>精密空调通信接口软件</w:t>
            </w:r>
          </w:p>
        </w:tc>
        <w:tc>
          <w:tcPr>
            <w:tcW w:w="2359" w:type="pct"/>
            <w:shd w:val="clear" w:color="000000" w:fill="FFFFFF"/>
            <w:noWrap w:val="0"/>
            <w:vAlign w:val="center"/>
          </w:tcPr>
          <w:p>
            <w:pPr>
              <w:rPr>
                <w:color w:val="auto"/>
              </w:rPr>
            </w:pPr>
            <w:r>
              <w:rPr>
                <w:color w:val="auto"/>
              </w:rPr>
              <w:t>空调，通讯接口软件</w:t>
            </w:r>
          </w:p>
        </w:tc>
        <w:tc>
          <w:tcPr>
            <w:tcW w:w="412" w:type="pct"/>
            <w:shd w:val="clear" w:color="000000" w:fill="FFFFFF"/>
            <w:noWrap w:val="0"/>
            <w:vAlign w:val="center"/>
          </w:tcPr>
          <w:p>
            <w:pPr>
              <w:jc w:val="center"/>
              <w:rPr>
                <w:color w:val="auto"/>
              </w:rPr>
            </w:pPr>
            <w:r>
              <w:rPr>
                <w:color w:val="auto"/>
              </w:rPr>
              <w:t>套</w:t>
            </w:r>
          </w:p>
        </w:tc>
        <w:tc>
          <w:tcPr>
            <w:tcW w:w="412" w:type="pct"/>
            <w:shd w:val="clear" w:color="000000" w:fill="FFFFFF"/>
            <w:noWrap w:val="0"/>
            <w:vAlign w:val="center"/>
          </w:tcPr>
          <w:p>
            <w:pPr>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center"/>
          </w:tcPr>
          <w:p>
            <w:pPr>
              <w:jc w:val="center"/>
              <w:rPr>
                <w:color w:val="auto"/>
              </w:rPr>
            </w:pPr>
            <w:r>
              <w:rPr>
                <w:color w:val="auto"/>
              </w:rPr>
              <w:t>5</w:t>
            </w:r>
          </w:p>
        </w:tc>
        <w:tc>
          <w:tcPr>
            <w:tcW w:w="1404" w:type="pct"/>
            <w:shd w:val="clear" w:color="000000" w:fill="FFFFFF"/>
            <w:noWrap w:val="0"/>
            <w:vAlign w:val="center"/>
          </w:tcPr>
          <w:p>
            <w:pPr>
              <w:jc w:val="center"/>
              <w:rPr>
                <w:color w:val="auto"/>
              </w:rPr>
            </w:pPr>
            <w:r>
              <w:rPr>
                <w:color w:val="auto"/>
              </w:rPr>
              <w:t>消防通信接口软件</w:t>
            </w:r>
          </w:p>
        </w:tc>
        <w:tc>
          <w:tcPr>
            <w:tcW w:w="2359" w:type="pct"/>
            <w:shd w:val="clear" w:color="000000" w:fill="FFFFFF"/>
            <w:noWrap w:val="0"/>
            <w:vAlign w:val="top"/>
          </w:tcPr>
          <w:p>
            <w:pPr>
              <w:rPr>
                <w:color w:val="auto"/>
              </w:rPr>
            </w:pPr>
            <w:r>
              <w:rPr>
                <w:color w:val="auto"/>
              </w:rPr>
              <w:t>消防，通讯接口软件</w:t>
            </w:r>
          </w:p>
        </w:tc>
        <w:tc>
          <w:tcPr>
            <w:tcW w:w="412" w:type="pct"/>
            <w:shd w:val="clear" w:color="000000" w:fill="FFFFFF"/>
            <w:noWrap w:val="0"/>
            <w:vAlign w:val="top"/>
          </w:tcPr>
          <w:p>
            <w:pPr>
              <w:jc w:val="center"/>
              <w:rPr>
                <w:color w:val="auto"/>
              </w:rPr>
            </w:pPr>
            <w:r>
              <w:rPr>
                <w:color w:val="auto"/>
              </w:rPr>
              <w:t>套</w:t>
            </w:r>
          </w:p>
        </w:tc>
        <w:tc>
          <w:tcPr>
            <w:tcW w:w="412" w:type="pct"/>
            <w:shd w:val="clear" w:color="000000" w:fill="FFFFFF"/>
            <w:noWrap w:val="0"/>
            <w:vAlign w:val="top"/>
          </w:tcPr>
          <w:p>
            <w:pPr>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center"/>
          </w:tcPr>
          <w:p>
            <w:pPr>
              <w:jc w:val="center"/>
              <w:rPr>
                <w:color w:val="auto"/>
              </w:rPr>
            </w:pPr>
            <w:r>
              <w:rPr>
                <w:color w:val="auto"/>
              </w:rPr>
              <w:t>6</w:t>
            </w:r>
          </w:p>
        </w:tc>
        <w:tc>
          <w:tcPr>
            <w:tcW w:w="1404" w:type="pct"/>
            <w:shd w:val="clear" w:color="000000" w:fill="FFFFFF"/>
            <w:noWrap w:val="0"/>
            <w:vAlign w:val="center"/>
          </w:tcPr>
          <w:p>
            <w:pPr>
              <w:jc w:val="center"/>
              <w:rPr>
                <w:color w:val="auto"/>
              </w:rPr>
            </w:pPr>
            <w:r>
              <w:rPr>
                <w:color w:val="auto"/>
              </w:rPr>
              <w:t>门禁</w:t>
            </w:r>
          </w:p>
        </w:tc>
        <w:tc>
          <w:tcPr>
            <w:tcW w:w="2359" w:type="pct"/>
            <w:shd w:val="clear" w:color="000000" w:fill="FFFFFF"/>
            <w:noWrap w:val="0"/>
            <w:vAlign w:val="top"/>
          </w:tcPr>
          <w:p>
            <w:pPr>
              <w:rPr>
                <w:color w:val="auto"/>
              </w:rPr>
            </w:pPr>
            <w:r>
              <w:rPr>
                <w:color w:val="auto"/>
              </w:rPr>
              <w:t>单门单开普通门用，含ID读卡器,ID卡,磁力锁等</w:t>
            </w:r>
          </w:p>
        </w:tc>
        <w:tc>
          <w:tcPr>
            <w:tcW w:w="412" w:type="pct"/>
            <w:shd w:val="clear" w:color="000000" w:fill="FFFFFF"/>
            <w:noWrap w:val="0"/>
            <w:vAlign w:val="top"/>
          </w:tcPr>
          <w:p>
            <w:pPr>
              <w:jc w:val="center"/>
              <w:rPr>
                <w:color w:val="auto"/>
              </w:rPr>
            </w:pPr>
            <w:r>
              <w:rPr>
                <w:color w:val="auto"/>
              </w:rPr>
              <w:t>套</w:t>
            </w:r>
          </w:p>
        </w:tc>
        <w:tc>
          <w:tcPr>
            <w:tcW w:w="412" w:type="pct"/>
            <w:shd w:val="clear" w:color="000000" w:fill="FFFFFF"/>
            <w:noWrap w:val="0"/>
            <w:vAlign w:val="top"/>
          </w:tcPr>
          <w:p>
            <w:pPr>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center"/>
          </w:tcPr>
          <w:p>
            <w:pPr>
              <w:jc w:val="center"/>
              <w:rPr>
                <w:color w:val="auto"/>
              </w:rPr>
            </w:pPr>
            <w:r>
              <w:rPr>
                <w:color w:val="auto"/>
              </w:rPr>
              <w:t>7</w:t>
            </w:r>
          </w:p>
        </w:tc>
        <w:tc>
          <w:tcPr>
            <w:tcW w:w="1404" w:type="pct"/>
            <w:shd w:val="clear" w:color="000000" w:fill="FFFFFF"/>
            <w:noWrap w:val="0"/>
            <w:vAlign w:val="center"/>
          </w:tcPr>
          <w:p>
            <w:pPr>
              <w:jc w:val="center"/>
              <w:rPr>
                <w:color w:val="auto"/>
              </w:rPr>
            </w:pPr>
            <w:r>
              <w:rPr>
                <w:color w:val="auto"/>
              </w:rPr>
              <w:t>门禁</w:t>
            </w:r>
          </w:p>
        </w:tc>
        <w:tc>
          <w:tcPr>
            <w:tcW w:w="2359" w:type="pct"/>
            <w:shd w:val="clear" w:color="000000" w:fill="FFFFFF"/>
            <w:noWrap w:val="0"/>
            <w:vAlign w:val="top"/>
          </w:tcPr>
          <w:p>
            <w:pPr>
              <w:rPr>
                <w:color w:val="auto"/>
              </w:rPr>
            </w:pPr>
            <w:r>
              <w:rPr>
                <w:color w:val="auto"/>
              </w:rPr>
              <w:t>单门双开普通门用，含ID读卡器,ID卡,磁力锁等</w:t>
            </w:r>
          </w:p>
        </w:tc>
        <w:tc>
          <w:tcPr>
            <w:tcW w:w="412" w:type="pct"/>
            <w:shd w:val="clear" w:color="000000" w:fill="FFFFFF"/>
            <w:noWrap w:val="0"/>
            <w:vAlign w:val="top"/>
          </w:tcPr>
          <w:p>
            <w:pPr>
              <w:jc w:val="center"/>
              <w:rPr>
                <w:color w:val="auto"/>
              </w:rPr>
            </w:pPr>
            <w:r>
              <w:rPr>
                <w:color w:val="auto"/>
              </w:rPr>
              <w:t>台</w:t>
            </w:r>
          </w:p>
        </w:tc>
        <w:tc>
          <w:tcPr>
            <w:tcW w:w="412" w:type="pct"/>
            <w:shd w:val="clear" w:color="000000" w:fill="FFFFFF"/>
            <w:noWrap w:val="0"/>
            <w:vAlign w:val="top"/>
          </w:tcPr>
          <w:p>
            <w:pPr>
              <w:jc w:val="center"/>
              <w:rPr>
                <w:color w:val="auto"/>
              </w:rPr>
            </w:pPr>
            <w:r>
              <w:rPr>
                <w:color w:val="auto"/>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center"/>
          </w:tcPr>
          <w:p>
            <w:pPr>
              <w:jc w:val="center"/>
              <w:rPr>
                <w:color w:val="auto"/>
              </w:rPr>
            </w:pPr>
            <w:r>
              <w:rPr>
                <w:color w:val="auto"/>
              </w:rPr>
              <w:t>8</w:t>
            </w:r>
          </w:p>
        </w:tc>
        <w:tc>
          <w:tcPr>
            <w:tcW w:w="1404" w:type="pct"/>
            <w:shd w:val="clear" w:color="000000" w:fill="FFFFFF"/>
            <w:noWrap w:val="0"/>
            <w:vAlign w:val="center"/>
          </w:tcPr>
          <w:p>
            <w:pPr>
              <w:jc w:val="center"/>
              <w:rPr>
                <w:color w:val="auto"/>
              </w:rPr>
            </w:pPr>
            <w:r>
              <w:rPr>
                <w:color w:val="auto"/>
              </w:rPr>
              <w:t>红外探测器</w:t>
            </w:r>
          </w:p>
        </w:tc>
        <w:tc>
          <w:tcPr>
            <w:tcW w:w="2359" w:type="pct"/>
            <w:shd w:val="clear" w:color="000000" w:fill="FFFFFF"/>
            <w:noWrap w:val="0"/>
            <w:vAlign w:val="top"/>
          </w:tcPr>
          <w:p>
            <w:pPr>
              <w:rPr>
                <w:color w:val="auto"/>
              </w:rPr>
            </w:pPr>
            <w:r>
              <w:rPr>
                <w:color w:val="auto"/>
              </w:rPr>
              <w:t>吸顶式</w:t>
            </w:r>
          </w:p>
        </w:tc>
        <w:tc>
          <w:tcPr>
            <w:tcW w:w="412" w:type="pct"/>
            <w:shd w:val="clear" w:color="000000" w:fill="FFFFFF"/>
            <w:noWrap w:val="0"/>
            <w:vAlign w:val="top"/>
          </w:tcPr>
          <w:p>
            <w:pPr>
              <w:jc w:val="center"/>
              <w:rPr>
                <w:color w:val="auto"/>
              </w:rPr>
            </w:pPr>
            <w:r>
              <w:rPr>
                <w:color w:val="auto"/>
              </w:rPr>
              <w:t>个</w:t>
            </w:r>
          </w:p>
        </w:tc>
        <w:tc>
          <w:tcPr>
            <w:tcW w:w="412" w:type="pct"/>
            <w:shd w:val="clear" w:color="000000" w:fill="FFFFFF"/>
            <w:noWrap w:val="0"/>
            <w:vAlign w:val="top"/>
          </w:tcPr>
          <w:p>
            <w:pPr>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center"/>
          </w:tcPr>
          <w:p>
            <w:pPr>
              <w:jc w:val="center"/>
              <w:rPr>
                <w:color w:val="auto"/>
              </w:rPr>
            </w:pPr>
            <w:r>
              <w:rPr>
                <w:color w:val="auto"/>
              </w:rPr>
              <w:t>9</w:t>
            </w:r>
          </w:p>
        </w:tc>
        <w:tc>
          <w:tcPr>
            <w:tcW w:w="1404" w:type="pct"/>
            <w:shd w:val="clear" w:color="000000" w:fill="FFFFFF"/>
            <w:noWrap w:val="0"/>
            <w:vAlign w:val="center"/>
          </w:tcPr>
          <w:p>
            <w:pPr>
              <w:jc w:val="center"/>
              <w:rPr>
                <w:color w:val="auto"/>
              </w:rPr>
            </w:pPr>
            <w:r>
              <w:rPr>
                <w:color w:val="auto"/>
              </w:rPr>
              <w:t>温湿度感应器</w:t>
            </w:r>
          </w:p>
        </w:tc>
        <w:tc>
          <w:tcPr>
            <w:tcW w:w="2359" w:type="pct"/>
            <w:shd w:val="clear" w:color="000000" w:fill="FFFFFF"/>
            <w:noWrap w:val="0"/>
            <w:vAlign w:val="top"/>
          </w:tcPr>
          <w:p>
            <w:pPr>
              <w:rPr>
                <w:color w:val="auto"/>
              </w:rPr>
            </w:pPr>
            <w:r>
              <w:rPr>
                <w:color w:val="auto"/>
              </w:rPr>
              <w:t>LCD显示；温度测量范围 -20℃-80℃；湿度测量范围 0-100%RH</w:t>
            </w:r>
          </w:p>
        </w:tc>
        <w:tc>
          <w:tcPr>
            <w:tcW w:w="412" w:type="pct"/>
            <w:shd w:val="clear" w:color="000000" w:fill="FFFFFF"/>
            <w:noWrap w:val="0"/>
            <w:vAlign w:val="top"/>
          </w:tcPr>
          <w:p>
            <w:pPr>
              <w:jc w:val="center"/>
              <w:rPr>
                <w:color w:val="auto"/>
              </w:rPr>
            </w:pPr>
            <w:r>
              <w:rPr>
                <w:color w:val="auto"/>
              </w:rPr>
              <w:t>个</w:t>
            </w:r>
          </w:p>
        </w:tc>
        <w:tc>
          <w:tcPr>
            <w:tcW w:w="412" w:type="pct"/>
            <w:shd w:val="clear" w:color="000000" w:fill="FFFFFF"/>
            <w:noWrap w:val="0"/>
            <w:vAlign w:val="top"/>
          </w:tcPr>
          <w:p>
            <w:pPr>
              <w:jc w:val="center"/>
              <w:rPr>
                <w:color w:val="auto"/>
              </w:rPr>
            </w:pPr>
            <w:r>
              <w:rPr>
                <w:color w:val="auto"/>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center"/>
          </w:tcPr>
          <w:p>
            <w:pPr>
              <w:jc w:val="center"/>
              <w:rPr>
                <w:color w:val="auto"/>
              </w:rPr>
            </w:pPr>
            <w:r>
              <w:rPr>
                <w:color w:val="auto"/>
              </w:rPr>
              <w:t>10</w:t>
            </w:r>
          </w:p>
        </w:tc>
        <w:tc>
          <w:tcPr>
            <w:tcW w:w="1404" w:type="pct"/>
            <w:shd w:val="clear" w:color="000000" w:fill="FFFFFF"/>
            <w:noWrap w:val="0"/>
            <w:vAlign w:val="center"/>
          </w:tcPr>
          <w:p>
            <w:pPr>
              <w:jc w:val="center"/>
              <w:rPr>
                <w:color w:val="auto"/>
              </w:rPr>
            </w:pPr>
            <w:r>
              <w:rPr>
                <w:color w:val="auto"/>
              </w:rPr>
              <w:t>烟感探测器</w:t>
            </w:r>
          </w:p>
        </w:tc>
        <w:tc>
          <w:tcPr>
            <w:tcW w:w="2359" w:type="pct"/>
            <w:shd w:val="clear" w:color="000000" w:fill="FFFFFF"/>
            <w:noWrap w:val="0"/>
            <w:vAlign w:val="top"/>
          </w:tcPr>
          <w:p>
            <w:pPr>
              <w:rPr>
                <w:color w:val="auto"/>
              </w:rPr>
            </w:pPr>
            <w:r>
              <w:rPr>
                <w:color w:val="auto"/>
              </w:rPr>
              <w:t>探测模块内的烟雾</w:t>
            </w:r>
          </w:p>
        </w:tc>
        <w:tc>
          <w:tcPr>
            <w:tcW w:w="412" w:type="pct"/>
            <w:shd w:val="clear" w:color="000000" w:fill="FFFFFF"/>
            <w:noWrap w:val="0"/>
            <w:vAlign w:val="top"/>
          </w:tcPr>
          <w:p>
            <w:pPr>
              <w:jc w:val="center"/>
              <w:rPr>
                <w:color w:val="auto"/>
              </w:rPr>
            </w:pPr>
            <w:r>
              <w:rPr>
                <w:color w:val="auto"/>
              </w:rPr>
              <w:t>个</w:t>
            </w:r>
          </w:p>
        </w:tc>
        <w:tc>
          <w:tcPr>
            <w:tcW w:w="412" w:type="pct"/>
            <w:shd w:val="clear" w:color="000000" w:fill="FFFFFF"/>
            <w:noWrap w:val="0"/>
            <w:vAlign w:val="top"/>
          </w:tcPr>
          <w:p>
            <w:pPr>
              <w:jc w:val="center"/>
              <w:rPr>
                <w:color w:val="auto"/>
              </w:rPr>
            </w:pPr>
            <w:r>
              <w:rPr>
                <w:color w:val="auto"/>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center"/>
          </w:tcPr>
          <w:p>
            <w:pPr>
              <w:jc w:val="center"/>
              <w:rPr>
                <w:color w:val="auto"/>
              </w:rPr>
            </w:pPr>
            <w:r>
              <w:rPr>
                <w:color w:val="auto"/>
              </w:rPr>
              <w:t>11</w:t>
            </w:r>
          </w:p>
        </w:tc>
        <w:tc>
          <w:tcPr>
            <w:tcW w:w="1404" w:type="pct"/>
            <w:shd w:val="clear" w:color="000000" w:fill="FFFFFF"/>
            <w:noWrap w:val="0"/>
            <w:vAlign w:val="center"/>
          </w:tcPr>
          <w:p>
            <w:pPr>
              <w:jc w:val="center"/>
              <w:rPr>
                <w:color w:val="auto"/>
              </w:rPr>
            </w:pPr>
            <w:r>
              <w:rPr>
                <w:color w:val="auto"/>
              </w:rPr>
              <w:t>区域式漏水控制模块</w:t>
            </w:r>
          </w:p>
        </w:tc>
        <w:tc>
          <w:tcPr>
            <w:tcW w:w="2359" w:type="pct"/>
            <w:shd w:val="clear" w:color="000000" w:fill="FFFFFF"/>
            <w:noWrap w:val="0"/>
            <w:vAlign w:val="top"/>
          </w:tcPr>
          <w:p>
            <w:pPr>
              <w:rPr>
                <w:color w:val="auto"/>
              </w:rPr>
            </w:pPr>
            <w:r>
              <w:rPr>
                <w:color w:val="auto"/>
              </w:rPr>
              <w:t>工作电压：12-24VDC；工作温度：-20℃～50℃;反应时间：小于2S,检测距离：200米；告警输出阻抗小于50欧，负载电流小于300mA;</w:t>
            </w:r>
          </w:p>
        </w:tc>
        <w:tc>
          <w:tcPr>
            <w:tcW w:w="412" w:type="pct"/>
            <w:shd w:val="clear" w:color="000000" w:fill="FFFFFF"/>
            <w:noWrap/>
            <w:vAlign w:val="top"/>
          </w:tcPr>
          <w:p>
            <w:pPr>
              <w:jc w:val="center"/>
              <w:rPr>
                <w:color w:val="auto"/>
              </w:rPr>
            </w:pPr>
            <w:r>
              <w:rPr>
                <w:color w:val="auto"/>
              </w:rPr>
              <w:t>个</w:t>
            </w:r>
          </w:p>
        </w:tc>
        <w:tc>
          <w:tcPr>
            <w:tcW w:w="412" w:type="pct"/>
            <w:shd w:val="clear" w:color="000000" w:fill="FFFFFF"/>
            <w:noWrap w:val="0"/>
            <w:vAlign w:val="top"/>
          </w:tcPr>
          <w:p>
            <w:pPr>
              <w:jc w:val="center"/>
              <w:rPr>
                <w:color w:val="auto"/>
              </w:rPr>
            </w:pPr>
            <w:r>
              <w:rPr>
                <w:color w:val="auto"/>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center"/>
          </w:tcPr>
          <w:p>
            <w:pPr>
              <w:jc w:val="center"/>
              <w:rPr>
                <w:color w:val="auto"/>
              </w:rPr>
            </w:pPr>
            <w:r>
              <w:rPr>
                <w:color w:val="auto"/>
              </w:rPr>
              <w:t>12</w:t>
            </w:r>
          </w:p>
        </w:tc>
        <w:tc>
          <w:tcPr>
            <w:tcW w:w="1404" w:type="pct"/>
            <w:shd w:val="clear" w:color="000000" w:fill="FFFFFF"/>
            <w:noWrap/>
            <w:vAlign w:val="center"/>
          </w:tcPr>
          <w:p>
            <w:pPr>
              <w:jc w:val="center"/>
              <w:rPr>
                <w:color w:val="auto"/>
              </w:rPr>
            </w:pPr>
            <w:r>
              <w:rPr>
                <w:color w:val="auto"/>
              </w:rPr>
              <w:t>区域漏水感应绳</w:t>
            </w:r>
          </w:p>
        </w:tc>
        <w:tc>
          <w:tcPr>
            <w:tcW w:w="2359" w:type="pct"/>
            <w:shd w:val="clear" w:color="000000" w:fill="FFFFFF"/>
            <w:noWrap w:val="0"/>
            <w:vAlign w:val="top"/>
          </w:tcPr>
          <w:p>
            <w:pPr>
              <w:rPr>
                <w:color w:val="auto"/>
              </w:rPr>
            </w:pPr>
            <w:r>
              <w:rPr>
                <w:color w:val="auto"/>
              </w:rPr>
              <w:t>线缆直径：7.5mm;导线外阻：20欧/100m</w:t>
            </w:r>
            <w:r>
              <w:rPr>
                <w:rFonts w:hint="eastAsia"/>
                <w:color w:val="auto"/>
              </w:rPr>
              <w:t>；</w:t>
            </w:r>
            <w:r>
              <w:rPr>
                <w:color w:val="auto"/>
              </w:rPr>
              <w:t>工作温度：-20℃～85℃</w:t>
            </w:r>
            <w:r>
              <w:rPr>
                <w:rFonts w:hint="eastAsia"/>
                <w:color w:val="auto"/>
              </w:rPr>
              <w:t>；</w:t>
            </w:r>
          </w:p>
        </w:tc>
        <w:tc>
          <w:tcPr>
            <w:tcW w:w="412" w:type="pct"/>
            <w:shd w:val="clear" w:color="000000" w:fill="FFFFFF"/>
            <w:noWrap/>
            <w:vAlign w:val="top"/>
          </w:tcPr>
          <w:p>
            <w:pPr>
              <w:jc w:val="center"/>
              <w:rPr>
                <w:color w:val="auto"/>
              </w:rPr>
            </w:pPr>
            <w:r>
              <w:rPr>
                <w:color w:val="auto"/>
              </w:rPr>
              <w:t>条</w:t>
            </w:r>
          </w:p>
        </w:tc>
        <w:tc>
          <w:tcPr>
            <w:tcW w:w="412" w:type="pct"/>
            <w:shd w:val="clear" w:color="000000" w:fill="FFFFFF"/>
            <w:noWrap w:val="0"/>
            <w:vAlign w:val="top"/>
          </w:tcPr>
          <w:p>
            <w:pPr>
              <w:jc w:val="center"/>
              <w:rPr>
                <w:color w:val="auto"/>
              </w:rPr>
            </w:pPr>
            <w:r>
              <w:rPr>
                <w:color w:val="auto"/>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center"/>
          </w:tcPr>
          <w:p>
            <w:pPr>
              <w:jc w:val="center"/>
              <w:rPr>
                <w:color w:val="auto"/>
              </w:rPr>
            </w:pPr>
            <w:r>
              <w:rPr>
                <w:color w:val="auto"/>
              </w:rPr>
              <w:t>13</w:t>
            </w:r>
          </w:p>
        </w:tc>
        <w:tc>
          <w:tcPr>
            <w:tcW w:w="1404" w:type="pct"/>
            <w:shd w:val="clear" w:color="000000" w:fill="FFFFFF"/>
            <w:noWrap/>
            <w:vAlign w:val="center"/>
          </w:tcPr>
          <w:p>
            <w:pPr>
              <w:jc w:val="center"/>
              <w:rPr>
                <w:color w:val="auto"/>
              </w:rPr>
            </w:pPr>
            <w:r>
              <w:rPr>
                <w:color w:val="auto"/>
              </w:rPr>
              <w:t>网络数字硬盘录像机</w:t>
            </w:r>
          </w:p>
        </w:tc>
        <w:tc>
          <w:tcPr>
            <w:tcW w:w="2359" w:type="pct"/>
            <w:shd w:val="clear" w:color="000000" w:fill="FFFFFF"/>
            <w:noWrap w:val="0"/>
            <w:vAlign w:val="top"/>
          </w:tcPr>
          <w:p>
            <w:pPr>
              <w:rPr>
                <w:color w:val="auto"/>
              </w:rPr>
            </w:pPr>
            <w:r>
              <w:rPr>
                <w:rFonts w:hint="eastAsia"/>
                <w:color w:val="auto"/>
              </w:rPr>
              <w:t>≥</w:t>
            </w:r>
            <w:r>
              <w:rPr>
                <w:color w:val="auto"/>
              </w:rPr>
              <w:t>16路；带POE供电；支持</w:t>
            </w:r>
            <w:r>
              <w:rPr>
                <w:rFonts w:hint="eastAsia"/>
                <w:color w:val="auto"/>
              </w:rPr>
              <w:t>≥</w:t>
            </w:r>
            <w:r>
              <w:rPr>
                <w:color w:val="auto"/>
              </w:rPr>
              <w:t>4个硬盘</w:t>
            </w:r>
          </w:p>
        </w:tc>
        <w:tc>
          <w:tcPr>
            <w:tcW w:w="412" w:type="pct"/>
            <w:shd w:val="clear" w:color="000000" w:fill="FFFFFF"/>
            <w:noWrap/>
            <w:vAlign w:val="top"/>
          </w:tcPr>
          <w:p>
            <w:pPr>
              <w:jc w:val="center"/>
              <w:rPr>
                <w:color w:val="auto"/>
              </w:rPr>
            </w:pPr>
            <w:r>
              <w:rPr>
                <w:color w:val="auto"/>
              </w:rPr>
              <w:t>台</w:t>
            </w:r>
          </w:p>
        </w:tc>
        <w:tc>
          <w:tcPr>
            <w:tcW w:w="412" w:type="pct"/>
            <w:shd w:val="clear" w:color="000000" w:fill="FFFFFF"/>
            <w:noWrap w:val="0"/>
            <w:vAlign w:val="top"/>
          </w:tcPr>
          <w:p>
            <w:pPr>
              <w:jc w:val="center"/>
              <w:rPr>
                <w:color w:val="auto"/>
              </w:rPr>
            </w:pPr>
            <w:r>
              <w:rPr>
                <w:color w:val="auto"/>
              </w:rPr>
              <w:t xml:space="preserve">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center"/>
          </w:tcPr>
          <w:p>
            <w:pPr>
              <w:jc w:val="center"/>
              <w:rPr>
                <w:color w:val="auto"/>
              </w:rPr>
            </w:pPr>
            <w:r>
              <w:rPr>
                <w:color w:val="auto"/>
              </w:rPr>
              <w:t>14</w:t>
            </w:r>
          </w:p>
        </w:tc>
        <w:tc>
          <w:tcPr>
            <w:tcW w:w="1404" w:type="pct"/>
            <w:shd w:val="clear" w:color="000000" w:fill="FFFFFF"/>
            <w:noWrap/>
            <w:vAlign w:val="center"/>
          </w:tcPr>
          <w:p>
            <w:pPr>
              <w:jc w:val="center"/>
              <w:rPr>
                <w:color w:val="auto"/>
              </w:rPr>
            </w:pPr>
            <w:r>
              <w:rPr>
                <w:color w:val="auto"/>
              </w:rPr>
              <w:t>网络半球摄像机</w:t>
            </w:r>
          </w:p>
        </w:tc>
        <w:tc>
          <w:tcPr>
            <w:tcW w:w="2359" w:type="pct"/>
            <w:shd w:val="clear" w:color="000000" w:fill="FFFFFF"/>
            <w:noWrap w:val="0"/>
            <w:vAlign w:val="top"/>
          </w:tcPr>
          <w:p>
            <w:pPr>
              <w:rPr>
                <w:color w:val="auto"/>
              </w:rPr>
            </w:pPr>
            <w:r>
              <w:rPr>
                <w:rFonts w:hint="eastAsia"/>
                <w:color w:val="auto"/>
              </w:rPr>
              <w:t>≥</w:t>
            </w:r>
            <w:r>
              <w:rPr>
                <w:color w:val="auto"/>
              </w:rPr>
              <w:t>130W像素、网络半球摄像机，带POE供电</w:t>
            </w:r>
          </w:p>
        </w:tc>
        <w:tc>
          <w:tcPr>
            <w:tcW w:w="412" w:type="pct"/>
            <w:shd w:val="clear" w:color="000000" w:fill="FFFFFF"/>
            <w:noWrap/>
            <w:vAlign w:val="top"/>
          </w:tcPr>
          <w:p>
            <w:pPr>
              <w:jc w:val="center"/>
              <w:rPr>
                <w:color w:val="auto"/>
              </w:rPr>
            </w:pPr>
            <w:r>
              <w:rPr>
                <w:color w:val="auto"/>
              </w:rPr>
              <w:t>支</w:t>
            </w:r>
          </w:p>
        </w:tc>
        <w:tc>
          <w:tcPr>
            <w:tcW w:w="412" w:type="pct"/>
            <w:shd w:val="clear" w:color="000000" w:fill="FFFFFF"/>
            <w:noWrap w:val="0"/>
            <w:vAlign w:val="top"/>
          </w:tcPr>
          <w:p>
            <w:pPr>
              <w:jc w:val="center"/>
              <w:rPr>
                <w:color w:val="auto"/>
              </w:rPr>
            </w:pPr>
            <w:r>
              <w:rPr>
                <w:color w:val="auto"/>
              </w:rPr>
              <w:t xml:space="preserve">4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center"/>
          </w:tcPr>
          <w:p>
            <w:pPr>
              <w:jc w:val="center"/>
              <w:rPr>
                <w:color w:val="auto"/>
              </w:rPr>
            </w:pPr>
            <w:r>
              <w:rPr>
                <w:color w:val="auto"/>
              </w:rPr>
              <w:t>15</w:t>
            </w:r>
          </w:p>
        </w:tc>
        <w:tc>
          <w:tcPr>
            <w:tcW w:w="1404" w:type="pct"/>
            <w:shd w:val="clear" w:color="000000" w:fill="FFFFFF"/>
            <w:noWrap w:val="0"/>
            <w:vAlign w:val="center"/>
          </w:tcPr>
          <w:p>
            <w:pPr>
              <w:jc w:val="center"/>
              <w:rPr>
                <w:color w:val="auto"/>
              </w:rPr>
            </w:pPr>
            <w:r>
              <w:rPr>
                <w:color w:val="auto"/>
              </w:rPr>
              <w:t>硬盘</w:t>
            </w:r>
          </w:p>
        </w:tc>
        <w:tc>
          <w:tcPr>
            <w:tcW w:w="2359" w:type="pct"/>
            <w:shd w:val="clear" w:color="000000" w:fill="FFFFFF"/>
            <w:noWrap w:val="0"/>
            <w:vAlign w:val="top"/>
          </w:tcPr>
          <w:p>
            <w:pPr>
              <w:rPr>
                <w:color w:val="auto"/>
              </w:rPr>
            </w:pPr>
            <w:r>
              <w:rPr>
                <w:rFonts w:hint="eastAsia"/>
                <w:color w:val="auto"/>
              </w:rPr>
              <w:t>≥</w:t>
            </w:r>
            <w:r>
              <w:rPr>
                <w:color w:val="auto"/>
              </w:rPr>
              <w:t>2TB</w:t>
            </w:r>
          </w:p>
        </w:tc>
        <w:tc>
          <w:tcPr>
            <w:tcW w:w="412" w:type="pct"/>
            <w:shd w:val="clear" w:color="000000" w:fill="FFFFFF"/>
            <w:noWrap/>
            <w:vAlign w:val="top"/>
          </w:tcPr>
          <w:p>
            <w:pPr>
              <w:jc w:val="center"/>
              <w:rPr>
                <w:color w:val="auto"/>
              </w:rPr>
            </w:pPr>
            <w:r>
              <w:rPr>
                <w:color w:val="auto"/>
              </w:rPr>
              <w:t>块</w:t>
            </w:r>
          </w:p>
        </w:tc>
        <w:tc>
          <w:tcPr>
            <w:tcW w:w="412" w:type="pct"/>
            <w:shd w:val="clear" w:color="000000" w:fill="FFFFFF"/>
            <w:noWrap w:val="0"/>
            <w:vAlign w:val="top"/>
          </w:tcPr>
          <w:p>
            <w:pPr>
              <w:jc w:val="center"/>
              <w:rPr>
                <w:color w:val="auto"/>
              </w:rPr>
            </w:pPr>
            <w:r>
              <w:rPr>
                <w:color w:val="auto"/>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center"/>
          </w:tcPr>
          <w:p>
            <w:pPr>
              <w:jc w:val="center"/>
              <w:rPr>
                <w:color w:val="auto"/>
              </w:rPr>
            </w:pPr>
            <w:r>
              <w:rPr>
                <w:color w:val="auto"/>
              </w:rPr>
              <w:t>16</w:t>
            </w:r>
          </w:p>
        </w:tc>
        <w:tc>
          <w:tcPr>
            <w:tcW w:w="1404" w:type="pct"/>
            <w:shd w:val="clear" w:color="000000" w:fill="FFFFFF"/>
            <w:noWrap w:val="0"/>
            <w:vAlign w:val="center"/>
          </w:tcPr>
          <w:p>
            <w:pPr>
              <w:jc w:val="center"/>
              <w:rPr>
                <w:color w:val="auto"/>
              </w:rPr>
            </w:pPr>
            <w:r>
              <w:rPr>
                <w:color w:val="auto"/>
              </w:rPr>
              <w:t>声光报警器</w:t>
            </w:r>
          </w:p>
        </w:tc>
        <w:tc>
          <w:tcPr>
            <w:tcW w:w="2359" w:type="pct"/>
            <w:shd w:val="clear" w:color="000000" w:fill="FFFFFF"/>
            <w:noWrap w:val="0"/>
            <w:vAlign w:val="top"/>
          </w:tcPr>
          <w:p>
            <w:pPr>
              <w:rPr>
                <w:color w:val="auto"/>
              </w:rPr>
            </w:pPr>
            <w:r>
              <w:rPr>
                <w:color w:val="auto"/>
              </w:rPr>
              <w:t>声光报警器</w:t>
            </w:r>
          </w:p>
        </w:tc>
        <w:tc>
          <w:tcPr>
            <w:tcW w:w="412" w:type="pct"/>
            <w:shd w:val="clear" w:color="000000" w:fill="FFFFFF"/>
            <w:noWrap/>
            <w:vAlign w:val="top"/>
          </w:tcPr>
          <w:p>
            <w:pPr>
              <w:jc w:val="center"/>
              <w:rPr>
                <w:color w:val="auto"/>
              </w:rPr>
            </w:pPr>
            <w:r>
              <w:rPr>
                <w:color w:val="auto"/>
              </w:rPr>
              <w:t>个</w:t>
            </w:r>
          </w:p>
        </w:tc>
        <w:tc>
          <w:tcPr>
            <w:tcW w:w="412" w:type="pct"/>
            <w:shd w:val="clear" w:color="000000" w:fill="FFFFFF"/>
            <w:noWrap w:val="0"/>
            <w:vAlign w:val="top"/>
          </w:tcPr>
          <w:p>
            <w:pPr>
              <w:jc w:val="center"/>
              <w:rPr>
                <w:color w:val="auto"/>
              </w:rPr>
            </w:pPr>
            <w:r>
              <w:rPr>
                <w:color w:val="auto"/>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6" w:type="pct"/>
            <w:gridSpan w:val="2"/>
            <w:shd w:val="clear" w:color="000000" w:fill="FFFFFF"/>
            <w:noWrap/>
            <w:vAlign w:val="top"/>
          </w:tcPr>
          <w:p>
            <w:pPr>
              <w:rPr>
                <w:color w:val="auto"/>
              </w:rPr>
            </w:pPr>
            <w:r>
              <w:rPr>
                <w:rFonts w:hint="eastAsia"/>
                <w:color w:val="auto"/>
              </w:rPr>
              <w:t>（五）</w:t>
            </w:r>
            <w:r>
              <w:rPr>
                <w:color w:val="auto"/>
              </w:rPr>
              <w:t>消防系统</w:t>
            </w:r>
          </w:p>
        </w:tc>
        <w:tc>
          <w:tcPr>
            <w:tcW w:w="2359" w:type="pct"/>
            <w:shd w:val="clear" w:color="000000" w:fill="FFFFFF"/>
            <w:noWrap/>
            <w:vAlign w:val="top"/>
          </w:tcPr>
          <w:p>
            <w:pPr>
              <w:rPr>
                <w:color w:val="auto"/>
              </w:rPr>
            </w:pPr>
            <w:r>
              <w:rPr>
                <w:color w:val="auto"/>
              </w:rPr>
              <w:t>　</w:t>
            </w:r>
          </w:p>
        </w:tc>
        <w:tc>
          <w:tcPr>
            <w:tcW w:w="412" w:type="pct"/>
            <w:shd w:val="clear" w:color="000000" w:fill="FFFFFF"/>
            <w:noWrap/>
            <w:vAlign w:val="top"/>
          </w:tcPr>
          <w:p>
            <w:pPr>
              <w:jc w:val="center"/>
              <w:rPr>
                <w:color w:val="auto"/>
              </w:rPr>
            </w:pPr>
            <w:r>
              <w:rPr>
                <w:color w:val="auto"/>
              </w:rPr>
              <w:t>　</w:t>
            </w:r>
          </w:p>
        </w:tc>
        <w:tc>
          <w:tcPr>
            <w:tcW w:w="412" w:type="pct"/>
            <w:shd w:val="clear" w:color="000000" w:fill="FFFFFF"/>
            <w:noWrap/>
            <w:vAlign w:val="top"/>
          </w:tcPr>
          <w:p>
            <w:pPr>
              <w:jc w:val="center"/>
              <w:rPr>
                <w:color w:val="auto"/>
              </w:rPr>
            </w:pPr>
            <w:r>
              <w:rPr>
                <w:color w:val="auto"/>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top"/>
          </w:tcPr>
          <w:p>
            <w:pPr>
              <w:jc w:val="center"/>
              <w:rPr>
                <w:color w:val="auto"/>
              </w:rPr>
            </w:pPr>
            <w:r>
              <w:rPr>
                <w:color w:val="auto"/>
              </w:rPr>
              <w:t>1</w:t>
            </w:r>
          </w:p>
        </w:tc>
        <w:tc>
          <w:tcPr>
            <w:tcW w:w="1404" w:type="pct"/>
            <w:shd w:val="clear" w:color="000000" w:fill="FFFFFF"/>
            <w:noWrap w:val="0"/>
            <w:vAlign w:val="top"/>
          </w:tcPr>
          <w:p>
            <w:pPr>
              <w:jc w:val="center"/>
              <w:rPr>
                <w:color w:val="auto"/>
              </w:rPr>
            </w:pPr>
            <w:r>
              <w:rPr>
                <w:color w:val="auto"/>
              </w:rPr>
              <w:t>120L柜式七氟丙烷灭火装置</w:t>
            </w:r>
          </w:p>
        </w:tc>
        <w:tc>
          <w:tcPr>
            <w:tcW w:w="2359" w:type="pct"/>
            <w:shd w:val="clear" w:color="000000" w:fill="FFFFFF"/>
            <w:noWrap w:val="0"/>
            <w:vAlign w:val="top"/>
          </w:tcPr>
          <w:p>
            <w:pPr>
              <w:rPr>
                <w:color w:val="auto"/>
              </w:rPr>
            </w:pPr>
            <w:r>
              <w:rPr>
                <w:color w:val="auto"/>
              </w:rPr>
              <w:t>120L柜式七氟丙烷灭火装置</w:t>
            </w:r>
          </w:p>
        </w:tc>
        <w:tc>
          <w:tcPr>
            <w:tcW w:w="412" w:type="pct"/>
            <w:shd w:val="clear" w:color="000000" w:fill="FFFFFF"/>
            <w:noWrap w:val="0"/>
            <w:vAlign w:val="top"/>
          </w:tcPr>
          <w:p>
            <w:pPr>
              <w:jc w:val="center"/>
              <w:rPr>
                <w:color w:val="auto"/>
              </w:rPr>
            </w:pPr>
            <w:r>
              <w:rPr>
                <w:color w:val="auto"/>
              </w:rPr>
              <w:t>台</w:t>
            </w:r>
          </w:p>
        </w:tc>
        <w:tc>
          <w:tcPr>
            <w:tcW w:w="412" w:type="pct"/>
            <w:shd w:val="clear" w:color="000000" w:fill="FFFFFF"/>
            <w:noWrap w:val="0"/>
            <w:vAlign w:val="top"/>
          </w:tcPr>
          <w:p>
            <w:pPr>
              <w:jc w:val="center"/>
              <w:rPr>
                <w:color w:val="auto"/>
              </w:rPr>
            </w:pPr>
            <w:r>
              <w:rPr>
                <w:color w:val="auto"/>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noWrap/>
            <w:vAlign w:val="top"/>
          </w:tcPr>
          <w:p>
            <w:pPr>
              <w:jc w:val="center"/>
              <w:rPr>
                <w:color w:val="auto"/>
              </w:rPr>
            </w:pPr>
            <w:r>
              <w:rPr>
                <w:color w:val="auto"/>
              </w:rPr>
              <w:t>2</w:t>
            </w:r>
          </w:p>
        </w:tc>
        <w:tc>
          <w:tcPr>
            <w:tcW w:w="1404" w:type="pct"/>
            <w:noWrap w:val="0"/>
            <w:vAlign w:val="top"/>
          </w:tcPr>
          <w:p>
            <w:pPr>
              <w:jc w:val="center"/>
              <w:rPr>
                <w:color w:val="auto"/>
              </w:rPr>
            </w:pPr>
            <w:r>
              <w:rPr>
                <w:color w:val="auto"/>
              </w:rPr>
              <w:t>七氟丙烷药剂</w:t>
            </w:r>
          </w:p>
        </w:tc>
        <w:tc>
          <w:tcPr>
            <w:tcW w:w="2359" w:type="pct"/>
            <w:noWrap w:val="0"/>
            <w:vAlign w:val="top"/>
          </w:tcPr>
          <w:p>
            <w:pPr>
              <w:rPr>
                <w:color w:val="auto"/>
              </w:rPr>
            </w:pPr>
            <w:r>
              <w:rPr>
                <w:color w:val="auto"/>
              </w:rPr>
              <w:t>七氟丙烷药剂</w:t>
            </w:r>
          </w:p>
        </w:tc>
        <w:tc>
          <w:tcPr>
            <w:tcW w:w="412" w:type="pct"/>
            <w:noWrap w:val="0"/>
            <w:vAlign w:val="top"/>
          </w:tcPr>
          <w:p>
            <w:pPr>
              <w:jc w:val="center"/>
              <w:rPr>
                <w:color w:val="auto"/>
              </w:rPr>
            </w:pPr>
            <w:r>
              <w:rPr>
                <w:color w:val="auto"/>
              </w:rPr>
              <w:t>kg</w:t>
            </w:r>
          </w:p>
        </w:tc>
        <w:tc>
          <w:tcPr>
            <w:tcW w:w="412" w:type="pct"/>
            <w:noWrap w:val="0"/>
            <w:vAlign w:val="top"/>
          </w:tcPr>
          <w:p>
            <w:pPr>
              <w:jc w:val="center"/>
              <w:rPr>
                <w:color w:val="auto"/>
              </w:rPr>
            </w:pPr>
            <w:r>
              <w:rPr>
                <w:color w:val="auto"/>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top"/>
          </w:tcPr>
          <w:p>
            <w:pPr>
              <w:jc w:val="center"/>
              <w:rPr>
                <w:color w:val="auto"/>
              </w:rPr>
            </w:pPr>
            <w:r>
              <w:rPr>
                <w:color w:val="auto"/>
              </w:rPr>
              <w:t>3</w:t>
            </w:r>
          </w:p>
        </w:tc>
        <w:tc>
          <w:tcPr>
            <w:tcW w:w="1404" w:type="pct"/>
            <w:shd w:val="clear" w:color="000000" w:fill="FFFFFF"/>
            <w:noWrap w:val="0"/>
            <w:vAlign w:val="top"/>
          </w:tcPr>
          <w:p>
            <w:pPr>
              <w:jc w:val="center"/>
              <w:rPr>
                <w:color w:val="auto"/>
              </w:rPr>
            </w:pPr>
            <w:r>
              <w:rPr>
                <w:color w:val="auto"/>
              </w:rPr>
              <w:t>泄压口</w:t>
            </w:r>
          </w:p>
        </w:tc>
        <w:tc>
          <w:tcPr>
            <w:tcW w:w="2359" w:type="pct"/>
            <w:shd w:val="clear" w:color="000000" w:fill="FFFFFF"/>
            <w:noWrap w:val="0"/>
            <w:vAlign w:val="top"/>
          </w:tcPr>
          <w:p>
            <w:pPr>
              <w:rPr>
                <w:color w:val="auto"/>
              </w:rPr>
            </w:pPr>
            <w:r>
              <w:rPr>
                <w:color w:val="auto"/>
              </w:rPr>
              <w:t>泄压口</w:t>
            </w:r>
          </w:p>
        </w:tc>
        <w:tc>
          <w:tcPr>
            <w:tcW w:w="412" w:type="pct"/>
            <w:shd w:val="clear" w:color="000000" w:fill="FFFFFF"/>
            <w:noWrap w:val="0"/>
            <w:vAlign w:val="top"/>
          </w:tcPr>
          <w:p>
            <w:pPr>
              <w:jc w:val="center"/>
              <w:rPr>
                <w:color w:val="auto"/>
              </w:rPr>
            </w:pPr>
            <w:r>
              <w:rPr>
                <w:color w:val="auto"/>
              </w:rPr>
              <w:t>套</w:t>
            </w:r>
          </w:p>
        </w:tc>
        <w:tc>
          <w:tcPr>
            <w:tcW w:w="412" w:type="pct"/>
            <w:shd w:val="clear" w:color="000000" w:fill="FFFFFF"/>
            <w:noWrap w:val="0"/>
            <w:vAlign w:val="top"/>
          </w:tcPr>
          <w:p>
            <w:pPr>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top"/>
          </w:tcPr>
          <w:p>
            <w:pPr>
              <w:jc w:val="center"/>
              <w:rPr>
                <w:color w:val="auto"/>
              </w:rPr>
            </w:pPr>
            <w:r>
              <w:rPr>
                <w:color w:val="auto"/>
              </w:rPr>
              <w:t>4</w:t>
            </w:r>
          </w:p>
        </w:tc>
        <w:tc>
          <w:tcPr>
            <w:tcW w:w="1404" w:type="pct"/>
            <w:shd w:val="clear" w:color="000000" w:fill="FFFFFF"/>
            <w:noWrap w:val="0"/>
            <w:vAlign w:val="top"/>
          </w:tcPr>
          <w:p>
            <w:pPr>
              <w:jc w:val="center"/>
              <w:rPr>
                <w:color w:val="auto"/>
              </w:rPr>
            </w:pPr>
            <w:r>
              <w:rPr>
                <w:color w:val="auto"/>
              </w:rPr>
              <w:t>点型光电感烟探测器</w:t>
            </w:r>
          </w:p>
        </w:tc>
        <w:tc>
          <w:tcPr>
            <w:tcW w:w="2359" w:type="pct"/>
            <w:shd w:val="clear" w:color="000000" w:fill="FFFFFF"/>
            <w:noWrap w:val="0"/>
            <w:vAlign w:val="top"/>
          </w:tcPr>
          <w:p>
            <w:pPr>
              <w:rPr>
                <w:color w:val="auto"/>
              </w:rPr>
            </w:pPr>
            <w:r>
              <w:rPr>
                <w:color w:val="auto"/>
              </w:rPr>
              <w:t>点型光电感烟探测器</w:t>
            </w:r>
          </w:p>
        </w:tc>
        <w:tc>
          <w:tcPr>
            <w:tcW w:w="412" w:type="pct"/>
            <w:shd w:val="clear" w:color="000000" w:fill="FFFFFF"/>
            <w:noWrap w:val="0"/>
            <w:vAlign w:val="top"/>
          </w:tcPr>
          <w:p>
            <w:pPr>
              <w:jc w:val="center"/>
              <w:rPr>
                <w:color w:val="auto"/>
              </w:rPr>
            </w:pPr>
            <w:r>
              <w:rPr>
                <w:color w:val="auto"/>
              </w:rPr>
              <w:t>只</w:t>
            </w:r>
          </w:p>
        </w:tc>
        <w:tc>
          <w:tcPr>
            <w:tcW w:w="412" w:type="pct"/>
            <w:shd w:val="clear" w:color="000000" w:fill="FFFFFF"/>
            <w:noWrap w:val="0"/>
            <w:vAlign w:val="top"/>
          </w:tcPr>
          <w:p>
            <w:pPr>
              <w:jc w:val="center"/>
              <w:rPr>
                <w:color w:val="auto"/>
              </w:rPr>
            </w:pPr>
            <w:r>
              <w:rPr>
                <w:color w:val="auto"/>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top"/>
          </w:tcPr>
          <w:p>
            <w:pPr>
              <w:jc w:val="center"/>
              <w:rPr>
                <w:color w:val="auto"/>
              </w:rPr>
            </w:pPr>
            <w:r>
              <w:rPr>
                <w:color w:val="auto"/>
              </w:rPr>
              <w:t>5</w:t>
            </w:r>
          </w:p>
        </w:tc>
        <w:tc>
          <w:tcPr>
            <w:tcW w:w="1404" w:type="pct"/>
            <w:shd w:val="clear" w:color="000000" w:fill="FFFFFF"/>
            <w:noWrap w:val="0"/>
            <w:vAlign w:val="top"/>
          </w:tcPr>
          <w:p>
            <w:pPr>
              <w:jc w:val="center"/>
              <w:rPr>
                <w:color w:val="auto"/>
              </w:rPr>
            </w:pPr>
            <w:r>
              <w:rPr>
                <w:color w:val="auto"/>
              </w:rPr>
              <w:t>点型感温火灾探测器</w:t>
            </w:r>
          </w:p>
        </w:tc>
        <w:tc>
          <w:tcPr>
            <w:tcW w:w="2359" w:type="pct"/>
            <w:shd w:val="clear" w:color="000000" w:fill="FFFFFF"/>
            <w:noWrap w:val="0"/>
            <w:vAlign w:val="top"/>
          </w:tcPr>
          <w:p>
            <w:pPr>
              <w:rPr>
                <w:color w:val="auto"/>
              </w:rPr>
            </w:pPr>
            <w:r>
              <w:rPr>
                <w:color w:val="auto"/>
              </w:rPr>
              <w:t>点型感温火灾探测器</w:t>
            </w:r>
          </w:p>
        </w:tc>
        <w:tc>
          <w:tcPr>
            <w:tcW w:w="412" w:type="pct"/>
            <w:shd w:val="clear" w:color="000000" w:fill="FFFFFF"/>
            <w:noWrap w:val="0"/>
            <w:vAlign w:val="top"/>
          </w:tcPr>
          <w:p>
            <w:pPr>
              <w:jc w:val="center"/>
              <w:rPr>
                <w:color w:val="auto"/>
              </w:rPr>
            </w:pPr>
            <w:r>
              <w:rPr>
                <w:color w:val="auto"/>
              </w:rPr>
              <w:t>只</w:t>
            </w:r>
          </w:p>
        </w:tc>
        <w:tc>
          <w:tcPr>
            <w:tcW w:w="412" w:type="pct"/>
            <w:shd w:val="clear" w:color="000000" w:fill="FFFFFF"/>
            <w:noWrap w:val="0"/>
            <w:vAlign w:val="top"/>
          </w:tcPr>
          <w:p>
            <w:pPr>
              <w:jc w:val="center"/>
              <w:rPr>
                <w:color w:val="auto"/>
              </w:rPr>
            </w:pPr>
            <w:r>
              <w:rPr>
                <w:color w:val="auto"/>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top"/>
          </w:tcPr>
          <w:p>
            <w:pPr>
              <w:jc w:val="center"/>
              <w:rPr>
                <w:color w:val="auto"/>
              </w:rPr>
            </w:pPr>
            <w:r>
              <w:rPr>
                <w:color w:val="auto"/>
              </w:rPr>
              <w:t>6</w:t>
            </w:r>
          </w:p>
        </w:tc>
        <w:tc>
          <w:tcPr>
            <w:tcW w:w="1404" w:type="pct"/>
            <w:shd w:val="clear" w:color="000000" w:fill="FFFFFF"/>
            <w:noWrap w:val="0"/>
            <w:vAlign w:val="top"/>
          </w:tcPr>
          <w:p>
            <w:pPr>
              <w:jc w:val="center"/>
              <w:rPr>
                <w:color w:val="auto"/>
              </w:rPr>
            </w:pPr>
            <w:r>
              <w:rPr>
                <w:color w:val="auto"/>
              </w:rPr>
              <w:t>探测器底座</w:t>
            </w:r>
          </w:p>
        </w:tc>
        <w:tc>
          <w:tcPr>
            <w:tcW w:w="2359" w:type="pct"/>
            <w:shd w:val="clear" w:color="000000" w:fill="FFFFFF"/>
            <w:noWrap w:val="0"/>
            <w:vAlign w:val="top"/>
          </w:tcPr>
          <w:p>
            <w:pPr>
              <w:rPr>
                <w:color w:val="auto"/>
              </w:rPr>
            </w:pPr>
            <w:r>
              <w:rPr>
                <w:color w:val="auto"/>
              </w:rPr>
              <w:t>探测器底座</w:t>
            </w:r>
          </w:p>
        </w:tc>
        <w:tc>
          <w:tcPr>
            <w:tcW w:w="412" w:type="pct"/>
            <w:shd w:val="clear" w:color="000000" w:fill="FFFFFF"/>
            <w:noWrap w:val="0"/>
            <w:vAlign w:val="top"/>
          </w:tcPr>
          <w:p>
            <w:pPr>
              <w:jc w:val="center"/>
              <w:rPr>
                <w:color w:val="auto"/>
              </w:rPr>
            </w:pPr>
            <w:r>
              <w:rPr>
                <w:color w:val="auto"/>
              </w:rPr>
              <w:t>只</w:t>
            </w:r>
          </w:p>
        </w:tc>
        <w:tc>
          <w:tcPr>
            <w:tcW w:w="412" w:type="pct"/>
            <w:shd w:val="clear" w:color="000000" w:fill="FFFFFF"/>
            <w:noWrap w:val="0"/>
            <w:vAlign w:val="top"/>
          </w:tcPr>
          <w:p>
            <w:pPr>
              <w:jc w:val="center"/>
              <w:rPr>
                <w:color w:val="auto"/>
              </w:rPr>
            </w:pPr>
            <w:r>
              <w:rPr>
                <w:color w:val="auto"/>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top"/>
          </w:tcPr>
          <w:p>
            <w:pPr>
              <w:jc w:val="center"/>
              <w:rPr>
                <w:color w:val="auto"/>
              </w:rPr>
            </w:pPr>
            <w:r>
              <w:rPr>
                <w:color w:val="auto"/>
              </w:rPr>
              <w:t>7</w:t>
            </w:r>
          </w:p>
        </w:tc>
        <w:tc>
          <w:tcPr>
            <w:tcW w:w="1404" w:type="pct"/>
            <w:shd w:val="clear" w:color="000000" w:fill="FFFFFF"/>
            <w:noWrap w:val="0"/>
            <w:vAlign w:val="top"/>
          </w:tcPr>
          <w:p>
            <w:pPr>
              <w:jc w:val="center"/>
              <w:rPr>
                <w:color w:val="auto"/>
              </w:rPr>
            </w:pPr>
            <w:r>
              <w:rPr>
                <w:color w:val="auto"/>
              </w:rPr>
              <w:t>声光报警器</w:t>
            </w:r>
          </w:p>
        </w:tc>
        <w:tc>
          <w:tcPr>
            <w:tcW w:w="2359" w:type="pct"/>
            <w:shd w:val="clear" w:color="000000" w:fill="FFFFFF"/>
            <w:noWrap w:val="0"/>
            <w:vAlign w:val="top"/>
          </w:tcPr>
          <w:p>
            <w:pPr>
              <w:rPr>
                <w:color w:val="auto"/>
              </w:rPr>
            </w:pPr>
            <w:r>
              <w:rPr>
                <w:color w:val="auto"/>
              </w:rPr>
              <w:t>声光报警器</w:t>
            </w:r>
          </w:p>
        </w:tc>
        <w:tc>
          <w:tcPr>
            <w:tcW w:w="412" w:type="pct"/>
            <w:shd w:val="clear" w:color="000000" w:fill="FFFFFF"/>
            <w:noWrap w:val="0"/>
            <w:vAlign w:val="top"/>
          </w:tcPr>
          <w:p>
            <w:pPr>
              <w:jc w:val="center"/>
              <w:rPr>
                <w:color w:val="auto"/>
              </w:rPr>
            </w:pPr>
            <w:r>
              <w:rPr>
                <w:color w:val="auto"/>
              </w:rPr>
              <w:t>只</w:t>
            </w:r>
          </w:p>
        </w:tc>
        <w:tc>
          <w:tcPr>
            <w:tcW w:w="412" w:type="pct"/>
            <w:shd w:val="clear" w:color="000000" w:fill="FFFFFF"/>
            <w:noWrap w:val="0"/>
            <w:vAlign w:val="top"/>
          </w:tcPr>
          <w:p>
            <w:pPr>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top"/>
          </w:tcPr>
          <w:p>
            <w:pPr>
              <w:jc w:val="center"/>
              <w:rPr>
                <w:color w:val="auto"/>
              </w:rPr>
            </w:pPr>
            <w:r>
              <w:rPr>
                <w:color w:val="auto"/>
              </w:rPr>
              <w:t>8</w:t>
            </w:r>
          </w:p>
        </w:tc>
        <w:tc>
          <w:tcPr>
            <w:tcW w:w="1404" w:type="pct"/>
            <w:shd w:val="clear" w:color="000000" w:fill="FFFFFF"/>
            <w:noWrap w:val="0"/>
            <w:vAlign w:val="top"/>
          </w:tcPr>
          <w:p>
            <w:pPr>
              <w:jc w:val="center"/>
              <w:rPr>
                <w:color w:val="auto"/>
              </w:rPr>
            </w:pPr>
            <w:r>
              <w:rPr>
                <w:color w:val="auto"/>
              </w:rPr>
              <w:t>警铃</w:t>
            </w:r>
          </w:p>
        </w:tc>
        <w:tc>
          <w:tcPr>
            <w:tcW w:w="2359" w:type="pct"/>
            <w:shd w:val="clear" w:color="000000" w:fill="FFFFFF"/>
            <w:noWrap w:val="0"/>
            <w:vAlign w:val="top"/>
          </w:tcPr>
          <w:p>
            <w:pPr>
              <w:rPr>
                <w:color w:val="auto"/>
              </w:rPr>
            </w:pPr>
            <w:r>
              <w:rPr>
                <w:color w:val="auto"/>
              </w:rPr>
              <w:t>警铃</w:t>
            </w:r>
          </w:p>
        </w:tc>
        <w:tc>
          <w:tcPr>
            <w:tcW w:w="412" w:type="pct"/>
            <w:shd w:val="clear" w:color="000000" w:fill="FFFFFF"/>
            <w:noWrap w:val="0"/>
            <w:vAlign w:val="top"/>
          </w:tcPr>
          <w:p>
            <w:pPr>
              <w:jc w:val="center"/>
              <w:rPr>
                <w:color w:val="auto"/>
              </w:rPr>
            </w:pPr>
            <w:r>
              <w:rPr>
                <w:color w:val="auto"/>
              </w:rPr>
              <w:t>只</w:t>
            </w:r>
          </w:p>
        </w:tc>
        <w:tc>
          <w:tcPr>
            <w:tcW w:w="412" w:type="pct"/>
            <w:shd w:val="clear" w:color="000000" w:fill="FFFFFF"/>
            <w:noWrap w:val="0"/>
            <w:vAlign w:val="top"/>
          </w:tcPr>
          <w:p>
            <w:pPr>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top"/>
          </w:tcPr>
          <w:p>
            <w:pPr>
              <w:jc w:val="center"/>
              <w:rPr>
                <w:color w:val="auto"/>
              </w:rPr>
            </w:pPr>
            <w:r>
              <w:rPr>
                <w:color w:val="auto"/>
              </w:rPr>
              <w:t>9</w:t>
            </w:r>
          </w:p>
        </w:tc>
        <w:tc>
          <w:tcPr>
            <w:tcW w:w="1404" w:type="pct"/>
            <w:shd w:val="clear" w:color="000000" w:fill="FFFFFF"/>
            <w:noWrap w:val="0"/>
            <w:vAlign w:val="top"/>
          </w:tcPr>
          <w:p>
            <w:pPr>
              <w:jc w:val="center"/>
              <w:rPr>
                <w:color w:val="auto"/>
              </w:rPr>
            </w:pPr>
            <w:r>
              <w:rPr>
                <w:color w:val="auto"/>
              </w:rPr>
              <w:t>紧急启停按钮</w:t>
            </w:r>
          </w:p>
        </w:tc>
        <w:tc>
          <w:tcPr>
            <w:tcW w:w="2359" w:type="pct"/>
            <w:shd w:val="clear" w:color="000000" w:fill="FFFFFF"/>
            <w:noWrap w:val="0"/>
            <w:vAlign w:val="top"/>
          </w:tcPr>
          <w:p>
            <w:pPr>
              <w:rPr>
                <w:color w:val="auto"/>
              </w:rPr>
            </w:pPr>
            <w:r>
              <w:rPr>
                <w:color w:val="auto"/>
              </w:rPr>
              <w:t>紧急启停按钮</w:t>
            </w:r>
          </w:p>
        </w:tc>
        <w:tc>
          <w:tcPr>
            <w:tcW w:w="412" w:type="pct"/>
            <w:shd w:val="clear" w:color="000000" w:fill="FFFFFF"/>
            <w:noWrap w:val="0"/>
            <w:vAlign w:val="top"/>
          </w:tcPr>
          <w:p>
            <w:pPr>
              <w:jc w:val="center"/>
              <w:rPr>
                <w:color w:val="auto"/>
              </w:rPr>
            </w:pPr>
            <w:r>
              <w:rPr>
                <w:color w:val="auto"/>
              </w:rPr>
              <w:t>只</w:t>
            </w:r>
          </w:p>
        </w:tc>
        <w:tc>
          <w:tcPr>
            <w:tcW w:w="412" w:type="pct"/>
            <w:shd w:val="clear" w:color="000000" w:fill="FFFFFF"/>
            <w:noWrap w:val="0"/>
            <w:vAlign w:val="top"/>
          </w:tcPr>
          <w:p>
            <w:pPr>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top"/>
          </w:tcPr>
          <w:p>
            <w:pPr>
              <w:jc w:val="center"/>
              <w:rPr>
                <w:color w:val="auto"/>
              </w:rPr>
            </w:pPr>
            <w:r>
              <w:rPr>
                <w:color w:val="auto"/>
              </w:rPr>
              <w:t>10</w:t>
            </w:r>
          </w:p>
        </w:tc>
        <w:tc>
          <w:tcPr>
            <w:tcW w:w="1404" w:type="pct"/>
            <w:shd w:val="clear" w:color="000000" w:fill="FFFFFF"/>
            <w:noWrap w:val="0"/>
            <w:vAlign w:val="top"/>
          </w:tcPr>
          <w:p>
            <w:pPr>
              <w:jc w:val="center"/>
              <w:rPr>
                <w:color w:val="auto"/>
              </w:rPr>
            </w:pPr>
            <w:r>
              <w:rPr>
                <w:color w:val="auto"/>
              </w:rPr>
              <w:t>放气指示灯</w:t>
            </w:r>
          </w:p>
        </w:tc>
        <w:tc>
          <w:tcPr>
            <w:tcW w:w="2359" w:type="pct"/>
            <w:shd w:val="clear" w:color="000000" w:fill="FFFFFF"/>
            <w:noWrap w:val="0"/>
            <w:vAlign w:val="top"/>
          </w:tcPr>
          <w:p>
            <w:pPr>
              <w:rPr>
                <w:color w:val="auto"/>
              </w:rPr>
            </w:pPr>
            <w:r>
              <w:rPr>
                <w:color w:val="auto"/>
              </w:rPr>
              <w:t>放气指示灯</w:t>
            </w:r>
          </w:p>
        </w:tc>
        <w:tc>
          <w:tcPr>
            <w:tcW w:w="412" w:type="pct"/>
            <w:shd w:val="clear" w:color="000000" w:fill="FFFFFF"/>
            <w:noWrap w:val="0"/>
            <w:vAlign w:val="top"/>
          </w:tcPr>
          <w:p>
            <w:pPr>
              <w:jc w:val="center"/>
              <w:rPr>
                <w:color w:val="auto"/>
              </w:rPr>
            </w:pPr>
            <w:r>
              <w:rPr>
                <w:color w:val="auto"/>
              </w:rPr>
              <w:t>只</w:t>
            </w:r>
          </w:p>
        </w:tc>
        <w:tc>
          <w:tcPr>
            <w:tcW w:w="412" w:type="pct"/>
            <w:shd w:val="clear" w:color="000000" w:fill="FFFFFF"/>
            <w:noWrap w:val="0"/>
            <w:vAlign w:val="top"/>
          </w:tcPr>
          <w:p>
            <w:pPr>
              <w:jc w:val="center"/>
              <w:rPr>
                <w:color w:val="auto"/>
              </w:rPr>
            </w:pPr>
            <w:r>
              <w:rPr>
                <w:color w:val="auto"/>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2" w:type="pct"/>
            <w:shd w:val="clear" w:color="000000" w:fill="FFFFFF"/>
            <w:noWrap/>
            <w:vAlign w:val="top"/>
          </w:tcPr>
          <w:p>
            <w:pPr>
              <w:jc w:val="center"/>
              <w:rPr>
                <w:color w:val="auto"/>
              </w:rPr>
            </w:pPr>
            <w:r>
              <w:rPr>
                <w:color w:val="auto"/>
              </w:rPr>
              <w:t>11</w:t>
            </w:r>
          </w:p>
        </w:tc>
        <w:tc>
          <w:tcPr>
            <w:tcW w:w="1404" w:type="pct"/>
            <w:shd w:val="clear" w:color="000000" w:fill="FFFFFF"/>
            <w:noWrap w:val="0"/>
            <w:vAlign w:val="top"/>
          </w:tcPr>
          <w:p>
            <w:pPr>
              <w:jc w:val="center"/>
              <w:rPr>
                <w:color w:val="auto"/>
              </w:rPr>
            </w:pPr>
            <w:r>
              <w:rPr>
                <w:color w:val="auto"/>
              </w:rPr>
              <w:t>气体灭火控制器1区</w:t>
            </w:r>
          </w:p>
        </w:tc>
        <w:tc>
          <w:tcPr>
            <w:tcW w:w="2359" w:type="pct"/>
            <w:shd w:val="clear" w:color="000000" w:fill="FFFFFF"/>
            <w:noWrap w:val="0"/>
            <w:vAlign w:val="top"/>
          </w:tcPr>
          <w:p>
            <w:pPr>
              <w:rPr>
                <w:color w:val="auto"/>
              </w:rPr>
            </w:pPr>
            <w:r>
              <w:rPr>
                <w:color w:val="auto"/>
              </w:rPr>
              <w:t>气体灭火控制器1区</w:t>
            </w:r>
          </w:p>
        </w:tc>
        <w:tc>
          <w:tcPr>
            <w:tcW w:w="412" w:type="pct"/>
            <w:shd w:val="clear" w:color="000000" w:fill="FFFFFF"/>
            <w:noWrap w:val="0"/>
            <w:vAlign w:val="top"/>
          </w:tcPr>
          <w:p>
            <w:pPr>
              <w:jc w:val="center"/>
              <w:rPr>
                <w:color w:val="auto"/>
              </w:rPr>
            </w:pPr>
            <w:r>
              <w:rPr>
                <w:color w:val="auto"/>
              </w:rPr>
              <w:t>台</w:t>
            </w:r>
          </w:p>
        </w:tc>
        <w:tc>
          <w:tcPr>
            <w:tcW w:w="412" w:type="pct"/>
            <w:shd w:val="clear" w:color="000000" w:fill="FFFFFF"/>
            <w:noWrap w:val="0"/>
            <w:vAlign w:val="top"/>
          </w:tcPr>
          <w:p>
            <w:pPr>
              <w:jc w:val="center"/>
              <w:rPr>
                <w:color w:val="auto"/>
              </w:rPr>
            </w:pPr>
            <w:r>
              <w:rPr>
                <w:color w:val="auto"/>
              </w:rPr>
              <w:t>1</w:t>
            </w:r>
          </w:p>
        </w:tc>
      </w:tr>
    </w:tbl>
    <w:p>
      <w:pPr>
        <w:pStyle w:val="8"/>
        <w:widowControl/>
        <w:spacing w:beforeAutospacing="0" w:afterAutospacing="0" w:line="360" w:lineRule="auto"/>
        <w:jc w:val="both"/>
        <w:rPr>
          <w:rFonts w:ascii="宋体" w:hAnsi="宋体" w:eastAsia="宋体" w:cs="Times New Roman"/>
          <w:b/>
          <w:bCs/>
          <w:color w:val="auto"/>
          <w:shd w:val="clear" w:color="auto" w:fill="FFFFFF"/>
        </w:rPr>
      </w:pPr>
      <w:r>
        <w:rPr>
          <w:rFonts w:hint="eastAsia" w:ascii="宋体" w:hAnsi="宋体" w:eastAsia="宋体" w:cs="Times New Roman"/>
          <w:b/>
          <w:bCs/>
          <w:color w:val="auto"/>
          <w:shd w:val="clear" w:color="auto" w:fill="FFFFFF"/>
        </w:rPr>
        <w:t>3.1</w:t>
      </w:r>
      <w:r>
        <w:rPr>
          <w:rFonts w:ascii="宋体" w:hAnsi="宋体" w:eastAsia="宋体" w:cs="Times New Roman"/>
          <w:b/>
          <w:bCs/>
          <w:color w:val="auto"/>
          <w:shd w:val="clear" w:color="auto" w:fill="FFFFFF"/>
        </w:rPr>
        <w:t>.10 信息消费展厅</w:t>
      </w:r>
    </w:p>
    <w:tbl>
      <w:tblPr>
        <w:tblStyle w:val="9"/>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983"/>
        <w:gridCol w:w="1134"/>
        <w:gridCol w:w="4740"/>
        <w:gridCol w:w="796"/>
        <w:gridCol w:w="6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序号</w:t>
            </w:r>
          </w:p>
        </w:tc>
        <w:tc>
          <w:tcPr>
            <w:tcW w:w="983" w:type="dxa"/>
            <w:shd w:val="clear" w:color="000000" w:fill="FFFFFF"/>
            <w:noWrap/>
            <w:vAlign w:val="center"/>
          </w:tcPr>
          <w:p>
            <w:pPr>
              <w:adjustRightInd w:val="0"/>
              <w:snapToGrid w:val="0"/>
              <w:rPr>
                <w:color w:val="auto"/>
              </w:rPr>
            </w:pPr>
            <w:r>
              <w:rPr>
                <w:color w:val="auto"/>
              </w:rPr>
              <w:t>名称</w:t>
            </w:r>
          </w:p>
        </w:tc>
        <w:tc>
          <w:tcPr>
            <w:tcW w:w="5874" w:type="dxa"/>
            <w:gridSpan w:val="2"/>
            <w:shd w:val="clear" w:color="000000" w:fill="FFFFFF"/>
            <w:noWrap/>
            <w:vAlign w:val="center"/>
          </w:tcPr>
          <w:p>
            <w:pPr>
              <w:adjustRightInd w:val="0"/>
              <w:snapToGrid w:val="0"/>
              <w:jc w:val="center"/>
              <w:rPr>
                <w:color w:val="auto"/>
              </w:rPr>
            </w:pPr>
            <w:r>
              <w:rPr>
                <w:color w:val="auto"/>
              </w:rPr>
              <w:t>技术要求</w:t>
            </w:r>
          </w:p>
        </w:tc>
        <w:tc>
          <w:tcPr>
            <w:tcW w:w="796" w:type="dxa"/>
            <w:shd w:val="clear" w:color="000000" w:fill="FFFFFF"/>
            <w:noWrap/>
            <w:vAlign w:val="center"/>
          </w:tcPr>
          <w:p>
            <w:pPr>
              <w:adjustRightInd w:val="0"/>
              <w:snapToGrid w:val="0"/>
              <w:rPr>
                <w:color w:val="auto"/>
              </w:rPr>
            </w:pPr>
            <w:r>
              <w:rPr>
                <w:color w:val="auto"/>
              </w:rPr>
              <w:t>数量</w:t>
            </w:r>
          </w:p>
        </w:tc>
        <w:tc>
          <w:tcPr>
            <w:tcW w:w="638" w:type="dxa"/>
            <w:shd w:val="clear" w:color="000000" w:fill="FFFFFF"/>
            <w:noWrap/>
            <w:vAlign w:val="center"/>
          </w:tcPr>
          <w:p>
            <w:pPr>
              <w:adjustRightInd w:val="0"/>
              <w:snapToGrid w:val="0"/>
              <w:rPr>
                <w:color w:val="auto"/>
              </w:rPr>
            </w:pPr>
            <w:r>
              <w:rPr>
                <w:color w:val="auto"/>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1</w:t>
            </w:r>
          </w:p>
        </w:tc>
        <w:tc>
          <w:tcPr>
            <w:tcW w:w="983" w:type="dxa"/>
            <w:vMerge w:val="restart"/>
            <w:noWrap/>
            <w:vAlign w:val="center"/>
          </w:tcPr>
          <w:p>
            <w:pPr>
              <w:adjustRightInd w:val="0"/>
              <w:snapToGrid w:val="0"/>
              <w:rPr>
                <w:color w:val="auto"/>
              </w:rPr>
            </w:pPr>
            <w:r>
              <w:rPr>
                <w:color w:val="auto"/>
              </w:rPr>
              <w:t>顶面工程</w:t>
            </w:r>
          </w:p>
        </w:tc>
        <w:tc>
          <w:tcPr>
            <w:tcW w:w="1134" w:type="dxa"/>
            <w:noWrap w:val="0"/>
            <w:vAlign w:val="center"/>
          </w:tcPr>
          <w:p>
            <w:pPr>
              <w:adjustRightInd w:val="0"/>
              <w:snapToGrid w:val="0"/>
              <w:rPr>
                <w:color w:val="auto"/>
              </w:rPr>
            </w:pPr>
            <w:r>
              <w:rPr>
                <w:color w:val="auto"/>
              </w:rPr>
              <w:t>天棚龙骨吊顶</w:t>
            </w:r>
          </w:p>
        </w:tc>
        <w:tc>
          <w:tcPr>
            <w:tcW w:w="4740" w:type="dxa"/>
            <w:noWrap w:val="0"/>
            <w:vAlign w:val="center"/>
          </w:tcPr>
          <w:p>
            <w:pPr>
              <w:adjustRightInd w:val="0"/>
              <w:snapToGrid w:val="0"/>
              <w:rPr>
                <w:color w:val="auto"/>
              </w:rPr>
            </w:pPr>
            <w:r>
              <w:rPr>
                <w:rFonts w:hint="eastAsia"/>
                <w:color w:val="auto"/>
              </w:rPr>
              <w:t>12mm厚60型轻钢龙骨配50型副龙骨；双层纸面石膏板(9.5mm厚/12mm)、镀锌自攻钉固定；石膏板拼接留缝。                 有造型处的吊顶采用15MM厚防火阻燃板作基层;由于原建筑层高为超高层，需采用20*40方钢做转换层。</w:t>
            </w:r>
          </w:p>
        </w:tc>
        <w:tc>
          <w:tcPr>
            <w:tcW w:w="796" w:type="dxa"/>
            <w:noWrap/>
            <w:vAlign w:val="center"/>
          </w:tcPr>
          <w:p>
            <w:pPr>
              <w:adjustRightInd w:val="0"/>
              <w:snapToGrid w:val="0"/>
              <w:rPr>
                <w:color w:val="auto"/>
              </w:rPr>
            </w:pPr>
            <w:r>
              <w:rPr>
                <w:color w:val="auto"/>
              </w:rPr>
              <w:t>580</w:t>
            </w:r>
          </w:p>
        </w:tc>
        <w:tc>
          <w:tcPr>
            <w:tcW w:w="638" w:type="dxa"/>
            <w:noWrap/>
            <w:vAlign w:val="center"/>
          </w:tcPr>
          <w:p>
            <w:pPr>
              <w:adjustRightInd w:val="0"/>
              <w:snapToGrid w:val="0"/>
              <w:rPr>
                <w:color w:val="auto"/>
              </w:rPr>
            </w:pPr>
            <w:r>
              <w:rPr>
                <w:color w:val="auto"/>
              </w:rPr>
              <w:t>m</w:t>
            </w:r>
            <w:r>
              <w:rPr>
                <w:color w:val="auto"/>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2</w:t>
            </w:r>
          </w:p>
        </w:tc>
        <w:tc>
          <w:tcPr>
            <w:tcW w:w="983" w:type="dxa"/>
            <w:vMerge w:val="continue"/>
            <w:noWrap w:val="0"/>
            <w:vAlign w:val="center"/>
          </w:tcPr>
          <w:p>
            <w:pPr>
              <w:adjustRightInd w:val="0"/>
              <w:snapToGrid w:val="0"/>
              <w:rPr>
                <w:color w:val="auto"/>
              </w:rPr>
            </w:pPr>
          </w:p>
        </w:tc>
        <w:tc>
          <w:tcPr>
            <w:tcW w:w="1134" w:type="dxa"/>
            <w:noWrap w:val="0"/>
            <w:vAlign w:val="center"/>
          </w:tcPr>
          <w:p>
            <w:pPr>
              <w:adjustRightInd w:val="0"/>
              <w:snapToGrid w:val="0"/>
              <w:rPr>
                <w:color w:val="auto"/>
              </w:rPr>
            </w:pPr>
            <w:r>
              <w:rPr>
                <w:color w:val="auto"/>
              </w:rPr>
              <w:t>软膜天花</w:t>
            </w:r>
          </w:p>
        </w:tc>
        <w:tc>
          <w:tcPr>
            <w:tcW w:w="4740" w:type="dxa"/>
            <w:noWrap w:val="0"/>
            <w:vAlign w:val="center"/>
          </w:tcPr>
          <w:p>
            <w:pPr>
              <w:adjustRightInd w:val="0"/>
              <w:snapToGrid w:val="0"/>
              <w:rPr>
                <w:color w:val="auto"/>
              </w:rPr>
            </w:pPr>
            <w:r>
              <w:rPr>
                <w:rFonts w:hint="eastAsia"/>
                <w:color w:val="auto"/>
              </w:rPr>
              <w:t>12</w:t>
            </w:r>
            <w:r>
              <w:rPr>
                <w:color w:val="auto"/>
              </w:rPr>
              <w:t>mm</w:t>
            </w:r>
            <w:r>
              <w:rPr>
                <w:rFonts w:hint="eastAsia"/>
                <w:color w:val="auto"/>
              </w:rPr>
              <w:t>厚60型轻钢龙骨配50型副龙骨；防火阻燃板(15mm厚/18mm)底层、镀锌自攻钉固定，纸面石膏板(9.5mm厚/12mm)面层；防火板及石膏板错缝拼接并留5mm缝；基层刮白处理；A级软膜天花异形工艺安装</w:t>
            </w:r>
          </w:p>
        </w:tc>
        <w:tc>
          <w:tcPr>
            <w:tcW w:w="796" w:type="dxa"/>
            <w:noWrap/>
            <w:vAlign w:val="center"/>
          </w:tcPr>
          <w:p>
            <w:pPr>
              <w:adjustRightInd w:val="0"/>
              <w:snapToGrid w:val="0"/>
              <w:rPr>
                <w:color w:val="auto"/>
              </w:rPr>
            </w:pPr>
            <w:r>
              <w:rPr>
                <w:color w:val="auto"/>
              </w:rPr>
              <w:t>120</w:t>
            </w:r>
          </w:p>
        </w:tc>
        <w:tc>
          <w:tcPr>
            <w:tcW w:w="638" w:type="dxa"/>
            <w:noWrap/>
            <w:vAlign w:val="center"/>
          </w:tcPr>
          <w:p>
            <w:pPr>
              <w:adjustRightInd w:val="0"/>
              <w:snapToGrid w:val="0"/>
              <w:rPr>
                <w:color w:val="auto"/>
              </w:rPr>
            </w:pPr>
            <w:r>
              <w:rPr>
                <w:color w:val="auto"/>
              </w:rPr>
              <w:t>m</w:t>
            </w:r>
            <w:r>
              <w:rPr>
                <w:color w:val="auto"/>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3</w:t>
            </w:r>
          </w:p>
        </w:tc>
        <w:tc>
          <w:tcPr>
            <w:tcW w:w="983" w:type="dxa"/>
            <w:vMerge w:val="continue"/>
            <w:noWrap w:val="0"/>
            <w:vAlign w:val="center"/>
          </w:tcPr>
          <w:p>
            <w:pPr>
              <w:adjustRightInd w:val="0"/>
              <w:snapToGrid w:val="0"/>
              <w:rPr>
                <w:color w:val="auto"/>
              </w:rPr>
            </w:pPr>
          </w:p>
        </w:tc>
        <w:tc>
          <w:tcPr>
            <w:tcW w:w="1134" w:type="dxa"/>
            <w:noWrap w:val="0"/>
            <w:vAlign w:val="center"/>
          </w:tcPr>
          <w:p>
            <w:pPr>
              <w:adjustRightInd w:val="0"/>
              <w:snapToGrid w:val="0"/>
              <w:rPr>
                <w:color w:val="auto"/>
              </w:rPr>
            </w:pPr>
            <w:r>
              <w:rPr>
                <w:color w:val="auto"/>
              </w:rPr>
              <w:t>不锈钢</w:t>
            </w:r>
          </w:p>
        </w:tc>
        <w:tc>
          <w:tcPr>
            <w:tcW w:w="4740" w:type="dxa"/>
            <w:noWrap w:val="0"/>
            <w:vAlign w:val="center"/>
          </w:tcPr>
          <w:p>
            <w:pPr>
              <w:adjustRightInd w:val="0"/>
              <w:snapToGrid w:val="0"/>
              <w:rPr>
                <w:color w:val="auto"/>
              </w:rPr>
            </w:pPr>
            <w:r>
              <w:rPr>
                <w:rFonts w:hint="eastAsia"/>
                <w:color w:val="auto"/>
              </w:rPr>
              <w:t>12</w:t>
            </w:r>
            <w:r>
              <w:rPr>
                <w:color w:val="auto"/>
              </w:rPr>
              <w:t>mm</w:t>
            </w:r>
            <w:r>
              <w:rPr>
                <w:rFonts w:hint="eastAsia"/>
                <w:color w:val="auto"/>
              </w:rPr>
              <w:t>厚60型轻钢龙骨配50型副龙骨；防火阻燃板(18mm)基层、镀锌自攻钉固定；防火板拼接并留5mm缝。基层处理；黑钛拉丝304防指纹不锈钢异形工艺安装。</w:t>
            </w:r>
          </w:p>
        </w:tc>
        <w:tc>
          <w:tcPr>
            <w:tcW w:w="796" w:type="dxa"/>
            <w:noWrap/>
            <w:vAlign w:val="center"/>
          </w:tcPr>
          <w:p>
            <w:pPr>
              <w:adjustRightInd w:val="0"/>
              <w:snapToGrid w:val="0"/>
              <w:rPr>
                <w:color w:val="auto"/>
              </w:rPr>
            </w:pPr>
            <w:r>
              <w:rPr>
                <w:color w:val="auto"/>
              </w:rPr>
              <w:t>15</w:t>
            </w:r>
          </w:p>
        </w:tc>
        <w:tc>
          <w:tcPr>
            <w:tcW w:w="638" w:type="dxa"/>
            <w:noWrap/>
            <w:vAlign w:val="center"/>
          </w:tcPr>
          <w:p>
            <w:pPr>
              <w:adjustRightInd w:val="0"/>
              <w:snapToGrid w:val="0"/>
              <w:rPr>
                <w:color w:val="auto"/>
              </w:rPr>
            </w:pPr>
            <w:r>
              <w:rPr>
                <w:color w:val="auto"/>
              </w:rPr>
              <w:t>m</w:t>
            </w:r>
            <w:r>
              <w:rPr>
                <w:color w:val="auto"/>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4</w:t>
            </w:r>
          </w:p>
        </w:tc>
        <w:tc>
          <w:tcPr>
            <w:tcW w:w="983" w:type="dxa"/>
            <w:vMerge w:val="continue"/>
            <w:noWrap w:val="0"/>
            <w:vAlign w:val="center"/>
          </w:tcPr>
          <w:p>
            <w:pPr>
              <w:adjustRightInd w:val="0"/>
              <w:snapToGrid w:val="0"/>
              <w:rPr>
                <w:color w:val="auto"/>
              </w:rPr>
            </w:pPr>
          </w:p>
        </w:tc>
        <w:tc>
          <w:tcPr>
            <w:tcW w:w="1134" w:type="dxa"/>
            <w:noWrap w:val="0"/>
            <w:vAlign w:val="center"/>
          </w:tcPr>
          <w:p>
            <w:pPr>
              <w:adjustRightInd w:val="0"/>
              <w:snapToGrid w:val="0"/>
              <w:rPr>
                <w:color w:val="auto"/>
              </w:rPr>
            </w:pPr>
            <w:r>
              <w:rPr>
                <w:color w:val="auto"/>
              </w:rPr>
              <w:t>天棚基层及乳胶漆</w:t>
            </w:r>
          </w:p>
        </w:tc>
        <w:tc>
          <w:tcPr>
            <w:tcW w:w="4740" w:type="dxa"/>
            <w:noWrap w:val="0"/>
            <w:vAlign w:val="center"/>
          </w:tcPr>
          <w:p>
            <w:pPr>
              <w:adjustRightInd w:val="0"/>
              <w:snapToGrid w:val="0"/>
              <w:rPr>
                <w:color w:val="auto"/>
              </w:rPr>
            </w:pPr>
            <w:r>
              <w:rPr>
                <w:rFonts w:hint="eastAsia"/>
                <w:color w:val="auto"/>
              </w:rPr>
              <w:t>胶水+滑石粉，白水泥或石膏粉基层处理三遍，砂纸打磨；白布或牛皮纸贴缝处理；            阴阳角条；底漆一遍，面漆防火白色无机矿物涂料（A级）两遍；</w:t>
            </w:r>
          </w:p>
        </w:tc>
        <w:tc>
          <w:tcPr>
            <w:tcW w:w="796" w:type="dxa"/>
            <w:noWrap/>
            <w:vAlign w:val="center"/>
          </w:tcPr>
          <w:p>
            <w:pPr>
              <w:adjustRightInd w:val="0"/>
              <w:snapToGrid w:val="0"/>
              <w:rPr>
                <w:color w:val="auto"/>
              </w:rPr>
            </w:pPr>
            <w:r>
              <w:rPr>
                <w:color w:val="auto"/>
              </w:rPr>
              <w:t>580</w:t>
            </w:r>
          </w:p>
        </w:tc>
        <w:tc>
          <w:tcPr>
            <w:tcW w:w="638" w:type="dxa"/>
            <w:noWrap/>
            <w:vAlign w:val="center"/>
          </w:tcPr>
          <w:p>
            <w:pPr>
              <w:adjustRightInd w:val="0"/>
              <w:snapToGrid w:val="0"/>
              <w:rPr>
                <w:color w:val="auto"/>
              </w:rPr>
            </w:pPr>
            <w:r>
              <w:rPr>
                <w:color w:val="auto"/>
              </w:rPr>
              <w:t>m</w:t>
            </w:r>
            <w:r>
              <w:rPr>
                <w:color w:val="auto"/>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5</w:t>
            </w:r>
          </w:p>
        </w:tc>
        <w:tc>
          <w:tcPr>
            <w:tcW w:w="983" w:type="dxa"/>
            <w:vMerge w:val="restart"/>
            <w:shd w:val="clear" w:color="000000" w:fill="FFFFFF"/>
            <w:noWrap/>
            <w:vAlign w:val="center"/>
          </w:tcPr>
          <w:p>
            <w:pPr>
              <w:adjustRightInd w:val="0"/>
              <w:snapToGrid w:val="0"/>
              <w:rPr>
                <w:color w:val="auto"/>
              </w:rPr>
            </w:pPr>
            <w:r>
              <w:rPr>
                <w:color w:val="auto"/>
              </w:rPr>
              <w:t>地面工程</w:t>
            </w:r>
          </w:p>
        </w:tc>
        <w:tc>
          <w:tcPr>
            <w:tcW w:w="1134" w:type="dxa"/>
            <w:shd w:val="clear" w:color="000000" w:fill="FFFFFF"/>
            <w:noWrap w:val="0"/>
            <w:vAlign w:val="center"/>
          </w:tcPr>
          <w:p>
            <w:pPr>
              <w:adjustRightInd w:val="0"/>
              <w:snapToGrid w:val="0"/>
              <w:rPr>
                <w:color w:val="auto"/>
              </w:rPr>
            </w:pPr>
            <w:r>
              <w:rPr>
                <w:color w:val="auto"/>
              </w:rPr>
              <w:t>地面找平</w:t>
            </w:r>
          </w:p>
        </w:tc>
        <w:tc>
          <w:tcPr>
            <w:tcW w:w="4740" w:type="dxa"/>
            <w:shd w:val="clear" w:color="000000" w:fill="FFFFFF"/>
            <w:noWrap w:val="0"/>
            <w:vAlign w:val="center"/>
          </w:tcPr>
          <w:p>
            <w:pPr>
              <w:adjustRightInd w:val="0"/>
              <w:snapToGrid w:val="0"/>
              <w:rPr>
                <w:color w:val="auto"/>
              </w:rPr>
            </w:pPr>
            <w:r>
              <w:rPr>
                <w:rFonts w:hint="eastAsia"/>
                <w:color w:val="auto"/>
              </w:rPr>
              <w:t xml:space="preserve">楼层清理；325普通硅酸盐水泥、河砂 、石粉搅拌均匀，厚度30mm以上找平层；平整无空鼓，修光处理，自流平一遍；环氧树脂面层。            </w:t>
            </w:r>
          </w:p>
        </w:tc>
        <w:tc>
          <w:tcPr>
            <w:tcW w:w="796" w:type="dxa"/>
            <w:noWrap/>
            <w:vAlign w:val="center"/>
          </w:tcPr>
          <w:p>
            <w:pPr>
              <w:adjustRightInd w:val="0"/>
              <w:snapToGrid w:val="0"/>
              <w:rPr>
                <w:color w:val="auto"/>
              </w:rPr>
            </w:pPr>
            <w:r>
              <w:rPr>
                <w:color w:val="auto"/>
              </w:rPr>
              <w:t>528</w:t>
            </w:r>
          </w:p>
        </w:tc>
        <w:tc>
          <w:tcPr>
            <w:tcW w:w="638" w:type="dxa"/>
            <w:noWrap/>
            <w:vAlign w:val="center"/>
          </w:tcPr>
          <w:p>
            <w:pPr>
              <w:adjustRightInd w:val="0"/>
              <w:snapToGrid w:val="0"/>
              <w:rPr>
                <w:color w:val="auto"/>
              </w:rPr>
            </w:pPr>
            <w:r>
              <w:rPr>
                <w:color w:val="auto"/>
              </w:rPr>
              <w:t>m</w:t>
            </w:r>
            <w:r>
              <w:rPr>
                <w:color w:val="auto"/>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6</w:t>
            </w:r>
          </w:p>
        </w:tc>
        <w:tc>
          <w:tcPr>
            <w:tcW w:w="983" w:type="dxa"/>
            <w:vMerge w:val="continue"/>
            <w:shd w:val="clear" w:color="auto" w:fill="auto"/>
            <w:noWrap w:val="0"/>
            <w:vAlign w:val="center"/>
          </w:tcPr>
          <w:p>
            <w:pPr>
              <w:adjustRightInd w:val="0"/>
              <w:snapToGrid w:val="0"/>
              <w:rPr>
                <w:color w:val="auto"/>
              </w:rPr>
            </w:pPr>
          </w:p>
        </w:tc>
        <w:tc>
          <w:tcPr>
            <w:tcW w:w="1134" w:type="dxa"/>
            <w:shd w:val="clear" w:color="000000" w:fill="FFFFFF"/>
            <w:noWrap w:val="0"/>
            <w:vAlign w:val="center"/>
          </w:tcPr>
          <w:p>
            <w:pPr>
              <w:adjustRightInd w:val="0"/>
              <w:snapToGrid w:val="0"/>
              <w:rPr>
                <w:color w:val="auto"/>
              </w:rPr>
            </w:pPr>
            <w:r>
              <w:rPr>
                <w:color w:val="auto"/>
              </w:rPr>
              <w:t>地面塑胶地板铺贴</w:t>
            </w:r>
          </w:p>
        </w:tc>
        <w:tc>
          <w:tcPr>
            <w:tcW w:w="4740" w:type="dxa"/>
            <w:shd w:val="clear" w:color="000000" w:fill="FFFFFF"/>
            <w:noWrap w:val="0"/>
            <w:vAlign w:val="center"/>
          </w:tcPr>
          <w:p>
            <w:pPr>
              <w:adjustRightInd w:val="0"/>
              <w:snapToGrid w:val="0"/>
              <w:rPr>
                <w:color w:val="auto"/>
              </w:rPr>
            </w:pPr>
            <w:r>
              <w:rPr>
                <w:rFonts w:hint="eastAsia"/>
                <w:color w:val="auto"/>
              </w:rPr>
              <w:t>基层清理；塑胶地板专用粘胶；B1级浅灰色塑胶地板工艺铺贴；平整无空鼓。</w:t>
            </w:r>
          </w:p>
        </w:tc>
        <w:tc>
          <w:tcPr>
            <w:tcW w:w="796" w:type="dxa"/>
            <w:noWrap/>
            <w:vAlign w:val="center"/>
          </w:tcPr>
          <w:p>
            <w:pPr>
              <w:adjustRightInd w:val="0"/>
              <w:snapToGrid w:val="0"/>
              <w:rPr>
                <w:color w:val="auto"/>
              </w:rPr>
            </w:pPr>
            <w:r>
              <w:rPr>
                <w:color w:val="auto"/>
              </w:rPr>
              <w:t>456</w:t>
            </w:r>
          </w:p>
        </w:tc>
        <w:tc>
          <w:tcPr>
            <w:tcW w:w="638" w:type="dxa"/>
            <w:noWrap/>
            <w:vAlign w:val="center"/>
          </w:tcPr>
          <w:p>
            <w:pPr>
              <w:adjustRightInd w:val="0"/>
              <w:snapToGrid w:val="0"/>
              <w:rPr>
                <w:color w:val="auto"/>
              </w:rPr>
            </w:pPr>
            <w:r>
              <w:rPr>
                <w:color w:val="auto"/>
              </w:rPr>
              <w:t>m</w:t>
            </w:r>
            <w:r>
              <w:rPr>
                <w:color w:val="auto"/>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7</w:t>
            </w:r>
          </w:p>
        </w:tc>
        <w:tc>
          <w:tcPr>
            <w:tcW w:w="983" w:type="dxa"/>
            <w:vMerge w:val="continue"/>
            <w:shd w:val="clear" w:color="auto" w:fill="auto"/>
            <w:noWrap w:val="0"/>
            <w:vAlign w:val="center"/>
          </w:tcPr>
          <w:p>
            <w:pPr>
              <w:adjustRightInd w:val="0"/>
              <w:snapToGrid w:val="0"/>
              <w:rPr>
                <w:color w:val="auto"/>
              </w:rPr>
            </w:pPr>
          </w:p>
        </w:tc>
        <w:tc>
          <w:tcPr>
            <w:tcW w:w="1134" w:type="dxa"/>
            <w:shd w:val="clear" w:color="auto" w:fill="auto"/>
            <w:noWrap w:val="0"/>
            <w:vAlign w:val="center"/>
          </w:tcPr>
          <w:p>
            <w:pPr>
              <w:adjustRightInd w:val="0"/>
              <w:snapToGrid w:val="0"/>
              <w:rPr>
                <w:color w:val="auto"/>
              </w:rPr>
            </w:pPr>
            <w:r>
              <w:rPr>
                <w:color w:val="auto"/>
              </w:rPr>
              <w:t>地面塑胶地板铺贴</w:t>
            </w:r>
          </w:p>
        </w:tc>
        <w:tc>
          <w:tcPr>
            <w:tcW w:w="4740" w:type="dxa"/>
            <w:shd w:val="clear" w:color="000000" w:fill="FFFFFF"/>
            <w:noWrap w:val="0"/>
            <w:vAlign w:val="center"/>
          </w:tcPr>
          <w:p>
            <w:pPr>
              <w:adjustRightInd w:val="0"/>
              <w:snapToGrid w:val="0"/>
              <w:rPr>
                <w:color w:val="auto"/>
              </w:rPr>
            </w:pPr>
            <w:r>
              <w:rPr>
                <w:rFonts w:hint="eastAsia"/>
                <w:color w:val="auto"/>
              </w:rPr>
              <w:t>基层清理；塑胶地板专用粘胶；B1级深灰色塑胶地板工艺铺贴；平整无空鼓。</w:t>
            </w:r>
          </w:p>
        </w:tc>
        <w:tc>
          <w:tcPr>
            <w:tcW w:w="796" w:type="dxa"/>
            <w:noWrap/>
            <w:vAlign w:val="center"/>
          </w:tcPr>
          <w:p>
            <w:pPr>
              <w:adjustRightInd w:val="0"/>
              <w:snapToGrid w:val="0"/>
              <w:rPr>
                <w:color w:val="auto"/>
              </w:rPr>
            </w:pPr>
            <w:r>
              <w:rPr>
                <w:color w:val="auto"/>
              </w:rPr>
              <w:t>64</w:t>
            </w:r>
          </w:p>
        </w:tc>
        <w:tc>
          <w:tcPr>
            <w:tcW w:w="638" w:type="dxa"/>
            <w:noWrap/>
            <w:vAlign w:val="center"/>
          </w:tcPr>
          <w:p>
            <w:pPr>
              <w:adjustRightInd w:val="0"/>
              <w:snapToGrid w:val="0"/>
              <w:rPr>
                <w:color w:val="auto"/>
              </w:rPr>
            </w:pPr>
            <w:r>
              <w:rPr>
                <w:color w:val="auto"/>
              </w:rPr>
              <w:t>m</w:t>
            </w:r>
            <w:r>
              <w:rPr>
                <w:color w:val="auto"/>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8</w:t>
            </w:r>
          </w:p>
        </w:tc>
        <w:tc>
          <w:tcPr>
            <w:tcW w:w="983" w:type="dxa"/>
            <w:vMerge w:val="continue"/>
            <w:shd w:val="clear" w:color="auto" w:fill="auto"/>
            <w:noWrap w:val="0"/>
            <w:vAlign w:val="center"/>
          </w:tcPr>
          <w:p>
            <w:pPr>
              <w:adjustRightInd w:val="0"/>
              <w:snapToGrid w:val="0"/>
              <w:rPr>
                <w:color w:val="auto"/>
              </w:rPr>
            </w:pPr>
          </w:p>
        </w:tc>
        <w:tc>
          <w:tcPr>
            <w:tcW w:w="1134" w:type="dxa"/>
            <w:shd w:val="clear" w:color="auto" w:fill="auto"/>
            <w:noWrap w:val="0"/>
            <w:vAlign w:val="center"/>
          </w:tcPr>
          <w:p>
            <w:pPr>
              <w:adjustRightInd w:val="0"/>
              <w:snapToGrid w:val="0"/>
              <w:rPr>
                <w:color w:val="auto"/>
              </w:rPr>
            </w:pPr>
            <w:r>
              <w:rPr>
                <w:color w:val="auto"/>
              </w:rPr>
              <w:t>地面塑胶地板铺贴</w:t>
            </w:r>
          </w:p>
        </w:tc>
        <w:tc>
          <w:tcPr>
            <w:tcW w:w="4740" w:type="dxa"/>
            <w:shd w:val="clear" w:color="000000" w:fill="FFFFFF"/>
            <w:noWrap w:val="0"/>
            <w:vAlign w:val="center"/>
          </w:tcPr>
          <w:p>
            <w:pPr>
              <w:adjustRightInd w:val="0"/>
              <w:snapToGrid w:val="0"/>
              <w:rPr>
                <w:color w:val="auto"/>
              </w:rPr>
            </w:pPr>
            <w:r>
              <w:rPr>
                <w:rFonts w:hint="eastAsia"/>
                <w:color w:val="auto"/>
              </w:rPr>
              <w:t>基层清理；塑胶地板专用粘胶；B1级蓝色塑胶地板工艺铺贴；平整无空鼓。</w:t>
            </w:r>
          </w:p>
        </w:tc>
        <w:tc>
          <w:tcPr>
            <w:tcW w:w="796" w:type="dxa"/>
            <w:noWrap/>
            <w:vAlign w:val="center"/>
          </w:tcPr>
          <w:p>
            <w:pPr>
              <w:adjustRightInd w:val="0"/>
              <w:snapToGrid w:val="0"/>
              <w:rPr>
                <w:color w:val="auto"/>
              </w:rPr>
            </w:pPr>
            <w:r>
              <w:rPr>
                <w:color w:val="auto"/>
              </w:rPr>
              <w:t>17</w:t>
            </w:r>
          </w:p>
        </w:tc>
        <w:tc>
          <w:tcPr>
            <w:tcW w:w="638" w:type="dxa"/>
            <w:noWrap/>
            <w:vAlign w:val="center"/>
          </w:tcPr>
          <w:p>
            <w:pPr>
              <w:adjustRightInd w:val="0"/>
              <w:snapToGrid w:val="0"/>
              <w:rPr>
                <w:color w:val="auto"/>
              </w:rPr>
            </w:pPr>
            <w:r>
              <w:rPr>
                <w:color w:val="auto"/>
              </w:rPr>
              <w:t>m</w:t>
            </w:r>
            <w:r>
              <w:rPr>
                <w:color w:val="auto"/>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9</w:t>
            </w:r>
          </w:p>
        </w:tc>
        <w:tc>
          <w:tcPr>
            <w:tcW w:w="983" w:type="dxa"/>
            <w:vMerge w:val="restart"/>
            <w:shd w:val="clear" w:color="000000" w:fill="FFFFFF"/>
            <w:noWrap/>
            <w:vAlign w:val="center"/>
          </w:tcPr>
          <w:p>
            <w:pPr>
              <w:adjustRightInd w:val="0"/>
              <w:snapToGrid w:val="0"/>
              <w:rPr>
                <w:color w:val="auto"/>
              </w:rPr>
            </w:pPr>
            <w:r>
              <w:rPr>
                <w:color w:val="auto"/>
              </w:rPr>
              <w:t>墙面工程</w:t>
            </w:r>
          </w:p>
        </w:tc>
        <w:tc>
          <w:tcPr>
            <w:tcW w:w="1134" w:type="dxa"/>
            <w:noWrap/>
            <w:vAlign w:val="center"/>
          </w:tcPr>
          <w:p>
            <w:pPr>
              <w:adjustRightInd w:val="0"/>
              <w:snapToGrid w:val="0"/>
              <w:rPr>
                <w:color w:val="auto"/>
              </w:rPr>
            </w:pPr>
            <w:r>
              <w:rPr>
                <w:color w:val="auto"/>
              </w:rPr>
              <w:t>轻钢龙骨隔墙</w:t>
            </w:r>
          </w:p>
        </w:tc>
        <w:tc>
          <w:tcPr>
            <w:tcW w:w="4740" w:type="dxa"/>
            <w:noWrap w:val="0"/>
            <w:vAlign w:val="center"/>
          </w:tcPr>
          <w:p>
            <w:pPr>
              <w:adjustRightInd w:val="0"/>
              <w:snapToGrid w:val="0"/>
              <w:rPr>
                <w:color w:val="auto"/>
              </w:rPr>
            </w:pPr>
            <w:r>
              <w:rPr>
                <w:rFonts w:hint="eastAsia"/>
                <w:color w:val="auto"/>
              </w:rPr>
              <w:t>75型轻钢龙骨配38型穿心龙骨；双层纸面石膏板(9.5mm厚)、镀锌自攻钉固定；石膏板错缝拼接并留5mm缝。信息消费展厅内砖墙拆除；</w:t>
            </w:r>
          </w:p>
        </w:tc>
        <w:tc>
          <w:tcPr>
            <w:tcW w:w="796" w:type="dxa"/>
            <w:noWrap/>
            <w:vAlign w:val="center"/>
          </w:tcPr>
          <w:p>
            <w:pPr>
              <w:adjustRightInd w:val="0"/>
              <w:snapToGrid w:val="0"/>
              <w:rPr>
                <w:color w:val="auto"/>
              </w:rPr>
            </w:pPr>
            <w:r>
              <w:rPr>
                <w:color w:val="auto"/>
              </w:rPr>
              <w:t>636</w:t>
            </w:r>
          </w:p>
        </w:tc>
        <w:tc>
          <w:tcPr>
            <w:tcW w:w="638" w:type="dxa"/>
            <w:noWrap/>
            <w:vAlign w:val="center"/>
          </w:tcPr>
          <w:p>
            <w:pPr>
              <w:adjustRightInd w:val="0"/>
              <w:snapToGrid w:val="0"/>
              <w:rPr>
                <w:color w:val="auto"/>
              </w:rPr>
            </w:pPr>
            <w:r>
              <w:rPr>
                <w:color w:val="auto"/>
              </w:rPr>
              <w:t>m</w:t>
            </w:r>
            <w:r>
              <w:rPr>
                <w:color w:val="auto"/>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10</w:t>
            </w:r>
          </w:p>
        </w:tc>
        <w:tc>
          <w:tcPr>
            <w:tcW w:w="983" w:type="dxa"/>
            <w:vMerge w:val="continue"/>
            <w:noWrap w:val="0"/>
            <w:vAlign w:val="center"/>
          </w:tcPr>
          <w:p>
            <w:pPr>
              <w:adjustRightInd w:val="0"/>
              <w:snapToGrid w:val="0"/>
              <w:rPr>
                <w:color w:val="auto"/>
              </w:rPr>
            </w:pPr>
          </w:p>
        </w:tc>
        <w:tc>
          <w:tcPr>
            <w:tcW w:w="1134" w:type="dxa"/>
            <w:noWrap w:val="0"/>
            <w:vAlign w:val="center"/>
          </w:tcPr>
          <w:p>
            <w:pPr>
              <w:adjustRightInd w:val="0"/>
              <w:snapToGrid w:val="0"/>
              <w:rPr>
                <w:color w:val="auto"/>
              </w:rPr>
            </w:pPr>
            <w:r>
              <w:rPr>
                <w:color w:val="auto"/>
              </w:rPr>
              <w:t>轻质砖砌体隔墙</w:t>
            </w:r>
          </w:p>
        </w:tc>
        <w:tc>
          <w:tcPr>
            <w:tcW w:w="4740" w:type="dxa"/>
            <w:noWrap w:val="0"/>
            <w:vAlign w:val="center"/>
          </w:tcPr>
          <w:p>
            <w:pPr>
              <w:adjustRightInd w:val="0"/>
              <w:snapToGrid w:val="0"/>
              <w:rPr>
                <w:color w:val="auto"/>
              </w:rPr>
            </w:pPr>
            <w:r>
              <w:rPr>
                <w:rFonts w:hint="eastAsia"/>
                <w:color w:val="auto"/>
              </w:rPr>
              <w:t>加气混凝土砌体、局部红砖、水泥砂浆堆砌；                              砖面水泥砂浆抹平，表面平整，立面垂直。</w:t>
            </w:r>
          </w:p>
        </w:tc>
        <w:tc>
          <w:tcPr>
            <w:tcW w:w="796" w:type="dxa"/>
            <w:noWrap/>
            <w:vAlign w:val="center"/>
          </w:tcPr>
          <w:p>
            <w:pPr>
              <w:adjustRightInd w:val="0"/>
              <w:snapToGrid w:val="0"/>
              <w:rPr>
                <w:color w:val="auto"/>
              </w:rPr>
            </w:pPr>
            <w:r>
              <w:rPr>
                <w:color w:val="auto"/>
              </w:rPr>
              <w:t>15</w:t>
            </w:r>
          </w:p>
        </w:tc>
        <w:tc>
          <w:tcPr>
            <w:tcW w:w="638" w:type="dxa"/>
            <w:noWrap/>
            <w:vAlign w:val="center"/>
          </w:tcPr>
          <w:p>
            <w:pPr>
              <w:adjustRightInd w:val="0"/>
              <w:snapToGrid w:val="0"/>
              <w:rPr>
                <w:color w:val="auto"/>
              </w:rPr>
            </w:pPr>
            <w:r>
              <w:rPr>
                <w:color w:val="auto"/>
              </w:rPr>
              <w:t>m</w:t>
            </w:r>
            <w:r>
              <w:rPr>
                <w:color w:val="auto"/>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11</w:t>
            </w:r>
          </w:p>
        </w:tc>
        <w:tc>
          <w:tcPr>
            <w:tcW w:w="983" w:type="dxa"/>
            <w:vMerge w:val="continue"/>
            <w:noWrap w:val="0"/>
            <w:vAlign w:val="center"/>
          </w:tcPr>
          <w:p>
            <w:pPr>
              <w:adjustRightInd w:val="0"/>
              <w:snapToGrid w:val="0"/>
              <w:rPr>
                <w:color w:val="auto"/>
              </w:rPr>
            </w:pPr>
          </w:p>
        </w:tc>
        <w:tc>
          <w:tcPr>
            <w:tcW w:w="1134" w:type="dxa"/>
            <w:noWrap/>
            <w:vAlign w:val="center"/>
          </w:tcPr>
          <w:p>
            <w:pPr>
              <w:adjustRightInd w:val="0"/>
              <w:snapToGrid w:val="0"/>
              <w:rPr>
                <w:color w:val="auto"/>
              </w:rPr>
            </w:pPr>
            <w:r>
              <w:rPr>
                <w:color w:val="auto"/>
              </w:rPr>
              <w:t>LED显示屏基层</w:t>
            </w:r>
          </w:p>
        </w:tc>
        <w:tc>
          <w:tcPr>
            <w:tcW w:w="4740" w:type="dxa"/>
            <w:noWrap w:val="0"/>
            <w:vAlign w:val="center"/>
          </w:tcPr>
          <w:p>
            <w:pPr>
              <w:adjustRightInd w:val="0"/>
              <w:snapToGrid w:val="0"/>
              <w:rPr>
                <w:color w:val="auto"/>
              </w:rPr>
            </w:pPr>
            <w:r>
              <w:rPr>
                <w:rFonts w:hint="eastAsia"/>
                <w:color w:val="auto"/>
              </w:rPr>
              <w:t>镀锌钢骨架；防火阻燃板(15mm厚/18mm)底层、镀锌自攻钉固定，纸面石膏板(9.5mm厚/12mm)面层；防火板及石膏板错缝拼接并留5mm缝。基层刮白处理，</w:t>
            </w:r>
          </w:p>
        </w:tc>
        <w:tc>
          <w:tcPr>
            <w:tcW w:w="796" w:type="dxa"/>
            <w:noWrap/>
            <w:vAlign w:val="center"/>
          </w:tcPr>
          <w:p>
            <w:pPr>
              <w:adjustRightInd w:val="0"/>
              <w:snapToGrid w:val="0"/>
              <w:rPr>
                <w:color w:val="auto"/>
              </w:rPr>
            </w:pPr>
            <w:r>
              <w:rPr>
                <w:color w:val="auto"/>
              </w:rPr>
              <w:t>260</w:t>
            </w:r>
          </w:p>
        </w:tc>
        <w:tc>
          <w:tcPr>
            <w:tcW w:w="638" w:type="dxa"/>
            <w:noWrap/>
            <w:vAlign w:val="center"/>
          </w:tcPr>
          <w:p>
            <w:pPr>
              <w:adjustRightInd w:val="0"/>
              <w:snapToGrid w:val="0"/>
              <w:rPr>
                <w:color w:val="auto"/>
              </w:rPr>
            </w:pPr>
            <w:r>
              <w:rPr>
                <w:color w:val="auto"/>
              </w:rPr>
              <w:t>m</w:t>
            </w:r>
            <w:r>
              <w:rPr>
                <w:color w:val="auto"/>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12</w:t>
            </w:r>
          </w:p>
        </w:tc>
        <w:tc>
          <w:tcPr>
            <w:tcW w:w="983" w:type="dxa"/>
            <w:vMerge w:val="continue"/>
            <w:noWrap w:val="0"/>
            <w:vAlign w:val="center"/>
          </w:tcPr>
          <w:p>
            <w:pPr>
              <w:adjustRightInd w:val="0"/>
              <w:snapToGrid w:val="0"/>
              <w:rPr>
                <w:color w:val="auto"/>
              </w:rPr>
            </w:pPr>
          </w:p>
        </w:tc>
        <w:tc>
          <w:tcPr>
            <w:tcW w:w="1134" w:type="dxa"/>
            <w:noWrap/>
            <w:vAlign w:val="center"/>
          </w:tcPr>
          <w:p>
            <w:pPr>
              <w:adjustRightInd w:val="0"/>
              <w:snapToGrid w:val="0"/>
              <w:rPr>
                <w:color w:val="auto"/>
              </w:rPr>
            </w:pPr>
            <w:r>
              <w:rPr>
                <w:color w:val="auto"/>
              </w:rPr>
              <w:t>木饰面</w:t>
            </w:r>
          </w:p>
        </w:tc>
        <w:tc>
          <w:tcPr>
            <w:tcW w:w="4740" w:type="dxa"/>
            <w:noWrap w:val="0"/>
            <w:vAlign w:val="center"/>
          </w:tcPr>
          <w:p>
            <w:pPr>
              <w:adjustRightInd w:val="0"/>
              <w:snapToGrid w:val="0"/>
              <w:rPr>
                <w:color w:val="auto"/>
              </w:rPr>
            </w:pPr>
            <w:r>
              <w:rPr>
                <w:color w:val="auto"/>
              </w:rPr>
              <w:t>7</w:t>
            </w:r>
            <w:r>
              <w:rPr>
                <w:rFonts w:hint="eastAsia"/>
                <w:color w:val="auto"/>
              </w:rPr>
              <w:t>5型轻钢龙骨配38型穿心龙骨；防火阻燃板(18mm)基层、镀锌自攻钉固定；防火板拼接并留5mm缝；基层处理；采用防火防腐处理的B1级木纹饰面异形工艺安装；部分造型墙面采用雕花防腐处理的B1级木纹饰面安装。</w:t>
            </w:r>
          </w:p>
        </w:tc>
        <w:tc>
          <w:tcPr>
            <w:tcW w:w="796" w:type="dxa"/>
            <w:noWrap/>
            <w:vAlign w:val="center"/>
          </w:tcPr>
          <w:p>
            <w:pPr>
              <w:adjustRightInd w:val="0"/>
              <w:snapToGrid w:val="0"/>
              <w:rPr>
                <w:color w:val="auto"/>
              </w:rPr>
            </w:pPr>
            <w:r>
              <w:rPr>
                <w:color w:val="auto"/>
              </w:rPr>
              <w:t>125</w:t>
            </w:r>
          </w:p>
        </w:tc>
        <w:tc>
          <w:tcPr>
            <w:tcW w:w="638" w:type="dxa"/>
            <w:noWrap/>
            <w:vAlign w:val="center"/>
          </w:tcPr>
          <w:p>
            <w:pPr>
              <w:adjustRightInd w:val="0"/>
              <w:snapToGrid w:val="0"/>
              <w:rPr>
                <w:color w:val="auto"/>
              </w:rPr>
            </w:pPr>
            <w:r>
              <w:rPr>
                <w:color w:val="auto"/>
              </w:rPr>
              <w:t>m</w:t>
            </w:r>
            <w:r>
              <w:rPr>
                <w:color w:val="auto"/>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13</w:t>
            </w:r>
          </w:p>
        </w:tc>
        <w:tc>
          <w:tcPr>
            <w:tcW w:w="983" w:type="dxa"/>
            <w:vMerge w:val="continue"/>
            <w:noWrap w:val="0"/>
            <w:vAlign w:val="center"/>
          </w:tcPr>
          <w:p>
            <w:pPr>
              <w:adjustRightInd w:val="0"/>
              <w:snapToGrid w:val="0"/>
              <w:rPr>
                <w:color w:val="auto"/>
              </w:rPr>
            </w:pPr>
          </w:p>
        </w:tc>
        <w:tc>
          <w:tcPr>
            <w:tcW w:w="1134" w:type="dxa"/>
            <w:noWrap/>
            <w:vAlign w:val="center"/>
          </w:tcPr>
          <w:p>
            <w:pPr>
              <w:adjustRightInd w:val="0"/>
              <w:snapToGrid w:val="0"/>
              <w:rPr>
                <w:color w:val="auto"/>
              </w:rPr>
            </w:pPr>
            <w:r>
              <w:rPr>
                <w:color w:val="auto"/>
              </w:rPr>
              <w:t>立柱不锈钢</w:t>
            </w:r>
          </w:p>
        </w:tc>
        <w:tc>
          <w:tcPr>
            <w:tcW w:w="4740" w:type="dxa"/>
            <w:noWrap w:val="0"/>
            <w:vAlign w:val="center"/>
          </w:tcPr>
          <w:p>
            <w:pPr>
              <w:adjustRightInd w:val="0"/>
              <w:snapToGrid w:val="0"/>
              <w:rPr>
                <w:color w:val="auto"/>
              </w:rPr>
            </w:pPr>
            <w:r>
              <w:rPr>
                <w:rFonts w:hint="eastAsia"/>
                <w:color w:val="auto"/>
              </w:rPr>
              <w:t>75型轻钢龙骨配38型穿心龙骨；防火阻燃板(18mm)基层、镀锌自攻钉固定；防火板拼接并留5mm缝。基层处理；黑钛拉丝304防指纹不锈钢异形工艺安装</w:t>
            </w:r>
          </w:p>
        </w:tc>
        <w:tc>
          <w:tcPr>
            <w:tcW w:w="796" w:type="dxa"/>
            <w:noWrap/>
            <w:vAlign w:val="center"/>
          </w:tcPr>
          <w:p>
            <w:pPr>
              <w:adjustRightInd w:val="0"/>
              <w:snapToGrid w:val="0"/>
              <w:rPr>
                <w:color w:val="auto"/>
              </w:rPr>
            </w:pPr>
            <w:r>
              <w:rPr>
                <w:color w:val="auto"/>
              </w:rPr>
              <w:t>15</w:t>
            </w:r>
          </w:p>
        </w:tc>
        <w:tc>
          <w:tcPr>
            <w:tcW w:w="638" w:type="dxa"/>
            <w:noWrap/>
            <w:vAlign w:val="center"/>
          </w:tcPr>
          <w:p>
            <w:pPr>
              <w:adjustRightInd w:val="0"/>
              <w:snapToGrid w:val="0"/>
              <w:rPr>
                <w:color w:val="auto"/>
              </w:rPr>
            </w:pPr>
            <w:r>
              <w:rPr>
                <w:color w:val="auto"/>
              </w:rPr>
              <w:t>m</w:t>
            </w:r>
            <w:r>
              <w:rPr>
                <w:color w:val="auto"/>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14</w:t>
            </w:r>
          </w:p>
        </w:tc>
        <w:tc>
          <w:tcPr>
            <w:tcW w:w="983" w:type="dxa"/>
            <w:vMerge w:val="continue"/>
            <w:noWrap w:val="0"/>
            <w:vAlign w:val="center"/>
          </w:tcPr>
          <w:p>
            <w:pPr>
              <w:adjustRightInd w:val="0"/>
              <w:snapToGrid w:val="0"/>
              <w:rPr>
                <w:color w:val="auto"/>
              </w:rPr>
            </w:pPr>
          </w:p>
        </w:tc>
        <w:tc>
          <w:tcPr>
            <w:tcW w:w="1134" w:type="dxa"/>
            <w:noWrap/>
            <w:vAlign w:val="center"/>
          </w:tcPr>
          <w:p>
            <w:pPr>
              <w:adjustRightInd w:val="0"/>
              <w:snapToGrid w:val="0"/>
              <w:rPr>
                <w:color w:val="auto"/>
              </w:rPr>
            </w:pPr>
            <w:r>
              <w:rPr>
                <w:color w:val="auto"/>
              </w:rPr>
              <w:t>展示厅墙面不锈钢</w:t>
            </w:r>
          </w:p>
        </w:tc>
        <w:tc>
          <w:tcPr>
            <w:tcW w:w="4740" w:type="dxa"/>
            <w:noWrap w:val="0"/>
            <w:vAlign w:val="center"/>
          </w:tcPr>
          <w:p>
            <w:pPr>
              <w:adjustRightInd w:val="0"/>
              <w:snapToGrid w:val="0"/>
              <w:rPr>
                <w:color w:val="auto"/>
              </w:rPr>
            </w:pPr>
            <w:r>
              <w:rPr>
                <w:rFonts w:hint="eastAsia"/>
                <w:color w:val="auto"/>
              </w:rPr>
              <w:t>75型轻钢龙骨配38型穿心龙骨；防火阻燃板(15mm)基层、镀锌自攻钉固定；防火板拼接并留5mm缝;基层处理;本色镜面304防指纹水波纹不锈钢异形工艺安装。</w:t>
            </w:r>
          </w:p>
        </w:tc>
        <w:tc>
          <w:tcPr>
            <w:tcW w:w="796" w:type="dxa"/>
            <w:noWrap/>
            <w:vAlign w:val="center"/>
          </w:tcPr>
          <w:p>
            <w:pPr>
              <w:adjustRightInd w:val="0"/>
              <w:snapToGrid w:val="0"/>
              <w:rPr>
                <w:color w:val="auto"/>
              </w:rPr>
            </w:pPr>
            <w:r>
              <w:rPr>
                <w:color w:val="auto"/>
              </w:rPr>
              <w:t>9</w:t>
            </w:r>
          </w:p>
        </w:tc>
        <w:tc>
          <w:tcPr>
            <w:tcW w:w="638" w:type="dxa"/>
            <w:noWrap/>
            <w:vAlign w:val="center"/>
          </w:tcPr>
          <w:p>
            <w:pPr>
              <w:adjustRightInd w:val="0"/>
              <w:snapToGrid w:val="0"/>
              <w:rPr>
                <w:color w:val="auto"/>
              </w:rPr>
            </w:pPr>
            <w:r>
              <w:rPr>
                <w:color w:val="auto"/>
              </w:rPr>
              <w:t>m</w:t>
            </w:r>
            <w:r>
              <w:rPr>
                <w:color w:val="auto"/>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15</w:t>
            </w:r>
          </w:p>
        </w:tc>
        <w:tc>
          <w:tcPr>
            <w:tcW w:w="983" w:type="dxa"/>
            <w:vMerge w:val="continue"/>
            <w:noWrap w:val="0"/>
            <w:vAlign w:val="center"/>
          </w:tcPr>
          <w:p>
            <w:pPr>
              <w:adjustRightInd w:val="0"/>
              <w:snapToGrid w:val="0"/>
              <w:rPr>
                <w:color w:val="auto"/>
              </w:rPr>
            </w:pPr>
          </w:p>
        </w:tc>
        <w:tc>
          <w:tcPr>
            <w:tcW w:w="1134" w:type="dxa"/>
            <w:noWrap/>
            <w:vAlign w:val="center"/>
          </w:tcPr>
          <w:p>
            <w:pPr>
              <w:adjustRightInd w:val="0"/>
              <w:snapToGrid w:val="0"/>
              <w:rPr>
                <w:color w:val="auto"/>
              </w:rPr>
            </w:pPr>
            <w:r>
              <w:rPr>
                <w:color w:val="auto"/>
              </w:rPr>
              <w:t>不锈钢踢脚线</w:t>
            </w:r>
          </w:p>
        </w:tc>
        <w:tc>
          <w:tcPr>
            <w:tcW w:w="4740" w:type="dxa"/>
            <w:noWrap w:val="0"/>
            <w:vAlign w:val="center"/>
          </w:tcPr>
          <w:p>
            <w:pPr>
              <w:adjustRightInd w:val="0"/>
              <w:snapToGrid w:val="0"/>
              <w:rPr>
                <w:color w:val="auto"/>
              </w:rPr>
            </w:pPr>
            <w:r>
              <w:rPr>
                <w:rFonts w:hint="eastAsia"/>
                <w:color w:val="auto"/>
              </w:rPr>
              <w:t>75型轻钢龙骨配38型穿心龙骨；防火阻燃板(12mm)基层、镀锌自攻钉固定；防火板拼接并留5mm缝；基层处理；40mm宽本色镜面304防指纹不锈钢异形工艺安装。</w:t>
            </w:r>
          </w:p>
        </w:tc>
        <w:tc>
          <w:tcPr>
            <w:tcW w:w="796" w:type="dxa"/>
            <w:noWrap/>
            <w:vAlign w:val="center"/>
          </w:tcPr>
          <w:p>
            <w:pPr>
              <w:adjustRightInd w:val="0"/>
              <w:snapToGrid w:val="0"/>
              <w:rPr>
                <w:color w:val="auto"/>
              </w:rPr>
            </w:pPr>
            <w:r>
              <w:rPr>
                <w:color w:val="auto"/>
              </w:rPr>
              <w:t>240</w:t>
            </w:r>
          </w:p>
        </w:tc>
        <w:tc>
          <w:tcPr>
            <w:tcW w:w="638" w:type="dxa"/>
            <w:noWrap/>
            <w:vAlign w:val="center"/>
          </w:tcPr>
          <w:p>
            <w:pPr>
              <w:adjustRightInd w:val="0"/>
              <w:snapToGrid w:val="0"/>
              <w:rPr>
                <w:color w:val="auto"/>
              </w:rPr>
            </w:pPr>
            <w:r>
              <w:rPr>
                <w:color w:val="auto"/>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16</w:t>
            </w:r>
          </w:p>
        </w:tc>
        <w:tc>
          <w:tcPr>
            <w:tcW w:w="983" w:type="dxa"/>
            <w:vMerge w:val="continue"/>
            <w:noWrap w:val="0"/>
            <w:vAlign w:val="center"/>
          </w:tcPr>
          <w:p>
            <w:pPr>
              <w:adjustRightInd w:val="0"/>
              <w:snapToGrid w:val="0"/>
              <w:rPr>
                <w:color w:val="auto"/>
              </w:rPr>
            </w:pPr>
          </w:p>
        </w:tc>
        <w:tc>
          <w:tcPr>
            <w:tcW w:w="1134" w:type="dxa"/>
            <w:noWrap/>
            <w:vAlign w:val="center"/>
          </w:tcPr>
          <w:p>
            <w:pPr>
              <w:adjustRightInd w:val="0"/>
              <w:snapToGrid w:val="0"/>
              <w:rPr>
                <w:color w:val="auto"/>
              </w:rPr>
            </w:pPr>
            <w:r>
              <w:rPr>
                <w:color w:val="auto"/>
              </w:rPr>
              <w:t>接待台</w:t>
            </w:r>
          </w:p>
        </w:tc>
        <w:tc>
          <w:tcPr>
            <w:tcW w:w="4740" w:type="dxa"/>
            <w:noWrap w:val="0"/>
            <w:vAlign w:val="center"/>
          </w:tcPr>
          <w:p>
            <w:pPr>
              <w:adjustRightInd w:val="0"/>
              <w:snapToGrid w:val="0"/>
              <w:rPr>
                <w:color w:val="auto"/>
              </w:rPr>
            </w:pPr>
            <w:r>
              <w:rPr>
                <w:rFonts w:hint="eastAsia"/>
                <w:color w:val="auto"/>
              </w:rPr>
              <w:t>实木柜体基础；天然石材台面；不锈钢包边；</w:t>
            </w:r>
          </w:p>
          <w:p>
            <w:pPr>
              <w:adjustRightInd w:val="0"/>
              <w:snapToGrid w:val="0"/>
              <w:rPr>
                <w:color w:val="auto"/>
              </w:rPr>
            </w:pPr>
            <w:r>
              <w:rPr>
                <w:rFonts w:hint="eastAsia"/>
                <w:color w:val="auto"/>
              </w:rPr>
              <w:t>实木柜门及五金；</w:t>
            </w:r>
          </w:p>
        </w:tc>
        <w:tc>
          <w:tcPr>
            <w:tcW w:w="796" w:type="dxa"/>
            <w:noWrap/>
            <w:vAlign w:val="center"/>
          </w:tcPr>
          <w:p>
            <w:pPr>
              <w:adjustRightInd w:val="0"/>
              <w:snapToGrid w:val="0"/>
              <w:rPr>
                <w:color w:val="auto"/>
              </w:rPr>
            </w:pPr>
            <w:r>
              <w:rPr>
                <w:color w:val="auto"/>
              </w:rPr>
              <w:t>7.5</w:t>
            </w:r>
          </w:p>
        </w:tc>
        <w:tc>
          <w:tcPr>
            <w:tcW w:w="638" w:type="dxa"/>
            <w:noWrap/>
            <w:vAlign w:val="center"/>
          </w:tcPr>
          <w:p>
            <w:pPr>
              <w:adjustRightInd w:val="0"/>
              <w:snapToGrid w:val="0"/>
              <w:rPr>
                <w:color w:val="auto"/>
              </w:rPr>
            </w:pPr>
            <w:r>
              <w:rPr>
                <w:color w:val="auto"/>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17</w:t>
            </w:r>
          </w:p>
        </w:tc>
        <w:tc>
          <w:tcPr>
            <w:tcW w:w="983" w:type="dxa"/>
            <w:vMerge w:val="continue"/>
            <w:noWrap w:val="0"/>
            <w:vAlign w:val="center"/>
          </w:tcPr>
          <w:p>
            <w:pPr>
              <w:adjustRightInd w:val="0"/>
              <w:snapToGrid w:val="0"/>
              <w:rPr>
                <w:color w:val="auto"/>
              </w:rPr>
            </w:pPr>
          </w:p>
        </w:tc>
        <w:tc>
          <w:tcPr>
            <w:tcW w:w="1134" w:type="dxa"/>
            <w:noWrap/>
            <w:vAlign w:val="center"/>
          </w:tcPr>
          <w:p>
            <w:pPr>
              <w:adjustRightInd w:val="0"/>
              <w:snapToGrid w:val="0"/>
              <w:rPr>
                <w:color w:val="auto"/>
              </w:rPr>
            </w:pPr>
            <w:r>
              <w:rPr>
                <w:color w:val="auto"/>
              </w:rPr>
              <w:t>接待台不锈钢</w:t>
            </w:r>
          </w:p>
        </w:tc>
        <w:tc>
          <w:tcPr>
            <w:tcW w:w="4740" w:type="dxa"/>
            <w:noWrap w:val="0"/>
            <w:vAlign w:val="center"/>
          </w:tcPr>
          <w:p>
            <w:pPr>
              <w:adjustRightInd w:val="0"/>
              <w:snapToGrid w:val="0"/>
              <w:rPr>
                <w:color w:val="auto"/>
              </w:rPr>
            </w:pPr>
            <w:r>
              <w:rPr>
                <w:rFonts w:hint="eastAsia"/>
                <w:color w:val="auto"/>
              </w:rPr>
              <w:t>75型轻钢龙骨配38型穿心龙骨；防火阻燃板(12mm)基层、镀锌自攻钉固定；防火板拼接并留5mm缝。基层处理；100mm宽本色镜面304防指纹不锈钢异形工艺安装</w:t>
            </w:r>
          </w:p>
        </w:tc>
        <w:tc>
          <w:tcPr>
            <w:tcW w:w="796" w:type="dxa"/>
            <w:noWrap/>
            <w:vAlign w:val="center"/>
          </w:tcPr>
          <w:p>
            <w:pPr>
              <w:adjustRightInd w:val="0"/>
              <w:snapToGrid w:val="0"/>
              <w:rPr>
                <w:color w:val="auto"/>
              </w:rPr>
            </w:pPr>
            <w:r>
              <w:rPr>
                <w:color w:val="auto"/>
              </w:rPr>
              <w:t>7</w:t>
            </w:r>
          </w:p>
        </w:tc>
        <w:tc>
          <w:tcPr>
            <w:tcW w:w="638" w:type="dxa"/>
            <w:noWrap/>
            <w:vAlign w:val="center"/>
          </w:tcPr>
          <w:p>
            <w:pPr>
              <w:adjustRightInd w:val="0"/>
              <w:snapToGrid w:val="0"/>
              <w:rPr>
                <w:color w:val="auto"/>
              </w:rPr>
            </w:pPr>
            <w:r>
              <w:rPr>
                <w:color w:val="auto"/>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18</w:t>
            </w:r>
          </w:p>
        </w:tc>
        <w:tc>
          <w:tcPr>
            <w:tcW w:w="983" w:type="dxa"/>
            <w:vMerge w:val="continue"/>
            <w:noWrap w:val="0"/>
            <w:vAlign w:val="center"/>
          </w:tcPr>
          <w:p>
            <w:pPr>
              <w:adjustRightInd w:val="0"/>
              <w:snapToGrid w:val="0"/>
              <w:rPr>
                <w:color w:val="auto"/>
              </w:rPr>
            </w:pPr>
          </w:p>
        </w:tc>
        <w:tc>
          <w:tcPr>
            <w:tcW w:w="1134" w:type="dxa"/>
            <w:noWrap/>
            <w:vAlign w:val="center"/>
          </w:tcPr>
          <w:p>
            <w:pPr>
              <w:adjustRightInd w:val="0"/>
              <w:snapToGrid w:val="0"/>
              <w:rPr>
                <w:color w:val="auto"/>
              </w:rPr>
            </w:pPr>
            <w:r>
              <w:rPr>
                <w:color w:val="auto"/>
              </w:rPr>
              <w:t>接待台石材</w:t>
            </w:r>
          </w:p>
        </w:tc>
        <w:tc>
          <w:tcPr>
            <w:tcW w:w="4740" w:type="dxa"/>
            <w:noWrap w:val="0"/>
            <w:vAlign w:val="center"/>
          </w:tcPr>
          <w:p>
            <w:pPr>
              <w:adjustRightInd w:val="0"/>
              <w:snapToGrid w:val="0"/>
              <w:rPr>
                <w:color w:val="auto"/>
              </w:rPr>
            </w:pPr>
            <w:r>
              <w:rPr>
                <w:rFonts w:hint="eastAsia"/>
                <w:color w:val="auto"/>
              </w:rPr>
              <w:t>A级15mm白色人造石</w:t>
            </w:r>
          </w:p>
        </w:tc>
        <w:tc>
          <w:tcPr>
            <w:tcW w:w="796" w:type="dxa"/>
            <w:noWrap/>
            <w:vAlign w:val="center"/>
          </w:tcPr>
          <w:p>
            <w:pPr>
              <w:adjustRightInd w:val="0"/>
              <w:snapToGrid w:val="0"/>
              <w:rPr>
                <w:color w:val="auto"/>
              </w:rPr>
            </w:pPr>
            <w:r>
              <w:rPr>
                <w:color w:val="auto"/>
              </w:rPr>
              <w:t>11</w:t>
            </w:r>
          </w:p>
        </w:tc>
        <w:tc>
          <w:tcPr>
            <w:tcW w:w="638" w:type="dxa"/>
            <w:noWrap/>
            <w:vAlign w:val="center"/>
          </w:tcPr>
          <w:p>
            <w:pPr>
              <w:adjustRightInd w:val="0"/>
              <w:snapToGrid w:val="0"/>
              <w:rPr>
                <w:color w:val="auto"/>
              </w:rPr>
            </w:pPr>
            <w:r>
              <w:rPr>
                <w:color w:val="auto"/>
              </w:rPr>
              <w:t>m</w:t>
            </w:r>
            <w:r>
              <w:rPr>
                <w:color w:val="auto"/>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19</w:t>
            </w:r>
          </w:p>
        </w:tc>
        <w:tc>
          <w:tcPr>
            <w:tcW w:w="983" w:type="dxa"/>
            <w:vMerge w:val="continue"/>
            <w:noWrap w:val="0"/>
            <w:vAlign w:val="center"/>
          </w:tcPr>
          <w:p>
            <w:pPr>
              <w:adjustRightInd w:val="0"/>
              <w:snapToGrid w:val="0"/>
              <w:rPr>
                <w:color w:val="auto"/>
              </w:rPr>
            </w:pPr>
          </w:p>
        </w:tc>
        <w:tc>
          <w:tcPr>
            <w:tcW w:w="1134" w:type="dxa"/>
            <w:noWrap/>
            <w:vAlign w:val="center"/>
          </w:tcPr>
          <w:p>
            <w:pPr>
              <w:adjustRightInd w:val="0"/>
              <w:snapToGrid w:val="0"/>
              <w:rPr>
                <w:color w:val="auto"/>
              </w:rPr>
            </w:pPr>
            <w:r>
              <w:rPr>
                <w:color w:val="auto"/>
              </w:rPr>
              <w:t>展示厅石材</w:t>
            </w:r>
          </w:p>
        </w:tc>
        <w:tc>
          <w:tcPr>
            <w:tcW w:w="4740" w:type="dxa"/>
            <w:noWrap w:val="0"/>
            <w:vAlign w:val="center"/>
          </w:tcPr>
          <w:p>
            <w:pPr>
              <w:adjustRightInd w:val="0"/>
              <w:snapToGrid w:val="0"/>
              <w:rPr>
                <w:color w:val="auto"/>
              </w:rPr>
            </w:pPr>
            <w:r>
              <w:rPr>
                <w:rFonts w:hint="eastAsia"/>
                <w:color w:val="auto"/>
              </w:rPr>
              <w:t>A级15mm白色人造石</w:t>
            </w:r>
          </w:p>
        </w:tc>
        <w:tc>
          <w:tcPr>
            <w:tcW w:w="796" w:type="dxa"/>
            <w:noWrap/>
            <w:vAlign w:val="center"/>
          </w:tcPr>
          <w:p>
            <w:pPr>
              <w:adjustRightInd w:val="0"/>
              <w:snapToGrid w:val="0"/>
              <w:rPr>
                <w:color w:val="auto"/>
              </w:rPr>
            </w:pPr>
            <w:r>
              <w:rPr>
                <w:color w:val="auto"/>
              </w:rPr>
              <w:t>5</w:t>
            </w:r>
          </w:p>
        </w:tc>
        <w:tc>
          <w:tcPr>
            <w:tcW w:w="638" w:type="dxa"/>
            <w:noWrap/>
            <w:vAlign w:val="center"/>
          </w:tcPr>
          <w:p>
            <w:pPr>
              <w:adjustRightInd w:val="0"/>
              <w:snapToGrid w:val="0"/>
              <w:rPr>
                <w:color w:val="auto"/>
              </w:rPr>
            </w:pPr>
            <w:r>
              <w:rPr>
                <w:color w:val="auto"/>
              </w:rPr>
              <w:t>m</w:t>
            </w:r>
            <w:r>
              <w:rPr>
                <w:color w:val="auto"/>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20</w:t>
            </w:r>
          </w:p>
        </w:tc>
        <w:tc>
          <w:tcPr>
            <w:tcW w:w="983" w:type="dxa"/>
            <w:vMerge w:val="continue"/>
            <w:noWrap w:val="0"/>
            <w:vAlign w:val="center"/>
          </w:tcPr>
          <w:p>
            <w:pPr>
              <w:adjustRightInd w:val="0"/>
              <w:snapToGrid w:val="0"/>
              <w:rPr>
                <w:color w:val="auto"/>
              </w:rPr>
            </w:pPr>
          </w:p>
        </w:tc>
        <w:tc>
          <w:tcPr>
            <w:tcW w:w="1134" w:type="dxa"/>
            <w:noWrap/>
            <w:vAlign w:val="center"/>
          </w:tcPr>
          <w:p>
            <w:pPr>
              <w:adjustRightInd w:val="0"/>
              <w:snapToGrid w:val="0"/>
              <w:rPr>
                <w:color w:val="auto"/>
              </w:rPr>
            </w:pPr>
            <w:r>
              <w:rPr>
                <w:color w:val="auto"/>
              </w:rPr>
              <w:t>白色冲孔铝板</w:t>
            </w:r>
          </w:p>
        </w:tc>
        <w:tc>
          <w:tcPr>
            <w:tcW w:w="4740" w:type="dxa"/>
            <w:noWrap w:val="0"/>
            <w:vAlign w:val="center"/>
          </w:tcPr>
          <w:p>
            <w:pPr>
              <w:adjustRightInd w:val="0"/>
              <w:snapToGrid w:val="0"/>
              <w:rPr>
                <w:color w:val="auto"/>
              </w:rPr>
            </w:pPr>
            <w:r>
              <w:rPr>
                <w:rFonts w:hint="eastAsia"/>
                <w:color w:val="auto"/>
              </w:rPr>
              <w:t>75型轻钢龙骨配38型穿心龙骨；防火阻燃板(15mm厚/18mm)底层、镀锌自攻钉固定，纸面石膏板(9.5mm厚/12mm)面层；防火板及石膏板错缝拼接并留5mm缝。基层刮白处理；2.5mm冲孔铝板安装</w:t>
            </w:r>
          </w:p>
        </w:tc>
        <w:tc>
          <w:tcPr>
            <w:tcW w:w="796" w:type="dxa"/>
            <w:noWrap/>
            <w:vAlign w:val="center"/>
          </w:tcPr>
          <w:p>
            <w:pPr>
              <w:adjustRightInd w:val="0"/>
              <w:snapToGrid w:val="0"/>
              <w:rPr>
                <w:color w:val="auto"/>
              </w:rPr>
            </w:pPr>
            <w:r>
              <w:rPr>
                <w:color w:val="auto"/>
              </w:rPr>
              <w:t>10</w:t>
            </w:r>
          </w:p>
        </w:tc>
        <w:tc>
          <w:tcPr>
            <w:tcW w:w="638" w:type="dxa"/>
            <w:noWrap/>
            <w:vAlign w:val="center"/>
          </w:tcPr>
          <w:p>
            <w:pPr>
              <w:adjustRightInd w:val="0"/>
              <w:snapToGrid w:val="0"/>
              <w:rPr>
                <w:color w:val="auto"/>
              </w:rPr>
            </w:pPr>
            <w:r>
              <w:rPr>
                <w:color w:val="auto"/>
              </w:rPr>
              <w:t>m</w:t>
            </w:r>
            <w:r>
              <w:rPr>
                <w:color w:val="auto"/>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21</w:t>
            </w:r>
          </w:p>
        </w:tc>
        <w:tc>
          <w:tcPr>
            <w:tcW w:w="983" w:type="dxa"/>
            <w:vMerge w:val="continue"/>
            <w:noWrap w:val="0"/>
            <w:vAlign w:val="center"/>
          </w:tcPr>
          <w:p>
            <w:pPr>
              <w:adjustRightInd w:val="0"/>
              <w:snapToGrid w:val="0"/>
              <w:rPr>
                <w:color w:val="auto"/>
              </w:rPr>
            </w:pPr>
          </w:p>
        </w:tc>
        <w:tc>
          <w:tcPr>
            <w:tcW w:w="1134" w:type="dxa"/>
            <w:noWrap/>
            <w:vAlign w:val="center"/>
          </w:tcPr>
          <w:p>
            <w:pPr>
              <w:adjustRightInd w:val="0"/>
              <w:snapToGrid w:val="0"/>
              <w:rPr>
                <w:color w:val="auto"/>
              </w:rPr>
            </w:pPr>
            <w:r>
              <w:rPr>
                <w:color w:val="auto"/>
              </w:rPr>
              <w:t>白色铝板</w:t>
            </w:r>
          </w:p>
        </w:tc>
        <w:tc>
          <w:tcPr>
            <w:tcW w:w="4740" w:type="dxa"/>
            <w:noWrap w:val="0"/>
            <w:vAlign w:val="center"/>
          </w:tcPr>
          <w:p>
            <w:pPr>
              <w:adjustRightInd w:val="0"/>
              <w:snapToGrid w:val="0"/>
              <w:rPr>
                <w:color w:val="auto"/>
              </w:rPr>
            </w:pPr>
            <w:r>
              <w:rPr>
                <w:rFonts w:hint="eastAsia"/>
                <w:color w:val="auto"/>
              </w:rPr>
              <w:t>75型轻钢龙骨配38型穿心龙骨；防火阻燃板(18mm)基层、镀锌自攻钉固定；防火板拼接并留5mm缝；基层处理；2.5mm铝板异形工艺安装。</w:t>
            </w:r>
          </w:p>
        </w:tc>
        <w:tc>
          <w:tcPr>
            <w:tcW w:w="796" w:type="dxa"/>
            <w:noWrap/>
            <w:vAlign w:val="center"/>
          </w:tcPr>
          <w:p>
            <w:pPr>
              <w:adjustRightInd w:val="0"/>
              <w:snapToGrid w:val="0"/>
              <w:rPr>
                <w:color w:val="auto"/>
              </w:rPr>
            </w:pPr>
            <w:r>
              <w:rPr>
                <w:color w:val="auto"/>
              </w:rPr>
              <w:t>24</w:t>
            </w:r>
          </w:p>
        </w:tc>
        <w:tc>
          <w:tcPr>
            <w:tcW w:w="638" w:type="dxa"/>
            <w:noWrap/>
            <w:vAlign w:val="center"/>
          </w:tcPr>
          <w:p>
            <w:pPr>
              <w:adjustRightInd w:val="0"/>
              <w:snapToGrid w:val="0"/>
              <w:rPr>
                <w:color w:val="auto"/>
              </w:rPr>
            </w:pPr>
            <w:r>
              <w:rPr>
                <w:color w:val="auto"/>
              </w:rPr>
              <w:t>m</w:t>
            </w:r>
            <w:r>
              <w:rPr>
                <w:color w:val="auto"/>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22</w:t>
            </w:r>
          </w:p>
        </w:tc>
        <w:tc>
          <w:tcPr>
            <w:tcW w:w="983" w:type="dxa"/>
            <w:vMerge w:val="continue"/>
            <w:noWrap w:val="0"/>
            <w:vAlign w:val="center"/>
          </w:tcPr>
          <w:p>
            <w:pPr>
              <w:adjustRightInd w:val="0"/>
              <w:snapToGrid w:val="0"/>
              <w:rPr>
                <w:color w:val="auto"/>
              </w:rPr>
            </w:pPr>
          </w:p>
        </w:tc>
        <w:tc>
          <w:tcPr>
            <w:tcW w:w="1134" w:type="dxa"/>
            <w:noWrap w:val="0"/>
            <w:vAlign w:val="center"/>
          </w:tcPr>
          <w:p>
            <w:pPr>
              <w:adjustRightInd w:val="0"/>
              <w:snapToGrid w:val="0"/>
              <w:rPr>
                <w:color w:val="auto"/>
              </w:rPr>
            </w:pPr>
            <w:r>
              <w:rPr>
                <w:color w:val="auto"/>
              </w:rPr>
              <w:t>墙面基层及乳胶漆</w:t>
            </w:r>
          </w:p>
        </w:tc>
        <w:tc>
          <w:tcPr>
            <w:tcW w:w="4740" w:type="dxa"/>
            <w:noWrap w:val="0"/>
            <w:vAlign w:val="center"/>
          </w:tcPr>
          <w:p>
            <w:pPr>
              <w:adjustRightInd w:val="0"/>
              <w:snapToGrid w:val="0"/>
              <w:rPr>
                <w:color w:val="auto"/>
              </w:rPr>
            </w:pPr>
            <w:r>
              <w:rPr>
                <w:rFonts w:hint="eastAsia"/>
                <w:color w:val="auto"/>
              </w:rPr>
              <w:t xml:space="preserve">胶水+滑石粉，白水泥或石膏粉基层处理三遍，砂纸打磨；白布或牛皮纸贴缝处理；            阴阳角条安装；底漆一遍，面漆防火白色无机矿物涂料（A级）两遍；                       </w:t>
            </w:r>
          </w:p>
        </w:tc>
        <w:tc>
          <w:tcPr>
            <w:tcW w:w="796" w:type="dxa"/>
            <w:noWrap/>
            <w:vAlign w:val="center"/>
          </w:tcPr>
          <w:p>
            <w:pPr>
              <w:adjustRightInd w:val="0"/>
              <w:snapToGrid w:val="0"/>
              <w:rPr>
                <w:color w:val="auto"/>
              </w:rPr>
            </w:pPr>
            <w:r>
              <w:rPr>
                <w:color w:val="auto"/>
              </w:rPr>
              <w:t>630</w:t>
            </w:r>
          </w:p>
        </w:tc>
        <w:tc>
          <w:tcPr>
            <w:tcW w:w="638" w:type="dxa"/>
            <w:noWrap/>
            <w:vAlign w:val="center"/>
          </w:tcPr>
          <w:p>
            <w:pPr>
              <w:adjustRightInd w:val="0"/>
              <w:snapToGrid w:val="0"/>
              <w:rPr>
                <w:color w:val="auto"/>
              </w:rPr>
            </w:pPr>
            <w:r>
              <w:rPr>
                <w:color w:val="auto"/>
              </w:rPr>
              <w:t>m</w:t>
            </w:r>
            <w:r>
              <w:rPr>
                <w:color w:val="auto"/>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23</w:t>
            </w:r>
          </w:p>
        </w:tc>
        <w:tc>
          <w:tcPr>
            <w:tcW w:w="983" w:type="dxa"/>
            <w:vMerge w:val="restart"/>
            <w:shd w:val="clear" w:color="000000" w:fill="FFFFFF"/>
            <w:noWrap/>
            <w:vAlign w:val="center"/>
          </w:tcPr>
          <w:p>
            <w:pPr>
              <w:adjustRightInd w:val="0"/>
              <w:snapToGrid w:val="0"/>
              <w:rPr>
                <w:color w:val="auto"/>
              </w:rPr>
            </w:pPr>
            <w:r>
              <w:rPr>
                <w:rFonts w:hint="eastAsia"/>
                <w:color w:val="auto"/>
              </w:rPr>
              <w:t>定制门</w:t>
            </w:r>
          </w:p>
        </w:tc>
        <w:tc>
          <w:tcPr>
            <w:tcW w:w="1134" w:type="dxa"/>
            <w:noWrap w:val="0"/>
            <w:vAlign w:val="center"/>
          </w:tcPr>
          <w:p>
            <w:pPr>
              <w:adjustRightInd w:val="0"/>
              <w:snapToGrid w:val="0"/>
              <w:rPr>
                <w:color w:val="auto"/>
              </w:rPr>
            </w:pPr>
            <w:r>
              <w:rPr>
                <w:color w:val="auto"/>
              </w:rPr>
              <w:t>定制套装门</w:t>
            </w:r>
          </w:p>
        </w:tc>
        <w:tc>
          <w:tcPr>
            <w:tcW w:w="4740" w:type="dxa"/>
            <w:noWrap w:val="0"/>
            <w:vAlign w:val="center"/>
          </w:tcPr>
          <w:p>
            <w:pPr>
              <w:adjustRightInd w:val="0"/>
              <w:snapToGrid w:val="0"/>
              <w:rPr>
                <w:color w:val="auto"/>
              </w:rPr>
            </w:pPr>
            <w:r>
              <w:rPr>
                <w:rFonts w:hint="eastAsia"/>
                <w:color w:val="auto"/>
              </w:rPr>
              <w:t>规格；3000mm*1350mm；实木门、门套上顶；五金门锁；现场安装；</w:t>
            </w:r>
          </w:p>
        </w:tc>
        <w:tc>
          <w:tcPr>
            <w:tcW w:w="796" w:type="dxa"/>
            <w:noWrap/>
            <w:vAlign w:val="center"/>
          </w:tcPr>
          <w:p>
            <w:pPr>
              <w:adjustRightInd w:val="0"/>
              <w:snapToGrid w:val="0"/>
              <w:rPr>
                <w:color w:val="auto"/>
              </w:rPr>
            </w:pPr>
            <w:r>
              <w:rPr>
                <w:color w:val="auto"/>
              </w:rPr>
              <w:t>2</w:t>
            </w:r>
          </w:p>
        </w:tc>
        <w:tc>
          <w:tcPr>
            <w:tcW w:w="638" w:type="dxa"/>
            <w:noWrap/>
            <w:vAlign w:val="center"/>
          </w:tcPr>
          <w:p>
            <w:pPr>
              <w:adjustRightInd w:val="0"/>
              <w:snapToGrid w:val="0"/>
              <w:rPr>
                <w:color w:val="auto"/>
              </w:rPr>
            </w:pPr>
            <w:r>
              <w:rPr>
                <w:color w:val="auto"/>
              </w:rPr>
              <w:t>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24</w:t>
            </w:r>
          </w:p>
        </w:tc>
        <w:tc>
          <w:tcPr>
            <w:tcW w:w="983" w:type="dxa"/>
            <w:vMerge w:val="continue"/>
            <w:noWrap w:val="0"/>
            <w:vAlign w:val="center"/>
          </w:tcPr>
          <w:p>
            <w:pPr>
              <w:adjustRightInd w:val="0"/>
              <w:snapToGrid w:val="0"/>
              <w:rPr>
                <w:color w:val="auto"/>
              </w:rPr>
            </w:pPr>
          </w:p>
        </w:tc>
        <w:tc>
          <w:tcPr>
            <w:tcW w:w="1134" w:type="dxa"/>
            <w:noWrap w:val="0"/>
            <w:vAlign w:val="center"/>
          </w:tcPr>
          <w:p>
            <w:pPr>
              <w:adjustRightInd w:val="0"/>
              <w:snapToGrid w:val="0"/>
              <w:rPr>
                <w:color w:val="auto"/>
              </w:rPr>
            </w:pPr>
            <w:r>
              <w:rPr>
                <w:color w:val="auto"/>
              </w:rPr>
              <w:t>定制套装门</w:t>
            </w:r>
          </w:p>
        </w:tc>
        <w:tc>
          <w:tcPr>
            <w:tcW w:w="4740" w:type="dxa"/>
            <w:noWrap w:val="0"/>
            <w:vAlign w:val="center"/>
          </w:tcPr>
          <w:p>
            <w:pPr>
              <w:adjustRightInd w:val="0"/>
              <w:snapToGrid w:val="0"/>
              <w:rPr>
                <w:color w:val="auto"/>
              </w:rPr>
            </w:pPr>
            <w:r>
              <w:rPr>
                <w:rFonts w:hint="eastAsia"/>
                <w:color w:val="auto"/>
              </w:rPr>
              <w:t>规格；3000mm*1800mm双扇；实木门、门套上顶；五金门锁；现场安装；</w:t>
            </w:r>
          </w:p>
        </w:tc>
        <w:tc>
          <w:tcPr>
            <w:tcW w:w="796" w:type="dxa"/>
            <w:noWrap/>
            <w:vAlign w:val="center"/>
          </w:tcPr>
          <w:p>
            <w:pPr>
              <w:adjustRightInd w:val="0"/>
              <w:snapToGrid w:val="0"/>
              <w:rPr>
                <w:color w:val="auto"/>
              </w:rPr>
            </w:pPr>
            <w:r>
              <w:rPr>
                <w:color w:val="auto"/>
              </w:rPr>
              <w:t>1</w:t>
            </w:r>
          </w:p>
        </w:tc>
        <w:tc>
          <w:tcPr>
            <w:tcW w:w="638" w:type="dxa"/>
            <w:noWrap/>
            <w:vAlign w:val="center"/>
          </w:tcPr>
          <w:p>
            <w:pPr>
              <w:adjustRightInd w:val="0"/>
              <w:snapToGrid w:val="0"/>
              <w:rPr>
                <w:color w:val="auto"/>
              </w:rPr>
            </w:pPr>
            <w:r>
              <w:rPr>
                <w:color w:val="auto"/>
              </w:rPr>
              <w:t>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25</w:t>
            </w:r>
          </w:p>
        </w:tc>
        <w:tc>
          <w:tcPr>
            <w:tcW w:w="983" w:type="dxa"/>
            <w:vMerge w:val="continue"/>
            <w:noWrap w:val="0"/>
            <w:vAlign w:val="center"/>
          </w:tcPr>
          <w:p>
            <w:pPr>
              <w:adjustRightInd w:val="0"/>
              <w:snapToGrid w:val="0"/>
              <w:rPr>
                <w:color w:val="auto"/>
              </w:rPr>
            </w:pPr>
          </w:p>
        </w:tc>
        <w:tc>
          <w:tcPr>
            <w:tcW w:w="1134" w:type="dxa"/>
            <w:noWrap w:val="0"/>
            <w:vAlign w:val="center"/>
          </w:tcPr>
          <w:p>
            <w:pPr>
              <w:adjustRightInd w:val="0"/>
              <w:snapToGrid w:val="0"/>
              <w:rPr>
                <w:color w:val="auto"/>
              </w:rPr>
            </w:pPr>
            <w:r>
              <w:rPr>
                <w:color w:val="auto"/>
              </w:rPr>
              <w:t>定制套装门</w:t>
            </w:r>
          </w:p>
        </w:tc>
        <w:tc>
          <w:tcPr>
            <w:tcW w:w="4740" w:type="dxa"/>
            <w:noWrap w:val="0"/>
            <w:vAlign w:val="center"/>
          </w:tcPr>
          <w:p>
            <w:pPr>
              <w:adjustRightInd w:val="0"/>
              <w:snapToGrid w:val="0"/>
              <w:rPr>
                <w:color w:val="auto"/>
              </w:rPr>
            </w:pPr>
            <w:r>
              <w:rPr>
                <w:rFonts w:hint="eastAsia"/>
                <w:color w:val="auto"/>
              </w:rPr>
              <w:t>规格；3000mm*800mm，六扇门，门套4800mm宽；实木门、门套上顶；五金门锁；现场安装；</w:t>
            </w:r>
          </w:p>
        </w:tc>
        <w:tc>
          <w:tcPr>
            <w:tcW w:w="796" w:type="dxa"/>
            <w:noWrap/>
            <w:vAlign w:val="center"/>
          </w:tcPr>
          <w:p>
            <w:pPr>
              <w:adjustRightInd w:val="0"/>
              <w:snapToGrid w:val="0"/>
              <w:rPr>
                <w:color w:val="auto"/>
              </w:rPr>
            </w:pPr>
            <w:r>
              <w:rPr>
                <w:color w:val="auto"/>
              </w:rPr>
              <w:t>1</w:t>
            </w:r>
          </w:p>
        </w:tc>
        <w:tc>
          <w:tcPr>
            <w:tcW w:w="638" w:type="dxa"/>
            <w:noWrap/>
            <w:vAlign w:val="center"/>
          </w:tcPr>
          <w:p>
            <w:pPr>
              <w:adjustRightInd w:val="0"/>
              <w:snapToGrid w:val="0"/>
              <w:rPr>
                <w:color w:val="auto"/>
              </w:rPr>
            </w:pPr>
            <w:r>
              <w:rPr>
                <w:color w:val="auto"/>
              </w:rPr>
              <w:t>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26</w:t>
            </w:r>
          </w:p>
        </w:tc>
        <w:tc>
          <w:tcPr>
            <w:tcW w:w="983" w:type="dxa"/>
            <w:vMerge w:val="continue"/>
            <w:noWrap w:val="0"/>
            <w:vAlign w:val="center"/>
          </w:tcPr>
          <w:p>
            <w:pPr>
              <w:adjustRightInd w:val="0"/>
              <w:snapToGrid w:val="0"/>
              <w:rPr>
                <w:color w:val="auto"/>
              </w:rPr>
            </w:pPr>
          </w:p>
        </w:tc>
        <w:tc>
          <w:tcPr>
            <w:tcW w:w="1134" w:type="dxa"/>
            <w:noWrap w:val="0"/>
            <w:vAlign w:val="center"/>
          </w:tcPr>
          <w:p>
            <w:pPr>
              <w:adjustRightInd w:val="0"/>
              <w:snapToGrid w:val="0"/>
              <w:rPr>
                <w:color w:val="auto"/>
              </w:rPr>
            </w:pPr>
            <w:r>
              <w:rPr>
                <w:color w:val="auto"/>
              </w:rPr>
              <w:t>定制套装门（隐门）</w:t>
            </w:r>
          </w:p>
        </w:tc>
        <w:tc>
          <w:tcPr>
            <w:tcW w:w="4740" w:type="dxa"/>
            <w:noWrap w:val="0"/>
            <w:vAlign w:val="center"/>
          </w:tcPr>
          <w:p>
            <w:pPr>
              <w:adjustRightInd w:val="0"/>
              <w:snapToGrid w:val="0"/>
              <w:rPr>
                <w:color w:val="auto"/>
              </w:rPr>
            </w:pPr>
            <w:r>
              <w:rPr>
                <w:rFonts w:hint="eastAsia"/>
                <w:color w:val="auto"/>
              </w:rPr>
              <w:t>规格；2300mm*900mm；实木门、门套；五金门锁；现场安装；</w:t>
            </w:r>
          </w:p>
        </w:tc>
        <w:tc>
          <w:tcPr>
            <w:tcW w:w="796" w:type="dxa"/>
            <w:noWrap/>
            <w:vAlign w:val="center"/>
          </w:tcPr>
          <w:p>
            <w:pPr>
              <w:adjustRightInd w:val="0"/>
              <w:snapToGrid w:val="0"/>
              <w:rPr>
                <w:color w:val="auto"/>
              </w:rPr>
            </w:pPr>
            <w:r>
              <w:rPr>
                <w:color w:val="auto"/>
              </w:rPr>
              <w:t>2</w:t>
            </w:r>
          </w:p>
        </w:tc>
        <w:tc>
          <w:tcPr>
            <w:tcW w:w="638" w:type="dxa"/>
            <w:noWrap/>
            <w:vAlign w:val="center"/>
          </w:tcPr>
          <w:p>
            <w:pPr>
              <w:adjustRightInd w:val="0"/>
              <w:snapToGrid w:val="0"/>
              <w:rPr>
                <w:color w:val="auto"/>
              </w:rPr>
            </w:pPr>
            <w:r>
              <w:rPr>
                <w:color w:val="auto"/>
              </w:rPr>
              <w:t>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27</w:t>
            </w:r>
          </w:p>
        </w:tc>
        <w:tc>
          <w:tcPr>
            <w:tcW w:w="983" w:type="dxa"/>
            <w:vMerge w:val="continue"/>
            <w:noWrap w:val="0"/>
            <w:vAlign w:val="center"/>
          </w:tcPr>
          <w:p>
            <w:pPr>
              <w:adjustRightInd w:val="0"/>
              <w:snapToGrid w:val="0"/>
              <w:rPr>
                <w:color w:val="auto"/>
              </w:rPr>
            </w:pPr>
          </w:p>
        </w:tc>
        <w:tc>
          <w:tcPr>
            <w:tcW w:w="1134" w:type="dxa"/>
            <w:noWrap w:val="0"/>
            <w:vAlign w:val="center"/>
          </w:tcPr>
          <w:p>
            <w:pPr>
              <w:adjustRightInd w:val="0"/>
              <w:snapToGrid w:val="0"/>
              <w:rPr>
                <w:color w:val="auto"/>
              </w:rPr>
            </w:pPr>
            <w:r>
              <w:rPr>
                <w:color w:val="auto"/>
              </w:rPr>
              <w:t>定制套装门（隐门）</w:t>
            </w:r>
          </w:p>
        </w:tc>
        <w:tc>
          <w:tcPr>
            <w:tcW w:w="4740" w:type="dxa"/>
            <w:noWrap w:val="0"/>
            <w:vAlign w:val="center"/>
          </w:tcPr>
          <w:p>
            <w:pPr>
              <w:adjustRightInd w:val="0"/>
              <w:snapToGrid w:val="0"/>
              <w:rPr>
                <w:color w:val="auto"/>
              </w:rPr>
            </w:pPr>
            <w:r>
              <w:rPr>
                <w:rFonts w:hint="eastAsia"/>
                <w:color w:val="auto"/>
              </w:rPr>
              <w:t>规格；1900mm*700mm；实木门、门套；五金门锁；现场安装；</w:t>
            </w:r>
          </w:p>
        </w:tc>
        <w:tc>
          <w:tcPr>
            <w:tcW w:w="796" w:type="dxa"/>
            <w:noWrap/>
            <w:vAlign w:val="center"/>
          </w:tcPr>
          <w:p>
            <w:pPr>
              <w:adjustRightInd w:val="0"/>
              <w:snapToGrid w:val="0"/>
              <w:rPr>
                <w:color w:val="auto"/>
              </w:rPr>
            </w:pPr>
            <w:r>
              <w:rPr>
                <w:color w:val="auto"/>
              </w:rPr>
              <w:t>3</w:t>
            </w:r>
          </w:p>
        </w:tc>
        <w:tc>
          <w:tcPr>
            <w:tcW w:w="638" w:type="dxa"/>
            <w:noWrap/>
            <w:vAlign w:val="center"/>
          </w:tcPr>
          <w:p>
            <w:pPr>
              <w:adjustRightInd w:val="0"/>
              <w:snapToGrid w:val="0"/>
              <w:rPr>
                <w:color w:val="auto"/>
              </w:rPr>
            </w:pPr>
            <w:r>
              <w:rPr>
                <w:color w:val="auto"/>
              </w:rPr>
              <w:t>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28</w:t>
            </w:r>
          </w:p>
        </w:tc>
        <w:tc>
          <w:tcPr>
            <w:tcW w:w="983" w:type="dxa"/>
            <w:vMerge w:val="continue"/>
            <w:noWrap w:val="0"/>
            <w:vAlign w:val="center"/>
          </w:tcPr>
          <w:p>
            <w:pPr>
              <w:adjustRightInd w:val="0"/>
              <w:snapToGrid w:val="0"/>
              <w:rPr>
                <w:color w:val="auto"/>
              </w:rPr>
            </w:pPr>
          </w:p>
        </w:tc>
        <w:tc>
          <w:tcPr>
            <w:tcW w:w="1134" w:type="dxa"/>
            <w:noWrap w:val="0"/>
            <w:vAlign w:val="center"/>
          </w:tcPr>
          <w:p>
            <w:pPr>
              <w:adjustRightInd w:val="0"/>
              <w:snapToGrid w:val="0"/>
              <w:rPr>
                <w:color w:val="auto"/>
              </w:rPr>
            </w:pPr>
            <w:r>
              <w:rPr>
                <w:color w:val="auto"/>
              </w:rPr>
              <w:t>玻璃电动门</w:t>
            </w:r>
          </w:p>
        </w:tc>
        <w:tc>
          <w:tcPr>
            <w:tcW w:w="4740" w:type="dxa"/>
            <w:noWrap w:val="0"/>
            <w:vAlign w:val="center"/>
          </w:tcPr>
          <w:p>
            <w:pPr>
              <w:adjustRightInd w:val="0"/>
              <w:snapToGrid w:val="0"/>
              <w:rPr>
                <w:color w:val="auto"/>
              </w:rPr>
            </w:pPr>
            <w:r>
              <w:rPr>
                <w:rFonts w:hint="eastAsia"/>
                <w:color w:val="auto"/>
              </w:rPr>
              <w:t>规格：1500*2200；12mm钢化玻璃、不锈钢门套；感应电机一套；五金门锁；门顶面40*40方钢加固；</w:t>
            </w:r>
          </w:p>
        </w:tc>
        <w:tc>
          <w:tcPr>
            <w:tcW w:w="796" w:type="dxa"/>
            <w:noWrap/>
            <w:vAlign w:val="center"/>
          </w:tcPr>
          <w:p>
            <w:pPr>
              <w:adjustRightInd w:val="0"/>
              <w:snapToGrid w:val="0"/>
              <w:rPr>
                <w:color w:val="auto"/>
              </w:rPr>
            </w:pPr>
            <w:r>
              <w:rPr>
                <w:color w:val="auto"/>
              </w:rPr>
              <w:t>1</w:t>
            </w:r>
          </w:p>
        </w:tc>
        <w:tc>
          <w:tcPr>
            <w:tcW w:w="638" w:type="dxa"/>
            <w:noWrap/>
            <w:vAlign w:val="center"/>
          </w:tcPr>
          <w:p>
            <w:pPr>
              <w:adjustRightInd w:val="0"/>
              <w:snapToGrid w:val="0"/>
              <w:rPr>
                <w:color w:val="auto"/>
              </w:rPr>
            </w:pPr>
            <w:r>
              <w:rPr>
                <w:color w:val="auto"/>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29</w:t>
            </w:r>
          </w:p>
        </w:tc>
        <w:tc>
          <w:tcPr>
            <w:tcW w:w="983" w:type="dxa"/>
            <w:vMerge w:val="restart"/>
            <w:shd w:val="clear" w:color="000000" w:fill="FFFFFF"/>
            <w:noWrap/>
            <w:vAlign w:val="center"/>
          </w:tcPr>
          <w:p>
            <w:pPr>
              <w:adjustRightInd w:val="0"/>
              <w:snapToGrid w:val="0"/>
              <w:rPr>
                <w:color w:val="auto"/>
              </w:rPr>
            </w:pPr>
            <w:r>
              <w:rPr>
                <w:rFonts w:hint="eastAsia"/>
                <w:color w:val="auto"/>
              </w:rPr>
              <w:t>照明及弱电</w:t>
            </w:r>
          </w:p>
        </w:tc>
        <w:tc>
          <w:tcPr>
            <w:tcW w:w="1134" w:type="dxa"/>
            <w:shd w:val="clear" w:color="FFFFFF" w:fill="FFFFFF"/>
            <w:noWrap w:val="0"/>
            <w:vAlign w:val="center"/>
          </w:tcPr>
          <w:p>
            <w:pPr>
              <w:adjustRightInd w:val="0"/>
              <w:snapToGrid w:val="0"/>
              <w:rPr>
                <w:color w:val="auto"/>
              </w:rPr>
            </w:pPr>
            <w:r>
              <w:rPr>
                <w:color w:val="auto"/>
              </w:rPr>
              <w:t>配管</w:t>
            </w:r>
          </w:p>
        </w:tc>
        <w:tc>
          <w:tcPr>
            <w:tcW w:w="4740" w:type="dxa"/>
            <w:noWrap w:val="0"/>
            <w:vAlign w:val="center"/>
          </w:tcPr>
          <w:p>
            <w:pPr>
              <w:adjustRightInd w:val="0"/>
              <w:snapToGrid w:val="0"/>
              <w:rPr>
                <w:color w:val="auto"/>
              </w:rPr>
            </w:pPr>
            <w:r>
              <w:rPr>
                <w:rFonts w:hint="eastAsia"/>
                <w:color w:val="auto"/>
              </w:rPr>
              <w:t>电线管；材质:PVC；规格:DN20；配置形式:埋墙敷设或埋地敷设</w:t>
            </w:r>
          </w:p>
        </w:tc>
        <w:tc>
          <w:tcPr>
            <w:tcW w:w="796" w:type="dxa"/>
            <w:noWrap/>
            <w:vAlign w:val="center"/>
          </w:tcPr>
          <w:p>
            <w:pPr>
              <w:adjustRightInd w:val="0"/>
              <w:snapToGrid w:val="0"/>
              <w:rPr>
                <w:color w:val="auto"/>
              </w:rPr>
            </w:pPr>
            <w:r>
              <w:rPr>
                <w:color w:val="auto"/>
              </w:rPr>
              <w:t>600</w:t>
            </w:r>
          </w:p>
        </w:tc>
        <w:tc>
          <w:tcPr>
            <w:tcW w:w="638" w:type="dxa"/>
            <w:noWrap/>
            <w:vAlign w:val="center"/>
          </w:tcPr>
          <w:p>
            <w:pPr>
              <w:adjustRightInd w:val="0"/>
              <w:snapToGrid w:val="0"/>
              <w:rPr>
                <w:color w:val="auto"/>
              </w:rPr>
            </w:pPr>
            <w:r>
              <w:rPr>
                <w:color w:val="auto"/>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30</w:t>
            </w:r>
          </w:p>
        </w:tc>
        <w:tc>
          <w:tcPr>
            <w:tcW w:w="983" w:type="dxa"/>
            <w:vMerge w:val="continue"/>
            <w:shd w:val="clear" w:color="auto" w:fill="auto"/>
            <w:noWrap w:val="0"/>
            <w:vAlign w:val="center"/>
          </w:tcPr>
          <w:p>
            <w:pPr>
              <w:adjustRightInd w:val="0"/>
              <w:snapToGrid w:val="0"/>
              <w:rPr>
                <w:color w:val="auto"/>
              </w:rPr>
            </w:pPr>
          </w:p>
        </w:tc>
        <w:tc>
          <w:tcPr>
            <w:tcW w:w="1134" w:type="dxa"/>
            <w:shd w:val="clear" w:color="FFFFFF" w:fill="FFFFFF"/>
            <w:noWrap w:val="0"/>
            <w:vAlign w:val="center"/>
          </w:tcPr>
          <w:p>
            <w:pPr>
              <w:adjustRightInd w:val="0"/>
              <w:snapToGrid w:val="0"/>
              <w:rPr>
                <w:color w:val="auto"/>
              </w:rPr>
            </w:pPr>
            <w:r>
              <w:rPr>
                <w:color w:val="auto"/>
              </w:rPr>
              <w:t>配管</w:t>
            </w:r>
          </w:p>
        </w:tc>
        <w:tc>
          <w:tcPr>
            <w:tcW w:w="4740" w:type="dxa"/>
            <w:noWrap w:val="0"/>
            <w:vAlign w:val="center"/>
          </w:tcPr>
          <w:p>
            <w:pPr>
              <w:adjustRightInd w:val="0"/>
              <w:snapToGrid w:val="0"/>
              <w:rPr>
                <w:color w:val="auto"/>
              </w:rPr>
            </w:pPr>
            <w:r>
              <w:rPr>
                <w:rFonts w:hint="eastAsia"/>
                <w:color w:val="auto"/>
              </w:rPr>
              <w:t>电线管；材质:JDG；规格:DN20；配置形式:吊顶内敷设或埋墙敷设</w:t>
            </w:r>
          </w:p>
        </w:tc>
        <w:tc>
          <w:tcPr>
            <w:tcW w:w="796" w:type="dxa"/>
            <w:noWrap/>
            <w:vAlign w:val="center"/>
          </w:tcPr>
          <w:p>
            <w:pPr>
              <w:adjustRightInd w:val="0"/>
              <w:snapToGrid w:val="0"/>
              <w:rPr>
                <w:color w:val="auto"/>
              </w:rPr>
            </w:pPr>
            <w:r>
              <w:rPr>
                <w:color w:val="auto"/>
              </w:rPr>
              <w:t>2450</w:t>
            </w:r>
          </w:p>
        </w:tc>
        <w:tc>
          <w:tcPr>
            <w:tcW w:w="638" w:type="dxa"/>
            <w:noWrap/>
            <w:vAlign w:val="center"/>
          </w:tcPr>
          <w:p>
            <w:pPr>
              <w:adjustRightInd w:val="0"/>
              <w:snapToGrid w:val="0"/>
              <w:rPr>
                <w:color w:val="auto"/>
              </w:rPr>
            </w:pPr>
            <w:r>
              <w:rPr>
                <w:color w:val="auto"/>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31</w:t>
            </w:r>
          </w:p>
        </w:tc>
        <w:tc>
          <w:tcPr>
            <w:tcW w:w="983" w:type="dxa"/>
            <w:vMerge w:val="continue"/>
            <w:shd w:val="clear" w:color="auto" w:fill="auto"/>
            <w:noWrap w:val="0"/>
            <w:vAlign w:val="center"/>
          </w:tcPr>
          <w:p>
            <w:pPr>
              <w:adjustRightInd w:val="0"/>
              <w:snapToGrid w:val="0"/>
              <w:rPr>
                <w:color w:val="auto"/>
              </w:rPr>
            </w:pPr>
          </w:p>
        </w:tc>
        <w:tc>
          <w:tcPr>
            <w:tcW w:w="1134" w:type="dxa"/>
            <w:shd w:val="clear" w:color="FFFFFF" w:fill="FFFFFF"/>
            <w:noWrap w:val="0"/>
            <w:vAlign w:val="center"/>
          </w:tcPr>
          <w:p>
            <w:pPr>
              <w:adjustRightInd w:val="0"/>
              <w:snapToGrid w:val="0"/>
              <w:rPr>
                <w:color w:val="auto"/>
              </w:rPr>
            </w:pPr>
            <w:r>
              <w:rPr>
                <w:color w:val="auto"/>
              </w:rPr>
              <w:t>桥架</w:t>
            </w:r>
          </w:p>
        </w:tc>
        <w:tc>
          <w:tcPr>
            <w:tcW w:w="4740" w:type="dxa"/>
            <w:noWrap w:val="0"/>
            <w:vAlign w:val="center"/>
          </w:tcPr>
          <w:p>
            <w:pPr>
              <w:adjustRightInd w:val="0"/>
              <w:snapToGrid w:val="0"/>
              <w:rPr>
                <w:color w:val="auto"/>
              </w:rPr>
            </w:pPr>
            <w:r>
              <w:rPr>
                <w:rFonts w:hint="eastAsia"/>
                <w:color w:val="auto"/>
              </w:rPr>
              <w:t>桥架：材质:金属：规格:200*100：配置形式:吊顶内敷设或沿墙敷设</w:t>
            </w:r>
          </w:p>
        </w:tc>
        <w:tc>
          <w:tcPr>
            <w:tcW w:w="796" w:type="dxa"/>
            <w:noWrap/>
            <w:vAlign w:val="center"/>
          </w:tcPr>
          <w:p>
            <w:pPr>
              <w:adjustRightInd w:val="0"/>
              <w:snapToGrid w:val="0"/>
              <w:rPr>
                <w:color w:val="auto"/>
              </w:rPr>
            </w:pPr>
            <w:r>
              <w:rPr>
                <w:color w:val="auto"/>
              </w:rPr>
              <w:t>180</w:t>
            </w:r>
          </w:p>
        </w:tc>
        <w:tc>
          <w:tcPr>
            <w:tcW w:w="638" w:type="dxa"/>
            <w:noWrap/>
            <w:vAlign w:val="center"/>
          </w:tcPr>
          <w:p>
            <w:pPr>
              <w:adjustRightInd w:val="0"/>
              <w:snapToGrid w:val="0"/>
              <w:rPr>
                <w:color w:val="auto"/>
              </w:rPr>
            </w:pPr>
            <w:r>
              <w:rPr>
                <w:color w:val="auto"/>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32</w:t>
            </w:r>
          </w:p>
        </w:tc>
        <w:tc>
          <w:tcPr>
            <w:tcW w:w="983" w:type="dxa"/>
            <w:vMerge w:val="continue"/>
            <w:shd w:val="clear" w:color="auto" w:fill="auto"/>
            <w:noWrap w:val="0"/>
            <w:vAlign w:val="center"/>
          </w:tcPr>
          <w:p>
            <w:pPr>
              <w:adjustRightInd w:val="0"/>
              <w:snapToGrid w:val="0"/>
              <w:rPr>
                <w:color w:val="auto"/>
              </w:rPr>
            </w:pPr>
          </w:p>
        </w:tc>
        <w:tc>
          <w:tcPr>
            <w:tcW w:w="1134" w:type="dxa"/>
            <w:shd w:val="clear" w:color="FFFFFF" w:fill="FFFFFF"/>
            <w:noWrap w:val="0"/>
            <w:vAlign w:val="center"/>
          </w:tcPr>
          <w:p>
            <w:pPr>
              <w:adjustRightInd w:val="0"/>
              <w:snapToGrid w:val="0"/>
              <w:rPr>
                <w:color w:val="auto"/>
              </w:rPr>
            </w:pPr>
            <w:r>
              <w:rPr>
                <w:color w:val="auto"/>
              </w:rPr>
              <w:t>配线</w:t>
            </w:r>
          </w:p>
        </w:tc>
        <w:tc>
          <w:tcPr>
            <w:tcW w:w="4740" w:type="dxa"/>
            <w:noWrap w:val="0"/>
            <w:vAlign w:val="center"/>
          </w:tcPr>
          <w:p>
            <w:pPr>
              <w:adjustRightInd w:val="0"/>
              <w:snapToGrid w:val="0"/>
              <w:rPr>
                <w:color w:val="auto"/>
              </w:rPr>
            </w:pPr>
            <w:r>
              <w:rPr>
                <w:rFonts w:hint="eastAsia"/>
                <w:color w:val="auto"/>
              </w:rPr>
              <w:t>管内穿线；型号:WDZRBV2.5平方毫米。接线:含制作安装.</w:t>
            </w:r>
          </w:p>
        </w:tc>
        <w:tc>
          <w:tcPr>
            <w:tcW w:w="796" w:type="dxa"/>
            <w:noWrap/>
            <w:vAlign w:val="center"/>
          </w:tcPr>
          <w:p>
            <w:pPr>
              <w:adjustRightInd w:val="0"/>
              <w:snapToGrid w:val="0"/>
              <w:rPr>
                <w:color w:val="auto"/>
              </w:rPr>
            </w:pPr>
            <w:r>
              <w:rPr>
                <w:color w:val="auto"/>
              </w:rPr>
              <w:t>9100</w:t>
            </w:r>
          </w:p>
        </w:tc>
        <w:tc>
          <w:tcPr>
            <w:tcW w:w="638" w:type="dxa"/>
            <w:noWrap/>
            <w:vAlign w:val="center"/>
          </w:tcPr>
          <w:p>
            <w:pPr>
              <w:adjustRightInd w:val="0"/>
              <w:snapToGrid w:val="0"/>
              <w:rPr>
                <w:color w:val="auto"/>
              </w:rPr>
            </w:pPr>
            <w:r>
              <w:rPr>
                <w:color w:val="auto"/>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33</w:t>
            </w:r>
          </w:p>
        </w:tc>
        <w:tc>
          <w:tcPr>
            <w:tcW w:w="983" w:type="dxa"/>
            <w:vMerge w:val="continue"/>
            <w:shd w:val="clear" w:color="auto" w:fill="auto"/>
            <w:noWrap w:val="0"/>
            <w:vAlign w:val="center"/>
          </w:tcPr>
          <w:p>
            <w:pPr>
              <w:adjustRightInd w:val="0"/>
              <w:snapToGrid w:val="0"/>
              <w:rPr>
                <w:color w:val="auto"/>
              </w:rPr>
            </w:pPr>
          </w:p>
        </w:tc>
        <w:tc>
          <w:tcPr>
            <w:tcW w:w="1134" w:type="dxa"/>
            <w:shd w:val="clear" w:color="FFFFFF" w:fill="FFFFFF"/>
            <w:noWrap w:val="0"/>
            <w:vAlign w:val="center"/>
          </w:tcPr>
          <w:p>
            <w:pPr>
              <w:adjustRightInd w:val="0"/>
              <w:snapToGrid w:val="0"/>
              <w:rPr>
                <w:color w:val="auto"/>
              </w:rPr>
            </w:pPr>
            <w:r>
              <w:rPr>
                <w:color w:val="auto"/>
              </w:rPr>
              <w:t>配线</w:t>
            </w:r>
          </w:p>
        </w:tc>
        <w:tc>
          <w:tcPr>
            <w:tcW w:w="4740" w:type="dxa"/>
            <w:noWrap w:val="0"/>
            <w:vAlign w:val="center"/>
          </w:tcPr>
          <w:p>
            <w:pPr>
              <w:adjustRightInd w:val="0"/>
              <w:snapToGrid w:val="0"/>
              <w:rPr>
                <w:color w:val="auto"/>
              </w:rPr>
            </w:pPr>
            <w:r>
              <w:rPr>
                <w:rFonts w:hint="eastAsia"/>
                <w:color w:val="auto"/>
              </w:rPr>
              <w:t>管内穿线；型号:WDZRBV4平方毫米;接线:含制作安装.</w:t>
            </w:r>
          </w:p>
        </w:tc>
        <w:tc>
          <w:tcPr>
            <w:tcW w:w="796" w:type="dxa"/>
            <w:noWrap/>
            <w:vAlign w:val="center"/>
          </w:tcPr>
          <w:p>
            <w:pPr>
              <w:adjustRightInd w:val="0"/>
              <w:snapToGrid w:val="0"/>
              <w:rPr>
                <w:color w:val="auto"/>
              </w:rPr>
            </w:pPr>
            <w:r>
              <w:rPr>
                <w:color w:val="auto"/>
              </w:rPr>
              <w:t>2900</w:t>
            </w:r>
          </w:p>
        </w:tc>
        <w:tc>
          <w:tcPr>
            <w:tcW w:w="638" w:type="dxa"/>
            <w:noWrap/>
            <w:vAlign w:val="center"/>
          </w:tcPr>
          <w:p>
            <w:pPr>
              <w:adjustRightInd w:val="0"/>
              <w:snapToGrid w:val="0"/>
              <w:rPr>
                <w:color w:val="auto"/>
              </w:rPr>
            </w:pPr>
            <w:r>
              <w:rPr>
                <w:color w:val="auto"/>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34</w:t>
            </w:r>
          </w:p>
        </w:tc>
        <w:tc>
          <w:tcPr>
            <w:tcW w:w="983" w:type="dxa"/>
            <w:vMerge w:val="continue"/>
            <w:shd w:val="clear" w:color="auto" w:fill="auto"/>
            <w:noWrap w:val="0"/>
            <w:vAlign w:val="center"/>
          </w:tcPr>
          <w:p>
            <w:pPr>
              <w:adjustRightInd w:val="0"/>
              <w:snapToGrid w:val="0"/>
              <w:rPr>
                <w:color w:val="auto"/>
              </w:rPr>
            </w:pPr>
          </w:p>
        </w:tc>
        <w:tc>
          <w:tcPr>
            <w:tcW w:w="1134" w:type="dxa"/>
            <w:shd w:val="clear" w:color="FFFFFF" w:fill="FFFFFF"/>
            <w:noWrap w:val="0"/>
            <w:vAlign w:val="center"/>
          </w:tcPr>
          <w:p>
            <w:pPr>
              <w:adjustRightInd w:val="0"/>
              <w:snapToGrid w:val="0"/>
              <w:rPr>
                <w:color w:val="auto"/>
              </w:rPr>
            </w:pPr>
            <w:r>
              <w:rPr>
                <w:color w:val="auto"/>
              </w:rPr>
              <w:t>配线</w:t>
            </w:r>
          </w:p>
        </w:tc>
        <w:tc>
          <w:tcPr>
            <w:tcW w:w="4740" w:type="dxa"/>
            <w:noWrap w:val="0"/>
            <w:vAlign w:val="center"/>
          </w:tcPr>
          <w:p>
            <w:pPr>
              <w:adjustRightInd w:val="0"/>
              <w:snapToGrid w:val="0"/>
              <w:rPr>
                <w:color w:val="auto"/>
              </w:rPr>
            </w:pPr>
            <w:r>
              <w:rPr>
                <w:rFonts w:hint="eastAsia"/>
                <w:color w:val="auto"/>
              </w:rPr>
              <w:t>管内穿线；型号:CAT6;工程级网线；接线:含制作安装.</w:t>
            </w:r>
          </w:p>
        </w:tc>
        <w:tc>
          <w:tcPr>
            <w:tcW w:w="796" w:type="dxa"/>
            <w:noWrap/>
            <w:vAlign w:val="center"/>
          </w:tcPr>
          <w:p>
            <w:pPr>
              <w:adjustRightInd w:val="0"/>
              <w:snapToGrid w:val="0"/>
              <w:rPr>
                <w:color w:val="auto"/>
              </w:rPr>
            </w:pPr>
            <w:r>
              <w:rPr>
                <w:color w:val="auto"/>
              </w:rPr>
              <w:t>600</w:t>
            </w:r>
          </w:p>
        </w:tc>
        <w:tc>
          <w:tcPr>
            <w:tcW w:w="638" w:type="dxa"/>
            <w:noWrap/>
            <w:vAlign w:val="center"/>
          </w:tcPr>
          <w:p>
            <w:pPr>
              <w:adjustRightInd w:val="0"/>
              <w:snapToGrid w:val="0"/>
              <w:rPr>
                <w:color w:val="auto"/>
              </w:rPr>
            </w:pPr>
            <w:r>
              <w:rPr>
                <w:color w:val="auto"/>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35</w:t>
            </w:r>
          </w:p>
        </w:tc>
        <w:tc>
          <w:tcPr>
            <w:tcW w:w="983" w:type="dxa"/>
            <w:vMerge w:val="continue"/>
            <w:shd w:val="clear" w:color="auto" w:fill="auto"/>
            <w:noWrap w:val="0"/>
            <w:vAlign w:val="center"/>
          </w:tcPr>
          <w:p>
            <w:pPr>
              <w:adjustRightInd w:val="0"/>
              <w:snapToGrid w:val="0"/>
              <w:rPr>
                <w:color w:val="auto"/>
              </w:rPr>
            </w:pPr>
          </w:p>
        </w:tc>
        <w:tc>
          <w:tcPr>
            <w:tcW w:w="1134" w:type="dxa"/>
            <w:shd w:val="clear" w:color="FFFFFF" w:fill="FFFFFF"/>
            <w:noWrap w:val="0"/>
            <w:vAlign w:val="center"/>
          </w:tcPr>
          <w:p>
            <w:pPr>
              <w:adjustRightInd w:val="0"/>
              <w:snapToGrid w:val="0"/>
              <w:rPr>
                <w:color w:val="auto"/>
              </w:rPr>
            </w:pPr>
            <w:r>
              <w:rPr>
                <w:color w:val="auto"/>
              </w:rPr>
              <w:t>配线</w:t>
            </w:r>
          </w:p>
        </w:tc>
        <w:tc>
          <w:tcPr>
            <w:tcW w:w="4740" w:type="dxa"/>
            <w:noWrap w:val="0"/>
            <w:vAlign w:val="center"/>
          </w:tcPr>
          <w:p>
            <w:pPr>
              <w:adjustRightInd w:val="0"/>
              <w:snapToGrid w:val="0"/>
              <w:rPr>
                <w:color w:val="auto"/>
              </w:rPr>
            </w:pPr>
            <w:r>
              <w:rPr>
                <w:rFonts w:hint="eastAsia"/>
                <w:color w:val="auto"/>
              </w:rPr>
              <w:t>管内穿线；型号:HPV4*0.5平方毫米;接线:含制作安装.</w:t>
            </w:r>
          </w:p>
        </w:tc>
        <w:tc>
          <w:tcPr>
            <w:tcW w:w="796" w:type="dxa"/>
            <w:noWrap/>
            <w:vAlign w:val="center"/>
          </w:tcPr>
          <w:p>
            <w:pPr>
              <w:adjustRightInd w:val="0"/>
              <w:snapToGrid w:val="0"/>
              <w:rPr>
                <w:color w:val="auto"/>
              </w:rPr>
            </w:pPr>
            <w:r>
              <w:rPr>
                <w:color w:val="auto"/>
              </w:rPr>
              <w:t>1100</w:t>
            </w:r>
          </w:p>
        </w:tc>
        <w:tc>
          <w:tcPr>
            <w:tcW w:w="638" w:type="dxa"/>
            <w:noWrap/>
            <w:vAlign w:val="center"/>
          </w:tcPr>
          <w:p>
            <w:pPr>
              <w:adjustRightInd w:val="0"/>
              <w:snapToGrid w:val="0"/>
              <w:rPr>
                <w:color w:val="auto"/>
              </w:rPr>
            </w:pPr>
            <w:r>
              <w:rPr>
                <w:color w:val="auto"/>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36</w:t>
            </w:r>
          </w:p>
        </w:tc>
        <w:tc>
          <w:tcPr>
            <w:tcW w:w="983" w:type="dxa"/>
            <w:vMerge w:val="continue"/>
            <w:shd w:val="clear" w:color="auto" w:fill="auto"/>
            <w:noWrap w:val="0"/>
            <w:vAlign w:val="center"/>
          </w:tcPr>
          <w:p>
            <w:pPr>
              <w:adjustRightInd w:val="0"/>
              <w:snapToGrid w:val="0"/>
              <w:rPr>
                <w:color w:val="auto"/>
              </w:rPr>
            </w:pPr>
          </w:p>
        </w:tc>
        <w:tc>
          <w:tcPr>
            <w:tcW w:w="1134" w:type="dxa"/>
            <w:shd w:val="clear" w:color="FFFFFF" w:fill="FFFFFF"/>
            <w:noWrap w:val="0"/>
            <w:vAlign w:val="center"/>
          </w:tcPr>
          <w:p>
            <w:pPr>
              <w:adjustRightInd w:val="0"/>
              <w:snapToGrid w:val="0"/>
              <w:rPr>
                <w:color w:val="auto"/>
              </w:rPr>
            </w:pPr>
            <w:r>
              <w:rPr>
                <w:color w:val="auto"/>
              </w:rPr>
              <w:t>插座</w:t>
            </w:r>
          </w:p>
        </w:tc>
        <w:tc>
          <w:tcPr>
            <w:tcW w:w="4740" w:type="dxa"/>
            <w:noWrap w:val="0"/>
            <w:vAlign w:val="center"/>
          </w:tcPr>
          <w:p>
            <w:pPr>
              <w:adjustRightInd w:val="0"/>
              <w:snapToGrid w:val="0"/>
              <w:rPr>
                <w:color w:val="auto"/>
              </w:rPr>
            </w:pPr>
            <w:r>
              <w:rPr>
                <w:rFonts w:hint="eastAsia"/>
                <w:color w:val="auto"/>
              </w:rPr>
              <w:t>插座；规格:86型10A</w:t>
            </w:r>
          </w:p>
        </w:tc>
        <w:tc>
          <w:tcPr>
            <w:tcW w:w="796" w:type="dxa"/>
            <w:noWrap/>
            <w:vAlign w:val="center"/>
          </w:tcPr>
          <w:p>
            <w:pPr>
              <w:adjustRightInd w:val="0"/>
              <w:snapToGrid w:val="0"/>
              <w:rPr>
                <w:color w:val="auto"/>
              </w:rPr>
            </w:pPr>
            <w:r>
              <w:rPr>
                <w:color w:val="auto"/>
              </w:rPr>
              <w:t>14</w:t>
            </w:r>
          </w:p>
        </w:tc>
        <w:tc>
          <w:tcPr>
            <w:tcW w:w="638" w:type="dxa"/>
            <w:noWrap/>
            <w:vAlign w:val="center"/>
          </w:tcPr>
          <w:p>
            <w:pPr>
              <w:adjustRightInd w:val="0"/>
              <w:snapToGrid w:val="0"/>
              <w:rPr>
                <w:color w:val="auto"/>
              </w:rPr>
            </w:pPr>
            <w:r>
              <w:rPr>
                <w:color w:val="auto"/>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37</w:t>
            </w:r>
          </w:p>
        </w:tc>
        <w:tc>
          <w:tcPr>
            <w:tcW w:w="983" w:type="dxa"/>
            <w:vMerge w:val="continue"/>
            <w:shd w:val="clear" w:color="auto" w:fill="auto"/>
            <w:noWrap w:val="0"/>
            <w:vAlign w:val="center"/>
          </w:tcPr>
          <w:p>
            <w:pPr>
              <w:adjustRightInd w:val="0"/>
              <w:snapToGrid w:val="0"/>
              <w:rPr>
                <w:color w:val="auto"/>
              </w:rPr>
            </w:pPr>
          </w:p>
        </w:tc>
        <w:tc>
          <w:tcPr>
            <w:tcW w:w="1134" w:type="dxa"/>
            <w:shd w:val="clear" w:color="FFFFFF" w:fill="FFFFFF"/>
            <w:noWrap w:val="0"/>
            <w:vAlign w:val="center"/>
          </w:tcPr>
          <w:p>
            <w:pPr>
              <w:adjustRightInd w:val="0"/>
              <w:snapToGrid w:val="0"/>
              <w:rPr>
                <w:color w:val="auto"/>
              </w:rPr>
            </w:pPr>
            <w:r>
              <w:rPr>
                <w:color w:val="auto"/>
              </w:rPr>
              <w:t>插座</w:t>
            </w:r>
          </w:p>
        </w:tc>
        <w:tc>
          <w:tcPr>
            <w:tcW w:w="4740" w:type="dxa"/>
            <w:noWrap w:val="0"/>
            <w:vAlign w:val="center"/>
          </w:tcPr>
          <w:p>
            <w:pPr>
              <w:adjustRightInd w:val="0"/>
              <w:snapToGrid w:val="0"/>
              <w:rPr>
                <w:color w:val="auto"/>
              </w:rPr>
            </w:pPr>
            <w:r>
              <w:rPr>
                <w:rFonts w:hint="eastAsia"/>
                <w:color w:val="auto"/>
              </w:rPr>
              <w:t>地面插座；规格:86型10A</w:t>
            </w:r>
          </w:p>
        </w:tc>
        <w:tc>
          <w:tcPr>
            <w:tcW w:w="796" w:type="dxa"/>
            <w:noWrap/>
            <w:vAlign w:val="center"/>
          </w:tcPr>
          <w:p>
            <w:pPr>
              <w:adjustRightInd w:val="0"/>
              <w:snapToGrid w:val="0"/>
              <w:rPr>
                <w:color w:val="auto"/>
              </w:rPr>
            </w:pPr>
            <w:r>
              <w:rPr>
                <w:color w:val="auto"/>
              </w:rPr>
              <w:t>13</w:t>
            </w:r>
          </w:p>
        </w:tc>
        <w:tc>
          <w:tcPr>
            <w:tcW w:w="638" w:type="dxa"/>
            <w:noWrap/>
            <w:vAlign w:val="center"/>
          </w:tcPr>
          <w:p>
            <w:pPr>
              <w:adjustRightInd w:val="0"/>
              <w:snapToGrid w:val="0"/>
              <w:rPr>
                <w:color w:val="auto"/>
              </w:rPr>
            </w:pPr>
            <w:r>
              <w:rPr>
                <w:color w:val="auto"/>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38</w:t>
            </w:r>
          </w:p>
        </w:tc>
        <w:tc>
          <w:tcPr>
            <w:tcW w:w="983" w:type="dxa"/>
            <w:vMerge w:val="continue"/>
            <w:shd w:val="clear" w:color="auto" w:fill="auto"/>
            <w:noWrap w:val="0"/>
            <w:vAlign w:val="center"/>
          </w:tcPr>
          <w:p>
            <w:pPr>
              <w:adjustRightInd w:val="0"/>
              <w:snapToGrid w:val="0"/>
              <w:rPr>
                <w:color w:val="auto"/>
              </w:rPr>
            </w:pPr>
          </w:p>
        </w:tc>
        <w:tc>
          <w:tcPr>
            <w:tcW w:w="1134" w:type="dxa"/>
            <w:shd w:val="clear" w:color="FFFFFF" w:fill="FFFFFF"/>
            <w:noWrap w:val="0"/>
            <w:vAlign w:val="center"/>
          </w:tcPr>
          <w:p>
            <w:pPr>
              <w:adjustRightInd w:val="0"/>
              <w:snapToGrid w:val="0"/>
              <w:rPr>
                <w:color w:val="auto"/>
              </w:rPr>
            </w:pPr>
            <w:r>
              <w:rPr>
                <w:color w:val="auto"/>
              </w:rPr>
              <w:t>插座</w:t>
            </w:r>
          </w:p>
        </w:tc>
        <w:tc>
          <w:tcPr>
            <w:tcW w:w="4740" w:type="dxa"/>
            <w:noWrap w:val="0"/>
            <w:vAlign w:val="center"/>
          </w:tcPr>
          <w:p>
            <w:pPr>
              <w:adjustRightInd w:val="0"/>
              <w:snapToGrid w:val="0"/>
              <w:rPr>
                <w:color w:val="auto"/>
              </w:rPr>
            </w:pPr>
            <w:r>
              <w:rPr>
                <w:rFonts w:hint="eastAsia"/>
                <w:color w:val="auto"/>
              </w:rPr>
              <w:t>网络插座；规格:86型</w:t>
            </w:r>
          </w:p>
        </w:tc>
        <w:tc>
          <w:tcPr>
            <w:tcW w:w="796" w:type="dxa"/>
            <w:noWrap/>
            <w:vAlign w:val="center"/>
          </w:tcPr>
          <w:p>
            <w:pPr>
              <w:adjustRightInd w:val="0"/>
              <w:snapToGrid w:val="0"/>
              <w:rPr>
                <w:color w:val="auto"/>
              </w:rPr>
            </w:pPr>
            <w:r>
              <w:rPr>
                <w:color w:val="auto"/>
              </w:rPr>
              <w:t>10</w:t>
            </w:r>
          </w:p>
        </w:tc>
        <w:tc>
          <w:tcPr>
            <w:tcW w:w="638" w:type="dxa"/>
            <w:noWrap/>
            <w:vAlign w:val="center"/>
          </w:tcPr>
          <w:p>
            <w:pPr>
              <w:adjustRightInd w:val="0"/>
              <w:snapToGrid w:val="0"/>
              <w:rPr>
                <w:color w:val="auto"/>
              </w:rPr>
            </w:pPr>
            <w:r>
              <w:rPr>
                <w:color w:val="auto"/>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39</w:t>
            </w:r>
          </w:p>
        </w:tc>
        <w:tc>
          <w:tcPr>
            <w:tcW w:w="983" w:type="dxa"/>
            <w:vMerge w:val="continue"/>
            <w:shd w:val="clear" w:color="auto" w:fill="auto"/>
            <w:noWrap w:val="0"/>
            <w:vAlign w:val="center"/>
          </w:tcPr>
          <w:p>
            <w:pPr>
              <w:adjustRightInd w:val="0"/>
              <w:snapToGrid w:val="0"/>
              <w:rPr>
                <w:color w:val="auto"/>
              </w:rPr>
            </w:pPr>
          </w:p>
        </w:tc>
        <w:tc>
          <w:tcPr>
            <w:tcW w:w="1134" w:type="dxa"/>
            <w:shd w:val="clear" w:color="FFFFFF" w:fill="FFFFFF"/>
            <w:noWrap w:val="0"/>
            <w:vAlign w:val="center"/>
          </w:tcPr>
          <w:p>
            <w:pPr>
              <w:adjustRightInd w:val="0"/>
              <w:snapToGrid w:val="0"/>
              <w:rPr>
                <w:color w:val="auto"/>
              </w:rPr>
            </w:pPr>
            <w:r>
              <w:rPr>
                <w:color w:val="auto"/>
              </w:rPr>
              <w:t>插座</w:t>
            </w:r>
          </w:p>
        </w:tc>
        <w:tc>
          <w:tcPr>
            <w:tcW w:w="4740" w:type="dxa"/>
            <w:noWrap w:val="0"/>
            <w:vAlign w:val="center"/>
          </w:tcPr>
          <w:p>
            <w:pPr>
              <w:adjustRightInd w:val="0"/>
              <w:snapToGrid w:val="0"/>
              <w:rPr>
                <w:color w:val="auto"/>
              </w:rPr>
            </w:pPr>
            <w:r>
              <w:rPr>
                <w:rFonts w:hint="eastAsia"/>
                <w:color w:val="auto"/>
              </w:rPr>
              <w:t>电话插座；规格:86型</w:t>
            </w:r>
          </w:p>
        </w:tc>
        <w:tc>
          <w:tcPr>
            <w:tcW w:w="796" w:type="dxa"/>
            <w:noWrap/>
            <w:vAlign w:val="center"/>
          </w:tcPr>
          <w:p>
            <w:pPr>
              <w:adjustRightInd w:val="0"/>
              <w:snapToGrid w:val="0"/>
              <w:rPr>
                <w:color w:val="auto"/>
              </w:rPr>
            </w:pPr>
            <w:r>
              <w:rPr>
                <w:color w:val="auto"/>
              </w:rPr>
              <w:t>2</w:t>
            </w:r>
          </w:p>
        </w:tc>
        <w:tc>
          <w:tcPr>
            <w:tcW w:w="638" w:type="dxa"/>
            <w:noWrap/>
            <w:vAlign w:val="center"/>
          </w:tcPr>
          <w:p>
            <w:pPr>
              <w:adjustRightInd w:val="0"/>
              <w:snapToGrid w:val="0"/>
              <w:rPr>
                <w:color w:val="auto"/>
              </w:rPr>
            </w:pPr>
            <w:r>
              <w:rPr>
                <w:color w:val="auto"/>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40</w:t>
            </w:r>
          </w:p>
        </w:tc>
        <w:tc>
          <w:tcPr>
            <w:tcW w:w="983" w:type="dxa"/>
            <w:vMerge w:val="continue"/>
            <w:shd w:val="clear" w:color="auto" w:fill="auto"/>
            <w:noWrap w:val="0"/>
            <w:vAlign w:val="center"/>
          </w:tcPr>
          <w:p>
            <w:pPr>
              <w:adjustRightInd w:val="0"/>
              <w:snapToGrid w:val="0"/>
              <w:rPr>
                <w:color w:val="auto"/>
              </w:rPr>
            </w:pPr>
          </w:p>
        </w:tc>
        <w:tc>
          <w:tcPr>
            <w:tcW w:w="1134" w:type="dxa"/>
            <w:shd w:val="clear" w:color="FFFFFF" w:fill="FFFFFF"/>
            <w:noWrap w:val="0"/>
            <w:vAlign w:val="center"/>
          </w:tcPr>
          <w:p>
            <w:pPr>
              <w:adjustRightInd w:val="0"/>
              <w:snapToGrid w:val="0"/>
              <w:rPr>
                <w:color w:val="auto"/>
              </w:rPr>
            </w:pPr>
            <w:r>
              <w:rPr>
                <w:color w:val="auto"/>
              </w:rPr>
              <w:t>开关</w:t>
            </w:r>
          </w:p>
        </w:tc>
        <w:tc>
          <w:tcPr>
            <w:tcW w:w="4740" w:type="dxa"/>
            <w:noWrap/>
            <w:vAlign w:val="center"/>
          </w:tcPr>
          <w:p>
            <w:pPr>
              <w:adjustRightInd w:val="0"/>
              <w:snapToGrid w:val="0"/>
              <w:rPr>
                <w:color w:val="auto"/>
              </w:rPr>
            </w:pPr>
            <w:r>
              <w:rPr>
                <w:rFonts w:hint="eastAsia"/>
                <w:color w:val="auto"/>
              </w:rPr>
              <w:t>多联开关。规格:86型10A</w:t>
            </w:r>
          </w:p>
        </w:tc>
        <w:tc>
          <w:tcPr>
            <w:tcW w:w="796" w:type="dxa"/>
            <w:noWrap/>
            <w:vAlign w:val="center"/>
          </w:tcPr>
          <w:p>
            <w:pPr>
              <w:adjustRightInd w:val="0"/>
              <w:snapToGrid w:val="0"/>
              <w:rPr>
                <w:color w:val="auto"/>
              </w:rPr>
            </w:pPr>
            <w:r>
              <w:rPr>
                <w:color w:val="auto"/>
              </w:rPr>
              <w:t>3</w:t>
            </w:r>
          </w:p>
        </w:tc>
        <w:tc>
          <w:tcPr>
            <w:tcW w:w="638" w:type="dxa"/>
            <w:noWrap/>
            <w:vAlign w:val="center"/>
          </w:tcPr>
          <w:p>
            <w:pPr>
              <w:adjustRightInd w:val="0"/>
              <w:snapToGrid w:val="0"/>
              <w:rPr>
                <w:color w:val="auto"/>
              </w:rPr>
            </w:pPr>
            <w:r>
              <w:rPr>
                <w:color w:val="auto"/>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41</w:t>
            </w:r>
          </w:p>
        </w:tc>
        <w:tc>
          <w:tcPr>
            <w:tcW w:w="983" w:type="dxa"/>
            <w:vMerge w:val="continue"/>
            <w:noWrap w:val="0"/>
            <w:vAlign w:val="center"/>
          </w:tcPr>
          <w:p>
            <w:pPr>
              <w:adjustRightInd w:val="0"/>
              <w:snapToGrid w:val="0"/>
              <w:rPr>
                <w:color w:val="auto"/>
              </w:rPr>
            </w:pPr>
          </w:p>
        </w:tc>
        <w:tc>
          <w:tcPr>
            <w:tcW w:w="1134" w:type="dxa"/>
            <w:noWrap w:val="0"/>
            <w:vAlign w:val="center"/>
          </w:tcPr>
          <w:p>
            <w:pPr>
              <w:adjustRightInd w:val="0"/>
              <w:snapToGrid w:val="0"/>
              <w:rPr>
                <w:color w:val="auto"/>
              </w:rPr>
            </w:pPr>
            <w:r>
              <w:rPr>
                <w:color w:val="auto"/>
              </w:rPr>
              <w:t>常规照明灯</w:t>
            </w:r>
          </w:p>
        </w:tc>
        <w:tc>
          <w:tcPr>
            <w:tcW w:w="4740" w:type="dxa"/>
            <w:noWrap w:val="0"/>
            <w:vAlign w:val="center"/>
          </w:tcPr>
          <w:p>
            <w:pPr>
              <w:adjustRightInd w:val="0"/>
              <w:snapToGrid w:val="0"/>
              <w:rPr>
                <w:color w:val="auto"/>
              </w:rPr>
            </w:pPr>
            <w:r>
              <w:rPr>
                <w:rFonts w:hint="eastAsia"/>
                <w:color w:val="auto"/>
              </w:rPr>
              <w:t>LED筒灯</w:t>
            </w:r>
          </w:p>
        </w:tc>
        <w:tc>
          <w:tcPr>
            <w:tcW w:w="796" w:type="dxa"/>
            <w:noWrap/>
            <w:vAlign w:val="center"/>
          </w:tcPr>
          <w:p>
            <w:pPr>
              <w:adjustRightInd w:val="0"/>
              <w:snapToGrid w:val="0"/>
              <w:rPr>
                <w:color w:val="auto"/>
              </w:rPr>
            </w:pPr>
            <w:r>
              <w:rPr>
                <w:color w:val="auto"/>
              </w:rPr>
              <w:t>41</w:t>
            </w:r>
          </w:p>
        </w:tc>
        <w:tc>
          <w:tcPr>
            <w:tcW w:w="638" w:type="dxa"/>
            <w:noWrap/>
            <w:vAlign w:val="center"/>
          </w:tcPr>
          <w:p>
            <w:pPr>
              <w:adjustRightInd w:val="0"/>
              <w:snapToGrid w:val="0"/>
              <w:rPr>
                <w:color w:val="auto"/>
              </w:rPr>
            </w:pPr>
            <w:r>
              <w:rPr>
                <w:color w:val="auto"/>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42</w:t>
            </w:r>
          </w:p>
        </w:tc>
        <w:tc>
          <w:tcPr>
            <w:tcW w:w="983" w:type="dxa"/>
            <w:vMerge w:val="continue"/>
            <w:noWrap w:val="0"/>
            <w:vAlign w:val="center"/>
          </w:tcPr>
          <w:p>
            <w:pPr>
              <w:adjustRightInd w:val="0"/>
              <w:snapToGrid w:val="0"/>
              <w:rPr>
                <w:color w:val="auto"/>
              </w:rPr>
            </w:pPr>
          </w:p>
        </w:tc>
        <w:tc>
          <w:tcPr>
            <w:tcW w:w="1134" w:type="dxa"/>
            <w:noWrap w:val="0"/>
            <w:vAlign w:val="center"/>
          </w:tcPr>
          <w:p>
            <w:pPr>
              <w:adjustRightInd w:val="0"/>
              <w:snapToGrid w:val="0"/>
              <w:rPr>
                <w:color w:val="auto"/>
              </w:rPr>
            </w:pPr>
            <w:r>
              <w:rPr>
                <w:color w:val="auto"/>
              </w:rPr>
              <w:t>常规照明灯</w:t>
            </w:r>
          </w:p>
        </w:tc>
        <w:tc>
          <w:tcPr>
            <w:tcW w:w="4740" w:type="dxa"/>
            <w:noWrap w:val="0"/>
            <w:vAlign w:val="center"/>
          </w:tcPr>
          <w:p>
            <w:pPr>
              <w:adjustRightInd w:val="0"/>
              <w:snapToGrid w:val="0"/>
              <w:rPr>
                <w:color w:val="auto"/>
              </w:rPr>
            </w:pPr>
            <w:r>
              <w:rPr>
                <w:rFonts w:hint="eastAsia"/>
                <w:color w:val="auto"/>
              </w:rPr>
              <w:t>T8LED灯管；规格:长度1200mm</w:t>
            </w:r>
          </w:p>
        </w:tc>
        <w:tc>
          <w:tcPr>
            <w:tcW w:w="796" w:type="dxa"/>
            <w:noWrap/>
            <w:vAlign w:val="center"/>
          </w:tcPr>
          <w:p>
            <w:pPr>
              <w:adjustRightInd w:val="0"/>
              <w:snapToGrid w:val="0"/>
              <w:rPr>
                <w:color w:val="auto"/>
              </w:rPr>
            </w:pPr>
            <w:r>
              <w:rPr>
                <w:color w:val="auto"/>
              </w:rPr>
              <w:t>150</w:t>
            </w:r>
          </w:p>
        </w:tc>
        <w:tc>
          <w:tcPr>
            <w:tcW w:w="638" w:type="dxa"/>
            <w:noWrap/>
            <w:vAlign w:val="center"/>
          </w:tcPr>
          <w:p>
            <w:pPr>
              <w:adjustRightInd w:val="0"/>
              <w:snapToGrid w:val="0"/>
              <w:rPr>
                <w:color w:val="auto"/>
              </w:rPr>
            </w:pPr>
            <w:r>
              <w:rPr>
                <w:color w:val="auto"/>
              </w:rPr>
              <w:t>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43</w:t>
            </w:r>
          </w:p>
        </w:tc>
        <w:tc>
          <w:tcPr>
            <w:tcW w:w="983" w:type="dxa"/>
            <w:vMerge w:val="continue"/>
            <w:noWrap w:val="0"/>
            <w:vAlign w:val="center"/>
          </w:tcPr>
          <w:p>
            <w:pPr>
              <w:adjustRightInd w:val="0"/>
              <w:snapToGrid w:val="0"/>
              <w:rPr>
                <w:color w:val="auto"/>
              </w:rPr>
            </w:pPr>
          </w:p>
        </w:tc>
        <w:tc>
          <w:tcPr>
            <w:tcW w:w="1134" w:type="dxa"/>
            <w:noWrap w:val="0"/>
            <w:vAlign w:val="center"/>
          </w:tcPr>
          <w:p>
            <w:pPr>
              <w:adjustRightInd w:val="0"/>
              <w:snapToGrid w:val="0"/>
              <w:rPr>
                <w:color w:val="auto"/>
              </w:rPr>
            </w:pPr>
            <w:r>
              <w:rPr>
                <w:color w:val="auto"/>
              </w:rPr>
              <w:t>常规照明灯</w:t>
            </w:r>
          </w:p>
        </w:tc>
        <w:tc>
          <w:tcPr>
            <w:tcW w:w="4740" w:type="dxa"/>
            <w:noWrap w:val="0"/>
            <w:vAlign w:val="center"/>
          </w:tcPr>
          <w:p>
            <w:pPr>
              <w:adjustRightInd w:val="0"/>
              <w:snapToGrid w:val="0"/>
              <w:rPr>
                <w:color w:val="auto"/>
              </w:rPr>
            </w:pPr>
            <w:r>
              <w:rPr>
                <w:rFonts w:hint="eastAsia"/>
                <w:color w:val="auto"/>
              </w:rPr>
              <w:t>LED灯带</w:t>
            </w:r>
          </w:p>
        </w:tc>
        <w:tc>
          <w:tcPr>
            <w:tcW w:w="796" w:type="dxa"/>
            <w:noWrap/>
            <w:vAlign w:val="center"/>
          </w:tcPr>
          <w:p>
            <w:pPr>
              <w:adjustRightInd w:val="0"/>
              <w:snapToGrid w:val="0"/>
              <w:rPr>
                <w:color w:val="auto"/>
              </w:rPr>
            </w:pPr>
            <w:r>
              <w:rPr>
                <w:color w:val="auto"/>
              </w:rPr>
              <w:t>360</w:t>
            </w:r>
          </w:p>
        </w:tc>
        <w:tc>
          <w:tcPr>
            <w:tcW w:w="638" w:type="dxa"/>
            <w:noWrap/>
            <w:vAlign w:val="center"/>
          </w:tcPr>
          <w:p>
            <w:pPr>
              <w:adjustRightInd w:val="0"/>
              <w:snapToGrid w:val="0"/>
              <w:rPr>
                <w:color w:val="auto"/>
              </w:rPr>
            </w:pPr>
            <w:r>
              <w:rPr>
                <w:color w:val="auto"/>
              </w:rPr>
              <w:t>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44</w:t>
            </w:r>
          </w:p>
        </w:tc>
        <w:tc>
          <w:tcPr>
            <w:tcW w:w="983" w:type="dxa"/>
            <w:vMerge w:val="continue"/>
            <w:shd w:val="clear" w:color="auto" w:fill="auto"/>
            <w:noWrap w:val="0"/>
            <w:vAlign w:val="center"/>
          </w:tcPr>
          <w:p>
            <w:pPr>
              <w:adjustRightInd w:val="0"/>
              <w:snapToGrid w:val="0"/>
              <w:rPr>
                <w:color w:val="auto"/>
              </w:rPr>
            </w:pPr>
          </w:p>
        </w:tc>
        <w:tc>
          <w:tcPr>
            <w:tcW w:w="1134" w:type="dxa"/>
            <w:shd w:val="clear" w:color="FFFFFF" w:fill="FFFFFF"/>
            <w:noWrap w:val="0"/>
            <w:vAlign w:val="center"/>
          </w:tcPr>
          <w:p>
            <w:pPr>
              <w:adjustRightInd w:val="0"/>
              <w:snapToGrid w:val="0"/>
              <w:rPr>
                <w:color w:val="auto"/>
              </w:rPr>
            </w:pPr>
            <w:r>
              <w:rPr>
                <w:color w:val="auto"/>
              </w:rPr>
              <w:t>接线盒</w:t>
            </w:r>
          </w:p>
        </w:tc>
        <w:tc>
          <w:tcPr>
            <w:tcW w:w="4740" w:type="dxa"/>
            <w:noWrap w:val="0"/>
            <w:vAlign w:val="center"/>
          </w:tcPr>
          <w:p>
            <w:pPr>
              <w:adjustRightInd w:val="0"/>
              <w:snapToGrid w:val="0"/>
              <w:rPr>
                <w:color w:val="auto"/>
              </w:rPr>
            </w:pPr>
            <w:r>
              <w:rPr>
                <w:rFonts w:hint="eastAsia"/>
                <w:color w:val="auto"/>
              </w:rPr>
              <w:t>金属接线盒</w:t>
            </w:r>
            <w:r>
              <w:rPr>
                <w:color w:val="auto"/>
              </w:rPr>
              <w:t>;</w:t>
            </w:r>
            <w:r>
              <w:rPr>
                <w:rFonts w:hint="eastAsia"/>
                <w:color w:val="auto"/>
              </w:rPr>
              <w:t>规格:86型</w:t>
            </w:r>
          </w:p>
        </w:tc>
        <w:tc>
          <w:tcPr>
            <w:tcW w:w="796" w:type="dxa"/>
            <w:noWrap/>
            <w:vAlign w:val="center"/>
          </w:tcPr>
          <w:p>
            <w:pPr>
              <w:adjustRightInd w:val="0"/>
              <w:snapToGrid w:val="0"/>
              <w:rPr>
                <w:color w:val="auto"/>
              </w:rPr>
            </w:pPr>
            <w:r>
              <w:rPr>
                <w:color w:val="auto"/>
              </w:rPr>
              <w:t>480</w:t>
            </w:r>
          </w:p>
        </w:tc>
        <w:tc>
          <w:tcPr>
            <w:tcW w:w="638" w:type="dxa"/>
            <w:noWrap/>
            <w:vAlign w:val="center"/>
          </w:tcPr>
          <w:p>
            <w:pPr>
              <w:adjustRightInd w:val="0"/>
              <w:snapToGrid w:val="0"/>
              <w:rPr>
                <w:color w:val="auto"/>
              </w:rPr>
            </w:pPr>
            <w:r>
              <w:rPr>
                <w:color w:val="auto"/>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45</w:t>
            </w:r>
          </w:p>
        </w:tc>
        <w:tc>
          <w:tcPr>
            <w:tcW w:w="983" w:type="dxa"/>
            <w:vMerge w:val="continue"/>
            <w:shd w:val="clear" w:color="auto" w:fill="auto"/>
            <w:noWrap w:val="0"/>
            <w:vAlign w:val="center"/>
          </w:tcPr>
          <w:p>
            <w:pPr>
              <w:adjustRightInd w:val="0"/>
              <w:snapToGrid w:val="0"/>
              <w:rPr>
                <w:color w:val="auto"/>
              </w:rPr>
            </w:pPr>
          </w:p>
        </w:tc>
        <w:tc>
          <w:tcPr>
            <w:tcW w:w="1134" w:type="dxa"/>
            <w:shd w:val="clear" w:color="FFFFFF" w:fill="FFFFFF"/>
            <w:noWrap w:val="0"/>
            <w:vAlign w:val="center"/>
          </w:tcPr>
          <w:p>
            <w:pPr>
              <w:adjustRightInd w:val="0"/>
              <w:snapToGrid w:val="0"/>
              <w:rPr>
                <w:color w:val="auto"/>
              </w:rPr>
            </w:pPr>
            <w:r>
              <w:rPr>
                <w:color w:val="auto"/>
              </w:rPr>
              <w:t>接线盒</w:t>
            </w:r>
          </w:p>
        </w:tc>
        <w:tc>
          <w:tcPr>
            <w:tcW w:w="4740" w:type="dxa"/>
            <w:noWrap w:val="0"/>
            <w:vAlign w:val="center"/>
          </w:tcPr>
          <w:p>
            <w:pPr>
              <w:adjustRightInd w:val="0"/>
              <w:snapToGrid w:val="0"/>
              <w:rPr>
                <w:color w:val="auto"/>
              </w:rPr>
            </w:pPr>
            <w:r>
              <w:rPr>
                <w:rFonts w:hint="eastAsia"/>
                <w:color w:val="auto"/>
              </w:rPr>
              <w:t>塑料接线盒</w:t>
            </w:r>
            <w:r>
              <w:rPr>
                <w:color w:val="auto"/>
              </w:rPr>
              <w:t>;</w:t>
            </w:r>
            <w:r>
              <w:rPr>
                <w:rFonts w:hint="eastAsia"/>
                <w:color w:val="auto"/>
              </w:rPr>
              <w:t>规格:86型</w:t>
            </w:r>
          </w:p>
        </w:tc>
        <w:tc>
          <w:tcPr>
            <w:tcW w:w="796" w:type="dxa"/>
            <w:noWrap/>
            <w:vAlign w:val="center"/>
          </w:tcPr>
          <w:p>
            <w:pPr>
              <w:adjustRightInd w:val="0"/>
              <w:snapToGrid w:val="0"/>
              <w:rPr>
                <w:color w:val="auto"/>
              </w:rPr>
            </w:pPr>
            <w:r>
              <w:rPr>
                <w:color w:val="auto"/>
              </w:rPr>
              <w:t>90</w:t>
            </w:r>
          </w:p>
        </w:tc>
        <w:tc>
          <w:tcPr>
            <w:tcW w:w="638" w:type="dxa"/>
            <w:noWrap/>
            <w:vAlign w:val="center"/>
          </w:tcPr>
          <w:p>
            <w:pPr>
              <w:adjustRightInd w:val="0"/>
              <w:snapToGrid w:val="0"/>
              <w:rPr>
                <w:color w:val="auto"/>
              </w:rPr>
            </w:pPr>
            <w:r>
              <w:rPr>
                <w:color w:val="auto"/>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46</w:t>
            </w:r>
          </w:p>
        </w:tc>
        <w:tc>
          <w:tcPr>
            <w:tcW w:w="983" w:type="dxa"/>
            <w:noWrap w:val="0"/>
            <w:vAlign w:val="center"/>
          </w:tcPr>
          <w:p>
            <w:pPr>
              <w:adjustRightInd w:val="0"/>
              <w:snapToGrid w:val="0"/>
              <w:jc w:val="center"/>
              <w:rPr>
                <w:color w:val="auto"/>
              </w:rPr>
            </w:pPr>
            <w:r>
              <w:rPr>
                <w:color w:val="auto"/>
              </w:rPr>
              <w:t>清洁</w:t>
            </w:r>
          </w:p>
        </w:tc>
        <w:tc>
          <w:tcPr>
            <w:tcW w:w="5874" w:type="dxa"/>
            <w:gridSpan w:val="2"/>
            <w:noWrap w:val="0"/>
            <w:vAlign w:val="center"/>
          </w:tcPr>
          <w:p>
            <w:pPr>
              <w:adjustRightInd w:val="0"/>
              <w:snapToGrid w:val="0"/>
              <w:rPr>
                <w:color w:val="auto"/>
              </w:rPr>
            </w:pPr>
            <w:r>
              <w:rPr>
                <w:rFonts w:hint="eastAsia"/>
                <w:color w:val="auto"/>
              </w:rPr>
              <w:t>提供现场清洁服务</w:t>
            </w:r>
          </w:p>
        </w:tc>
        <w:tc>
          <w:tcPr>
            <w:tcW w:w="796" w:type="dxa"/>
            <w:noWrap/>
            <w:vAlign w:val="center"/>
          </w:tcPr>
          <w:p>
            <w:pPr>
              <w:adjustRightInd w:val="0"/>
              <w:snapToGrid w:val="0"/>
              <w:rPr>
                <w:color w:val="auto"/>
              </w:rPr>
            </w:pPr>
            <w:r>
              <w:rPr>
                <w:color w:val="auto"/>
              </w:rPr>
              <w:t>580</w:t>
            </w:r>
          </w:p>
        </w:tc>
        <w:tc>
          <w:tcPr>
            <w:tcW w:w="638" w:type="dxa"/>
            <w:noWrap/>
            <w:vAlign w:val="center"/>
          </w:tcPr>
          <w:p>
            <w:pPr>
              <w:adjustRightInd w:val="0"/>
              <w:snapToGrid w:val="0"/>
              <w:rPr>
                <w:color w:val="auto"/>
              </w:rPr>
            </w:pPr>
            <w:r>
              <w:rPr>
                <w:color w:val="auto"/>
              </w:rPr>
              <w:t>m</w:t>
            </w:r>
            <w:r>
              <w:rPr>
                <w:color w:val="auto"/>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47</w:t>
            </w:r>
          </w:p>
        </w:tc>
        <w:tc>
          <w:tcPr>
            <w:tcW w:w="983" w:type="dxa"/>
            <w:noWrap w:val="0"/>
            <w:vAlign w:val="center"/>
          </w:tcPr>
          <w:p>
            <w:pPr>
              <w:adjustRightInd w:val="0"/>
              <w:snapToGrid w:val="0"/>
              <w:jc w:val="center"/>
              <w:rPr>
                <w:color w:val="auto"/>
              </w:rPr>
            </w:pPr>
            <w:r>
              <w:rPr>
                <w:color w:val="auto"/>
              </w:rPr>
              <w:t>出渣</w:t>
            </w:r>
          </w:p>
        </w:tc>
        <w:tc>
          <w:tcPr>
            <w:tcW w:w="5874" w:type="dxa"/>
            <w:gridSpan w:val="2"/>
            <w:noWrap w:val="0"/>
            <w:vAlign w:val="center"/>
          </w:tcPr>
          <w:p>
            <w:pPr>
              <w:adjustRightInd w:val="0"/>
              <w:snapToGrid w:val="0"/>
              <w:rPr>
                <w:color w:val="auto"/>
              </w:rPr>
            </w:pPr>
            <w:r>
              <w:rPr>
                <w:rFonts w:hint="eastAsia"/>
                <w:color w:val="auto"/>
              </w:rPr>
              <w:t>提供出渣服务</w:t>
            </w:r>
          </w:p>
        </w:tc>
        <w:tc>
          <w:tcPr>
            <w:tcW w:w="796" w:type="dxa"/>
            <w:noWrap/>
            <w:vAlign w:val="center"/>
          </w:tcPr>
          <w:p>
            <w:pPr>
              <w:adjustRightInd w:val="0"/>
              <w:snapToGrid w:val="0"/>
              <w:rPr>
                <w:color w:val="auto"/>
              </w:rPr>
            </w:pPr>
            <w:r>
              <w:rPr>
                <w:color w:val="auto"/>
              </w:rPr>
              <w:t>1</w:t>
            </w:r>
          </w:p>
        </w:tc>
        <w:tc>
          <w:tcPr>
            <w:tcW w:w="638" w:type="dxa"/>
            <w:noWrap/>
            <w:vAlign w:val="center"/>
          </w:tcPr>
          <w:p>
            <w:pPr>
              <w:adjustRightInd w:val="0"/>
              <w:snapToGrid w:val="0"/>
              <w:rPr>
                <w:color w:val="auto"/>
              </w:rPr>
            </w:pPr>
            <w:r>
              <w:rPr>
                <w:color w:val="auto"/>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48</w:t>
            </w:r>
          </w:p>
        </w:tc>
        <w:tc>
          <w:tcPr>
            <w:tcW w:w="983" w:type="dxa"/>
            <w:noWrap w:val="0"/>
            <w:vAlign w:val="center"/>
          </w:tcPr>
          <w:p>
            <w:pPr>
              <w:adjustRightInd w:val="0"/>
              <w:snapToGrid w:val="0"/>
              <w:rPr>
                <w:color w:val="auto"/>
              </w:rPr>
            </w:pPr>
            <w:r>
              <w:rPr>
                <w:rFonts w:hint="eastAsia"/>
                <w:color w:val="auto"/>
              </w:rPr>
              <w:t>放线、措施保障及管理服务</w:t>
            </w:r>
          </w:p>
        </w:tc>
        <w:tc>
          <w:tcPr>
            <w:tcW w:w="5874" w:type="dxa"/>
            <w:gridSpan w:val="2"/>
            <w:noWrap w:val="0"/>
            <w:vAlign w:val="center"/>
          </w:tcPr>
          <w:p>
            <w:pPr>
              <w:rPr>
                <w:color w:val="auto"/>
              </w:rPr>
            </w:pPr>
            <w:r>
              <w:rPr>
                <w:rFonts w:hint="eastAsia"/>
                <w:color w:val="auto"/>
              </w:rPr>
              <w:t>负责放线；提供技术、组织措施保障；提供施工管理服务。</w:t>
            </w:r>
          </w:p>
        </w:tc>
        <w:tc>
          <w:tcPr>
            <w:tcW w:w="796" w:type="dxa"/>
            <w:noWrap/>
            <w:vAlign w:val="center"/>
          </w:tcPr>
          <w:p>
            <w:pPr>
              <w:adjustRightInd w:val="0"/>
              <w:snapToGrid w:val="0"/>
              <w:rPr>
                <w:color w:val="auto"/>
              </w:rPr>
            </w:pPr>
            <w:r>
              <w:rPr>
                <w:color w:val="auto"/>
              </w:rPr>
              <w:t>1</w:t>
            </w:r>
          </w:p>
        </w:tc>
        <w:tc>
          <w:tcPr>
            <w:tcW w:w="638" w:type="dxa"/>
            <w:noWrap/>
            <w:vAlign w:val="center"/>
          </w:tcPr>
          <w:p>
            <w:pPr>
              <w:adjustRightInd w:val="0"/>
              <w:snapToGrid w:val="0"/>
              <w:rPr>
                <w:color w:val="auto"/>
              </w:rPr>
            </w:pPr>
            <w:r>
              <w:rPr>
                <w:color w:val="auto"/>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49</w:t>
            </w:r>
          </w:p>
        </w:tc>
        <w:tc>
          <w:tcPr>
            <w:tcW w:w="983" w:type="dxa"/>
            <w:shd w:val="clear" w:color="000000" w:fill="FFFFFF"/>
            <w:noWrap w:val="0"/>
            <w:vAlign w:val="center"/>
          </w:tcPr>
          <w:p>
            <w:pPr>
              <w:adjustRightInd w:val="0"/>
              <w:snapToGrid w:val="0"/>
              <w:rPr>
                <w:color w:val="auto"/>
              </w:rPr>
            </w:pPr>
            <w:r>
              <w:rPr>
                <w:color w:val="auto"/>
              </w:rPr>
              <w:t>LED屏一（长3.84M*宽2.08M）</w:t>
            </w:r>
          </w:p>
        </w:tc>
        <w:tc>
          <w:tcPr>
            <w:tcW w:w="5874" w:type="dxa"/>
            <w:gridSpan w:val="2"/>
            <w:shd w:val="clear" w:color="000000" w:fill="FFFFFF"/>
            <w:noWrap w:val="0"/>
            <w:vAlign w:val="center"/>
          </w:tcPr>
          <w:p>
            <w:pPr>
              <w:adjustRightInd w:val="0"/>
              <w:snapToGrid w:val="0"/>
              <w:rPr>
                <w:color w:val="auto"/>
              </w:rPr>
            </w:pPr>
            <w:r>
              <w:rPr>
                <w:color w:val="auto"/>
              </w:rPr>
              <w:t>整屏尺寸：≥3.84米（W）2.08（H）米，整屏分辨率：≥1920*1040点；像素点间距：≤2mm；像素构成：1R1G1B；像素密度：≥250000Dots/㎡；亮度：0-1200cd/㎡可调，具有蓝光抑制功能；亮度均匀性：≥98%；刷新率：≥3840Hz；整屏平整度：≤0.1mm；色温：3000-9000K可调</w:t>
            </w:r>
            <w:r>
              <w:rPr>
                <w:rFonts w:hint="eastAsia"/>
                <w:color w:val="auto"/>
              </w:rPr>
              <w:t>；</w:t>
            </w:r>
            <w:r>
              <w:rPr>
                <w:color w:val="auto"/>
              </w:rPr>
              <w:t>色度均匀性：±0.003Cx,Cy之内；反光率：≤2％；水平/垂直视角：≥170°；像素失控率：≤0.00001，出厂时为0；能源效率：≥3.0cd/㎡；信噪比：≥47dB</w:t>
            </w:r>
            <w:r>
              <w:rPr>
                <w:rFonts w:hint="eastAsia"/>
                <w:color w:val="auto"/>
              </w:rPr>
              <w:t>；</w:t>
            </w:r>
            <w:r>
              <w:rPr>
                <w:color w:val="auto"/>
              </w:rPr>
              <w:t>睡眠模式功率密度：≤150W/㎡；对比度：≥8000:1；画面延时：≤2ms；屈服强度：≥170mpa；抗拉强度：≥230mpa；横向/纵向拉伸承载力：≥2.5吨；峰值功耗：≤500W/㎡，平均功耗：≤180W/㎡；灰度等级：≥16bit；维护方式：支持前后维护；模组表面绝缘检测：绝缘电阻应当为5000MΩ；绝缘电阻试验：电源插头或电源引入端子与外壳裸露金属部件之间的绝缘电阻在正常大气条件下应≥100MΩ，湿热条件下应≥2MΩ；温度监测功能检验：具有多点测温系统，均衡散热，防止局部温度过高造成色彩漂移，并提高显示屏寿命；调节软件设置项：支持鬼影消除、第一扫偏暗消除、低灰偏色补偿、低灰均匀性、低灰横条纹消除、慢速开启、十字架消除、去除坏点、毛毛虫消除、余辉消除、亮度缓慢变亮功能；支持屏体拼缝亮线、暗线校正：先进的除亮、暗线功能，从软、硬两方面彻底改善困扰LED安装精度造成的亮、暗线问题；防护性能：具有防静电、防电磁干扰、防潮、防腐蚀、防虫、抗震动、抗雷击等功能，具有电源过压、过流、断电保护、分布上电措施</w:t>
            </w:r>
            <w:r>
              <w:rPr>
                <w:rFonts w:hint="eastAsia"/>
                <w:color w:val="auto"/>
              </w:rPr>
              <w:t>；</w:t>
            </w:r>
            <w:r>
              <w:rPr>
                <w:color w:val="auto"/>
              </w:rPr>
              <w:t>自动gamma矫正技术设置：自动GAMMA校正技术，通过构造非线性校正曲线和色坐标变换系数矩阵实现了显示效果的不断改善，各项重要指标如色彩还原性、色温调节范围、亮度均匀性、色度均匀性、刷新率、换帧频率等；驱动芯片功能：具有列下消隐功能、倍频刷新率提升2/4/8倍、低灰偏色改善；</w:t>
            </w:r>
          </w:p>
        </w:tc>
        <w:tc>
          <w:tcPr>
            <w:tcW w:w="796" w:type="dxa"/>
            <w:shd w:val="clear" w:color="000000" w:fill="FFFFFF"/>
            <w:noWrap/>
            <w:vAlign w:val="center"/>
          </w:tcPr>
          <w:p>
            <w:pPr>
              <w:adjustRightInd w:val="0"/>
              <w:snapToGrid w:val="0"/>
              <w:rPr>
                <w:color w:val="auto"/>
              </w:rPr>
            </w:pPr>
            <w:r>
              <w:rPr>
                <w:color w:val="auto"/>
              </w:rPr>
              <w:t>7.9872</w:t>
            </w:r>
          </w:p>
        </w:tc>
        <w:tc>
          <w:tcPr>
            <w:tcW w:w="638" w:type="dxa"/>
            <w:shd w:val="clear" w:color="000000" w:fill="FFFFFF"/>
            <w:noWrap/>
            <w:vAlign w:val="center"/>
          </w:tcPr>
          <w:p>
            <w:pPr>
              <w:adjustRightInd w:val="0"/>
              <w:snapToGrid w:val="0"/>
              <w:rPr>
                <w:color w:val="auto"/>
              </w:rPr>
            </w:pPr>
            <w:r>
              <w:rPr>
                <w:color w:val="auto"/>
              </w:rPr>
              <w:t>平米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50</w:t>
            </w:r>
          </w:p>
        </w:tc>
        <w:tc>
          <w:tcPr>
            <w:tcW w:w="983" w:type="dxa"/>
            <w:shd w:val="clear" w:color="000000" w:fill="FFFFFF"/>
            <w:noWrap w:val="0"/>
            <w:vAlign w:val="center"/>
          </w:tcPr>
          <w:p>
            <w:pPr>
              <w:adjustRightInd w:val="0"/>
              <w:snapToGrid w:val="0"/>
              <w:rPr>
                <w:color w:val="auto"/>
              </w:rPr>
            </w:pPr>
            <w:r>
              <w:rPr>
                <w:color w:val="auto"/>
              </w:rPr>
              <w:t>LED屏二（长3.84M*宽2.08M）</w:t>
            </w:r>
          </w:p>
        </w:tc>
        <w:tc>
          <w:tcPr>
            <w:tcW w:w="5874" w:type="dxa"/>
            <w:gridSpan w:val="2"/>
            <w:shd w:val="clear" w:color="000000" w:fill="FFFFFF"/>
            <w:noWrap w:val="0"/>
            <w:vAlign w:val="center"/>
          </w:tcPr>
          <w:p>
            <w:pPr>
              <w:adjustRightInd w:val="0"/>
              <w:snapToGrid w:val="0"/>
              <w:rPr>
                <w:rFonts w:hint="eastAsia" w:eastAsia="宋体"/>
                <w:color w:val="auto"/>
                <w:lang w:eastAsia="zh-CN"/>
              </w:rPr>
            </w:pPr>
            <w:r>
              <w:rPr>
                <w:color w:val="auto"/>
              </w:rPr>
              <w:t>整屏尺寸：≥3.84米（W）2.08（H）米，整屏分辨率：≥1920*1040点；像素点间距：≤2mm；像素构成：1R1G1B；像素密度：≥250000Dots/㎡；亮度：0-1200cd/㎡可调，具有蓝光抑制功能；亮度均匀性：≥98%；刷新率：≥3840Hz；整屏平整度：≤0.1mm；色温：3000-9000K可调</w:t>
            </w:r>
            <w:r>
              <w:rPr>
                <w:rFonts w:hint="eastAsia"/>
                <w:color w:val="auto"/>
              </w:rPr>
              <w:t>；</w:t>
            </w:r>
            <w:r>
              <w:rPr>
                <w:color w:val="auto"/>
              </w:rPr>
              <w:t>色度均匀性：±0.003Cx,Cy之内；反光率：≤2％；水平/垂直视角：≥170°；像素失控率：≤0.00001，出厂时为0；能源效率：≥3.0cd/㎡；信噪比：≥47dB</w:t>
            </w:r>
            <w:r>
              <w:rPr>
                <w:rFonts w:hint="eastAsia"/>
                <w:color w:val="auto"/>
              </w:rPr>
              <w:t>；</w:t>
            </w:r>
            <w:r>
              <w:rPr>
                <w:color w:val="auto"/>
              </w:rPr>
              <w:t>睡眠模式功率密度：≤150W/㎡；对比度：≥8000:1；画面延时：≤2ms；屈服强度：≥170mpa；抗拉强度：≥230mpa；横向/纵向拉伸承载力：≥2.5吨；峰值功耗：≤500W/㎡，平均功耗：≤180W/㎡；灰度等级：≥16bit；维护方式：支持前后维护；模组表面绝缘检测：绝缘电阻应当为5000MΩ；绝缘电阻试验：电源插头或电源引入端子与外壳裸露金属部件之间的绝缘电阻在正常大气条件下应≥100MΩ，湿热条件下应≥2MΩ；温度监测功能检验：具有多点测温系统，均衡散热，防止局部温度过高造成色彩漂移，并提高显示屏寿命；调节软件设置项：支持鬼影消除、第一扫偏暗消除、低灰偏色补偿、低灰均匀性、低灰横条纹消除、慢速开启、十字架消除、去除坏点、毛毛虫消除、余辉消除、亮度缓慢变亮功能；支持屏体拼缝亮线、暗线校正：先进的除亮、暗线功能，从软、硬两方面彻底改善困扰LED安装精度造成的亮、暗线问题；防护性能：具有防静电、防电磁干扰、防潮、防腐蚀、防虫、抗震动、抗雷击等功能，具有电源过压、过流、断电保护、分布上电措施</w:t>
            </w:r>
            <w:r>
              <w:rPr>
                <w:rFonts w:hint="eastAsia"/>
                <w:color w:val="auto"/>
              </w:rPr>
              <w:t>；</w:t>
            </w:r>
            <w:r>
              <w:rPr>
                <w:color w:val="auto"/>
              </w:rPr>
              <w:t>自动gamma矫正技术设置：自动GAMMA校正技术，通过构造非线性校正曲线和色坐标变换系数矩阵实现了显示效果的不断改善，各项重要指标如色彩还原性、色温调节范围、亮度均匀性、色度均匀性、刷新率、换帧频率等；驱动芯片功能：具有列下消隐功能、倍频刷新率提升2/4/8倍、低灰偏色改善</w:t>
            </w:r>
            <w:r>
              <w:rPr>
                <w:rFonts w:hint="eastAsia"/>
                <w:color w:val="auto"/>
                <w:lang w:eastAsia="zh-CN"/>
              </w:rPr>
              <w:t>。</w:t>
            </w:r>
          </w:p>
        </w:tc>
        <w:tc>
          <w:tcPr>
            <w:tcW w:w="796" w:type="dxa"/>
            <w:shd w:val="clear" w:color="000000" w:fill="FFFFFF"/>
            <w:noWrap/>
            <w:vAlign w:val="center"/>
          </w:tcPr>
          <w:p>
            <w:pPr>
              <w:adjustRightInd w:val="0"/>
              <w:snapToGrid w:val="0"/>
              <w:rPr>
                <w:color w:val="auto"/>
              </w:rPr>
            </w:pPr>
            <w:r>
              <w:rPr>
                <w:color w:val="auto"/>
              </w:rPr>
              <w:t>7.9872</w:t>
            </w:r>
          </w:p>
        </w:tc>
        <w:tc>
          <w:tcPr>
            <w:tcW w:w="638" w:type="dxa"/>
            <w:shd w:val="clear" w:color="000000" w:fill="FFFFFF"/>
            <w:noWrap/>
            <w:vAlign w:val="center"/>
          </w:tcPr>
          <w:p>
            <w:pPr>
              <w:adjustRightInd w:val="0"/>
              <w:snapToGrid w:val="0"/>
              <w:rPr>
                <w:color w:val="auto"/>
              </w:rPr>
            </w:pPr>
            <w:r>
              <w:rPr>
                <w:color w:val="auto"/>
              </w:rPr>
              <w:t>平米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51</w:t>
            </w:r>
          </w:p>
        </w:tc>
        <w:tc>
          <w:tcPr>
            <w:tcW w:w="983" w:type="dxa"/>
            <w:shd w:val="clear" w:color="000000" w:fill="FFFFFF"/>
            <w:noWrap w:val="0"/>
            <w:vAlign w:val="center"/>
          </w:tcPr>
          <w:p>
            <w:pPr>
              <w:adjustRightInd w:val="0"/>
              <w:snapToGrid w:val="0"/>
              <w:rPr>
                <w:color w:val="auto"/>
              </w:rPr>
            </w:pPr>
            <w:r>
              <w:rPr>
                <w:color w:val="auto"/>
              </w:rPr>
              <w:t>LED屏三（长3.84M*宽2.08M）</w:t>
            </w:r>
          </w:p>
        </w:tc>
        <w:tc>
          <w:tcPr>
            <w:tcW w:w="5874" w:type="dxa"/>
            <w:gridSpan w:val="2"/>
            <w:shd w:val="clear" w:color="000000" w:fill="FFFFFF"/>
            <w:noWrap w:val="0"/>
            <w:vAlign w:val="center"/>
          </w:tcPr>
          <w:p>
            <w:pPr>
              <w:adjustRightInd w:val="0"/>
              <w:snapToGrid w:val="0"/>
              <w:rPr>
                <w:rFonts w:hint="eastAsia" w:eastAsia="宋体"/>
                <w:color w:val="auto"/>
                <w:lang w:eastAsia="zh-CN"/>
              </w:rPr>
            </w:pPr>
            <w:r>
              <w:rPr>
                <w:color w:val="auto"/>
              </w:rPr>
              <w:t>整屏尺寸：≥3.84米（W）2.08（H）米，整屏分辨率：≥1920*1040点；像素点间距：≤2mm；像素构成：1R1G1B；像素密度：≥250000Dots/㎡；亮度：0-1200cd/㎡可调，具有蓝光抑制功能；亮度均匀性：≥98%；刷新率：≥3840Hz；整屏平整度：≤0.1mm；色温：3000-9000K可调</w:t>
            </w:r>
            <w:r>
              <w:rPr>
                <w:rFonts w:hint="eastAsia"/>
                <w:color w:val="auto"/>
              </w:rPr>
              <w:t>；</w:t>
            </w:r>
            <w:r>
              <w:rPr>
                <w:color w:val="auto"/>
              </w:rPr>
              <w:t>色度均匀性：±0.003Cx,Cy之内；反光率：≤2％；水平/垂直视角：≥170°；像素失控率：≤0.00001，出厂时为0；能源效率：≥3.0cd/㎡；信噪比：≥47dB</w:t>
            </w:r>
            <w:r>
              <w:rPr>
                <w:rFonts w:hint="eastAsia"/>
                <w:color w:val="auto"/>
              </w:rPr>
              <w:t>；</w:t>
            </w:r>
            <w:r>
              <w:rPr>
                <w:color w:val="auto"/>
              </w:rPr>
              <w:t>睡眠模式功率密度：≤150W/㎡；对比度：≥8000:1；画面延时：≤2ms；屈服强度：≥170mpa；抗拉强度：≥230mpa；横向/纵向拉伸承载力：≥2.5吨；峰值功耗：≤500W/㎡，平均功耗：≤180W/㎡；灰度等级：≥16bit；维护方式：支持前后维护；模组表面绝缘检测：绝缘电阻应当为5000MΩ；绝缘电阻试验：电源插头或电源引入端子与外壳裸露金属部件之间的绝缘电阻在正常大气条件下应≥100MΩ，湿热条件下应≥2MΩ；温度监测功能检验：具有多点测温系统，均衡散热，防止局部温度过高造成色彩漂移，并提高显示屏寿命；调节软件设置项：支持鬼影消除、第一扫偏暗消除、低灰偏色补偿、低灰均匀性、低灰横条纹消除、慢速开启、十字架消除、去除坏点、毛毛虫消除、余辉消除、亮度缓慢变亮功能；支持屏体拼缝亮线、暗线校正：先进的除亮、暗线功能，从软、硬两方面彻底改善困扰LED安装精度造成的亮、暗线问题；防护性能：具有防静电、防电磁干扰、防潮、防腐蚀、防虫、抗震动、抗雷击等功能，具有电源过压、过流、断电保护、分布上电措施</w:t>
            </w:r>
            <w:r>
              <w:rPr>
                <w:rFonts w:hint="eastAsia"/>
                <w:color w:val="auto"/>
              </w:rPr>
              <w:t>；</w:t>
            </w:r>
            <w:r>
              <w:rPr>
                <w:color w:val="auto"/>
              </w:rPr>
              <w:t>自动gamma矫正技术设置：自动GAMMA校正技术，通过构造非线性校正曲线和色坐标变换系数矩阵实现了显示效果的不断改善，各项重要指标如色彩还原性、色温调节范围、亮度均匀性、色度均匀性、刷新率、换帧频率等；驱动芯片功能：具有列下消隐功能、倍频刷新率提升2/4/8倍、低灰偏色改善</w:t>
            </w:r>
            <w:r>
              <w:rPr>
                <w:rFonts w:hint="eastAsia"/>
                <w:color w:val="auto"/>
                <w:lang w:eastAsia="zh-CN"/>
              </w:rPr>
              <w:t>。</w:t>
            </w:r>
          </w:p>
        </w:tc>
        <w:tc>
          <w:tcPr>
            <w:tcW w:w="796" w:type="dxa"/>
            <w:shd w:val="clear" w:color="000000" w:fill="FFFFFF"/>
            <w:noWrap/>
            <w:vAlign w:val="center"/>
          </w:tcPr>
          <w:p>
            <w:pPr>
              <w:adjustRightInd w:val="0"/>
              <w:snapToGrid w:val="0"/>
              <w:rPr>
                <w:color w:val="auto"/>
              </w:rPr>
            </w:pPr>
            <w:r>
              <w:rPr>
                <w:color w:val="auto"/>
              </w:rPr>
              <w:t>7.9872</w:t>
            </w:r>
          </w:p>
        </w:tc>
        <w:tc>
          <w:tcPr>
            <w:tcW w:w="638" w:type="dxa"/>
            <w:shd w:val="clear" w:color="000000" w:fill="FFFFFF"/>
            <w:noWrap/>
            <w:vAlign w:val="center"/>
          </w:tcPr>
          <w:p>
            <w:pPr>
              <w:adjustRightInd w:val="0"/>
              <w:snapToGrid w:val="0"/>
              <w:rPr>
                <w:color w:val="auto"/>
              </w:rPr>
            </w:pPr>
            <w:r>
              <w:rPr>
                <w:color w:val="auto"/>
              </w:rPr>
              <w:t>平米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52</w:t>
            </w:r>
          </w:p>
        </w:tc>
        <w:tc>
          <w:tcPr>
            <w:tcW w:w="983" w:type="dxa"/>
            <w:shd w:val="clear" w:color="000000" w:fill="FFFFFF"/>
            <w:noWrap w:val="0"/>
            <w:vAlign w:val="center"/>
          </w:tcPr>
          <w:p>
            <w:pPr>
              <w:adjustRightInd w:val="0"/>
              <w:snapToGrid w:val="0"/>
              <w:rPr>
                <w:color w:val="auto"/>
              </w:rPr>
            </w:pPr>
            <w:r>
              <w:rPr>
                <w:color w:val="auto"/>
              </w:rPr>
              <w:t>LED屏四（长3.84M*宽2.08M）</w:t>
            </w:r>
          </w:p>
        </w:tc>
        <w:tc>
          <w:tcPr>
            <w:tcW w:w="5874" w:type="dxa"/>
            <w:gridSpan w:val="2"/>
            <w:shd w:val="clear" w:color="000000" w:fill="FFFFFF"/>
            <w:noWrap w:val="0"/>
            <w:vAlign w:val="center"/>
          </w:tcPr>
          <w:p>
            <w:pPr>
              <w:adjustRightInd w:val="0"/>
              <w:snapToGrid w:val="0"/>
              <w:rPr>
                <w:rFonts w:hint="eastAsia" w:eastAsia="宋体"/>
                <w:color w:val="auto"/>
                <w:lang w:eastAsia="zh-CN"/>
              </w:rPr>
            </w:pPr>
            <w:r>
              <w:rPr>
                <w:color w:val="auto"/>
              </w:rPr>
              <w:t>整屏尺寸：≥3.84米（W）2.08（H）米，整屏分辨率：≥1920*1040点；像素点间距：≤2mm；像素构成：1R1G1B；像素密度：≥250000Dots/㎡；亮度：0-1200cd/㎡可调，具有蓝光抑制功能；亮度均匀性：≥98%；刷新率：≥3840Hz；整屏平整度：≤0.1mm；色温：3000-9000K可调</w:t>
            </w:r>
            <w:r>
              <w:rPr>
                <w:rFonts w:hint="eastAsia"/>
                <w:color w:val="auto"/>
              </w:rPr>
              <w:t>；</w:t>
            </w:r>
            <w:r>
              <w:rPr>
                <w:color w:val="auto"/>
              </w:rPr>
              <w:t>色度均匀性：±0.003Cx,Cy之内；反光率：≤2％；水平/垂直视角：≥170°；像素失控率：≤0.00001，出厂时为0；能源效率：≥3.0cd/㎡；信噪比：≥47dB</w:t>
            </w:r>
            <w:r>
              <w:rPr>
                <w:rFonts w:hint="eastAsia"/>
                <w:color w:val="auto"/>
              </w:rPr>
              <w:t>；</w:t>
            </w:r>
            <w:r>
              <w:rPr>
                <w:color w:val="auto"/>
              </w:rPr>
              <w:t>睡眠模式功率密度：≤150W/㎡；对比度：≥8000:1；画面延时：≤2ms；屈服强度：≥170mpa；抗拉强度：≥230mpa；横向/纵向拉伸承载力：≥2.5吨；峰值功耗：≤500W/㎡，平均功耗：≤180W/㎡；灰度等级：≥16bit；维护方式：支持前后维护；模组表面绝缘检测：绝缘电阻应当为5000MΩ；绝缘电阻试验：电源插头或电源引入端子与外壳裸露金属部件之间的绝缘电阻在正常大气条件下应≥100MΩ，湿热条件下应≥2MΩ；温度监测功能检验：具有多点测温系统，均衡散热，防止局部温度过高造成色彩漂移，并提高显示屏寿命；调节软件设置项：支持鬼影消除、第一扫偏暗消除、低灰偏色补偿、低灰均匀性、低灰横条纹消除、慢速开启、十字架消除、去除坏点、毛毛虫消除、余辉消除、亮度缓慢变亮功能；支持屏体拼缝亮线、暗线校正：先进的除亮、暗线功能，从软、硬两方面彻底改善困扰LED安装精度造成的亮、暗线问题；防护性能：具有防静电、防电磁干扰、防潮、防腐蚀、防虫、抗震动、抗雷击等功能，具有电源过压、过流、断电保护、分布上电措施</w:t>
            </w:r>
            <w:r>
              <w:rPr>
                <w:rFonts w:hint="eastAsia"/>
                <w:color w:val="auto"/>
              </w:rPr>
              <w:t>；</w:t>
            </w:r>
            <w:r>
              <w:rPr>
                <w:color w:val="auto"/>
              </w:rPr>
              <w:t>自动gamma矫正技术设置：自动GAMMA校正技术，通过构造非线性校正曲线和色坐标变换系数矩阵实现了显示效果的不断改善，各项重要指标如色彩还原性、色温调节范围、亮度均匀性、色度均匀性、刷新率、换帧频率等；驱动芯片功能：具有列下消隐功能、倍频刷新率提升2/4/8倍、低灰偏色改善</w:t>
            </w:r>
            <w:r>
              <w:rPr>
                <w:rFonts w:hint="eastAsia"/>
                <w:color w:val="auto"/>
                <w:lang w:eastAsia="zh-CN"/>
              </w:rPr>
              <w:t>。</w:t>
            </w:r>
          </w:p>
        </w:tc>
        <w:tc>
          <w:tcPr>
            <w:tcW w:w="796" w:type="dxa"/>
            <w:shd w:val="clear" w:color="000000" w:fill="FFFFFF"/>
            <w:noWrap/>
            <w:vAlign w:val="center"/>
          </w:tcPr>
          <w:p>
            <w:pPr>
              <w:adjustRightInd w:val="0"/>
              <w:snapToGrid w:val="0"/>
              <w:rPr>
                <w:color w:val="auto"/>
              </w:rPr>
            </w:pPr>
            <w:r>
              <w:rPr>
                <w:color w:val="auto"/>
              </w:rPr>
              <w:t>7.9872</w:t>
            </w:r>
          </w:p>
        </w:tc>
        <w:tc>
          <w:tcPr>
            <w:tcW w:w="638" w:type="dxa"/>
            <w:shd w:val="clear" w:color="000000" w:fill="FFFFFF"/>
            <w:noWrap/>
            <w:vAlign w:val="center"/>
          </w:tcPr>
          <w:p>
            <w:pPr>
              <w:adjustRightInd w:val="0"/>
              <w:snapToGrid w:val="0"/>
              <w:rPr>
                <w:color w:val="auto"/>
              </w:rPr>
            </w:pPr>
            <w:r>
              <w:rPr>
                <w:color w:val="auto"/>
              </w:rPr>
              <w:t>平米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53</w:t>
            </w:r>
          </w:p>
        </w:tc>
        <w:tc>
          <w:tcPr>
            <w:tcW w:w="983" w:type="dxa"/>
            <w:shd w:val="clear" w:color="000000" w:fill="FFFFFF"/>
            <w:noWrap w:val="0"/>
            <w:vAlign w:val="center"/>
          </w:tcPr>
          <w:p>
            <w:pPr>
              <w:adjustRightInd w:val="0"/>
              <w:snapToGrid w:val="0"/>
              <w:rPr>
                <w:color w:val="auto"/>
              </w:rPr>
            </w:pPr>
            <w:r>
              <w:rPr>
                <w:color w:val="auto"/>
              </w:rPr>
              <w:t>LED屏五（长3.84M*宽2.08M）</w:t>
            </w:r>
          </w:p>
        </w:tc>
        <w:tc>
          <w:tcPr>
            <w:tcW w:w="5874" w:type="dxa"/>
            <w:gridSpan w:val="2"/>
            <w:shd w:val="clear" w:color="000000" w:fill="FFFFFF"/>
            <w:noWrap w:val="0"/>
            <w:vAlign w:val="center"/>
          </w:tcPr>
          <w:p>
            <w:pPr>
              <w:adjustRightInd w:val="0"/>
              <w:snapToGrid w:val="0"/>
              <w:rPr>
                <w:rFonts w:hint="eastAsia" w:eastAsia="宋体"/>
                <w:color w:val="auto"/>
                <w:lang w:eastAsia="zh-CN"/>
              </w:rPr>
            </w:pPr>
            <w:r>
              <w:rPr>
                <w:color w:val="auto"/>
              </w:rPr>
              <w:t>整屏尺寸：≥3.84米（W）2.08（H）米，整屏分辨率：≥1920*1040点；像素点间距：≤2mm；像素构成：1R1G1B；像素密度：≥250000Dots/㎡；亮度：0-1200cd/㎡可调，具有蓝光抑制功能；亮度均匀性：≥98%；刷新率：≥3840Hz；整屏平整度：≤0.1mm；色温：3000-9000K可调</w:t>
            </w:r>
            <w:r>
              <w:rPr>
                <w:rFonts w:hint="eastAsia"/>
                <w:color w:val="auto"/>
              </w:rPr>
              <w:t>；</w:t>
            </w:r>
            <w:r>
              <w:rPr>
                <w:color w:val="auto"/>
              </w:rPr>
              <w:t>色度均匀性：±0.003Cx,Cy之内；反光率：≤2％；水平/垂直视角：≥170°；像素失控率：≤0.00001，出厂时为0；能源效率：≥3.0cd/㎡；信噪比：≥47dB</w:t>
            </w:r>
            <w:r>
              <w:rPr>
                <w:rFonts w:hint="eastAsia"/>
                <w:color w:val="auto"/>
              </w:rPr>
              <w:t>；</w:t>
            </w:r>
            <w:r>
              <w:rPr>
                <w:color w:val="auto"/>
              </w:rPr>
              <w:t>睡眠模式功率密度：≤150W/㎡；对比度：≥8000:1；画面延时：≤2ms；屈服强度：≥170mpa；抗拉强度：≥230mpa；横向/纵向拉伸承载力：≥2.5吨；峰值功耗：≤500W/㎡，平均功耗：≤180W/㎡；灰度等级：≥16bit；维护方式：支持前后维护；模组表面绝缘检测：绝缘电阻应当为5000MΩ；绝缘电阻试验：电源插头或电源引入端子与外壳裸露金属部件之间的绝缘电阻在正常大气条件下应≥100MΩ，湿热条件下应≥2MΩ；温度监测功能检验：具有多点测温系统，均衡散热，防止局部温度过高造成色彩漂移，并提高显示屏寿命；调节软件设置项：支持鬼影消除、第一扫偏暗消除、低灰偏色补偿、低灰均匀性、低灰横条纹消除、慢速开启、十字架消除、去除坏点、毛毛虫消除、余辉消除、亮度缓慢变亮功能；支持屏体拼缝亮线、暗线校正：先进的除亮、暗线功能，从软、硬两方面彻底改善困扰LED安装精度造成的亮、暗线问题；防护性能：具有防静电、防电磁干扰、防潮、防腐蚀、防虫、抗震动、抗雷击等功能，具有电源过压、过流、断电保护、分布上电措施</w:t>
            </w:r>
            <w:r>
              <w:rPr>
                <w:rFonts w:hint="eastAsia"/>
                <w:color w:val="auto"/>
              </w:rPr>
              <w:t>；</w:t>
            </w:r>
            <w:r>
              <w:rPr>
                <w:color w:val="auto"/>
              </w:rPr>
              <w:t>自动gamma矫正技术设置：自动GAMMA校正技术，通过构造非线性校正曲线和色坐标变换系数矩阵实现了显示效果的不断改善，各项重要指标如色彩还原性、色温调节范围、亮度均匀性、色度均匀性、刷新率、换帧频率等；驱动芯片功能：具有列下消隐功能、倍频刷新率提升2/4/8倍、低灰偏色改善</w:t>
            </w:r>
            <w:r>
              <w:rPr>
                <w:rFonts w:hint="eastAsia"/>
                <w:color w:val="auto"/>
                <w:lang w:eastAsia="zh-CN"/>
              </w:rPr>
              <w:t>。</w:t>
            </w:r>
          </w:p>
        </w:tc>
        <w:tc>
          <w:tcPr>
            <w:tcW w:w="796" w:type="dxa"/>
            <w:shd w:val="clear" w:color="000000" w:fill="FFFFFF"/>
            <w:noWrap/>
            <w:vAlign w:val="center"/>
          </w:tcPr>
          <w:p>
            <w:pPr>
              <w:adjustRightInd w:val="0"/>
              <w:snapToGrid w:val="0"/>
              <w:rPr>
                <w:color w:val="auto"/>
              </w:rPr>
            </w:pPr>
            <w:r>
              <w:rPr>
                <w:color w:val="auto"/>
              </w:rPr>
              <w:t>7.9872</w:t>
            </w:r>
          </w:p>
        </w:tc>
        <w:tc>
          <w:tcPr>
            <w:tcW w:w="638" w:type="dxa"/>
            <w:shd w:val="clear" w:color="000000" w:fill="FFFFFF"/>
            <w:noWrap/>
            <w:vAlign w:val="center"/>
          </w:tcPr>
          <w:p>
            <w:pPr>
              <w:adjustRightInd w:val="0"/>
              <w:snapToGrid w:val="0"/>
              <w:rPr>
                <w:color w:val="auto"/>
              </w:rPr>
            </w:pPr>
            <w:r>
              <w:rPr>
                <w:color w:val="auto"/>
              </w:rPr>
              <w:t>平米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54</w:t>
            </w:r>
          </w:p>
        </w:tc>
        <w:tc>
          <w:tcPr>
            <w:tcW w:w="983" w:type="dxa"/>
            <w:shd w:val="clear" w:color="000000" w:fill="FFFFFF"/>
            <w:noWrap w:val="0"/>
            <w:vAlign w:val="center"/>
          </w:tcPr>
          <w:p>
            <w:pPr>
              <w:adjustRightInd w:val="0"/>
              <w:snapToGrid w:val="0"/>
              <w:rPr>
                <w:color w:val="auto"/>
              </w:rPr>
            </w:pPr>
            <w:r>
              <w:rPr>
                <w:color w:val="auto"/>
              </w:rPr>
              <w:t>LED屏六（长3.84M*宽2.08M）</w:t>
            </w:r>
          </w:p>
        </w:tc>
        <w:tc>
          <w:tcPr>
            <w:tcW w:w="5874" w:type="dxa"/>
            <w:gridSpan w:val="2"/>
            <w:shd w:val="clear" w:color="000000" w:fill="FFFFFF"/>
            <w:noWrap w:val="0"/>
            <w:vAlign w:val="center"/>
          </w:tcPr>
          <w:p>
            <w:pPr>
              <w:adjustRightInd w:val="0"/>
              <w:snapToGrid w:val="0"/>
              <w:rPr>
                <w:rFonts w:hint="eastAsia" w:eastAsia="宋体"/>
                <w:color w:val="auto"/>
                <w:lang w:eastAsia="zh-CN"/>
              </w:rPr>
            </w:pPr>
            <w:r>
              <w:rPr>
                <w:color w:val="auto"/>
              </w:rPr>
              <w:t>整屏尺寸：≥3.84米（W）2.08（H）米，整屏分辨率：≥1920*1040点；像素点间距：≤2mm；像素构成：1R1G1B；像素密度：≥250000Dots/㎡；亮度：0-1200cd/㎡可调，具有蓝光抑制功能；亮度均匀性：≥98%；刷新率：≥3840Hz；整屏平整度：≤0.1mm；色温：3000-9000K可调</w:t>
            </w:r>
            <w:r>
              <w:rPr>
                <w:rFonts w:hint="eastAsia"/>
                <w:color w:val="auto"/>
              </w:rPr>
              <w:t>；</w:t>
            </w:r>
            <w:r>
              <w:rPr>
                <w:color w:val="auto"/>
              </w:rPr>
              <w:t>色度均匀性：±0.003Cx,Cy之内；反光率：≤2％；水平/垂直视角：≥170°；像素失控率：≤0.00001，出厂时为0；能源效率：≥3.0cd/㎡；信噪比：≥47dB</w:t>
            </w:r>
            <w:r>
              <w:rPr>
                <w:rFonts w:hint="eastAsia"/>
                <w:color w:val="auto"/>
              </w:rPr>
              <w:t>；</w:t>
            </w:r>
            <w:r>
              <w:rPr>
                <w:color w:val="auto"/>
              </w:rPr>
              <w:t>睡眠模式功率密度：≤150W/㎡；对比度：≥8000:1；画面延时：≤2ms；屈服强度：≥170mpa；抗拉强度：≥230mpa；横向/纵向拉伸承载力：≥2.5吨；峰值功耗：≤500W/㎡，平均功耗：≤180W/㎡；灰度等级：≥16bit；维护方式：支持前后维护；模组表面绝缘检测：绝缘电阻应当为5000MΩ；绝缘电阻试验：电源插头或电源引入端子与外壳裸露金属部件之间的绝缘电阻在正常大气条件下应≥100MΩ，湿热条件下应≥2MΩ；温度监测功能检验：具有多点测温系统，均衡散热，防止局部温度过高造成色彩漂移，并提高显示屏寿命；调节软件设置项：支持鬼影消除、第一扫偏暗消除、低灰偏色补偿、低灰均匀性、低灰横条纹消除、慢速开启、十字架消除、去除坏点、毛毛虫消除、余辉消除、亮度缓慢变亮功能；支持屏体拼缝亮线、暗线校正：先进的除亮、暗线功能，从软、硬两方面彻底改善困扰LED安装精度造成的亮、暗线问题；防护性能：具有防静电、防电磁干扰、防潮、防腐蚀、防虫、抗震动、抗雷击等功能，具有电源过压、过流、断电保护、分布上电措施</w:t>
            </w:r>
            <w:r>
              <w:rPr>
                <w:rFonts w:hint="eastAsia"/>
                <w:color w:val="auto"/>
              </w:rPr>
              <w:t>；</w:t>
            </w:r>
            <w:r>
              <w:rPr>
                <w:color w:val="auto"/>
              </w:rPr>
              <w:t>自动gamma矫正技术设置：自动GAMMA校正技术，通过构造非线性校正曲线和色坐标变换系数矩阵实现了显示效果的不断改善，各项重要指标如色彩还原性、色温调节范围、亮度均匀性、色度均匀性、刷新率、换帧频率等；驱动芯片功能：具有列下消隐功能、倍频刷新率提升2/4/8倍、低灰偏色改善</w:t>
            </w:r>
            <w:r>
              <w:rPr>
                <w:rFonts w:hint="eastAsia"/>
                <w:color w:val="auto"/>
                <w:lang w:eastAsia="zh-CN"/>
              </w:rPr>
              <w:t>。</w:t>
            </w:r>
          </w:p>
        </w:tc>
        <w:tc>
          <w:tcPr>
            <w:tcW w:w="796" w:type="dxa"/>
            <w:shd w:val="clear" w:color="000000" w:fill="FFFFFF"/>
            <w:noWrap/>
            <w:vAlign w:val="center"/>
          </w:tcPr>
          <w:p>
            <w:pPr>
              <w:adjustRightInd w:val="0"/>
              <w:snapToGrid w:val="0"/>
              <w:rPr>
                <w:color w:val="auto"/>
              </w:rPr>
            </w:pPr>
            <w:r>
              <w:rPr>
                <w:color w:val="auto"/>
              </w:rPr>
              <w:t>7.9872</w:t>
            </w:r>
          </w:p>
        </w:tc>
        <w:tc>
          <w:tcPr>
            <w:tcW w:w="638" w:type="dxa"/>
            <w:shd w:val="clear" w:color="000000" w:fill="FFFFFF"/>
            <w:noWrap/>
            <w:vAlign w:val="center"/>
          </w:tcPr>
          <w:p>
            <w:pPr>
              <w:adjustRightInd w:val="0"/>
              <w:snapToGrid w:val="0"/>
              <w:rPr>
                <w:color w:val="auto"/>
              </w:rPr>
            </w:pPr>
            <w:r>
              <w:rPr>
                <w:color w:val="auto"/>
              </w:rPr>
              <w:t>平米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55</w:t>
            </w:r>
          </w:p>
        </w:tc>
        <w:tc>
          <w:tcPr>
            <w:tcW w:w="983" w:type="dxa"/>
            <w:shd w:val="clear" w:color="000000" w:fill="FFFFFF"/>
            <w:noWrap w:val="0"/>
            <w:vAlign w:val="center"/>
          </w:tcPr>
          <w:p>
            <w:pPr>
              <w:adjustRightInd w:val="0"/>
              <w:snapToGrid w:val="0"/>
              <w:rPr>
                <w:color w:val="auto"/>
              </w:rPr>
            </w:pPr>
            <w:r>
              <w:rPr>
                <w:color w:val="auto"/>
              </w:rPr>
              <w:t>LED屏七（长3.84M*宽2.08M）</w:t>
            </w:r>
          </w:p>
        </w:tc>
        <w:tc>
          <w:tcPr>
            <w:tcW w:w="5874" w:type="dxa"/>
            <w:gridSpan w:val="2"/>
            <w:shd w:val="clear" w:color="000000" w:fill="FFFFFF"/>
            <w:noWrap w:val="0"/>
            <w:vAlign w:val="center"/>
          </w:tcPr>
          <w:p>
            <w:pPr>
              <w:adjustRightInd w:val="0"/>
              <w:snapToGrid w:val="0"/>
              <w:rPr>
                <w:rFonts w:hint="eastAsia" w:eastAsia="宋体"/>
                <w:color w:val="auto"/>
                <w:lang w:eastAsia="zh-CN"/>
              </w:rPr>
            </w:pPr>
            <w:r>
              <w:rPr>
                <w:color w:val="auto"/>
              </w:rPr>
              <w:t>整屏尺寸：≥3.84米（W）2.08（H）米，整屏分辨率：≥1920*1040点；像素点间距：≤2mm；像素构成：1R1G1B；像素密度：≥250000Dots/㎡；亮度：0-1200cd/㎡可调，具有蓝光抑制功能；亮度均匀性：≥98%；刷新率：≥3840Hz；整屏平整度：≤0.1mm；色温：3000-9000K可调</w:t>
            </w:r>
            <w:r>
              <w:rPr>
                <w:rFonts w:hint="eastAsia"/>
                <w:color w:val="auto"/>
              </w:rPr>
              <w:t>；</w:t>
            </w:r>
            <w:r>
              <w:rPr>
                <w:color w:val="auto"/>
              </w:rPr>
              <w:t>色度均匀性：±0.003Cx,Cy之内；反光率：≤2％；水平/垂直视角：≥170°；像素失控率：≤0.00001，出厂时为0；能源效率：≥3.0cd/㎡；信噪比：≥47dB</w:t>
            </w:r>
            <w:r>
              <w:rPr>
                <w:rFonts w:hint="eastAsia"/>
                <w:color w:val="auto"/>
              </w:rPr>
              <w:t>；</w:t>
            </w:r>
            <w:r>
              <w:rPr>
                <w:color w:val="auto"/>
              </w:rPr>
              <w:t>睡眠模式功率密度：≤150W/㎡；对比度：≥8000:1；画面延时：≤2ms；屈服强度：≥170mpa；抗拉强度：≥230mpa；横向/纵向拉伸承载力：≥2.5吨；峰值功耗：≤500W/㎡，平均功耗：≤180W/㎡；灰度等级：≥16bit；维护方式：支持前后维护；模组表面绝缘检测：绝缘电阻应当为5000MΩ；绝缘电阻试验：电源插头或电源引入端子与外壳裸露金属部件之间的绝缘</w:t>
            </w:r>
            <w:r>
              <w:rPr>
                <w:rFonts w:hint="eastAsia"/>
                <w:color w:val="auto"/>
              </w:rPr>
              <w:t>d</w:t>
            </w:r>
            <w:r>
              <w:rPr>
                <w:color w:val="auto"/>
              </w:rPr>
              <w:t>x电阻在正常大气条件下应≥100MΩ，湿热条件下应≥2MΩ；温度监测功能检验：具有多点测温系统，均衡散热，防止局部温度过高造成色彩漂移，并提高显示屏寿命；调节软件设置项：支持鬼影消除、第一扫偏暗消除、低灰偏色补偿、低灰均匀性、低灰横条纹消除、慢速开启、十字架消除、去除坏点、毛毛虫消除、余辉消除、亮度缓慢变亮功能；支持屏体拼缝亮线、暗线校正：先进的除亮、暗线功能，从软、硬两方面彻底改善困扰LED安装精度造成的亮、暗线问题；防护性能：具有防静电、防电磁干扰、防潮、防腐蚀、防虫、抗震动、抗雷击等功能，具有电源过压、过流、断电保护、分布上电措施</w:t>
            </w:r>
            <w:r>
              <w:rPr>
                <w:rFonts w:hint="eastAsia"/>
                <w:color w:val="auto"/>
              </w:rPr>
              <w:t>；</w:t>
            </w:r>
            <w:r>
              <w:rPr>
                <w:color w:val="auto"/>
              </w:rPr>
              <w:t>自动gamma矫正技术设置：自动GAMMA校正技术，通过构造非线性校正曲线和色坐标变换系数矩阵实现了显示效果的不断改善，各项重要指标如色彩还原性、色温调节范围、亮度均匀性、色度均匀性、刷新率、换帧频率等；驱动芯片功能：具有列下消隐功能、倍频刷新率提升2/4/8倍、低灰偏色改善</w:t>
            </w:r>
            <w:r>
              <w:rPr>
                <w:rFonts w:hint="eastAsia"/>
                <w:color w:val="auto"/>
                <w:lang w:eastAsia="zh-CN"/>
              </w:rPr>
              <w:t>。</w:t>
            </w:r>
          </w:p>
        </w:tc>
        <w:tc>
          <w:tcPr>
            <w:tcW w:w="796" w:type="dxa"/>
            <w:shd w:val="clear" w:color="000000" w:fill="FFFFFF"/>
            <w:noWrap/>
            <w:vAlign w:val="center"/>
          </w:tcPr>
          <w:p>
            <w:pPr>
              <w:adjustRightInd w:val="0"/>
              <w:snapToGrid w:val="0"/>
              <w:rPr>
                <w:color w:val="auto"/>
              </w:rPr>
            </w:pPr>
            <w:r>
              <w:rPr>
                <w:color w:val="auto"/>
              </w:rPr>
              <w:t>7.9872</w:t>
            </w:r>
          </w:p>
        </w:tc>
        <w:tc>
          <w:tcPr>
            <w:tcW w:w="638" w:type="dxa"/>
            <w:shd w:val="clear" w:color="000000" w:fill="FFFFFF"/>
            <w:noWrap/>
            <w:vAlign w:val="center"/>
          </w:tcPr>
          <w:p>
            <w:pPr>
              <w:adjustRightInd w:val="0"/>
              <w:snapToGrid w:val="0"/>
              <w:rPr>
                <w:color w:val="auto"/>
              </w:rPr>
            </w:pPr>
            <w:r>
              <w:rPr>
                <w:color w:val="auto"/>
              </w:rPr>
              <w:t>平米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56</w:t>
            </w:r>
          </w:p>
        </w:tc>
        <w:tc>
          <w:tcPr>
            <w:tcW w:w="983" w:type="dxa"/>
            <w:shd w:val="clear" w:color="000000" w:fill="FFFFFF"/>
            <w:noWrap w:val="0"/>
            <w:vAlign w:val="center"/>
          </w:tcPr>
          <w:p>
            <w:pPr>
              <w:adjustRightInd w:val="0"/>
              <w:snapToGrid w:val="0"/>
              <w:rPr>
                <w:color w:val="auto"/>
              </w:rPr>
            </w:pPr>
            <w:r>
              <w:rPr>
                <w:color w:val="auto"/>
              </w:rPr>
              <w:t>LED屏八（长3.84M*宽2.08M）</w:t>
            </w:r>
          </w:p>
        </w:tc>
        <w:tc>
          <w:tcPr>
            <w:tcW w:w="5874" w:type="dxa"/>
            <w:gridSpan w:val="2"/>
            <w:shd w:val="clear" w:color="000000" w:fill="FFFFFF"/>
            <w:noWrap w:val="0"/>
            <w:vAlign w:val="center"/>
          </w:tcPr>
          <w:p>
            <w:pPr>
              <w:adjustRightInd w:val="0"/>
              <w:snapToGrid w:val="0"/>
              <w:rPr>
                <w:rFonts w:hint="eastAsia" w:eastAsia="宋体"/>
                <w:color w:val="auto"/>
                <w:lang w:eastAsia="zh-CN"/>
              </w:rPr>
            </w:pPr>
            <w:r>
              <w:rPr>
                <w:color w:val="auto"/>
              </w:rPr>
              <w:t>整屏尺寸：≥3.84米（W）2.08（H）米，整屏分辨率：≥1920*1040点；像素点间距：≤2mm；像素构成：1R1G1B；像素密度：≥250000Dots/㎡；亮度：0-1200cd/㎡可调，具有蓝光抑制功能；亮度均匀性：≥98%；刷新率：≥3840Hz；整屏平整度：≤0.1mm；色温：3000-9000K可调</w:t>
            </w:r>
            <w:r>
              <w:rPr>
                <w:rFonts w:hint="eastAsia"/>
                <w:color w:val="auto"/>
              </w:rPr>
              <w:t>；</w:t>
            </w:r>
            <w:r>
              <w:rPr>
                <w:color w:val="auto"/>
              </w:rPr>
              <w:t>色度均匀性：±0.003Cx,Cy之内；反光率：≤2％；水平/垂直视角：≥170°；像素失控率：≤0.00001，出厂时为0；能源效率：≥3.0cd/㎡；信噪比：≥47dB</w:t>
            </w:r>
            <w:r>
              <w:rPr>
                <w:rFonts w:hint="eastAsia"/>
                <w:color w:val="auto"/>
              </w:rPr>
              <w:t>；</w:t>
            </w:r>
            <w:r>
              <w:rPr>
                <w:color w:val="auto"/>
              </w:rPr>
              <w:t>睡眠模式功率密度：≤150W/㎡；对比度：≥8000:1；画面延时：≤2ms；屈服强度：≥170mpa；抗拉强度：≥230mpa；横向/纵向拉伸承载力：≥2.5吨；峰值功耗：≤500W/㎡，平均功耗：≤180W/㎡；灰度等级：≥16bit；维护方式：支持前后维护；模组表面绝缘检测：绝缘电阻应当为5000MΩ；绝缘电阻试验：电源插头或电源引入端子与外壳裸露金属部件之间的绝缘电阻在正常大气条件下应≥100MΩ，湿热条件下应≥2MΩ；温度监测功能检验：具有多点测温系统，均衡散热，防止局部温度过高造成色彩漂移，并提高显示屏寿命；调节软件设置项：支持鬼影消除、第一扫偏暗消除、低灰偏色补偿、低灰均匀性、低灰横条纹消除、慢速开启、十字架消除、去除坏点、毛毛虫消除、余辉消除、亮度缓慢变亮功能；支持屏体拼缝亮线、暗线校正：先进的除亮、暗线功能，从软、硬两方面彻底改善困扰LED安装精度造成的亮、暗线问题；防护性能：具有防静电、防电磁干扰、防潮、防腐蚀、防虫、抗震动、抗雷击等功能，具有电源过压、过流、断电保护、分布上电措施</w:t>
            </w:r>
            <w:r>
              <w:rPr>
                <w:rFonts w:hint="eastAsia"/>
                <w:color w:val="auto"/>
              </w:rPr>
              <w:t>；</w:t>
            </w:r>
            <w:r>
              <w:rPr>
                <w:color w:val="auto"/>
              </w:rPr>
              <w:t>自动gamma矫正技术设置：自动GAMMA校正技术，通过构造非线性校正曲线和色坐标变换系数矩阵实现了显示效果的不断改善，各项重要指标如色彩还原性、色温调节范围、亮度均匀性、色度均匀性、刷新率、换帧频率等；驱动芯片功能：具有列下消隐功能、倍频刷新率提升2/4/8倍、低灰偏色改善</w:t>
            </w:r>
            <w:r>
              <w:rPr>
                <w:rFonts w:hint="eastAsia"/>
                <w:color w:val="auto"/>
                <w:lang w:eastAsia="zh-CN"/>
              </w:rPr>
              <w:t>。</w:t>
            </w:r>
          </w:p>
        </w:tc>
        <w:tc>
          <w:tcPr>
            <w:tcW w:w="796" w:type="dxa"/>
            <w:shd w:val="clear" w:color="000000" w:fill="FFFFFF"/>
            <w:noWrap/>
            <w:vAlign w:val="center"/>
          </w:tcPr>
          <w:p>
            <w:pPr>
              <w:adjustRightInd w:val="0"/>
              <w:snapToGrid w:val="0"/>
              <w:rPr>
                <w:color w:val="auto"/>
              </w:rPr>
            </w:pPr>
            <w:r>
              <w:rPr>
                <w:color w:val="auto"/>
              </w:rPr>
              <w:t>7.9872</w:t>
            </w:r>
          </w:p>
        </w:tc>
        <w:tc>
          <w:tcPr>
            <w:tcW w:w="638" w:type="dxa"/>
            <w:shd w:val="clear" w:color="000000" w:fill="FFFFFF"/>
            <w:noWrap/>
            <w:vAlign w:val="center"/>
          </w:tcPr>
          <w:p>
            <w:pPr>
              <w:adjustRightInd w:val="0"/>
              <w:snapToGrid w:val="0"/>
              <w:rPr>
                <w:color w:val="auto"/>
              </w:rPr>
            </w:pPr>
            <w:r>
              <w:rPr>
                <w:color w:val="auto"/>
              </w:rPr>
              <w:t>平米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57</w:t>
            </w:r>
          </w:p>
        </w:tc>
        <w:tc>
          <w:tcPr>
            <w:tcW w:w="983" w:type="dxa"/>
            <w:shd w:val="clear" w:color="000000" w:fill="FFFFFF"/>
            <w:noWrap w:val="0"/>
            <w:vAlign w:val="center"/>
          </w:tcPr>
          <w:p>
            <w:pPr>
              <w:adjustRightInd w:val="0"/>
              <w:snapToGrid w:val="0"/>
              <w:rPr>
                <w:color w:val="auto"/>
              </w:rPr>
            </w:pPr>
            <w:r>
              <w:rPr>
                <w:color w:val="auto"/>
              </w:rPr>
              <w:t>屏体控制器</w:t>
            </w:r>
          </w:p>
        </w:tc>
        <w:tc>
          <w:tcPr>
            <w:tcW w:w="5874" w:type="dxa"/>
            <w:gridSpan w:val="2"/>
            <w:shd w:val="clear" w:color="000000" w:fill="FFFFFF"/>
            <w:noWrap w:val="0"/>
            <w:vAlign w:val="center"/>
          </w:tcPr>
          <w:p>
            <w:pPr>
              <w:adjustRightInd w:val="0"/>
              <w:snapToGrid w:val="0"/>
              <w:rPr>
                <w:rFonts w:hint="eastAsia" w:eastAsia="宋体"/>
                <w:color w:val="auto"/>
                <w:lang w:eastAsia="zh-CN"/>
              </w:rPr>
            </w:pPr>
            <w:r>
              <w:rPr>
                <w:color w:val="auto"/>
              </w:rPr>
              <w:t>标准1U机箱</w:t>
            </w:r>
            <w:r>
              <w:rPr>
                <w:rFonts w:hint="eastAsia"/>
                <w:color w:val="auto"/>
              </w:rPr>
              <w:t>；≥</w:t>
            </w:r>
            <w:r>
              <w:rPr>
                <w:color w:val="auto"/>
              </w:rPr>
              <w:t>6网口输出</w:t>
            </w:r>
            <w:r>
              <w:rPr>
                <w:rFonts w:hint="eastAsia"/>
                <w:color w:val="auto"/>
              </w:rPr>
              <w:t>；</w:t>
            </w:r>
            <w:r>
              <w:rPr>
                <w:color w:val="auto"/>
              </w:rPr>
              <w:t>最大支持2560X960显卡分辨率；单卡带载像素面积230万像素；支持HDMI/DVI视频输入;HDMI音频输入/外部音频输入;支持高位阶视频输入 12bit/10bit/8bit;普通视频源带载能力:1920</w:t>
            </w:r>
            <w:r>
              <w:rPr>
                <w:color w:val="auto"/>
                <w:shd w:val="clear" w:color="auto" w:fill="FFFFFF"/>
              </w:rPr>
              <w:t>×</w:t>
            </w:r>
            <w:r>
              <w:rPr>
                <w:color w:val="auto"/>
              </w:rPr>
              <w:t>1200、2048</w:t>
            </w:r>
            <w:r>
              <w:rPr>
                <w:color w:val="auto"/>
                <w:shd w:val="clear" w:color="auto" w:fill="FFFFFF"/>
              </w:rPr>
              <w:t>×</w:t>
            </w:r>
            <w:r>
              <w:rPr>
                <w:color w:val="auto"/>
              </w:rPr>
              <w:t>1152、2560</w:t>
            </w:r>
            <w:r>
              <w:rPr>
                <w:color w:val="auto"/>
                <w:shd w:val="clear" w:color="auto" w:fill="FFFFFF"/>
              </w:rPr>
              <w:t>×</w:t>
            </w:r>
            <w:r>
              <w:rPr>
                <w:color w:val="auto"/>
              </w:rPr>
              <w:t>960;高位阶视频源带载能力:1440</w:t>
            </w:r>
            <w:r>
              <w:rPr>
                <w:color w:val="auto"/>
                <w:shd w:val="clear" w:color="auto" w:fill="FFFFFF"/>
              </w:rPr>
              <w:t>×</w:t>
            </w:r>
            <w:r>
              <w:rPr>
                <w:color w:val="auto"/>
              </w:rPr>
              <w:t>900; 12bit/10bit/8bit;可级联多台进行统一控制自动连屏</w:t>
            </w:r>
            <w:r>
              <w:rPr>
                <w:rFonts w:hint="eastAsia"/>
                <w:color w:val="auto"/>
                <w:lang w:eastAsia="zh-CN"/>
              </w:rPr>
              <w:t>。</w:t>
            </w:r>
          </w:p>
        </w:tc>
        <w:tc>
          <w:tcPr>
            <w:tcW w:w="796" w:type="dxa"/>
            <w:shd w:val="clear" w:color="000000" w:fill="FFFFFF"/>
            <w:noWrap/>
            <w:vAlign w:val="center"/>
          </w:tcPr>
          <w:p>
            <w:pPr>
              <w:adjustRightInd w:val="0"/>
              <w:snapToGrid w:val="0"/>
              <w:rPr>
                <w:color w:val="auto"/>
              </w:rPr>
            </w:pPr>
            <w:r>
              <w:rPr>
                <w:color w:val="auto"/>
              </w:rPr>
              <w:t>8</w:t>
            </w:r>
          </w:p>
        </w:tc>
        <w:tc>
          <w:tcPr>
            <w:tcW w:w="638" w:type="dxa"/>
            <w:shd w:val="clear" w:color="000000" w:fill="FFFFFF"/>
            <w:noWrap/>
            <w:vAlign w:val="center"/>
          </w:tcPr>
          <w:p>
            <w:pPr>
              <w:adjustRightInd w:val="0"/>
              <w:snapToGrid w:val="0"/>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58</w:t>
            </w:r>
          </w:p>
        </w:tc>
        <w:tc>
          <w:tcPr>
            <w:tcW w:w="983" w:type="dxa"/>
            <w:shd w:val="clear" w:color="000000" w:fill="FFFFFF"/>
            <w:noWrap w:val="0"/>
            <w:vAlign w:val="center"/>
          </w:tcPr>
          <w:p>
            <w:pPr>
              <w:adjustRightInd w:val="0"/>
              <w:snapToGrid w:val="0"/>
              <w:rPr>
                <w:color w:val="auto"/>
              </w:rPr>
            </w:pPr>
            <w:r>
              <w:rPr>
                <w:color w:val="auto"/>
              </w:rPr>
              <w:t>钢结构及包边</w:t>
            </w:r>
          </w:p>
        </w:tc>
        <w:tc>
          <w:tcPr>
            <w:tcW w:w="5874" w:type="dxa"/>
            <w:gridSpan w:val="2"/>
            <w:shd w:val="clear" w:color="000000" w:fill="FFFFFF"/>
            <w:noWrap w:val="0"/>
            <w:vAlign w:val="center"/>
          </w:tcPr>
          <w:p>
            <w:pPr>
              <w:adjustRightInd w:val="0"/>
              <w:snapToGrid w:val="0"/>
              <w:rPr>
                <w:rFonts w:hint="eastAsia" w:eastAsia="宋体"/>
                <w:color w:val="auto"/>
                <w:lang w:eastAsia="zh-CN"/>
              </w:rPr>
            </w:pPr>
            <w:r>
              <w:rPr>
                <w:color w:val="auto"/>
              </w:rPr>
              <w:t>显示屏支撑钢结构材料必须采用国标材料，钢结构材质为Q235B，不可采用非标；支撑钢结构采用镀锌钢材并在焊接处做好防锈处理；结构作业点处理及复原屏体安装调试、不锈钢装饰包边</w:t>
            </w:r>
            <w:r>
              <w:rPr>
                <w:rFonts w:hint="eastAsia"/>
                <w:color w:val="auto"/>
                <w:lang w:eastAsia="zh-CN"/>
              </w:rPr>
              <w:t>。</w:t>
            </w:r>
          </w:p>
        </w:tc>
        <w:tc>
          <w:tcPr>
            <w:tcW w:w="796" w:type="dxa"/>
            <w:shd w:val="clear" w:color="000000" w:fill="FFFFFF"/>
            <w:noWrap/>
            <w:vAlign w:val="center"/>
          </w:tcPr>
          <w:p>
            <w:pPr>
              <w:adjustRightInd w:val="0"/>
              <w:snapToGrid w:val="0"/>
              <w:rPr>
                <w:color w:val="auto"/>
              </w:rPr>
            </w:pPr>
            <w:r>
              <w:rPr>
                <w:color w:val="auto"/>
              </w:rPr>
              <w:t>64</w:t>
            </w:r>
          </w:p>
        </w:tc>
        <w:tc>
          <w:tcPr>
            <w:tcW w:w="638" w:type="dxa"/>
            <w:shd w:val="clear" w:color="000000" w:fill="FFFFFF"/>
            <w:noWrap/>
            <w:vAlign w:val="center"/>
          </w:tcPr>
          <w:p>
            <w:pPr>
              <w:adjustRightInd w:val="0"/>
              <w:snapToGrid w:val="0"/>
              <w:rPr>
                <w:color w:val="auto"/>
              </w:rPr>
            </w:pPr>
            <w:r>
              <w:rPr>
                <w:color w:val="auto"/>
              </w:rPr>
              <w:t>平米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59</w:t>
            </w:r>
          </w:p>
        </w:tc>
        <w:tc>
          <w:tcPr>
            <w:tcW w:w="983" w:type="dxa"/>
            <w:shd w:val="clear" w:color="000000" w:fill="FFFFFF"/>
            <w:noWrap w:val="0"/>
            <w:vAlign w:val="center"/>
          </w:tcPr>
          <w:p>
            <w:pPr>
              <w:adjustRightInd w:val="0"/>
              <w:snapToGrid w:val="0"/>
              <w:rPr>
                <w:color w:val="auto"/>
              </w:rPr>
            </w:pPr>
            <w:r>
              <w:rPr>
                <w:color w:val="auto"/>
              </w:rPr>
              <w:t>屏体布线</w:t>
            </w:r>
          </w:p>
        </w:tc>
        <w:tc>
          <w:tcPr>
            <w:tcW w:w="5874" w:type="dxa"/>
            <w:gridSpan w:val="2"/>
            <w:shd w:val="clear" w:color="000000" w:fill="FFFFFF"/>
            <w:noWrap w:val="0"/>
            <w:vAlign w:val="center"/>
          </w:tcPr>
          <w:p>
            <w:pPr>
              <w:adjustRightInd w:val="0"/>
              <w:snapToGrid w:val="0"/>
              <w:rPr>
                <w:color w:val="auto"/>
              </w:rPr>
            </w:pPr>
            <w:r>
              <w:rPr>
                <w:color w:val="auto"/>
              </w:rPr>
              <w:t>屏体布线</w:t>
            </w:r>
          </w:p>
        </w:tc>
        <w:tc>
          <w:tcPr>
            <w:tcW w:w="796" w:type="dxa"/>
            <w:shd w:val="clear" w:color="000000" w:fill="FFFFFF"/>
            <w:noWrap/>
            <w:vAlign w:val="center"/>
          </w:tcPr>
          <w:p>
            <w:pPr>
              <w:adjustRightInd w:val="0"/>
              <w:snapToGrid w:val="0"/>
              <w:rPr>
                <w:color w:val="auto"/>
              </w:rPr>
            </w:pPr>
            <w:r>
              <w:rPr>
                <w:color w:val="auto"/>
              </w:rPr>
              <w:t>64</w:t>
            </w:r>
          </w:p>
        </w:tc>
        <w:tc>
          <w:tcPr>
            <w:tcW w:w="638" w:type="dxa"/>
            <w:shd w:val="clear" w:color="000000" w:fill="FFFFFF"/>
            <w:noWrap/>
            <w:vAlign w:val="center"/>
          </w:tcPr>
          <w:p>
            <w:pPr>
              <w:adjustRightInd w:val="0"/>
              <w:snapToGrid w:val="0"/>
              <w:rPr>
                <w:color w:val="auto"/>
              </w:rPr>
            </w:pPr>
            <w:r>
              <w:rPr>
                <w:color w:val="auto"/>
              </w:rPr>
              <w:t>平米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60</w:t>
            </w:r>
          </w:p>
        </w:tc>
        <w:tc>
          <w:tcPr>
            <w:tcW w:w="983" w:type="dxa"/>
            <w:vMerge w:val="restart"/>
            <w:shd w:val="clear" w:color="000000" w:fill="FFFFFF"/>
            <w:noWrap w:val="0"/>
            <w:vAlign w:val="center"/>
          </w:tcPr>
          <w:p>
            <w:pPr>
              <w:adjustRightInd w:val="0"/>
              <w:snapToGrid w:val="0"/>
              <w:rPr>
                <w:color w:val="auto"/>
              </w:rPr>
            </w:pPr>
            <w:r>
              <w:rPr>
                <w:color w:val="auto"/>
              </w:rPr>
              <w:t>多媒体硬件</w:t>
            </w:r>
          </w:p>
        </w:tc>
        <w:tc>
          <w:tcPr>
            <w:tcW w:w="1134" w:type="dxa"/>
            <w:shd w:val="clear" w:color="000000" w:fill="FFFFFF"/>
            <w:noWrap w:val="0"/>
            <w:vAlign w:val="center"/>
          </w:tcPr>
          <w:p>
            <w:pPr>
              <w:adjustRightInd w:val="0"/>
              <w:snapToGrid w:val="0"/>
              <w:rPr>
                <w:color w:val="auto"/>
              </w:rPr>
            </w:pPr>
            <w:r>
              <w:rPr>
                <w:color w:val="auto"/>
              </w:rPr>
              <w:t>DANTE超导向阵列式扬声器</w:t>
            </w:r>
          </w:p>
        </w:tc>
        <w:tc>
          <w:tcPr>
            <w:tcW w:w="4740" w:type="dxa"/>
            <w:shd w:val="clear" w:color="000000" w:fill="FFFFFF"/>
            <w:noWrap w:val="0"/>
            <w:vAlign w:val="center"/>
          </w:tcPr>
          <w:p>
            <w:pPr>
              <w:adjustRightInd w:val="0"/>
              <w:snapToGrid w:val="0"/>
              <w:rPr>
                <w:rFonts w:hint="eastAsia" w:eastAsia="宋体"/>
                <w:color w:val="auto"/>
                <w:lang w:eastAsia="zh-CN"/>
              </w:rPr>
            </w:pPr>
            <w:r>
              <w:rPr>
                <w:color w:val="auto"/>
              </w:rPr>
              <w:t>单元类型：</w:t>
            </w:r>
            <w:r>
              <w:rPr>
                <w:rFonts w:hint="eastAsia"/>
                <w:color w:val="auto"/>
              </w:rPr>
              <w:t>≥</w:t>
            </w:r>
            <w:r>
              <w:rPr>
                <w:color w:val="auto"/>
              </w:rPr>
              <w:t>6个可变超导单元，使声音更聚集而不分散</w:t>
            </w:r>
            <w:r>
              <w:rPr>
                <w:rFonts w:hint="eastAsia"/>
                <w:color w:val="auto"/>
              </w:rPr>
              <w:t>；</w:t>
            </w:r>
            <w:r>
              <w:rPr>
                <w:color w:val="auto"/>
              </w:rPr>
              <w:t>频率响应：（±3dB）120 Hz - 19 kHz</w:t>
            </w:r>
            <w:r>
              <w:rPr>
                <w:rFonts w:hint="eastAsia"/>
                <w:color w:val="auto"/>
              </w:rPr>
              <w:t>；</w:t>
            </w:r>
            <w:r>
              <w:rPr>
                <w:color w:val="auto"/>
              </w:rPr>
              <w:t>覆盖角度：40°x40°</w:t>
            </w:r>
            <w:r>
              <w:rPr>
                <w:rFonts w:hint="eastAsia"/>
                <w:color w:val="auto"/>
              </w:rPr>
              <w:t>；</w:t>
            </w:r>
            <w:r>
              <w:rPr>
                <w:color w:val="auto"/>
              </w:rPr>
              <w:t>最大声压级@1m：</w:t>
            </w:r>
            <w:r>
              <w:rPr>
                <w:rFonts w:hint="eastAsia"/>
                <w:color w:val="auto"/>
              </w:rPr>
              <w:t>≥</w:t>
            </w:r>
            <w:r>
              <w:rPr>
                <w:color w:val="auto"/>
              </w:rPr>
              <w:t>127dB</w:t>
            </w:r>
            <w:r>
              <w:rPr>
                <w:rFonts w:hint="eastAsia"/>
                <w:color w:val="auto"/>
              </w:rPr>
              <w:t>；</w:t>
            </w:r>
            <w:r>
              <w:rPr>
                <w:color w:val="auto"/>
              </w:rPr>
              <w:t>动态范围：</w:t>
            </w:r>
            <w:r>
              <w:rPr>
                <w:rFonts w:hint="eastAsia"/>
                <w:color w:val="auto"/>
              </w:rPr>
              <w:t>≥</w:t>
            </w:r>
            <w:r>
              <w:rPr>
                <w:color w:val="auto"/>
              </w:rPr>
              <w:t>101 dB；功率/阻抗：</w:t>
            </w:r>
            <w:r>
              <w:rPr>
                <w:rFonts w:hint="eastAsia"/>
                <w:color w:val="auto"/>
              </w:rPr>
              <w:t>≥</w:t>
            </w:r>
            <w:r>
              <w:rPr>
                <w:color w:val="auto"/>
              </w:rPr>
              <w:t>100W@8Ω；搭配功放支持信号输入：</w:t>
            </w:r>
            <w:r>
              <w:rPr>
                <w:rFonts w:hint="eastAsia"/>
                <w:color w:val="auto"/>
              </w:rPr>
              <w:t>≥</w:t>
            </w:r>
            <w:r>
              <w:rPr>
                <w:color w:val="auto"/>
              </w:rPr>
              <w:t>Dante×2主备双口</w:t>
            </w:r>
            <w:r>
              <w:rPr>
                <w:rFonts w:hint="eastAsia"/>
                <w:color w:val="auto"/>
                <w:lang w:eastAsia="zh-CN"/>
              </w:rPr>
              <w:t>。</w:t>
            </w:r>
          </w:p>
        </w:tc>
        <w:tc>
          <w:tcPr>
            <w:tcW w:w="796" w:type="dxa"/>
            <w:shd w:val="clear" w:color="000000" w:fill="FFFFFF"/>
            <w:noWrap/>
            <w:vAlign w:val="center"/>
          </w:tcPr>
          <w:p>
            <w:pPr>
              <w:adjustRightInd w:val="0"/>
              <w:snapToGrid w:val="0"/>
              <w:rPr>
                <w:color w:val="auto"/>
              </w:rPr>
            </w:pPr>
            <w:r>
              <w:rPr>
                <w:color w:val="auto"/>
              </w:rPr>
              <w:t>24</w:t>
            </w:r>
          </w:p>
        </w:tc>
        <w:tc>
          <w:tcPr>
            <w:tcW w:w="638" w:type="dxa"/>
            <w:shd w:val="clear" w:color="000000" w:fill="FFFFFF"/>
            <w:noWrap/>
            <w:vAlign w:val="center"/>
          </w:tcPr>
          <w:p>
            <w:pPr>
              <w:adjustRightInd w:val="0"/>
              <w:snapToGrid w:val="0"/>
              <w:rPr>
                <w:color w:val="auto"/>
              </w:rPr>
            </w:pPr>
            <w:r>
              <w:rPr>
                <w:color w:val="auto"/>
              </w:rPr>
              <w:t>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61</w:t>
            </w:r>
          </w:p>
        </w:tc>
        <w:tc>
          <w:tcPr>
            <w:tcW w:w="983" w:type="dxa"/>
            <w:vMerge w:val="continue"/>
            <w:shd w:val="clear" w:color="auto" w:fill="auto"/>
            <w:noWrap w:val="0"/>
            <w:vAlign w:val="center"/>
          </w:tcPr>
          <w:p>
            <w:pPr>
              <w:adjustRightInd w:val="0"/>
              <w:snapToGrid w:val="0"/>
              <w:rPr>
                <w:color w:val="auto"/>
              </w:rPr>
            </w:pPr>
          </w:p>
        </w:tc>
        <w:tc>
          <w:tcPr>
            <w:tcW w:w="1134" w:type="dxa"/>
            <w:shd w:val="clear" w:color="000000" w:fill="FFFFFF"/>
            <w:noWrap w:val="0"/>
            <w:vAlign w:val="center"/>
          </w:tcPr>
          <w:p>
            <w:pPr>
              <w:adjustRightInd w:val="0"/>
              <w:snapToGrid w:val="0"/>
              <w:rPr>
                <w:color w:val="auto"/>
              </w:rPr>
            </w:pPr>
            <w:r>
              <w:rPr>
                <w:color w:val="auto"/>
              </w:rPr>
              <w:t>DANTE超导向阵列音柱安装支架</w:t>
            </w:r>
          </w:p>
        </w:tc>
        <w:tc>
          <w:tcPr>
            <w:tcW w:w="4740" w:type="dxa"/>
            <w:shd w:val="clear" w:color="000000" w:fill="FFFFFF"/>
            <w:noWrap w:val="0"/>
            <w:vAlign w:val="center"/>
          </w:tcPr>
          <w:p>
            <w:pPr>
              <w:adjustRightInd w:val="0"/>
              <w:snapToGrid w:val="0"/>
              <w:rPr>
                <w:rFonts w:hint="eastAsia" w:eastAsia="宋体"/>
                <w:color w:val="auto"/>
                <w:lang w:eastAsia="zh-CN"/>
              </w:rPr>
            </w:pPr>
            <w:r>
              <w:rPr>
                <w:rFonts w:hint="eastAsia"/>
                <w:color w:val="auto"/>
              </w:rPr>
              <w:t>提供</w:t>
            </w:r>
            <w:r>
              <w:rPr>
                <w:color w:val="auto"/>
              </w:rPr>
              <w:t>配套安装支架</w:t>
            </w:r>
            <w:r>
              <w:rPr>
                <w:rFonts w:hint="eastAsia"/>
                <w:color w:val="auto"/>
                <w:lang w:eastAsia="zh-CN"/>
              </w:rPr>
              <w:t>。</w:t>
            </w:r>
          </w:p>
        </w:tc>
        <w:tc>
          <w:tcPr>
            <w:tcW w:w="796" w:type="dxa"/>
            <w:shd w:val="clear" w:color="000000" w:fill="FFFFFF"/>
            <w:noWrap/>
            <w:vAlign w:val="center"/>
          </w:tcPr>
          <w:p>
            <w:pPr>
              <w:adjustRightInd w:val="0"/>
              <w:snapToGrid w:val="0"/>
              <w:rPr>
                <w:color w:val="auto"/>
              </w:rPr>
            </w:pPr>
            <w:r>
              <w:rPr>
                <w:color w:val="auto"/>
              </w:rPr>
              <w:t>24</w:t>
            </w:r>
          </w:p>
        </w:tc>
        <w:tc>
          <w:tcPr>
            <w:tcW w:w="638" w:type="dxa"/>
            <w:shd w:val="clear" w:color="000000" w:fill="FFFFFF"/>
            <w:noWrap/>
            <w:vAlign w:val="center"/>
          </w:tcPr>
          <w:p>
            <w:pPr>
              <w:adjustRightInd w:val="0"/>
              <w:snapToGrid w:val="0"/>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62</w:t>
            </w:r>
          </w:p>
        </w:tc>
        <w:tc>
          <w:tcPr>
            <w:tcW w:w="983" w:type="dxa"/>
            <w:vMerge w:val="continue"/>
            <w:shd w:val="clear" w:color="auto" w:fill="auto"/>
            <w:noWrap w:val="0"/>
            <w:vAlign w:val="center"/>
          </w:tcPr>
          <w:p>
            <w:pPr>
              <w:adjustRightInd w:val="0"/>
              <w:snapToGrid w:val="0"/>
              <w:rPr>
                <w:color w:val="auto"/>
              </w:rPr>
            </w:pPr>
          </w:p>
        </w:tc>
        <w:tc>
          <w:tcPr>
            <w:tcW w:w="1134" w:type="dxa"/>
            <w:shd w:val="clear" w:color="000000" w:fill="FFFFFF"/>
            <w:noWrap w:val="0"/>
            <w:vAlign w:val="center"/>
          </w:tcPr>
          <w:p>
            <w:pPr>
              <w:adjustRightInd w:val="0"/>
              <w:snapToGrid w:val="0"/>
              <w:rPr>
                <w:color w:val="auto"/>
              </w:rPr>
            </w:pPr>
            <w:r>
              <w:rPr>
                <w:color w:val="auto"/>
              </w:rPr>
              <w:t>DANTE数字功率放大器</w:t>
            </w:r>
          </w:p>
        </w:tc>
        <w:tc>
          <w:tcPr>
            <w:tcW w:w="4740" w:type="dxa"/>
            <w:shd w:val="clear" w:color="000000" w:fill="FFFFFF"/>
            <w:noWrap w:val="0"/>
            <w:vAlign w:val="center"/>
          </w:tcPr>
          <w:p>
            <w:pPr>
              <w:adjustRightInd w:val="0"/>
              <w:snapToGrid w:val="0"/>
              <w:rPr>
                <w:rFonts w:hint="eastAsia" w:eastAsia="宋体"/>
                <w:color w:val="auto"/>
                <w:lang w:eastAsia="zh-CN"/>
              </w:rPr>
            </w:pPr>
            <w:r>
              <w:rPr>
                <w:rFonts w:hint="eastAsia"/>
                <w:color w:val="auto"/>
              </w:rPr>
              <w:t>≥</w:t>
            </w:r>
            <w:r>
              <w:rPr>
                <w:color w:val="auto"/>
              </w:rPr>
              <w:t>四通道功率放大器带DSP</w:t>
            </w:r>
            <w:r>
              <w:rPr>
                <w:rFonts w:hint="eastAsia"/>
                <w:color w:val="auto"/>
              </w:rPr>
              <w:t>；</w:t>
            </w:r>
            <w:r>
              <w:rPr>
                <w:color w:val="auto"/>
              </w:rPr>
              <w:t>可通过管理软件管理</w:t>
            </w:r>
            <w:r>
              <w:rPr>
                <w:rFonts w:hint="eastAsia"/>
                <w:color w:val="auto"/>
              </w:rPr>
              <w:t>；</w:t>
            </w:r>
            <w:r>
              <w:rPr>
                <w:color w:val="auto"/>
              </w:rPr>
              <w:t>内置Dante输入接口</w:t>
            </w:r>
            <w:r>
              <w:rPr>
                <w:rFonts w:hint="eastAsia"/>
                <w:color w:val="auto"/>
              </w:rPr>
              <w:t>；</w:t>
            </w:r>
            <w:r>
              <w:rPr>
                <w:color w:val="auto"/>
              </w:rPr>
              <w:t>内置音箱预设，每个通道输出1个SpeakOn连接器</w:t>
            </w:r>
            <w:r>
              <w:rPr>
                <w:rFonts w:hint="eastAsia"/>
                <w:color w:val="auto"/>
              </w:rPr>
              <w:t>；</w:t>
            </w:r>
            <w:r>
              <w:rPr>
                <w:color w:val="auto"/>
              </w:rPr>
              <w:t>功率：4X150W/2Ω，4X100W/4Ω，4X100W/8Ω，200W/4Ω桥接 ，150W/8Ω桥接</w:t>
            </w:r>
            <w:r>
              <w:rPr>
                <w:rFonts w:hint="eastAsia"/>
                <w:color w:val="auto"/>
              </w:rPr>
              <w:t>；</w:t>
            </w:r>
            <w:r>
              <w:rPr>
                <w:color w:val="auto"/>
              </w:rPr>
              <w:t>电源：1 PowerCon 32A /稳压SMPS，PFC 100 – 240VAC / 3000VA / 50 – 60Hz</w:t>
            </w:r>
            <w:r>
              <w:rPr>
                <w:rFonts w:hint="eastAsia"/>
                <w:color w:val="auto"/>
              </w:rPr>
              <w:t>；</w:t>
            </w:r>
            <w:r>
              <w:rPr>
                <w:color w:val="auto"/>
              </w:rPr>
              <w:t>输入灵敏度+ 11dBU / + 32dB增益</w:t>
            </w:r>
            <w:r>
              <w:rPr>
                <w:rFonts w:hint="eastAsia"/>
                <w:color w:val="auto"/>
              </w:rPr>
              <w:t>；</w:t>
            </w:r>
            <w:r>
              <w:rPr>
                <w:color w:val="auto"/>
              </w:rPr>
              <w:t>SNR信噪比（数字）&lt;-111dB（未加权）/-114dB（A加权）</w:t>
            </w:r>
            <w:r>
              <w:rPr>
                <w:rFonts w:hint="eastAsia"/>
                <w:color w:val="auto"/>
              </w:rPr>
              <w:t>；</w:t>
            </w:r>
            <w:r>
              <w:rPr>
                <w:color w:val="auto"/>
              </w:rPr>
              <w:t xml:space="preserve">频率响应：+/- </w:t>
            </w:r>
            <w:r>
              <w:rPr>
                <w:color w:val="auto"/>
              </w:rPr>
              <w:fldChar w:fldCharType="begin"/>
            </w:r>
            <w:r>
              <w:rPr>
                <w:color w:val="auto"/>
              </w:rPr>
              <w:instrText xml:space="preserve"> HYPERLINK "mailto:0.6dB@20Hz-20kHz" </w:instrText>
            </w:r>
            <w:r>
              <w:rPr>
                <w:color w:val="auto"/>
              </w:rPr>
              <w:fldChar w:fldCharType="separate"/>
            </w:r>
            <w:r>
              <w:rPr>
                <w:color w:val="auto"/>
              </w:rPr>
              <w:t>0.6dB@20Hz-20kHz</w:t>
            </w:r>
            <w:r>
              <w:rPr>
                <w:color w:val="auto"/>
              </w:rPr>
              <w:fldChar w:fldCharType="end"/>
            </w:r>
            <w:r>
              <w:rPr>
                <w:rFonts w:hint="eastAsia"/>
                <w:color w:val="auto"/>
              </w:rPr>
              <w:t>；</w:t>
            </w:r>
            <w:r>
              <w:rPr>
                <w:color w:val="auto"/>
              </w:rPr>
              <w:t>总谐波失真+噪声THD + N：&lt;0.1%@P/2</w:t>
            </w:r>
            <w:r>
              <w:rPr>
                <w:rFonts w:hint="eastAsia"/>
                <w:color w:val="auto"/>
              </w:rPr>
              <w:t>；</w:t>
            </w:r>
            <w:r>
              <w:rPr>
                <w:color w:val="auto"/>
              </w:rPr>
              <w:t>SMPTE：&lt;0.07%@P/2</w:t>
            </w:r>
            <w:r>
              <w:rPr>
                <w:rFonts w:hint="eastAsia"/>
                <w:color w:val="auto"/>
              </w:rPr>
              <w:t>；</w:t>
            </w:r>
            <w:r>
              <w:rPr>
                <w:color w:val="auto"/>
              </w:rPr>
              <w:t>阻尼系数：&gt; 500 @ 100Hz /8Ω</w:t>
            </w:r>
            <w:r>
              <w:rPr>
                <w:rFonts w:hint="eastAsia"/>
                <w:color w:val="auto"/>
                <w:lang w:eastAsia="zh-CN"/>
              </w:rPr>
              <w:t>。</w:t>
            </w:r>
          </w:p>
        </w:tc>
        <w:tc>
          <w:tcPr>
            <w:tcW w:w="796" w:type="dxa"/>
            <w:shd w:val="clear" w:color="000000" w:fill="FFFFFF"/>
            <w:noWrap/>
            <w:vAlign w:val="center"/>
          </w:tcPr>
          <w:p>
            <w:pPr>
              <w:adjustRightInd w:val="0"/>
              <w:snapToGrid w:val="0"/>
              <w:rPr>
                <w:color w:val="auto"/>
              </w:rPr>
            </w:pPr>
            <w:r>
              <w:rPr>
                <w:color w:val="auto"/>
              </w:rPr>
              <w:t>6</w:t>
            </w:r>
          </w:p>
        </w:tc>
        <w:tc>
          <w:tcPr>
            <w:tcW w:w="638" w:type="dxa"/>
            <w:shd w:val="clear" w:color="000000" w:fill="FFFFFF"/>
            <w:noWrap/>
            <w:vAlign w:val="center"/>
          </w:tcPr>
          <w:p>
            <w:pPr>
              <w:adjustRightInd w:val="0"/>
              <w:snapToGrid w:val="0"/>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6" w:hRule="atLeast"/>
        </w:trPr>
        <w:tc>
          <w:tcPr>
            <w:tcW w:w="718" w:type="dxa"/>
            <w:shd w:val="clear" w:color="000000" w:fill="FFFFFF"/>
            <w:noWrap/>
            <w:vAlign w:val="center"/>
          </w:tcPr>
          <w:p>
            <w:pPr>
              <w:adjustRightInd w:val="0"/>
              <w:snapToGrid w:val="0"/>
              <w:rPr>
                <w:color w:val="auto"/>
              </w:rPr>
            </w:pPr>
            <w:r>
              <w:rPr>
                <w:color w:val="auto"/>
              </w:rPr>
              <w:t>63</w:t>
            </w:r>
          </w:p>
        </w:tc>
        <w:tc>
          <w:tcPr>
            <w:tcW w:w="983" w:type="dxa"/>
            <w:vMerge w:val="continue"/>
            <w:shd w:val="clear" w:color="auto" w:fill="auto"/>
            <w:noWrap w:val="0"/>
            <w:vAlign w:val="center"/>
          </w:tcPr>
          <w:p>
            <w:pPr>
              <w:adjustRightInd w:val="0"/>
              <w:snapToGrid w:val="0"/>
              <w:rPr>
                <w:color w:val="auto"/>
              </w:rPr>
            </w:pPr>
          </w:p>
        </w:tc>
        <w:tc>
          <w:tcPr>
            <w:tcW w:w="1134" w:type="dxa"/>
            <w:shd w:val="clear" w:color="000000" w:fill="FFFFFF"/>
            <w:noWrap w:val="0"/>
            <w:vAlign w:val="center"/>
          </w:tcPr>
          <w:p>
            <w:pPr>
              <w:adjustRightInd w:val="0"/>
              <w:snapToGrid w:val="0"/>
              <w:rPr>
                <w:color w:val="auto"/>
              </w:rPr>
            </w:pPr>
            <w:r>
              <w:rPr>
                <w:color w:val="auto"/>
              </w:rPr>
              <w:t>DANTE数字音频处理器</w:t>
            </w:r>
          </w:p>
        </w:tc>
        <w:tc>
          <w:tcPr>
            <w:tcW w:w="4740" w:type="dxa"/>
            <w:shd w:val="clear" w:color="000000" w:fill="FFFFFF"/>
            <w:noWrap w:val="0"/>
            <w:vAlign w:val="center"/>
          </w:tcPr>
          <w:p>
            <w:pPr>
              <w:adjustRightInd w:val="0"/>
              <w:snapToGrid w:val="0"/>
              <w:rPr>
                <w:rFonts w:hint="eastAsia" w:eastAsia="宋体"/>
                <w:color w:val="auto"/>
                <w:lang w:eastAsia="zh-CN"/>
              </w:rPr>
            </w:pPr>
            <w:r>
              <w:rPr>
                <w:rFonts w:hint="eastAsia"/>
                <w:color w:val="auto"/>
              </w:rPr>
              <w:t>≥</w:t>
            </w:r>
            <w:r>
              <w:rPr>
                <w:color w:val="auto"/>
              </w:rPr>
              <w:t>8个AEC通道</w:t>
            </w:r>
            <w:r>
              <w:rPr>
                <w:rFonts w:hint="eastAsia"/>
                <w:color w:val="auto"/>
              </w:rPr>
              <w:t>；≥</w:t>
            </w:r>
            <w:r>
              <w:rPr>
                <w:color w:val="auto"/>
              </w:rPr>
              <w:t>64路Dante输入输出，主备接口</w:t>
            </w:r>
            <w:r>
              <w:rPr>
                <w:rFonts w:hint="eastAsia"/>
                <w:color w:val="auto"/>
              </w:rPr>
              <w:t>；≥</w:t>
            </w:r>
            <w:r>
              <w:rPr>
                <w:color w:val="auto"/>
              </w:rPr>
              <w:t>8个GPI接口</w:t>
            </w:r>
            <w:r>
              <w:rPr>
                <w:rFonts w:hint="eastAsia"/>
                <w:color w:val="auto"/>
              </w:rPr>
              <w:t>；≥</w:t>
            </w:r>
            <w:r>
              <w:rPr>
                <w:color w:val="auto"/>
              </w:rPr>
              <w:t>8个GPO接口</w:t>
            </w:r>
            <w:r>
              <w:rPr>
                <w:rFonts w:hint="eastAsia"/>
                <w:color w:val="auto"/>
              </w:rPr>
              <w:t>；</w:t>
            </w:r>
            <w:r>
              <w:rPr>
                <w:color w:val="auto"/>
              </w:rPr>
              <w:t>数字信号处理：信号发生器、延迟、输入和输出全参数均衡器滤波器、输入噪声门、电平、静音、相位、音量控制、输出压缩/限幅器、闪避(优先级与压制)、虚拟和物理的寻呼站管理、预设保存和恢复、预定设置触发等</w:t>
            </w:r>
            <w:r>
              <w:rPr>
                <w:rFonts w:hint="eastAsia"/>
                <w:color w:val="auto"/>
              </w:rPr>
              <w:t>；</w:t>
            </w:r>
            <w:r>
              <w:rPr>
                <w:color w:val="auto"/>
              </w:rPr>
              <w:t>可通过控制软件UCP远程控制系统，可与第三方设备如电脑、平板电脑、智能手机等兼容与TP-NET协议兼容，可与第三方控制系统集成</w:t>
            </w:r>
            <w:r>
              <w:rPr>
                <w:rFonts w:hint="eastAsia"/>
                <w:color w:val="auto"/>
                <w:lang w:eastAsia="zh-CN"/>
              </w:rPr>
              <w:t>。</w:t>
            </w:r>
          </w:p>
        </w:tc>
        <w:tc>
          <w:tcPr>
            <w:tcW w:w="796" w:type="dxa"/>
            <w:shd w:val="clear" w:color="000000" w:fill="FFFFFF"/>
            <w:noWrap/>
            <w:vAlign w:val="center"/>
          </w:tcPr>
          <w:p>
            <w:pPr>
              <w:adjustRightInd w:val="0"/>
              <w:snapToGrid w:val="0"/>
              <w:rPr>
                <w:color w:val="auto"/>
              </w:rPr>
            </w:pPr>
            <w:r>
              <w:rPr>
                <w:color w:val="auto"/>
              </w:rPr>
              <w:t>1</w:t>
            </w:r>
          </w:p>
        </w:tc>
        <w:tc>
          <w:tcPr>
            <w:tcW w:w="638" w:type="dxa"/>
            <w:shd w:val="clear" w:color="000000" w:fill="FFFFFF"/>
            <w:noWrap/>
            <w:vAlign w:val="center"/>
          </w:tcPr>
          <w:p>
            <w:pPr>
              <w:adjustRightInd w:val="0"/>
              <w:snapToGrid w:val="0"/>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64</w:t>
            </w:r>
          </w:p>
        </w:tc>
        <w:tc>
          <w:tcPr>
            <w:tcW w:w="983" w:type="dxa"/>
            <w:vMerge w:val="continue"/>
            <w:shd w:val="clear" w:color="auto" w:fill="auto"/>
            <w:noWrap w:val="0"/>
            <w:vAlign w:val="center"/>
          </w:tcPr>
          <w:p>
            <w:pPr>
              <w:adjustRightInd w:val="0"/>
              <w:snapToGrid w:val="0"/>
              <w:rPr>
                <w:color w:val="auto"/>
              </w:rPr>
            </w:pPr>
          </w:p>
        </w:tc>
        <w:tc>
          <w:tcPr>
            <w:tcW w:w="1134" w:type="dxa"/>
            <w:shd w:val="clear" w:color="000000" w:fill="FFFFFF"/>
            <w:noWrap w:val="0"/>
            <w:vAlign w:val="center"/>
          </w:tcPr>
          <w:p>
            <w:pPr>
              <w:adjustRightInd w:val="0"/>
              <w:snapToGrid w:val="0"/>
              <w:rPr>
                <w:color w:val="auto"/>
              </w:rPr>
            </w:pPr>
            <w:r>
              <w:rPr>
                <w:color w:val="auto"/>
              </w:rPr>
              <w:t>音频处理器通道扩展卡</w:t>
            </w:r>
          </w:p>
        </w:tc>
        <w:tc>
          <w:tcPr>
            <w:tcW w:w="4740" w:type="dxa"/>
            <w:shd w:val="clear" w:color="000000" w:fill="FFFFFF"/>
            <w:noWrap w:val="0"/>
            <w:vAlign w:val="center"/>
          </w:tcPr>
          <w:p>
            <w:pPr>
              <w:adjustRightInd w:val="0"/>
              <w:snapToGrid w:val="0"/>
              <w:rPr>
                <w:rFonts w:hint="eastAsia" w:eastAsia="宋体"/>
                <w:color w:val="auto"/>
                <w:lang w:eastAsia="zh-CN"/>
              </w:rPr>
            </w:pPr>
            <w:r>
              <w:rPr>
                <w:rFonts w:hint="eastAsia"/>
                <w:color w:val="auto"/>
              </w:rPr>
              <w:t>≥</w:t>
            </w:r>
            <w:r>
              <w:rPr>
                <w:color w:val="auto"/>
              </w:rPr>
              <w:t>4通道DANTE输入卡</w:t>
            </w:r>
            <w:r>
              <w:rPr>
                <w:rFonts w:hint="eastAsia"/>
                <w:color w:val="auto"/>
              </w:rPr>
              <w:t>；≥</w:t>
            </w:r>
            <w:r>
              <w:rPr>
                <w:color w:val="auto"/>
              </w:rPr>
              <w:t>4路带幻象电源的话筒/线路输入；扩展动态范围为115dB；额定输入电平：+4dBu，有20dB动态余量；最大输入电平：+23dBu</w:t>
            </w:r>
            <w:r>
              <w:rPr>
                <w:rFonts w:hint="eastAsia"/>
                <w:color w:val="auto"/>
                <w:lang w:eastAsia="zh-CN"/>
              </w:rPr>
              <w:t>。</w:t>
            </w:r>
          </w:p>
        </w:tc>
        <w:tc>
          <w:tcPr>
            <w:tcW w:w="796" w:type="dxa"/>
            <w:shd w:val="clear" w:color="000000" w:fill="FFFFFF"/>
            <w:noWrap/>
            <w:vAlign w:val="center"/>
          </w:tcPr>
          <w:p>
            <w:pPr>
              <w:adjustRightInd w:val="0"/>
              <w:snapToGrid w:val="0"/>
              <w:rPr>
                <w:color w:val="auto"/>
              </w:rPr>
            </w:pPr>
            <w:r>
              <w:rPr>
                <w:color w:val="auto"/>
              </w:rPr>
              <w:t>1</w:t>
            </w:r>
          </w:p>
        </w:tc>
        <w:tc>
          <w:tcPr>
            <w:tcW w:w="638" w:type="dxa"/>
            <w:shd w:val="clear" w:color="000000" w:fill="FFFFFF"/>
            <w:noWrap/>
            <w:vAlign w:val="center"/>
          </w:tcPr>
          <w:p>
            <w:pPr>
              <w:adjustRightInd w:val="0"/>
              <w:snapToGrid w:val="0"/>
              <w:rPr>
                <w:color w:val="auto"/>
              </w:rPr>
            </w:pPr>
            <w:r>
              <w:rPr>
                <w:color w:val="auto"/>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65</w:t>
            </w:r>
          </w:p>
        </w:tc>
        <w:tc>
          <w:tcPr>
            <w:tcW w:w="983" w:type="dxa"/>
            <w:vMerge w:val="continue"/>
            <w:shd w:val="clear" w:color="auto" w:fill="auto"/>
            <w:noWrap w:val="0"/>
            <w:vAlign w:val="center"/>
          </w:tcPr>
          <w:p>
            <w:pPr>
              <w:adjustRightInd w:val="0"/>
              <w:snapToGrid w:val="0"/>
              <w:rPr>
                <w:color w:val="auto"/>
              </w:rPr>
            </w:pPr>
          </w:p>
        </w:tc>
        <w:tc>
          <w:tcPr>
            <w:tcW w:w="1134" w:type="dxa"/>
            <w:shd w:val="clear" w:color="000000" w:fill="FFFFFF"/>
            <w:noWrap w:val="0"/>
            <w:vAlign w:val="center"/>
          </w:tcPr>
          <w:p>
            <w:pPr>
              <w:adjustRightInd w:val="0"/>
              <w:snapToGrid w:val="0"/>
              <w:rPr>
                <w:color w:val="auto"/>
              </w:rPr>
            </w:pPr>
            <w:r>
              <w:rPr>
                <w:color w:val="auto"/>
              </w:rPr>
              <w:t>DANTE数字调音台</w:t>
            </w:r>
          </w:p>
        </w:tc>
        <w:tc>
          <w:tcPr>
            <w:tcW w:w="4740" w:type="dxa"/>
            <w:shd w:val="clear" w:color="000000" w:fill="FFFFFF"/>
            <w:noWrap w:val="0"/>
            <w:vAlign w:val="center"/>
          </w:tcPr>
          <w:p>
            <w:pPr>
              <w:adjustRightInd w:val="0"/>
              <w:snapToGrid w:val="0"/>
              <w:rPr>
                <w:rFonts w:hint="eastAsia" w:eastAsia="宋体"/>
                <w:color w:val="auto"/>
                <w:lang w:eastAsia="zh-CN"/>
              </w:rPr>
            </w:pPr>
            <w:r>
              <w:rPr>
                <w:color w:val="auto"/>
              </w:rPr>
              <w:t>每页</w:t>
            </w:r>
            <w:r>
              <w:rPr>
                <w:rFonts w:hint="eastAsia"/>
                <w:color w:val="auto"/>
              </w:rPr>
              <w:t>≥</w:t>
            </w:r>
            <w:r>
              <w:rPr>
                <w:color w:val="auto"/>
              </w:rPr>
              <w:t>32+1个推子，</w:t>
            </w:r>
            <w:r>
              <w:rPr>
                <w:rFonts w:hint="eastAsia"/>
                <w:color w:val="auto"/>
              </w:rPr>
              <w:t>≥</w:t>
            </w:r>
            <w:r>
              <w:rPr>
                <w:color w:val="auto"/>
              </w:rPr>
              <w:t>6页</w:t>
            </w:r>
            <w:r>
              <w:rPr>
                <w:rFonts w:hint="eastAsia"/>
                <w:color w:val="auto"/>
              </w:rPr>
              <w:t>；≥</w:t>
            </w:r>
            <w:r>
              <w:rPr>
                <w:color w:val="auto"/>
              </w:rPr>
              <w:t>16个自定义按键</w:t>
            </w:r>
            <w:r>
              <w:rPr>
                <w:rFonts w:hint="eastAsia"/>
                <w:color w:val="auto"/>
              </w:rPr>
              <w:t>；≥</w:t>
            </w:r>
            <w:r>
              <w:rPr>
                <w:color w:val="auto"/>
              </w:rPr>
              <w:t>8个自定义旋钮</w:t>
            </w:r>
            <w:r>
              <w:rPr>
                <w:rFonts w:hint="eastAsia"/>
                <w:color w:val="auto"/>
              </w:rPr>
              <w:t>；≥</w:t>
            </w:r>
            <w:r>
              <w:rPr>
                <w:color w:val="auto"/>
              </w:rPr>
              <w:t>全处理输入通道48路</w:t>
            </w:r>
            <w:r>
              <w:rPr>
                <w:rFonts w:hint="eastAsia"/>
                <w:color w:val="auto"/>
              </w:rPr>
              <w:t>；≥</w:t>
            </w:r>
            <w:r>
              <w:rPr>
                <w:color w:val="auto"/>
              </w:rPr>
              <w:t>全处理输出通道32路</w:t>
            </w:r>
            <w:r>
              <w:rPr>
                <w:rFonts w:hint="eastAsia"/>
                <w:color w:val="auto"/>
              </w:rPr>
              <w:t>；≥</w:t>
            </w:r>
            <w:r>
              <w:rPr>
                <w:color w:val="auto"/>
              </w:rPr>
              <w:t>7</w:t>
            </w:r>
            <w:r>
              <w:rPr>
                <w:rFonts w:hint="eastAsia"/>
                <w:color w:val="auto"/>
              </w:rPr>
              <w:t>寸</w:t>
            </w:r>
            <w:r>
              <w:rPr>
                <w:color w:val="auto"/>
              </w:rPr>
              <w:t>触摸屏</w:t>
            </w:r>
            <w:r>
              <w:rPr>
                <w:rFonts w:hint="eastAsia"/>
                <w:color w:val="auto"/>
              </w:rPr>
              <w:t>；</w:t>
            </w:r>
            <w:r>
              <w:rPr>
                <w:color w:val="auto"/>
              </w:rPr>
              <w:t>支持64×64DANTE输入输出，主备接口</w:t>
            </w:r>
            <w:r>
              <w:rPr>
                <w:rFonts w:hint="eastAsia"/>
                <w:color w:val="auto"/>
                <w:lang w:eastAsia="zh-CN"/>
              </w:rPr>
              <w:t>。</w:t>
            </w:r>
          </w:p>
        </w:tc>
        <w:tc>
          <w:tcPr>
            <w:tcW w:w="796" w:type="dxa"/>
            <w:shd w:val="clear" w:color="000000" w:fill="FFFFFF"/>
            <w:noWrap/>
            <w:vAlign w:val="center"/>
          </w:tcPr>
          <w:p>
            <w:pPr>
              <w:adjustRightInd w:val="0"/>
              <w:snapToGrid w:val="0"/>
              <w:rPr>
                <w:color w:val="auto"/>
              </w:rPr>
            </w:pPr>
            <w:r>
              <w:rPr>
                <w:color w:val="auto"/>
              </w:rPr>
              <w:t>1</w:t>
            </w:r>
          </w:p>
        </w:tc>
        <w:tc>
          <w:tcPr>
            <w:tcW w:w="638" w:type="dxa"/>
            <w:shd w:val="clear" w:color="000000" w:fill="FFFFFF"/>
            <w:noWrap/>
            <w:vAlign w:val="center"/>
          </w:tcPr>
          <w:p>
            <w:pPr>
              <w:adjustRightInd w:val="0"/>
              <w:snapToGrid w:val="0"/>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66</w:t>
            </w:r>
          </w:p>
        </w:tc>
        <w:tc>
          <w:tcPr>
            <w:tcW w:w="983" w:type="dxa"/>
            <w:vMerge w:val="continue"/>
            <w:shd w:val="clear" w:color="auto" w:fill="auto"/>
            <w:noWrap w:val="0"/>
            <w:vAlign w:val="center"/>
          </w:tcPr>
          <w:p>
            <w:pPr>
              <w:adjustRightInd w:val="0"/>
              <w:snapToGrid w:val="0"/>
              <w:rPr>
                <w:color w:val="auto"/>
              </w:rPr>
            </w:pPr>
          </w:p>
        </w:tc>
        <w:tc>
          <w:tcPr>
            <w:tcW w:w="1134" w:type="dxa"/>
            <w:shd w:val="clear" w:color="000000" w:fill="FFFFFF"/>
            <w:noWrap w:val="0"/>
            <w:vAlign w:val="center"/>
          </w:tcPr>
          <w:p>
            <w:pPr>
              <w:adjustRightInd w:val="0"/>
              <w:snapToGrid w:val="0"/>
              <w:rPr>
                <w:color w:val="auto"/>
              </w:rPr>
            </w:pPr>
            <w:r>
              <w:rPr>
                <w:color w:val="auto"/>
              </w:rPr>
              <w:t>调音台网络接口卡</w:t>
            </w:r>
          </w:p>
        </w:tc>
        <w:tc>
          <w:tcPr>
            <w:tcW w:w="4740" w:type="dxa"/>
            <w:shd w:val="clear" w:color="000000" w:fill="FFFFFF"/>
            <w:noWrap w:val="0"/>
            <w:vAlign w:val="center"/>
          </w:tcPr>
          <w:p>
            <w:pPr>
              <w:adjustRightInd w:val="0"/>
              <w:snapToGrid w:val="0"/>
              <w:rPr>
                <w:rFonts w:hint="eastAsia" w:eastAsia="宋体"/>
                <w:color w:val="auto"/>
                <w:lang w:eastAsia="zh-CN"/>
              </w:rPr>
            </w:pPr>
            <w:r>
              <w:rPr>
                <w:color w:val="auto"/>
              </w:rPr>
              <w:t>64路双向音频传输，通过CAT5控制 ；可实现96K/48KHz切换</w:t>
            </w:r>
            <w:r>
              <w:rPr>
                <w:rFonts w:hint="eastAsia"/>
                <w:color w:val="auto"/>
              </w:rPr>
              <w:t>；</w:t>
            </w:r>
            <w:r>
              <w:rPr>
                <w:color w:val="auto"/>
              </w:rPr>
              <w:t>自动获取IP地址并自动识别；端口冗余网络选项；</w:t>
            </w:r>
            <w:r>
              <w:rPr>
                <w:rFonts w:hint="eastAsia"/>
                <w:color w:val="auto"/>
              </w:rPr>
              <w:t>具备</w:t>
            </w:r>
            <w:r>
              <w:rPr>
                <w:color w:val="auto"/>
              </w:rPr>
              <w:t>低延迟；</w:t>
            </w:r>
            <w:r>
              <w:rPr>
                <w:rFonts w:hint="eastAsia"/>
                <w:color w:val="auto"/>
              </w:rPr>
              <w:t>配置</w:t>
            </w:r>
            <w:r>
              <w:rPr>
                <w:color w:val="auto"/>
              </w:rPr>
              <w:t>千兆网口；直接连接到电脑进行多轨录音／回放；DANTE的虚拟声卡软件替代硬件；DANTE的控制器软件可用于设置网络</w:t>
            </w:r>
            <w:r>
              <w:rPr>
                <w:rFonts w:hint="eastAsia"/>
                <w:color w:val="auto"/>
                <w:lang w:eastAsia="zh-CN"/>
              </w:rPr>
              <w:t>。</w:t>
            </w:r>
          </w:p>
        </w:tc>
        <w:tc>
          <w:tcPr>
            <w:tcW w:w="796" w:type="dxa"/>
            <w:shd w:val="clear" w:color="000000" w:fill="FFFFFF"/>
            <w:noWrap/>
            <w:vAlign w:val="center"/>
          </w:tcPr>
          <w:p>
            <w:pPr>
              <w:adjustRightInd w:val="0"/>
              <w:snapToGrid w:val="0"/>
              <w:rPr>
                <w:color w:val="auto"/>
              </w:rPr>
            </w:pPr>
            <w:r>
              <w:rPr>
                <w:color w:val="auto"/>
              </w:rPr>
              <w:t>1</w:t>
            </w:r>
          </w:p>
        </w:tc>
        <w:tc>
          <w:tcPr>
            <w:tcW w:w="638" w:type="dxa"/>
            <w:shd w:val="clear" w:color="000000" w:fill="FFFFFF"/>
            <w:noWrap/>
            <w:vAlign w:val="center"/>
          </w:tcPr>
          <w:p>
            <w:pPr>
              <w:adjustRightInd w:val="0"/>
              <w:snapToGrid w:val="0"/>
              <w:rPr>
                <w:color w:val="auto"/>
              </w:rPr>
            </w:pPr>
            <w:r>
              <w:rPr>
                <w:color w:val="auto"/>
              </w:rPr>
              <w:t>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67</w:t>
            </w:r>
          </w:p>
        </w:tc>
        <w:tc>
          <w:tcPr>
            <w:tcW w:w="983" w:type="dxa"/>
            <w:vMerge w:val="continue"/>
            <w:shd w:val="clear" w:color="auto" w:fill="auto"/>
            <w:noWrap w:val="0"/>
            <w:vAlign w:val="center"/>
          </w:tcPr>
          <w:p>
            <w:pPr>
              <w:adjustRightInd w:val="0"/>
              <w:snapToGrid w:val="0"/>
              <w:rPr>
                <w:color w:val="auto"/>
              </w:rPr>
            </w:pPr>
          </w:p>
        </w:tc>
        <w:tc>
          <w:tcPr>
            <w:tcW w:w="1134" w:type="dxa"/>
            <w:shd w:val="clear" w:color="000000" w:fill="FFFFFF"/>
            <w:noWrap w:val="0"/>
            <w:vAlign w:val="center"/>
          </w:tcPr>
          <w:p>
            <w:pPr>
              <w:adjustRightInd w:val="0"/>
              <w:snapToGrid w:val="0"/>
              <w:rPr>
                <w:color w:val="auto"/>
              </w:rPr>
            </w:pPr>
            <w:r>
              <w:rPr>
                <w:color w:val="auto"/>
              </w:rPr>
              <w:t>网络交换机（音频）</w:t>
            </w:r>
          </w:p>
        </w:tc>
        <w:tc>
          <w:tcPr>
            <w:tcW w:w="4740" w:type="dxa"/>
            <w:shd w:val="clear" w:color="000000" w:fill="FFFFFF"/>
            <w:noWrap w:val="0"/>
            <w:vAlign w:val="center"/>
          </w:tcPr>
          <w:p>
            <w:pPr>
              <w:adjustRightInd w:val="0"/>
              <w:snapToGrid w:val="0"/>
              <w:rPr>
                <w:rFonts w:hint="eastAsia" w:eastAsia="宋体"/>
                <w:color w:val="auto"/>
                <w:lang w:eastAsia="zh-CN"/>
              </w:rPr>
            </w:pPr>
            <w:r>
              <w:rPr>
                <w:rFonts w:hint="eastAsia"/>
                <w:color w:val="auto"/>
              </w:rPr>
              <w:t>≥</w:t>
            </w:r>
            <w:r>
              <w:rPr>
                <w:color w:val="auto"/>
              </w:rPr>
              <w:t>12个10/100/1000Base-T以太网端口；</w:t>
            </w:r>
            <w:r>
              <w:rPr>
                <w:rFonts w:hint="eastAsia"/>
                <w:color w:val="auto"/>
              </w:rPr>
              <w:t>≥</w:t>
            </w:r>
            <w:r>
              <w:rPr>
                <w:color w:val="auto"/>
              </w:rPr>
              <w:t>2个1000Base-X以太网端口；交换容量：</w:t>
            </w:r>
            <w:r>
              <w:rPr>
                <w:rFonts w:hint="eastAsia"/>
                <w:color w:val="auto"/>
              </w:rPr>
              <w:t>≥</w:t>
            </w:r>
            <w:r>
              <w:rPr>
                <w:color w:val="auto"/>
              </w:rPr>
              <w:t>336Gbps；</w:t>
            </w:r>
            <w:r>
              <w:rPr>
                <w:rFonts w:hint="eastAsia"/>
                <w:color w:val="auto"/>
              </w:rPr>
              <w:t>支持</w:t>
            </w:r>
            <w:r>
              <w:rPr>
                <w:color w:val="auto"/>
              </w:rPr>
              <w:t>POE供电</w:t>
            </w:r>
            <w:r>
              <w:rPr>
                <w:rFonts w:hint="eastAsia"/>
                <w:color w:val="auto"/>
                <w:lang w:eastAsia="zh-CN"/>
              </w:rPr>
              <w:t>。</w:t>
            </w:r>
          </w:p>
        </w:tc>
        <w:tc>
          <w:tcPr>
            <w:tcW w:w="796" w:type="dxa"/>
            <w:shd w:val="clear" w:color="000000" w:fill="FFFFFF"/>
            <w:noWrap/>
            <w:vAlign w:val="center"/>
          </w:tcPr>
          <w:p>
            <w:pPr>
              <w:adjustRightInd w:val="0"/>
              <w:snapToGrid w:val="0"/>
              <w:rPr>
                <w:color w:val="auto"/>
              </w:rPr>
            </w:pPr>
            <w:r>
              <w:rPr>
                <w:color w:val="auto"/>
              </w:rPr>
              <w:t>1</w:t>
            </w:r>
          </w:p>
        </w:tc>
        <w:tc>
          <w:tcPr>
            <w:tcW w:w="638" w:type="dxa"/>
            <w:shd w:val="clear" w:color="000000" w:fill="FFFFFF"/>
            <w:noWrap/>
            <w:vAlign w:val="center"/>
          </w:tcPr>
          <w:p>
            <w:pPr>
              <w:adjustRightInd w:val="0"/>
              <w:snapToGrid w:val="0"/>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68</w:t>
            </w:r>
          </w:p>
        </w:tc>
        <w:tc>
          <w:tcPr>
            <w:tcW w:w="983" w:type="dxa"/>
            <w:vMerge w:val="continue"/>
            <w:shd w:val="clear" w:color="auto" w:fill="auto"/>
            <w:noWrap w:val="0"/>
            <w:vAlign w:val="center"/>
          </w:tcPr>
          <w:p>
            <w:pPr>
              <w:adjustRightInd w:val="0"/>
              <w:snapToGrid w:val="0"/>
              <w:rPr>
                <w:color w:val="auto"/>
              </w:rPr>
            </w:pPr>
          </w:p>
        </w:tc>
        <w:tc>
          <w:tcPr>
            <w:tcW w:w="1134" w:type="dxa"/>
            <w:shd w:val="clear" w:color="000000" w:fill="FFFFFF"/>
            <w:noWrap w:val="0"/>
            <w:vAlign w:val="center"/>
          </w:tcPr>
          <w:p>
            <w:pPr>
              <w:adjustRightInd w:val="0"/>
              <w:snapToGrid w:val="0"/>
              <w:rPr>
                <w:color w:val="auto"/>
              </w:rPr>
            </w:pPr>
            <w:r>
              <w:rPr>
                <w:color w:val="auto"/>
              </w:rPr>
              <w:t>交换机光模块（音频）</w:t>
            </w:r>
          </w:p>
        </w:tc>
        <w:tc>
          <w:tcPr>
            <w:tcW w:w="4740" w:type="dxa"/>
            <w:shd w:val="clear" w:color="000000" w:fill="FFFFFF"/>
            <w:noWrap w:val="0"/>
            <w:vAlign w:val="center"/>
          </w:tcPr>
          <w:p>
            <w:pPr>
              <w:adjustRightInd w:val="0"/>
              <w:snapToGrid w:val="0"/>
              <w:rPr>
                <w:rFonts w:hint="eastAsia" w:eastAsia="宋体"/>
                <w:color w:val="auto"/>
                <w:lang w:eastAsia="zh-CN"/>
              </w:rPr>
            </w:pPr>
            <w:r>
              <w:rPr>
                <w:color w:val="auto"/>
              </w:rPr>
              <w:t>千兆单模光纤模块，</w:t>
            </w:r>
            <w:r>
              <w:rPr>
                <w:rFonts w:hint="eastAsia"/>
                <w:color w:val="auto"/>
              </w:rPr>
              <w:t>与</w:t>
            </w:r>
            <w:r>
              <w:rPr>
                <w:color w:val="auto"/>
              </w:rPr>
              <w:t>交换机配套使用</w:t>
            </w:r>
            <w:r>
              <w:rPr>
                <w:rFonts w:hint="eastAsia"/>
                <w:color w:val="auto"/>
                <w:lang w:eastAsia="zh-CN"/>
              </w:rPr>
              <w:t>。</w:t>
            </w:r>
          </w:p>
        </w:tc>
        <w:tc>
          <w:tcPr>
            <w:tcW w:w="796" w:type="dxa"/>
            <w:shd w:val="clear" w:color="000000" w:fill="FFFFFF"/>
            <w:noWrap/>
            <w:vAlign w:val="center"/>
          </w:tcPr>
          <w:p>
            <w:pPr>
              <w:adjustRightInd w:val="0"/>
              <w:snapToGrid w:val="0"/>
              <w:rPr>
                <w:color w:val="auto"/>
              </w:rPr>
            </w:pPr>
            <w:r>
              <w:rPr>
                <w:color w:val="auto"/>
              </w:rPr>
              <w:t>2</w:t>
            </w:r>
          </w:p>
        </w:tc>
        <w:tc>
          <w:tcPr>
            <w:tcW w:w="638" w:type="dxa"/>
            <w:shd w:val="clear" w:color="000000" w:fill="FFFFFF"/>
            <w:noWrap/>
            <w:vAlign w:val="center"/>
          </w:tcPr>
          <w:p>
            <w:pPr>
              <w:adjustRightInd w:val="0"/>
              <w:snapToGrid w:val="0"/>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718" w:type="dxa"/>
            <w:shd w:val="clear" w:color="000000" w:fill="FFFFFF"/>
            <w:noWrap/>
            <w:vAlign w:val="center"/>
          </w:tcPr>
          <w:p>
            <w:pPr>
              <w:adjustRightInd w:val="0"/>
              <w:snapToGrid w:val="0"/>
              <w:rPr>
                <w:color w:val="auto"/>
              </w:rPr>
            </w:pPr>
            <w:r>
              <w:rPr>
                <w:color w:val="auto"/>
              </w:rPr>
              <w:t>69</w:t>
            </w:r>
          </w:p>
        </w:tc>
        <w:tc>
          <w:tcPr>
            <w:tcW w:w="983" w:type="dxa"/>
            <w:vMerge w:val="continue"/>
            <w:shd w:val="clear" w:color="auto" w:fill="auto"/>
            <w:noWrap w:val="0"/>
            <w:vAlign w:val="center"/>
          </w:tcPr>
          <w:p>
            <w:pPr>
              <w:adjustRightInd w:val="0"/>
              <w:snapToGrid w:val="0"/>
              <w:rPr>
                <w:color w:val="auto"/>
              </w:rPr>
            </w:pPr>
          </w:p>
        </w:tc>
        <w:tc>
          <w:tcPr>
            <w:tcW w:w="1134" w:type="dxa"/>
            <w:shd w:val="clear" w:color="000000" w:fill="FFFFFF"/>
            <w:noWrap w:val="0"/>
            <w:vAlign w:val="center"/>
          </w:tcPr>
          <w:p>
            <w:pPr>
              <w:adjustRightInd w:val="0"/>
              <w:snapToGrid w:val="0"/>
              <w:rPr>
                <w:color w:val="auto"/>
              </w:rPr>
            </w:pPr>
            <w:r>
              <w:rPr>
                <w:color w:val="auto"/>
              </w:rPr>
              <w:t>数字SD卡录音机</w:t>
            </w:r>
          </w:p>
        </w:tc>
        <w:tc>
          <w:tcPr>
            <w:tcW w:w="4740" w:type="dxa"/>
            <w:shd w:val="clear" w:color="000000" w:fill="FFFFFF"/>
            <w:noWrap w:val="0"/>
            <w:vAlign w:val="center"/>
          </w:tcPr>
          <w:p>
            <w:pPr>
              <w:adjustRightInd w:val="0"/>
              <w:snapToGrid w:val="0"/>
              <w:rPr>
                <w:rFonts w:hint="eastAsia" w:eastAsia="宋体"/>
                <w:color w:val="auto"/>
                <w:lang w:eastAsia="zh-CN"/>
              </w:rPr>
            </w:pPr>
            <w:r>
              <w:rPr>
                <w:color w:val="auto"/>
              </w:rPr>
              <w:t>支持最大PCM 192kHz，DSD 5.6MHz的高采样率立体声录音</w:t>
            </w:r>
            <w:r>
              <w:rPr>
                <w:rFonts w:hint="eastAsia"/>
                <w:color w:val="auto"/>
              </w:rPr>
              <w:t>；</w:t>
            </w:r>
            <w:r>
              <w:rPr>
                <w:color w:val="auto"/>
              </w:rPr>
              <w:t>可以进行SDHC卡/CF卡立体声录音</w:t>
            </w:r>
            <w:r>
              <w:rPr>
                <w:rFonts w:hint="eastAsia"/>
                <w:color w:val="auto"/>
                <w:lang w:eastAsia="zh-CN"/>
              </w:rPr>
              <w:t>。</w:t>
            </w:r>
          </w:p>
        </w:tc>
        <w:tc>
          <w:tcPr>
            <w:tcW w:w="796" w:type="dxa"/>
            <w:shd w:val="clear" w:color="000000" w:fill="FFFFFF"/>
            <w:noWrap/>
            <w:vAlign w:val="center"/>
          </w:tcPr>
          <w:p>
            <w:pPr>
              <w:adjustRightInd w:val="0"/>
              <w:snapToGrid w:val="0"/>
              <w:rPr>
                <w:color w:val="auto"/>
              </w:rPr>
            </w:pPr>
            <w:r>
              <w:rPr>
                <w:color w:val="auto"/>
              </w:rPr>
              <w:t>1</w:t>
            </w:r>
          </w:p>
        </w:tc>
        <w:tc>
          <w:tcPr>
            <w:tcW w:w="638" w:type="dxa"/>
            <w:shd w:val="clear" w:color="000000" w:fill="FFFFFF"/>
            <w:noWrap/>
            <w:vAlign w:val="center"/>
          </w:tcPr>
          <w:p>
            <w:pPr>
              <w:adjustRightInd w:val="0"/>
              <w:snapToGrid w:val="0"/>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70</w:t>
            </w:r>
          </w:p>
        </w:tc>
        <w:tc>
          <w:tcPr>
            <w:tcW w:w="983" w:type="dxa"/>
            <w:vMerge w:val="continue"/>
            <w:shd w:val="clear" w:color="auto" w:fill="auto"/>
            <w:noWrap w:val="0"/>
            <w:vAlign w:val="center"/>
          </w:tcPr>
          <w:p>
            <w:pPr>
              <w:adjustRightInd w:val="0"/>
              <w:snapToGrid w:val="0"/>
              <w:rPr>
                <w:color w:val="auto"/>
              </w:rPr>
            </w:pPr>
          </w:p>
        </w:tc>
        <w:tc>
          <w:tcPr>
            <w:tcW w:w="1134" w:type="dxa"/>
            <w:shd w:val="clear" w:color="000000" w:fill="FFFFFF"/>
            <w:noWrap w:val="0"/>
            <w:vAlign w:val="center"/>
          </w:tcPr>
          <w:p>
            <w:pPr>
              <w:adjustRightInd w:val="0"/>
              <w:snapToGrid w:val="0"/>
              <w:rPr>
                <w:color w:val="auto"/>
              </w:rPr>
            </w:pPr>
            <w:r>
              <w:rPr>
                <w:color w:val="auto"/>
              </w:rPr>
              <w:t>DANTE传输可分区接收无线话筒接收机</w:t>
            </w:r>
          </w:p>
        </w:tc>
        <w:tc>
          <w:tcPr>
            <w:tcW w:w="4740" w:type="dxa"/>
            <w:shd w:val="clear" w:color="000000" w:fill="FFFFFF"/>
            <w:noWrap w:val="0"/>
            <w:vAlign w:val="center"/>
          </w:tcPr>
          <w:p>
            <w:pPr>
              <w:adjustRightInd w:val="0"/>
              <w:snapToGrid w:val="0"/>
              <w:rPr>
                <w:rFonts w:hint="eastAsia" w:eastAsia="宋体"/>
                <w:color w:val="auto"/>
                <w:lang w:eastAsia="zh-CN"/>
              </w:rPr>
            </w:pPr>
            <w:r>
              <w:rPr>
                <w:color w:val="auto"/>
              </w:rPr>
              <w:t>数字无线接收机，分区接收式自动选择</w:t>
            </w:r>
            <w:r>
              <w:rPr>
                <w:rFonts w:hint="eastAsia"/>
                <w:color w:val="auto"/>
              </w:rPr>
              <w:t>；</w:t>
            </w:r>
            <w:r>
              <w:rPr>
                <w:color w:val="auto"/>
              </w:rPr>
              <w:t>可设置备用频点，跟随发射器一起切换</w:t>
            </w:r>
            <w:r>
              <w:rPr>
                <w:rFonts w:hint="eastAsia"/>
                <w:color w:val="auto"/>
              </w:rPr>
              <w:t>；</w:t>
            </w:r>
            <w:r>
              <w:rPr>
                <w:color w:val="auto"/>
              </w:rPr>
              <w:t>最少频率间隔：125 kHz</w:t>
            </w:r>
            <w:r>
              <w:rPr>
                <w:rFonts w:hint="eastAsia"/>
                <w:color w:val="auto"/>
              </w:rPr>
              <w:t>；</w:t>
            </w:r>
            <w:r>
              <w:rPr>
                <w:color w:val="auto"/>
              </w:rPr>
              <w:t>总谐波失真：&lt; 1.0% (±17.5 kHz 频偏于 1 kHz)</w:t>
            </w:r>
            <w:r>
              <w:rPr>
                <w:rFonts w:hint="eastAsia"/>
                <w:color w:val="auto"/>
              </w:rPr>
              <w:t>；</w:t>
            </w:r>
            <w:r>
              <w:rPr>
                <w:color w:val="auto"/>
              </w:rPr>
              <w:t>工作距离：100米（在没有干扰情况下）</w:t>
            </w:r>
            <w:r>
              <w:rPr>
                <w:rFonts w:hint="eastAsia"/>
                <w:color w:val="auto"/>
              </w:rPr>
              <w:t>；</w:t>
            </w:r>
            <w:r>
              <w:rPr>
                <w:color w:val="auto"/>
              </w:rPr>
              <w:t>延迟时间 小于2.5ms（XLR输出期间）</w:t>
            </w:r>
            <w:r>
              <w:rPr>
                <w:rFonts w:hint="eastAsia"/>
                <w:color w:val="auto"/>
              </w:rPr>
              <w:t>；</w:t>
            </w:r>
            <w:r>
              <w:rPr>
                <w:color w:val="auto"/>
              </w:rPr>
              <w:t>支持DANTE数字音频传输网络功能</w:t>
            </w:r>
            <w:r>
              <w:rPr>
                <w:rFonts w:hint="eastAsia"/>
                <w:color w:val="auto"/>
              </w:rPr>
              <w:t>；</w:t>
            </w:r>
            <w:r>
              <w:rPr>
                <w:color w:val="auto"/>
              </w:rPr>
              <w:t>可分15个区单独接收话筒信号</w:t>
            </w:r>
            <w:r>
              <w:rPr>
                <w:rFonts w:hint="eastAsia"/>
                <w:color w:val="auto"/>
                <w:lang w:eastAsia="zh-CN"/>
              </w:rPr>
              <w:t>。</w:t>
            </w:r>
          </w:p>
        </w:tc>
        <w:tc>
          <w:tcPr>
            <w:tcW w:w="796" w:type="dxa"/>
            <w:shd w:val="clear" w:color="000000" w:fill="FFFFFF"/>
            <w:noWrap/>
            <w:vAlign w:val="center"/>
          </w:tcPr>
          <w:p>
            <w:pPr>
              <w:adjustRightInd w:val="0"/>
              <w:snapToGrid w:val="0"/>
              <w:rPr>
                <w:color w:val="auto"/>
              </w:rPr>
            </w:pPr>
            <w:r>
              <w:rPr>
                <w:color w:val="auto"/>
              </w:rPr>
              <w:t>2</w:t>
            </w:r>
          </w:p>
        </w:tc>
        <w:tc>
          <w:tcPr>
            <w:tcW w:w="638" w:type="dxa"/>
            <w:shd w:val="clear" w:color="000000" w:fill="FFFFFF"/>
            <w:noWrap/>
            <w:vAlign w:val="center"/>
          </w:tcPr>
          <w:p>
            <w:pPr>
              <w:adjustRightInd w:val="0"/>
              <w:snapToGrid w:val="0"/>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6" w:hRule="atLeast"/>
        </w:trPr>
        <w:tc>
          <w:tcPr>
            <w:tcW w:w="718" w:type="dxa"/>
            <w:shd w:val="clear" w:color="000000" w:fill="FFFFFF"/>
            <w:noWrap/>
            <w:vAlign w:val="center"/>
          </w:tcPr>
          <w:p>
            <w:pPr>
              <w:adjustRightInd w:val="0"/>
              <w:snapToGrid w:val="0"/>
              <w:rPr>
                <w:color w:val="auto"/>
              </w:rPr>
            </w:pPr>
            <w:r>
              <w:rPr>
                <w:color w:val="auto"/>
              </w:rPr>
              <w:t>71</w:t>
            </w:r>
          </w:p>
        </w:tc>
        <w:tc>
          <w:tcPr>
            <w:tcW w:w="983" w:type="dxa"/>
            <w:vMerge w:val="continue"/>
            <w:shd w:val="clear" w:color="auto" w:fill="auto"/>
            <w:noWrap w:val="0"/>
            <w:vAlign w:val="center"/>
          </w:tcPr>
          <w:p>
            <w:pPr>
              <w:adjustRightInd w:val="0"/>
              <w:snapToGrid w:val="0"/>
              <w:rPr>
                <w:color w:val="auto"/>
              </w:rPr>
            </w:pPr>
          </w:p>
        </w:tc>
        <w:tc>
          <w:tcPr>
            <w:tcW w:w="1134" w:type="dxa"/>
            <w:shd w:val="clear" w:color="000000" w:fill="FFFFFF"/>
            <w:noWrap w:val="0"/>
            <w:vAlign w:val="center"/>
          </w:tcPr>
          <w:p>
            <w:pPr>
              <w:adjustRightInd w:val="0"/>
              <w:snapToGrid w:val="0"/>
              <w:rPr>
                <w:color w:val="auto"/>
              </w:rPr>
            </w:pPr>
            <w:r>
              <w:rPr>
                <w:color w:val="auto"/>
              </w:rPr>
              <w:t>DANTE话筒分区接收控制软件</w:t>
            </w:r>
          </w:p>
        </w:tc>
        <w:tc>
          <w:tcPr>
            <w:tcW w:w="4740" w:type="dxa"/>
            <w:shd w:val="clear" w:color="000000" w:fill="FFFFFF"/>
            <w:noWrap w:val="0"/>
            <w:vAlign w:val="center"/>
          </w:tcPr>
          <w:p>
            <w:pPr>
              <w:adjustRightInd w:val="0"/>
              <w:snapToGrid w:val="0"/>
              <w:rPr>
                <w:rFonts w:hint="eastAsia" w:eastAsia="宋体"/>
                <w:color w:val="auto"/>
                <w:lang w:eastAsia="zh-CN"/>
              </w:rPr>
            </w:pPr>
            <w:r>
              <w:rPr>
                <w:color w:val="auto"/>
              </w:rPr>
              <w:t>支持</w:t>
            </w:r>
            <w:r>
              <w:rPr>
                <w:rFonts w:hint="eastAsia"/>
                <w:color w:val="auto"/>
              </w:rPr>
              <w:t>≥</w:t>
            </w:r>
            <w:r>
              <w:rPr>
                <w:color w:val="auto"/>
              </w:rPr>
              <w:t>15路分区接</w:t>
            </w:r>
            <w:r>
              <w:rPr>
                <w:rFonts w:hint="eastAsia"/>
                <w:color w:val="auto"/>
              </w:rPr>
              <w:t>收；</w:t>
            </w:r>
            <w:r>
              <w:rPr>
                <w:color w:val="auto"/>
              </w:rPr>
              <w:t>内置软件，切换无延时</w:t>
            </w:r>
            <w:r>
              <w:rPr>
                <w:rFonts w:hint="eastAsia"/>
                <w:color w:val="auto"/>
              </w:rPr>
              <w:t>；</w:t>
            </w:r>
            <w:r>
              <w:rPr>
                <w:color w:val="auto"/>
              </w:rPr>
              <w:t>可放置</w:t>
            </w:r>
            <w:r>
              <w:rPr>
                <w:rFonts w:hint="eastAsia"/>
                <w:color w:val="auto"/>
              </w:rPr>
              <w:t>≥</w:t>
            </w:r>
            <w:r>
              <w:rPr>
                <w:color w:val="auto"/>
              </w:rPr>
              <w:t>15路分区接收器，每个区域单独接收；单独扩声。话筒信号发射到分区接收器，经过处理后发送到接收主机，通过路由使得该区域扬声器扩声，其他分区不扩声，从而做到分区单独扩声功能</w:t>
            </w:r>
            <w:r>
              <w:rPr>
                <w:rFonts w:hint="eastAsia"/>
                <w:color w:val="auto"/>
                <w:lang w:eastAsia="zh-CN"/>
              </w:rPr>
              <w:t>。</w:t>
            </w:r>
          </w:p>
        </w:tc>
        <w:tc>
          <w:tcPr>
            <w:tcW w:w="796" w:type="dxa"/>
            <w:shd w:val="clear" w:color="000000" w:fill="FFFFFF"/>
            <w:noWrap/>
            <w:vAlign w:val="center"/>
          </w:tcPr>
          <w:p>
            <w:pPr>
              <w:adjustRightInd w:val="0"/>
              <w:snapToGrid w:val="0"/>
              <w:rPr>
                <w:color w:val="auto"/>
              </w:rPr>
            </w:pPr>
            <w:r>
              <w:rPr>
                <w:color w:val="auto"/>
              </w:rPr>
              <w:t>2</w:t>
            </w:r>
          </w:p>
        </w:tc>
        <w:tc>
          <w:tcPr>
            <w:tcW w:w="638" w:type="dxa"/>
            <w:shd w:val="clear" w:color="000000" w:fill="FFFFFF"/>
            <w:noWrap/>
            <w:vAlign w:val="center"/>
          </w:tcPr>
          <w:p>
            <w:pPr>
              <w:adjustRightInd w:val="0"/>
              <w:snapToGrid w:val="0"/>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72</w:t>
            </w:r>
          </w:p>
        </w:tc>
        <w:tc>
          <w:tcPr>
            <w:tcW w:w="983" w:type="dxa"/>
            <w:vMerge w:val="continue"/>
            <w:shd w:val="clear" w:color="auto" w:fill="auto"/>
            <w:noWrap w:val="0"/>
            <w:vAlign w:val="center"/>
          </w:tcPr>
          <w:p>
            <w:pPr>
              <w:adjustRightInd w:val="0"/>
              <w:snapToGrid w:val="0"/>
              <w:rPr>
                <w:color w:val="auto"/>
              </w:rPr>
            </w:pPr>
          </w:p>
        </w:tc>
        <w:tc>
          <w:tcPr>
            <w:tcW w:w="1134" w:type="dxa"/>
            <w:shd w:val="clear" w:color="000000" w:fill="FFFFFF"/>
            <w:noWrap w:val="0"/>
            <w:vAlign w:val="center"/>
          </w:tcPr>
          <w:p>
            <w:pPr>
              <w:adjustRightInd w:val="0"/>
              <w:snapToGrid w:val="0"/>
              <w:rPr>
                <w:color w:val="auto"/>
              </w:rPr>
            </w:pPr>
            <w:r>
              <w:rPr>
                <w:color w:val="auto"/>
              </w:rPr>
              <w:t>手持动圈话筒</w:t>
            </w:r>
          </w:p>
        </w:tc>
        <w:tc>
          <w:tcPr>
            <w:tcW w:w="4740" w:type="dxa"/>
            <w:shd w:val="clear" w:color="000000" w:fill="FFFFFF"/>
            <w:noWrap w:val="0"/>
            <w:vAlign w:val="center"/>
          </w:tcPr>
          <w:p>
            <w:pPr>
              <w:adjustRightInd w:val="0"/>
              <w:snapToGrid w:val="0"/>
              <w:rPr>
                <w:rFonts w:hint="eastAsia" w:eastAsia="宋体"/>
                <w:color w:val="auto"/>
                <w:lang w:eastAsia="zh-CN"/>
              </w:rPr>
            </w:pPr>
            <w:r>
              <w:rPr>
                <w:color w:val="auto"/>
              </w:rPr>
              <w:t>无线手持话筒</w:t>
            </w:r>
            <w:r>
              <w:rPr>
                <w:rFonts w:hint="eastAsia"/>
                <w:color w:val="auto"/>
              </w:rPr>
              <w:t>；</w:t>
            </w:r>
            <w:r>
              <w:rPr>
                <w:color w:val="auto"/>
              </w:rPr>
              <w:t>心形指向性动圈收音头</w:t>
            </w:r>
            <w:r>
              <w:rPr>
                <w:rFonts w:hint="eastAsia"/>
                <w:color w:val="auto"/>
              </w:rPr>
              <w:t>；</w:t>
            </w:r>
            <w:r>
              <w:rPr>
                <w:color w:val="auto"/>
              </w:rPr>
              <w:t>可设置备用频点，通过功能键和接收机一起切换</w:t>
            </w:r>
            <w:r>
              <w:rPr>
                <w:rFonts w:hint="eastAsia"/>
                <w:color w:val="auto"/>
              </w:rPr>
              <w:t>；</w:t>
            </w:r>
            <w:r>
              <w:rPr>
                <w:color w:val="auto"/>
              </w:rPr>
              <w:t>发射机功率可调，发射机灵敏度三档可调</w:t>
            </w:r>
            <w:r>
              <w:rPr>
                <w:rFonts w:hint="eastAsia"/>
                <w:color w:val="auto"/>
              </w:rPr>
              <w:t>；</w:t>
            </w:r>
            <w:r>
              <w:rPr>
                <w:color w:val="auto"/>
              </w:rPr>
              <w:t>低截80 Hz, 120 Hz, 160 Hz, 12dB/倍频程</w:t>
            </w:r>
            <w:r>
              <w:rPr>
                <w:rFonts w:hint="eastAsia"/>
                <w:color w:val="auto"/>
                <w:lang w:eastAsia="zh-CN"/>
              </w:rPr>
              <w:t>。</w:t>
            </w:r>
          </w:p>
        </w:tc>
        <w:tc>
          <w:tcPr>
            <w:tcW w:w="796" w:type="dxa"/>
            <w:shd w:val="clear" w:color="000000" w:fill="FFFFFF"/>
            <w:noWrap/>
            <w:vAlign w:val="center"/>
          </w:tcPr>
          <w:p>
            <w:pPr>
              <w:adjustRightInd w:val="0"/>
              <w:snapToGrid w:val="0"/>
              <w:rPr>
                <w:color w:val="auto"/>
              </w:rPr>
            </w:pPr>
            <w:r>
              <w:rPr>
                <w:color w:val="auto"/>
              </w:rPr>
              <w:t>4</w:t>
            </w:r>
          </w:p>
        </w:tc>
        <w:tc>
          <w:tcPr>
            <w:tcW w:w="638" w:type="dxa"/>
            <w:shd w:val="clear" w:color="000000" w:fill="FFFFFF"/>
            <w:noWrap/>
            <w:vAlign w:val="center"/>
          </w:tcPr>
          <w:p>
            <w:pPr>
              <w:adjustRightInd w:val="0"/>
              <w:snapToGrid w:val="0"/>
              <w:rPr>
                <w:color w:val="auto"/>
              </w:rPr>
            </w:pPr>
            <w:r>
              <w:rPr>
                <w:color w:val="auto"/>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73</w:t>
            </w:r>
          </w:p>
        </w:tc>
        <w:tc>
          <w:tcPr>
            <w:tcW w:w="983" w:type="dxa"/>
            <w:vMerge w:val="continue"/>
            <w:shd w:val="clear" w:color="auto" w:fill="auto"/>
            <w:noWrap w:val="0"/>
            <w:vAlign w:val="center"/>
          </w:tcPr>
          <w:p>
            <w:pPr>
              <w:adjustRightInd w:val="0"/>
              <w:snapToGrid w:val="0"/>
              <w:rPr>
                <w:color w:val="auto"/>
              </w:rPr>
            </w:pPr>
          </w:p>
        </w:tc>
        <w:tc>
          <w:tcPr>
            <w:tcW w:w="1134" w:type="dxa"/>
            <w:shd w:val="clear" w:color="000000" w:fill="FFFFFF"/>
            <w:noWrap w:val="0"/>
            <w:vAlign w:val="center"/>
          </w:tcPr>
          <w:p>
            <w:pPr>
              <w:adjustRightInd w:val="0"/>
              <w:snapToGrid w:val="0"/>
              <w:rPr>
                <w:color w:val="auto"/>
              </w:rPr>
            </w:pPr>
            <w:r>
              <w:rPr>
                <w:color w:val="auto"/>
              </w:rPr>
              <w:t>天线分配放大器</w:t>
            </w:r>
          </w:p>
        </w:tc>
        <w:tc>
          <w:tcPr>
            <w:tcW w:w="4740" w:type="dxa"/>
            <w:shd w:val="clear" w:color="000000" w:fill="FFFFFF"/>
            <w:noWrap w:val="0"/>
            <w:vAlign w:val="center"/>
          </w:tcPr>
          <w:p>
            <w:pPr>
              <w:adjustRightInd w:val="0"/>
              <w:snapToGrid w:val="0"/>
              <w:rPr>
                <w:color w:val="auto"/>
              </w:rPr>
            </w:pPr>
            <w:r>
              <w:rPr>
                <w:color w:val="auto"/>
              </w:rPr>
              <w:t>输入/输出:</w:t>
            </w:r>
            <w:r>
              <w:rPr>
                <w:rFonts w:hint="eastAsia"/>
                <w:color w:val="auto"/>
              </w:rPr>
              <w:t xml:space="preserve"> ≥</w:t>
            </w:r>
            <w:r>
              <w:rPr>
                <w:color w:val="auto"/>
              </w:rPr>
              <w:t xml:space="preserve"> 2x2个汇合输入</w:t>
            </w:r>
            <w:r>
              <w:rPr>
                <w:rFonts w:hint="eastAsia"/>
                <w:color w:val="auto"/>
              </w:rPr>
              <w:t>；≥</w:t>
            </w:r>
            <w:r>
              <w:rPr>
                <w:color w:val="auto"/>
              </w:rPr>
              <w:t>2x4 个分配输出</w:t>
            </w:r>
            <w:r>
              <w:rPr>
                <w:rFonts w:hint="eastAsia"/>
                <w:color w:val="auto"/>
              </w:rPr>
              <w:t>；≥</w:t>
            </w:r>
            <w:r>
              <w:rPr>
                <w:color w:val="auto"/>
              </w:rPr>
              <w:t>2x1个串联输出; 射频输出增益：+1.0 dB ± 2.0 dB</w:t>
            </w:r>
            <w:r>
              <w:rPr>
                <w:rFonts w:hint="eastAsia"/>
                <w:color w:val="auto"/>
              </w:rPr>
              <w:t>；</w:t>
            </w:r>
            <w:r>
              <w:rPr>
                <w:color w:val="auto"/>
              </w:rPr>
              <w:t>输入/输出增益: +1.0 dB ± 2.0 dB</w:t>
            </w:r>
            <w:r>
              <w:rPr>
                <w:rFonts w:hint="eastAsia"/>
                <w:color w:val="auto"/>
              </w:rPr>
              <w:t>。</w:t>
            </w:r>
          </w:p>
        </w:tc>
        <w:tc>
          <w:tcPr>
            <w:tcW w:w="796" w:type="dxa"/>
            <w:shd w:val="clear" w:color="000000" w:fill="FFFFFF"/>
            <w:noWrap/>
            <w:vAlign w:val="center"/>
          </w:tcPr>
          <w:p>
            <w:pPr>
              <w:adjustRightInd w:val="0"/>
              <w:snapToGrid w:val="0"/>
              <w:rPr>
                <w:color w:val="auto"/>
              </w:rPr>
            </w:pPr>
            <w:r>
              <w:rPr>
                <w:color w:val="auto"/>
              </w:rPr>
              <w:t>1</w:t>
            </w:r>
          </w:p>
        </w:tc>
        <w:tc>
          <w:tcPr>
            <w:tcW w:w="638" w:type="dxa"/>
            <w:shd w:val="clear" w:color="000000" w:fill="FFFFFF"/>
            <w:noWrap/>
            <w:vAlign w:val="center"/>
          </w:tcPr>
          <w:p>
            <w:pPr>
              <w:adjustRightInd w:val="0"/>
              <w:snapToGrid w:val="0"/>
              <w:rPr>
                <w:color w:val="auto"/>
              </w:rPr>
            </w:pPr>
            <w:r>
              <w:rPr>
                <w:color w:val="auto"/>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shd w:val="clear" w:color="000000" w:fill="FFFFFF"/>
            <w:noWrap/>
            <w:vAlign w:val="center"/>
          </w:tcPr>
          <w:p>
            <w:pPr>
              <w:adjustRightInd w:val="0"/>
              <w:snapToGrid w:val="0"/>
              <w:rPr>
                <w:color w:val="auto"/>
              </w:rPr>
            </w:pPr>
            <w:r>
              <w:rPr>
                <w:color w:val="auto"/>
              </w:rPr>
              <w:t>74</w:t>
            </w:r>
          </w:p>
        </w:tc>
        <w:tc>
          <w:tcPr>
            <w:tcW w:w="983" w:type="dxa"/>
            <w:vMerge w:val="continue"/>
            <w:shd w:val="clear" w:color="auto" w:fill="auto"/>
            <w:noWrap w:val="0"/>
            <w:vAlign w:val="center"/>
          </w:tcPr>
          <w:p>
            <w:pPr>
              <w:adjustRightInd w:val="0"/>
              <w:snapToGrid w:val="0"/>
              <w:rPr>
                <w:color w:val="auto"/>
              </w:rPr>
            </w:pPr>
          </w:p>
        </w:tc>
        <w:tc>
          <w:tcPr>
            <w:tcW w:w="1134" w:type="dxa"/>
            <w:shd w:val="clear" w:color="000000" w:fill="FFFFFF"/>
            <w:noWrap w:val="0"/>
            <w:vAlign w:val="center"/>
          </w:tcPr>
          <w:p>
            <w:pPr>
              <w:adjustRightInd w:val="0"/>
              <w:snapToGrid w:val="0"/>
              <w:rPr>
                <w:color w:val="auto"/>
              </w:rPr>
            </w:pPr>
            <w:r>
              <w:rPr>
                <w:color w:val="auto"/>
              </w:rPr>
              <w:t>有源指向性天线</w:t>
            </w:r>
          </w:p>
        </w:tc>
        <w:tc>
          <w:tcPr>
            <w:tcW w:w="4740" w:type="dxa"/>
            <w:shd w:val="clear" w:color="000000" w:fill="FFFFFF"/>
            <w:noWrap w:val="0"/>
            <w:vAlign w:val="center"/>
          </w:tcPr>
          <w:p>
            <w:pPr>
              <w:adjustRightInd w:val="0"/>
              <w:snapToGrid w:val="0"/>
              <w:rPr>
                <w:color w:val="auto"/>
              </w:rPr>
            </w:pPr>
            <w:r>
              <w:rPr>
                <w:color w:val="auto"/>
              </w:rPr>
              <w:t>UHF无线系统增强信号拾取</w:t>
            </w:r>
            <w:r>
              <w:rPr>
                <w:rFonts w:hint="eastAsia"/>
                <w:color w:val="auto"/>
              </w:rPr>
              <w:t>；支持≥</w:t>
            </w:r>
            <w:r>
              <w:rPr>
                <w:color w:val="auto"/>
              </w:rPr>
              <w:t>4个增益级别设置</w:t>
            </w:r>
            <w:r>
              <w:rPr>
                <w:rFonts w:hint="eastAsia"/>
                <w:color w:val="auto"/>
              </w:rPr>
              <w:t>；具备</w:t>
            </w:r>
            <w:r>
              <w:rPr>
                <w:color w:val="auto"/>
              </w:rPr>
              <w:t>增益设置的LED指示灯</w:t>
            </w:r>
            <w:r>
              <w:rPr>
                <w:rFonts w:hint="eastAsia"/>
                <w:color w:val="auto"/>
              </w:rPr>
              <w:t>；支持</w:t>
            </w:r>
            <w:r>
              <w:rPr>
                <w:color w:val="auto"/>
              </w:rPr>
              <w:t>墙壁和天花板安装</w:t>
            </w:r>
            <w:r>
              <w:rPr>
                <w:rFonts w:hint="eastAsia"/>
                <w:color w:val="auto"/>
              </w:rPr>
              <w:t>。</w:t>
            </w:r>
          </w:p>
        </w:tc>
        <w:tc>
          <w:tcPr>
            <w:tcW w:w="796" w:type="dxa"/>
            <w:shd w:val="clear" w:color="000000" w:fill="FFFFFF"/>
            <w:noWrap/>
            <w:vAlign w:val="center"/>
          </w:tcPr>
          <w:p>
            <w:pPr>
              <w:adjustRightInd w:val="0"/>
              <w:snapToGrid w:val="0"/>
              <w:rPr>
                <w:color w:val="auto"/>
              </w:rPr>
            </w:pPr>
            <w:r>
              <w:rPr>
                <w:color w:val="auto"/>
              </w:rPr>
              <w:t>2</w:t>
            </w:r>
          </w:p>
        </w:tc>
        <w:tc>
          <w:tcPr>
            <w:tcW w:w="638" w:type="dxa"/>
            <w:shd w:val="clear" w:color="000000" w:fill="FFFFFF"/>
            <w:noWrap/>
            <w:vAlign w:val="center"/>
          </w:tcPr>
          <w:p>
            <w:pPr>
              <w:adjustRightInd w:val="0"/>
              <w:snapToGrid w:val="0"/>
              <w:rPr>
                <w:color w:val="auto"/>
              </w:rPr>
            </w:pPr>
            <w:r>
              <w:rPr>
                <w:color w:val="auto"/>
              </w:rPr>
              <w:t>个</w:t>
            </w:r>
          </w:p>
        </w:tc>
      </w:tr>
    </w:tbl>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rPr>
        <w:t>3.1.11 电子政务外网租赁</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rPr>
        <w:t>★1.电子政务外网1G链路租赁(三年)。</w:t>
      </w:r>
    </w:p>
    <w:p>
      <w:pPr>
        <w:pStyle w:val="5"/>
        <w:spacing w:line="400" w:lineRule="exact"/>
        <w:ind w:firstLine="420" w:firstLineChars="175"/>
        <w:rPr>
          <w:rFonts w:hint="eastAsia" w:ascii="宋体" w:hAnsi="Times New Roman" w:eastAsia="宋体" w:cs="Times New Roman"/>
          <w:b/>
          <w:bCs w:val="0"/>
          <w:color w:val="auto"/>
          <w:sz w:val="24"/>
        </w:rPr>
      </w:pPr>
      <w:r>
        <w:rPr>
          <w:rFonts w:hint="eastAsia" w:ascii="宋体" w:hAnsi="Times New Roman" w:eastAsia="宋体" w:cs="Times New Roman"/>
          <w:bCs/>
          <w:color w:val="auto"/>
          <w:sz w:val="24"/>
        </w:rPr>
        <w:t>★</w:t>
      </w:r>
      <w:r>
        <w:rPr>
          <w:rFonts w:hint="eastAsia" w:ascii="宋体" w:hAnsi="Times New Roman" w:eastAsia="宋体" w:cs="Times New Roman"/>
          <w:b/>
          <w:bCs w:val="0"/>
          <w:color w:val="auto"/>
          <w:sz w:val="24"/>
        </w:rPr>
        <w:t>3.2服务要求</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rPr>
        <w:t>3.2.1质保期：终验验收合格之日起2年，质保期内具体要求如下：</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rPr>
        <w:t>3.2.2提供7×24电话支持服务，协助采购人解决服务使用过程中遇到的技术问题。</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rPr>
        <w:t>3.2.3提供现场技术支持服务，一般问题的到场时间不应超过48小时，紧急故障到场时间小于24小时。</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rPr>
        <w:t>3.2.4供应商的技术服务包括但不限于：技术咨询、故障处理、技术资料、升级服务、优化服务等。</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rPr>
        <w:t>6.2.5备件支持：当系统出现故障后，如确定为硬件问题，需在48小时内提供同型号或同规格的备件进行现场替换。</w:t>
      </w:r>
    </w:p>
    <w:p>
      <w:pPr>
        <w:pStyle w:val="5"/>
        <w:spacing w:line="360" w:lineRule="auto"/>
        <w:ind w:firstLine="480"/>
        <w:rPr>
          <w:rFonts w:hint="eastAsia" w:ascii="宋体"/>
          <w:color w:val="auto"/>
          <w:sz w:val="24"/>
        </w:rPr>
      </w:pPr>
      <w:r>
        <w:rPr>
          <w:rFonts w:hint="eastAsia" w:ascii="宋体"/>
          <w:color w:val="auto"/>
          <w:sz w:val="24"/>
        </w:rPr>
        <w:t>3.3政府采购合同内容条款要求：</w:t>
      </w:r>
    </w:p>
    <w:p>
      <w:pPr>
        <w:pStyle w:val="5"/>
        <w:numPr>
          <w:ilvl w:val="0"/>
          <w:numId w:val="0"/>
        </w:numPr>
        <w:spacing w:line="400" w:lineRule="exact"/>
        <w:ind w:firstLine="480" w:firstLineChars="200"/>
        <w:jc w:val="left"/>
        <w:rPr>
          <w:rFonts w:hint="eastAsia" w:ascii="宋体" w:hAnsi="Times New Roman" w:eastAsia="宋体" w:cs="Times New Roman"/>
          <w:bCs/>
          <w:color w:val="auto"/>
          <w:sz w:val="24"/>
        </w:rPr>
      </w:pPr>
      <w:r>
        <w:rPr>
          <w:rFonts w:hint="eastAsia" w:ascii="宋体" w:hAnsi="Times New Roman" w:eastAsia="宋体" w:cs="Times New Roman"/>
          <w:bCs/>
          <w:color w:val="auto"/>
          <w:sz w:val="24"/>
        </w:rPr>
        <w:t>详见招标文件第八章政府采购合同草案。</w:t>
      </w:r>
    </w:p>
    <w:p>
      <w:pPr>
        <w:pStyle w:val="5"/>
        <w:spacing w:line="360" w:lineRule="auto"/>
        <w:ind w:firstLine="480"/>
        <w:rPr>
          <w:rFonts w:hint="eastAsia" w:ascii="宋体"/>
          <w:color w:val="auto"/>
          <w:sz w:val="24"/>
        </w:rPr>
      </w:pPr>
      <w:r>
        <w:rPr>
          <w:rFonts w:hint="eastAsia" w:ascii="宋体"/>
          <w:color w:val="auto"/>
          <w:sz w:val="24"/>
        </w:rPr>
        <w:t>3.4 履约能力要求：</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rPr>
        <w:t>3.4.1 投标人相关认证要求：具备质量管理体系认证证书、环境管理体系认证证书、职业健康安全管理体系认证、信息安全管理体系认证、信息技术服务管理体系认证；</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rPr>
        <w:t>3.4.</w:t>
      </w:r>
      <w:r>
        <w:rPr>
          <w:rFonts w:hint="eastAsia" w:ascii="宋体" w:hAnsi="Times New Roman" w:eastAsia="宋体" w:cs="Times New Roman"/>
          <w:bCs/>
          <w:color w:val="auto"/>
          <w:sz w:val="24"/>
          <w:lang w:val="en-US" w:eastAsia="zh-CN"/>
        </w:rPr>
        <w:t>2</w:t>
      </w:r>
      <w:r>
        <w:rPr>
          <w:rFonts w:hint="eastAsia" w:ascii="宋体" w:hAnsi="Times New Roman" w:eastAsia="宋体" w:cs="Times New Roman"/>
          <w:bCs/>
          <w:color w:val="auto"/>
          <w:sz w:val="24"/>
        </w:rPr>
        <w:t>服务能力要求：</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lang w:val="en-US" w:eastAsia="zh-CN"/>
        </w:rPr>
        <w:t>3.4.2.1</w:t>
      </w:r>
      <w:r>
        <w:rPr>
          <w:rFonts w:hint="eastAsia" w:ascii="宋体" w:hAnsi="Times New Roman" w:eastAsia="宋体" w:cs="Times New Roman"/>
          <w:bCs/>
          <w:color w:val="auto"/>
          <w:sz w:val="24"/>
        </w:rPr>
        <w:t>控制台产品生产厂商具有第三方认证机构出具的售后服务完善程度认证证书（证书的覆盖范围应包括：控制台的安装、调试及维护）。</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lang w:val="en-US" w:eastAsia="zh-CN"/>
        </w:rPr>
        <w:t>3.4.2.2</w:t>
      </w:r>
      <w:r>
        <w:rPr>
          <w:rFonts w:hint="eastAsia" w:ascii="宋体" w:hAnsi="Times New Roman" w:eastAsia="宋体" w:cs="Times New Roman"/>
          <w:bCs/>
          <w:color w:val="auto"/>
          <w:sz w:val="24"/>
        </w:rPr>
        <w:t>主机制造厂商具有 IECQ-QC08000（有害物质过程管理体系证书），自有检测中心获得 CNAS实验室认可证书。</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lang w:val="en-US" w:eastAsia="zh-CN"/>
        </w:rPr>
        <w:t>3.4.2.3</w:t>
      </w:r>
      <w:r>
        <w:rPr>
          <w:rFonts w:hint="eastAsia" w:ascii="宋体" w:hAnsi="Times New Roman" w:eastAsia="宋体" w:cs="Times New Roman"/>
          <w:bCs/>
          <w:color w:val="auto"/>
          <w:sz w:val="24"/>
        </w:rPr>
        <w:t>漏洞扫描产品生产厂商在2021年CNVD（国家信息安全漏洞共享平台）成员单位漏洞工作贡献排名中，漏洞提交数证明材料；</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宋体" w:eastAsia="宋体" w:cs="Times New Roman"/>
          <w:color w:val="auto"/>
          <w:sz w:val="24"/>
          <w:lang w:val="en-US" w:eastAsia="zh-CN"/>
        </w:rPr>
        <w:t>3.4.2.4供应商提供</w:t>
      </w:r>
      <w:r>
        <w:rPr>
          <w:rFonts w:hint="eastAsia" w:ascii="宋体" w:hAnsi="宋体" w:eastAsia="宋体" w:cs="Times New Roman"/>
          <w:color w:val="auto"/>
          <w:sz w:val="24"/>
        </w:rPr>
        <w:t>运维平台产品生产厂商从2016年</w:t>
      </w:r>
      <w:r>
        <w:rPr>
          <w:rFonts w:hint="eastAsia" w:ascii="宋体" w:hAnsi="宋体" w:eastAsia="宋体" w:cs="Times New Roman"/>
          <w:color w:val="auto"/>
          <w:sz w:val="24"/>
          <w:lang w:val="en-US" w:eastAsia="zh-CN"/>
        </w:rPr>
        <w:t>1月1日（含）</w:t>
      </w:r>
      <w:r>
        <w:rPr>
          <w:rFonts w:hint="eastAsia" w:ascii="宋体" w:hAnsi="宋体" w:eastAsia="宋体" w:cs="Times New Roman"/>
          <w:color w:val="auto"/>
          <w:sz w:val="24"/>
        </w:rPr>
        <w:t>至今在CNNVD（国家信息安全漏洞库）</w:t>
      </w:r>
      <w:r>
        <w:rPr>
          <w:rFonts w:hint="eastAsia" w:ascii="宋体" w:hAnsi="宋体" w:eastAsia="宋体" w:cs="Times New Roman"/>
          <w:color w:val="auto"/>
          <w:sz w:val="24"/>
          <w:lang w:val="en-US" w:eastAsia="zh-CN"/>
        </w:rPr>
        <w:t xml:space="preserve"> </w:t>
      </w:r>
      <w:r>
        <w:rPr>
          <w:rFonts w:hint="eastAsia" w:ascii="宋体" w:hAnsi="宋体" w:eastAsia="宋体" w:cs="Times New Roman"/>
          <w:color w:val="auto"/>
          <w:sz w:val="24"/>
        </w:rPr>
        <w:t>获得年度最佳支撑单位情况</w:t>
      </w:r>
      <w:r>
        <w:rPr>
          <w:rFonts w:hint="eastAsia" w:ascii="宋体" w:hAnsi="宋体" w:eastAsia="宋体" w:cs="Times New Roman"/>
          <w:color w:val="auto"/>
          <w:sz w:val="24"/>
          <w:lang w:val="en-US" w:eastAsia="zh-CN"/>
        </w:rPr>
        <w:t>或</w:t>
      </w:r>
      <w:r>
        <w:rPr>
          <w:rFonts w:hint="eastAsia" w:ascii="宋体" w:hAnsi="宋体" w:eastAsia="宋体" w:cs="Times New Roman"/>
          <w:color w:val="auto"/>
          <w:sz w:val="24"/>
        </w:rPr>
        <w:t>年度</w:t>
      </w:r>
      <w:r>
        <w:rPr>
          <w:rFonts w:hint="eastAsia" w:ascii="宋体" w:hAnsi="宋体" w:eastAsia="宋体" w:cs="Times New Roman"/>
          <w:color w:val="auto"/>
          <w:sz w:val="24"/>
          <w:lang w:val="en-US" w:eastAsia="zh-CN"/>
        </w:rPr>
        <w:t>优秀</w:t>
      </w:r>
      <w:r>
        <w:rPr>
          <w:rFonts w:hint="eastAsia" w:ascii="宋体" w:hAnsi="宋体" w:eastAsia="宋体" w:cs="Times New Roman"/>
          <w:color w:val="auto"/>
          <w:sz w:val="24"/>
        </w:rPr>
        <w:t>支撑单位情况</w:t>
      </w:r>
      <w:r>
        <w:rPr>
          <w:rFonts w:hint="eastAsia" w:ascii="宋体" w:hAnsi="宋体" w:eastAsia="宋体" w:cs="Times New Roman"/>
          <w:color w:val="auto"/>
          <w:sz w:val="24"/>
          <w:lang w:eastAsia="zh-CN"/>
        </w:rPr>
        <w:t>”</w:t>
      </w:r>
      <w:r>
        <w:rPr>
          <w:rFonts w:hint="eastAsia" w:ascii="宋体" w:hAnsi="Times New Roman" w:eastAsia="宋体" w:cs="Times New Roman"/>
          <w:bCs/>
          <w:color w:val="auto"/>
          <w:sz w:val="24"/>
        </w:rPr>
        <w:t>；</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lang w:val="en-US" w:eastAsia="zh-CN"/>
        </w:rPr>
        <w:t>3.4.2.5</w:t>
      </w:r>
      <w:r>
        <w:rPr>
          <w:rFonts w:hint="eastAsia" w:ascii="宋体" w:hAnsi="Times New Roman" w:eastAsia="宋体" w:cs="Times New Roman"/>
          <w:bCs/>
          <w:color w:val="auto"/>
          <w:sz w:val="24"/>
        </w:rPr>
        <w:t>漏洞扫描产品生产厂商具备漏洞响应平台，漏洞平台入驻企业用户数证明材料；</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lang w:val="en-US" w:eastAsia="zh-CN"/>
        </w:rPr>
        <w:t>3.4.2.6</w:t>
      </w:r>
      <w:r>
        <w:rPr>
          <w:rFonts w:hint="eastAsia" w:ascii="宋体" w:hAnsi="Times New Roman" w:eastAsia="宋体" w:cs="Times New Roman"/>
          <w:bCs/>
          <w:color w:val="auto"/>
          <w:sz w:val="24"/>
        </w:rPr>
        <w:t>防火墙（互联网）产品生产厂商具备国家计算机网络应急技术处理协调中心颁发的网络安全应急服务支撑单位证书（反网络诈骗领域）。</w:t>
      </w:r>
    </w:p>
    <w:p>
      <w:pPr>
        <w:pStyle w:val="5"/>
        <w:spacing w:line="400" w:lineRule="exact"/>
        <w:rPr>
          <w:rFonts w:hint="eastAsia" w:ascii="宋体" w:hAnsi="Times New Roman" w:eastAsia="宋体" w:cs="Times New Roman"/>
          <w:bCs/>
          <w:color w:val="auto"/>
          <w:sz w:val="24"/>
        </w:rPr>
      </w:pPr>
      <w:r>
        <w:rPr>
          <w:rFonts w:hint="eastAsia" w:ascii="宋体" w:hAnsi="Times New Roman" w:eastAsia="宋体" w:cs="Times New Roman"/>
          <w:bCs/>
          <w:color w:val="auto"/>
          <w:sz w:val="24"/>
        </w:rPr>
        <w:t>★3.5 其他商务要求</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rPr>
        <w:t>3.5.1交货要求</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rPr>
        <w:t xml:space="preserve">3.5.1.1交货地点：泸州市范围内。               </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rPr>
        <w:t>3.5.1.2 交货时间：合同签订之日起9个月内完成设备到货、安装、调试、初验及上线试运行；试运行合格后1月内完成项目整体验收。</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rPr>
        <w:t>3.5.1.3运输及包装方式的要求：确保交货时所有设备外包装无损坏并处于未拆封状态。</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rPr>
        <w:t>3.5.1.4货物抵达目的地后的检验要求：提供的产品为原装正品（含零部件、配件等），表面无划伤、无碰撞痕迹，且权属清楚，不得侵害他人的知识产权。各项指标符合检测标准和出厂标准，各项技术参数符合招标文件要求和投标文件承诺。</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rPr>
        <w:t>3.5.1.5随货物必须配备的技术文件清单：应将所提供货物的装箱清单、配件、随机工具、用户使用手册、原厂保修卡等资料交付给采购人。</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rPr>
        <w:t>3.5.1.6 供应商须在和采购人签订合同之前，向采购人提供产品生产厂商针对本项目的原厂授权书原件。</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rPr>
        <w:t>3.5.1.7 供应商须在和采购人签订合同之前，向采购人提供本项目所投产品检测报告原件、证明材料原件查验，并进行功能演示，如果采购人发现功能虚假应答，不满足采购文件、响应文件和合同要求，采购人有权拒绝验收及支付货款，并向同级财政部门投诉。</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rPr>
        <w:t>3.5.2.验收要求</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rPr>
        <w:t>3.5.2.1验收总则：验收严格按照《财政部关于进一步加强政府采购需求和履约验收管理的指导意见》（财库〔2016〕205号）的要求组织验收，以招标文件技术参数及要求及投标文件技术响应为准。如出现未在招标文件中明确规定的，以行业相关标准为准。如采购双方如对质量要求和技术指标的约定标准有相互抵触或异议的事项，由采购人在采购与投标文件中按质量要求和技术指标、行业标准比较优胜的原则确定该项的约定标准进行验收。</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rPr>
        <w:t>3.5.2.2验收主体：采购人，中标人,第三方机构（如涉及）；</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rPr>
        <w:t>3.5.2.3验收时间：以采购人书面通知为准（或以中标人发出验收申请10日内组织）。本项目不分阶段验收。</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rPr>
        <w:t>3.5.2.4验收标准：商务条款和技术条款均逐条验收；如出现未在采购文件中明确规定的，以行业相关标准为准。如采购双方如对质量要求和技术指标的约定标准有相互抵触或异议的事项，由采购人在采购文件与响应文件中按质量要求和技术指标、行业标准比较优胜的原则确定该项的约定标准进行验收。如出现争议，在场验收人员无法确定的，委托第三方质检机构进行检测，检测费用由中标人垫付，最终验收标准以检测结果为准，如检测合格由采购人承担检测费用，如检测不合格由中标人承担。</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rPr>
        <w:t>3.5.2.5风险处置措施和替代方案：</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rPr>
        <w:t>风险处置措施：除不可抗力或者合同履行将损害国家利益和社会公共利益导致合同无法履行或者履行没有意义外，中标人不得放弃中标，供应商无故放弃中标，采购人将上报同级财政部门，并依法追究供应商的相关法律责任。</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rPr>
        <w:t>3.5.2.6替代方案：本项目无替代方案。</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rPr>
        <w:t>3.5.2.7验收时须提供的产品资料：</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rPr>
        <w:t>3.5.2.7.1试运行验收：无</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rPr>
        <w:t>3.5.2.7.2最终验收：产品技术说明书，用户使用指导手册。</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rPr>
        <w:t>3.5.3 报价要求：项目购买的产品均为“交钥匙”工程（即总价包干），包含了：市场调研，货物购买成本，二次开发，安装调试、人工费，差旅费，驻场办公费用，培训、税费、质保期（运维期）内软件升级等所有费用。采购人不再额外增加任何费用。</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rPr>
        <w:t>3.5.4培训要求：系统正式上线，中标人将负责组织不少于2次培训会，确保使用人能熟悉使用相关系统。</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rPr>
        <w:t>3.5.5采购人有权在验收前聘请第三方质检机构针对技术参数中的技术条款（尤其是标注了相关符号的参数）进行检测，如发现投标人有虚假应标行为，将上报同级财政部门，相关法律风险及赔偿责任由供应商自行承担。【投标人在投标时须提供承诺函】</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rPr>
        <w:t>3.5.6采购人有权在签署合同前查验招标过程中要求供应商提供的各种证照和检测报告原件，如出现虚假应标，上报同级财政部门，追究其相关法律及赔偿责任。【投标人在投标时须提供承诺函】</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rPr>
        <w:t>3.5.7在安装调试过程中，所有的安全生产责任和法律风险均由中标人承担，采购人有权动用未支付的货款进行先行垫付，中标人不得有异议。【投标人在投标时须提供承诺函】</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rPr>
        <w:t>3.5.8在项目实施期间，中标人提供不少于5人的实施团队。【投标人在投标时须提供承诺函】</w:t>
      </w:r>
    </w:p>
    <w:p>
      <w:pPr>
        <w:pStyle w:val="5"/>
        <w:spacing w:line="400" w:lineRule="exact"/>
        <w:ind w:firstLine="420" w:firstLineChars="175"/>
        <w:rPr>
          <w:rFonts w:hint="eastAsia" w:ascii="宋体" w:hAnsi="Times New Roman" w:eastAsia="宋体" w:cs="Times New Roman"/>
          <w:bCs/>
          <w:color w:val="auto"/>
          <w:sz w:val="24"/>
        </w:rPr>
      </w:pPr>
      <w:r>
        <w:rPr>
          <w:rFonts w:hint="eastAsia" w:ascii="宋体" w:hAnsi="Times New Roman" w:eastAsia="宋体" w:cs="Times New Roman"/>
          <w:bCs/>
          <w:color w:val="auto"/>
          <w:sz w:val="24"/>
        </w:rPr>
        <w:t>3.5.9中标人应履行保密职责，并满足采购人的保密要求，项目相关信息不得提供给第三方，对服务期间知悉的信息保密。【投标人在投标时须提供承诺函】</w:t>
      </w:r>
    </w:p>
    <w:p>
      <w:pPr>
        <w:pStyle w:val="5"/>
        <w:spacing w:line="400" w:lineRule="exact"/>
        <w:ind w:firstLine="420" w:firstLineChars="175"/>
        <w:rPr>
          <w:rFonts w:hint="eastAsia" w:ascii="宋体" w:hAnsi="Times New Roman" w:eastAsia="宋体" w:cs="Times New Roman"/>
          <w:bCs/>
          <w:color w:val="auto"/>
          <w:sz w:val="24"/>
        </w:rPr>
      </w:pPr>
    </w:p>
    <w:p>
      <w:pPr>
        <w:pStyle w:val="5"/>
        <w:spacing w:line="400" w:lineRule="exact"/>
        <w:ind w:firstLine="422" w:firstLineChars="175"/>
        <w:rPr>
          <w:rFonts w:hint="eastAsia" w:ascii="宋体"/>
          <w:bCs/>
          <w:color w:val="auto"/>
          <w:sz w:val="24"/>
        </w:rPr>
      </w:pPr>
      <w:r>
        <w:rPr>
          <w:rFonts w:hint="eastAsia" w:ascii="宋体"/>
          <w:b/>
          <w:bCs/>
          <w:color w:val="auto"/>
          <w:sz w:val="24"/>
        </w:rPr>
        <w:t>注意：</w:t>
      </w:r>
      <w:r>
        <w:rPr>
          <w:rFonts w:hint="eastAsia" w:ascii="宋体"/>
          <w:bCs/>
          <w:color w:val="auto"/>
          <w:sz w:val="24"/>
        </w:rPr>
        <w:t>1</w:t>
      </w:r>
      <w:r>
        <w:rPr>
          <w:rFonts w:hint="eastAsia"/>
          <w:color w:val="auto"/>
          <w:sz w:val="24"/>
        </w:rPr>
        <w:t>．</w:t>
      </w:r>
      <w:r>
        <w:rPr>
          <w:rFonts w:hint="eastAsia" w:ascii="宋体"/>
          <w:bCs/>
          <w:color w:val="auto"/>
          <w:sz w:val="24"/>
        </w:rPr>
        <w:t>以上打</w:t>
      </w:r>
      <w:r>
        <w:rPr>
          <w:rFonts w:hint="eastAsia" w:ascii="宋体"/>
          <w:bCs/>
          <w:color w:val="auto"/>
          <w:sz w:val="32"/>
          <w:szCs w:val="32"/>
        </w:rPr>
        <w:sym w:font="Wingdings" w:char="00AB"/>
      </w:r>
      <w:r>
        <w:rPr>
          <w:rFonts w:hint="eastAsia" w:ascii="宋体"/>
          <w:bCs/>
          <w:color w:val="auto"/>
          <w:sz w:val="24"/>
        </w:rPr>
        <w:t>号的为本次招标项目的实质性要求，不允许有负偏离。</w:t>
      </w:r>
    </w:p>
    <w:p>
      <w:pPr>
        <w:pStyle w:val="5"/>
        <w:numPr>
          <w:ilvl w:val="0"/>
          <w:numId w:val="3"/>
        </w:numPr>
        <w:spacing w:line="400" w:lineRule="exact"/>
        <w:ind w:left="0" w:firstLine="1080" w:firstLineChars="450"/>
        <w:jc w:val="left"/>
        <w:rPr>
          <w:rFonts w:hint="eastAsia" w:ascii="宋体"/>
          <w:bCs/>
          <w:color w:val="auto"/>
          <w:sz w:val="24"/>
        </w:rPr>
      </w:pPr>
      <w:r>
        <w:rPr>
          <w:rFonts w:hint="eastAsia" w:ascii="宋体"/>
          <w:bCs/>
          <w:color w:val="auto"/>
          <w:sz w:val="24"/>
        </w:rPr>
        <w:t>本章的要求不能存在资格性条件要求且列入评标，如存在资格性条件要求，应当认定招标文件编制存在重大缺陷，评标委员会应当停止评标。</w:t>
      </w:r>
    </w:p>
    <w:p>
      <w:bookmarkStart w:id="6" w:name="_GoBack"/>
      <w:bookmarkEnd w:id="6"/>
    </w:p>
    <w:sectPr>
      <w:headerReference r:id="rId6" w:type="default"/>
      <w:footerReference r:id="rId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Cambria Math">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uto" w:vAnchor="text" w:hAnchor="margin" w:xAlign="center" w:y="1"/>
      <w:rPr>
        <w:rStyle w:val="12"/>
        <w:sz w:val="21"/>
        <w:szCs w:val="21"/>
      </w:rPr>
    </w:pPr>
    <w:r>
      <w:rPr>
        <w:rStyle w:val="12"/>
        <w:sz w:val="21"/>
        <w:szCs w:val="21"/>
      </w:rPr>
      <w:fldChar w:fldCharType="begin"/>
    </w:r>
    <w:r>
      <w:rPr>
        <w:rStyle w:val="12"/>
        <w:sz w:val="21"/>
        <w:szCs w:val="21"/>
      </w:rPr>
      <w:instrText xml:space="preserve"> PAGE </w:instrText>
    </w:r>
    <w:r>
      <w:rPr>
        <w:rStyle w:val="12"/>
        <w:sz w:val="21"/>
        <w:szCs w:val="21"/>
      </w:rPr>
      <w:fldChar w:fldCharType="separate"/>
    </w:r>
    <w:r>
      <w:rPr>
        <w:rStyle w:val="12"/>
        <w:sz w:val="21"/>
        <w:szCs w:val="21"/>
      </w:rPr>
      <w:t>1</w:t>
    </w:r>
    <w:r>
      <w:rPr>
        <w:rStyle w:val="12"/>
        <w:sz w:val="21"/>
        <w:szCs w:val="21"/>
      </w:rPr>
      <w:fldChar w:fldCharType="end"/>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uto" w:vAnchor="text" w:hAnchor="margin" w:xAlign="center" w:y="1"/>
      <w:rPr>
        <w:rStyle w:val="12"/>
      </w:rPr>
    </w:pPr>
    <w:r>
      <w:rPr>
        <w:rStyle w:val="12"/>
      </w:rPr>
      <w:fldChar w:fldCharType="begin"/>
    </w:r>
    <w:r>
      <w:rPr>
        <w:rStyle w:val="12"/>
      </w:rPr>
      <w:instrText xml:space="preserve"> PAGE </w:instrText>
    </w:r>
    <w:r>
      <w:rPr>
        <w:rStyle w:val="12"/>
      </w:rPr>
      <w:fldChar w:fldCharType="end"/>
    </w:r>
  </w:p>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uto" w:vAnchor="text" w:hAnchor="margin" w:xAlign="center" w:y="1"/>
      <w:rPr>
        <w:rStyle w:val="12"/>
        <w:sz w:val="21"/>
        <w:szCs w:val="21"/>
      </w:rPr>
    </w:pPr>
    <w:r>
      <w:rPr>
        <w:rStyle w:val="12"/>
        <w:sz w:val="21"/>
        <w:szCs w:val="21"/>
      </w:rPr>
      <w:fldChar w:fldCharType="begin"/>
    </w:r>
    <w:r>
      <w:rPr>
        <w:rStyle w:val="12"/>
        <w:sz w:val="21"/>
        <w:szCs w:val="21"/>
      </w:rPr>
      <w:instrText xml:space="preserve"> PAGE </w:instrText>
    </w:r>
    <w:r>
      <w:rPr>
        <w:rStyle w:val="12"/>
        <w:sz w:val="21"/>
        <w:szCs w:val="21"/>
      </w:rPr>
      <w:fldChar w:fldCharType="separate"/>
    </w:r>
    <w:r>
      <w:rPr>
        <w:rStyle w:val="12"/>
        <w:sz w:val="21"/>
        <w:szCs w:val="21"/>
      </w:rPr>
      <w:t>1</w:t>
    </w:r>
    <w:r>
      <w:rPr>
        <w:rStyle w:val="12"/>
        <w:sz w:val="21"/>
        <w:szCs w:val="21"/>
      </w:rPr>
      <w:fldChar w:fldCharType="end"/>
    </w:r>
  </w:p>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3E67B4"/>
    <w:multiLevelType w:val="singleLevel"/>
    <w:tmpl w:val="CB3E67B4"/>
    <w:lvl w:ilvl="0" w:tentative="0">
      <w:start w:val="2"/>
      <w:numFmt w:val="decimal"/>
      <w:suff w:val="nothing"/>
      <w:lvlText w:val="%1．"/>
      <w:lvlJc w:val="left"/>
    </w:lvl>
  </w:abstractNum>
  <w:abstractNum w:abstractNumId="1">
    <w:nsid w:val="FAFD27D7"/>
    <w:multiLevelType w:val="singleLevel"/>
    <w:tmpl w:val="FAFD27D7"/>
    <w:lvl w:ilvl="0" w:tentative="0">
      <w:start w:val="2"/>
      <w:numFmt w:val="decimal"/>
      <w:suff w:val="nothing"/>
      <w:lvlText w:val="%1．"/>
      <w:lvlJc w:val="left"/>
      <w:pPr>
        <w:ind w:left="1140" w:firstLine="0"/>
      </w:pPr>
    </w:lvl>
  </w:abstractNum>
  <w:abstractNum w:abstractNumId="2">
    <w:nsid w:val="79A4563A"/>
    <w:multiLevelType w:val="multilevel"/>
    <w:tmpl w:val="79A4563A"/>
    <w:lvl w:ilvl="0" w:tentative="0">
      <w:start w:val="1"/>
      <w:numFmt w:val="decimal"/>
      <w:lvlText w:val="%1、"/>
      <w:lvlJc w:val="left"/>
      <w:pPr>
        <w:ind w:left="2121"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M0YjFmZTRiMDMwNDM2Y2Y5NmM3NzA2NzZjMGZiMDIifQ=="/>
  </w:docVars>
  <w:rsids>
    <w:rsidRoot w:val="488302E7"/>
    <w:rsid w:val="0CB40D6C"/>
    <w:rsid w:val="488302E7"/>
    <w:rsid w:val="645B17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2">
    <w:name w:val="Body Text First Indent"/>
    <w:basedOn w:val="3"/>
    <w:next w:val="4"/>
    <w:qFormat/>
    <w:uiPriority w:val="0"/>
    <w:pPr>
      <w:spacing w:line="360" w:lineRule="auto"/>
      <w:ind w:left="30" w:leftChars="30" w:firstLine="420" w:firstLineChars="100"/>
    </w:pPr>
    <w:rPr>
      <w:rFonts w:ascii="宋体" w:hAnsi="宋体"/>
      <w:kern w:val="0"/>
      <w:sz w:val="24"/>
      <w:szCs w:val="18"/>
    </w:rPr>
  </w:style>
  <w:style w:type="paragraph" w:styleId="3">
    <w:name w:val="Body Text"/>
    <w:basedOn w:val="1"/>
    <w:next w:val="2"/>
    <w:uiPriority w:val="0"/>
    <w:pPr>
      <w:spacing w:after="120"/>
    </w:pPr>
  </w:style>
  <w:style w:type="paragraph" w:customStyle="1" w:styleId="4">
    <w:name w:val="段落正文"/>
    <w:basedOn w:val="1"/>
    <w:qFormat/>
    <w:uiPriority w:val="0"/>
    <w:pPr>
      <w:spacing w:beforeLines="50" w:line="360" w:lineRule="auto"/>
      <w:ind w:firstLine="200" w:firstLineChars="200"/>
    </w:pPr>
    <w:rPr>
      <w:spacing w:val="2"/>
      <w:sz w:val="24"/>
      <w:szCs w:val="20"/>
    </w:rPr>
  </w:style>
  <w:style w:type="paragraph" w:styleId="5">
    <w:name w:val="Normal Indent"/>
    <w:basedOn w:val="1"/>
    <w:qFormat/>
    <w:uiPriority w:val="0"/>
    <w:pPr>
      <w:ind w:firstLine="420" w:firstLineChars="200"/>
    </w:pPr>
  </w:style>
  <w:style w:type="paragraph" w:styleId="6">
    <w:name w:val="footer"/>
    <w:basedOn w:val="1"/>
    <w:next w:val="1"/>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99"/>
    <w:pPr>
      <w:spacing w:beforeAutospacing="1" w:afterAutospacing="1"/>
      <w:jc w:val="left"/>
    </w:pPr>
    <w:rPr>
      <w:rFonts w:ascii="Calibri" w:hAnsi="Calibri" w:eastAsia="宋体"/>
      <w:kern w:val="0"/>
      <w:sz w:val="24"/>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qFormat/>
    <w:uiPriority w:val="0"/>
  </w:style>
  <w:style w:type="paragraph" w:styleId="13">
    <w:name w:val="No Spacing"/>
    <w:qFormat/>
    <w:uiPriority w:val="1"/>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2022-06-29T09:04:00Z</dcterms:created>
  <dc:creator>Administrator</dc:creator>
  <cp:lastModifiedBy>Administrator</cp:lastModifiedBy>
  <dcterms:modified xsi:type="dcterms:W3CDTF">2022-06-29T11:44:43Z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5C6620745893461CAAD71F56A6EFEF77</vt:lpwstr>
  </property>
</Properties>
</file>