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851677">
      <w:pPr>
        <w:jc w:val="center"/>
        <w:rPr>
          <w:rFonts w:hint="eastAsia" w:ascii="微软雅黑" w:hAnsi="微软雅黑" w:eastAsia="微软雅黑" w:cs="微软雅黑"/>
          <w:b/>
          <w:bCs/>
          <w:i w:val="0"/>
          <w:iCs w:val="0"/>
          <w:caps w:val="0"/>
          <w:color w:val="1F2329"/>
          <w:spacing w:val="0"/>
          <w:sz w:val="28"/>
          <w:szCs w:val="28"/>
          <w:shd w:val="clear" w:fill="FFFFFF"/>
        </w:rPr>
      </w:pPr>
      <w:r>
        <w:rPr>
          <w:rFonts w:hint="eastAsia" w:ascii="微软雅黑" w:hAnsi="微软雅黑" w:eastAsia="微软雅黑" w:cs="微软雅黑"/>
          <w:b/>
          <w:bCs/>
          <w:i w:val="0"/>
          <w:iCs w:val="0"/>
          <w:caps w:val="0"/>
          <w:color w:val="1F2329"/>
          <w:spacing w:val="0"/>
          <w:sz w:val="28"/>
          <w:szCs w:val="28"/>
          <w:shd w:val="clear" w:fill="FFFFFF"/>
        </w:rPr>
        <w:t xml:space="preserve">2025 </w:t>
      </w:r>
      <w:r>
        <w:rPr>
          <w:rFonts w:hint="eastAsia" w:ascii="微软雅黑" w:hAnsi="微软雅黑" w:eastAsia="微软雅黑" w:cs="微软雅黑"/>
          <w:b/>
          <w:bCs/>
          <w:i w:val="0"/>
          <w:iCs w:val="0"/>
          <w:caps w:val="0"/>
          <w:color w:val="1F2329"/>
          <w:spacing w:val="0"/>
          <w:sz w:val="28"/>
          <w:szCs w:val="28"/>
          <w:shd w:val="clear" w:fill="FFFFFF"/>
          <w:lang w:val="en-US" w:eastAsia="zh-CN"/>
        </w:rPr>
        <w:t>3</w:t>
      </w:r>
      <w:r>
        <w:rPr>
          <w:rFonts w:hint="eastAsia" w:ascii="微软雅黑" w:hAnsi="微软雅黑" w:eastAsia="微软雅黑" w:cs="微软雅黑"/>
          <w:b/>
          <w:bCs/>
          <w:i w:val="0"/>
          <w:iCs w:val="0"/>
          <w:caps w:val="0"/>
          <w:color w:val="1F2329"/>
          <w:spacing w:val="0"/>
          <w:sz w:val="28"/>
          <w:szCs w:val="28"/>
          <w:shd w:val="clear" w:fill="FFFFFF"/>
          <w:vertAlign w:val="superscript"/>
          <w:lang w:val="en-US" w:eastAsia="zh-CN"/>
        </w:rPr>
        <w:t xml:space="preserve">rd </w:t>
      </w:r>
      <w:r>
        <w:rPr>
          <w:rFonts w:hint="eastAsia" w:ascii="微软雅黑" w:hAnsi="微软雅黑" w:eastAsia="微软雅黑" w:cs="微软雅黑"/>
          <w:b/>
          <w:bCs/>
          <w:i w:val="0"/>
          <w:iCs w:val="0"/>
          <w:caps w:val="0"/>
          <w:color w:val="1F2329"/>
          <w:spacing w:val="0"/>
          <w:sz w:val="28"/>
          <w:szCs w:val="28"/>
          <w:shd w:val="clear" w:fill="FFFFFF"/>
        </w:rPr>
        <w:t>Hebei Ningjin Food Industry Expo</w:t>
      </w:r>
    </w:p>
    <w:p w14:paraId="2DEBC1BF">
      <w:pPr>
        <w:jc w:val="center"/>
        <w:rPr>
          <w:rFonts w:hint="eastAsia" w:ascii="微软雅黑" w:hAnsi="微软雅黑" w:eastAsia="微软雅黑" w:cs="微软雅黑"/>
          <w:b/>
          <w:bCs/>
          <w:i w:val="0"/>
          <w:iCs w:val="0"/>
          <w:caps w:val="0"/>
          <w:color w:val="1F2329"/>
          <w:spacing w:val="0"/>
          <w:sz w:val="24"/>
          <w:szCs w:val="24"/>
          <w:shd w:val="clear" w:fill="FFFFFF"/>
        </w:rPr>
      </w:pPr>
      <w:r>
        <w:rPr>
          <w:rFonts w:hint="eastAsia" w:ascii="微软雅黑" w:hAnsi="微软雅黑" w:eastAsia="微软雅黑" w:cs="微软雅黑"/>
          <w:b/>
          <w:bCs/>
          <w:i w:val="0"/>
          <w:iCs w:val="0"/>
          <w:caps w:val="0"/>
          <w:color w:val="1F2329"/>
          <w:spacing w:val="0"/>
          <w:sz w:val="24"/>
          <w:szCs w:val="24"/>
          <w:shd w:val="clear" w:fill="FFFFFF"/>
          <w:lang w:val="en-US" w:eastAsia="zh-CN"/>
        </w:rPr>
        <w:t>3</w:t>
      </w:r>
      <w:r>
        <w:rPr>
          <w:rFonts w:hint="eastAsia" w:ascii="微软雅黑" w:hAnsi="微软雅黑" w:eastAsia="微软雅黑" w:cs="微软雅黑"/>
          <w:b/>
          <w:bCs/>
          <w:i w:val="0"/>
          <w:iCs w:val="0"/>
          <w:caps w:val="0"/>
          <w:color w:val="1F2329"/>
          <w:spacing w:val="0"/>
          <w:sz w:val="24"/>
          <w:szCs w:val="24"/>
          <w:shd w:val="clear" w:fill="FFFFFF"/>
          <w:vertAlign w:val="superscript"/>
          <w:lang w:val="en-US" w:eastAsia="zh-CN"/>
        </w:rPr>
        <w:t xml:space="preserve">rd </w:t>
      </w:r>
      <w:r>
        <w:rPr>
          <w:rFonts w:hint="eastAsia" w:ascii="微软雅黑" w:hAnsi="微软雅黑" w:eastAsia="微软雅黑" w:cs="微软雅黑"/>
          <w:b/>
          <w:bCs/>
          <w:i w:val="0"/>
          <w:iCs w:val="0"/>
          <w:caps w:val="0"/>
          <w:color w:val="1F2329"/>
          <w:spacing w:val="0"/>
          <w:sz w:val="24"/>
          <w:szCs w:val="24"/>
          <w:shd w:val="clear" w:fill="FFFFFF"/>
        </w:rPr>
        <w:t>HBFIE 2025</w:t>
      </w:r>
    </w:p>
    <w:p w14:paraId="505856D5">
      <w:pPr>
        <w:ind w:firstLine="420" w:firstLineChars="0"/>
        <w:rPr>
          <w:rFonts w:hint="default" w:ascii="微软雅黑" w:hAnsi="微软雅黑" w:eastAsia="微软雅黑" w:cs="微软雅黑"/>
          <w:i w:val="0"/>
          <w:iCs w:val="0"/>
          <w:caps w:val="0"/>
          <w:color w:val="1F2329"/>
          <w:spacing w:val="0"/>
          <w:sz w:val="18"/>
          <w:szCs w:val="18"/>
          <w:shd w:val="clear" w:fill="FFFFFF"/>
          <w:lang w:val="en-US" w:eastAsia="zh-CN"/>
        </w:rPr>
      </w:pPr>
      <w:r>
        <w:rPr>
          <w:rFonts w:hint="eastAsia" w:ascii="微软雅黑" w:hAnsi="微软雅黑" w:eastAsia="微软雅黑" w:cs="微软雅黑"/>
          <w:i w:val="0"/>
          <w:iCs w:val="0"/>
          <w:caps w:val="0"/>
          <w:color w:val="1F2329"/>
          <w:spacing w:val="0"/>
          <w:sz w:val="18"/>
          <w:szCs w:val="18"/>
          <w:shd w:val="clear" w:fill="FFFFFF"/>
        </w:rPr>
        <w:t>Ningjin County, strategically</w:t>
      </w:r>
      <w:r>
        <w:rPr>
          <w:rFonts w:hint="eastAsia" w:ascii="微软雅黑" w:hAnsi="微软雅黑" w:eastAsia="微软雅黑" w:cs="微软雅黑"/>
          <w:i w:val="0"/>
          <w:iCs w:val="0"/>
          <w:caps w:val="0"/>
          <w:color w:val="1F2329"/>
          <w:spacing w:val="0"/>
          <w:sz w:val="18"/>
          <w:szCs w:val="18"/>
          <w:shd w:val="clear" w:fill="FFFFFF"/>
          <w:lang w:val="en-US" w:eastAsia="zh-CN"/>
        </w:rPr>
        <w:t xml:space="preserve"> </w:t>
      </w:r>
      <w:r>
        <w:rPr>
          <w:rFonts w:hint="eastAsia" w:ascii="微软雅黑" w:hAnsi="微软雅黑" w:eastAsia="微软雅黑" w:cs="微软雅黑"/>
          <w:i w:val="0"/>
          <w:iCs w:val="0"/>
          <w:caps w:val="0"/>
          <w:color w:val="1F2329"/>
          <w:spacing w:val="0"/>
          <w:sz w:val="18"/>
          <w:szCs w:val="18"/>
          <w:shd w:val="clear" w:fill="FFFFFF"/>
        </w:rPr>
        <w:t>located in Xingtai City, Hebei Province, has earned the prestigious moniker of th</w:t>
      </w:r>
      <w:r>
        <w:rPr>
          <w:rFonts w:hint="eastAsia" w:ascii="微软雅黑" w:hAnsi="微软雅黑" w:eastAsia="微软雅黑" w:cs="微软雅黑"/>
          <w:i w:val="0"/>
          <w:iCs w:val="0"/>
          <w:caps w:val="0"/>
          <w:color w:val="1F2329"/>
          <w:spacing w:val="0"/>
          <w:sz w:val="18"/>
          <w:szCs w:val="18"/>
          <w:shd w:val="clear" w:fill="FFFFFF"/>
          <w:lang w:val="en-US" w:eastAsia="zh-CN"/>
        </w:rPr>
        <w:t>e</w:t>
      </w:r>
      <w:r>
        <w:rPr>
          <w:rFonts w:hint="eastAsia" w:ascii="微软雅黑" w:hAnsi="微软雅黑" w:eastAsia="微软雅黑" w:cs="微软雅黑"/>
          <w:i w:val="0"/>
          <w:iCs w:val="0"/>
          <w:caps w:val="0"/>
          <w:color w:val="1F2329"/>
          <w:spacing w:val="0"/>
          <w:sz w:val="18"/>
          <w:szCs w:val="18"/>
          <w:shd w:val="clear" w:fill="FFFFFF"/>
        </w:rPr>
        <w:t>“Hometown of Snack Foods</w:t>
      </w:r>
      <w:r>
        <w:rPr>
          <w:rFonts w:hint="default" w:ascii="微软雅黑" w:hAnsi="微软雅黑" w:eastAsia="微软雅黑" w:cs="微软雅黑"/>
          <w:i w:val="0"/>
          <w:iCs w:val="0"/>
          <w:caps w:val="0"/>
          <w:color w:val="1F2329"/>
          <w:spacing w:val="0"/>
          <w:sz w:val="18"/>
          <w:szCs w:val="18"/>
          <w:shd w:val="clear" w:fill="FFFFFF"/>
          <w:lang w:val="en-US" w:eastAsia="zh-CN"/>
        </w:rPr>
        <w:t>”</w:t>
      </w:r>
      <w:r>
        <w:rPr>
          <w:rFonts w:hint="eastAsia" w:ascii="微软雅黑" w:hAnsi="微软雅黑" w:eastAsia="微软雅黑" w:cs="微软雅黑"/>
          <w:i w:val="0"/>
          <w:iCs w:val="0"/>
          <w:caps w:val="0"/>
          <w:color w:val="1F2329"/>
          <w:spacing w:val="0"/>
          <w:sz w:val="18"/>
          <w:szCs w:val="18"/>
          <w:shd w:val="clear" w:fill="FFFFFF"/>
        </w:rPr>
        <w:t xml:space="preserve">. It holds the esteemed titles of a prominent biscuit town in China and a leading baked food industry hub in Hebei Province. The county is home to an impressive network of over 600 snack food enterprises and more than 300 upstream and downstream companies, creating a vibrant and dynamic ecosystem for the food industry. </w:t>
      </w:r>
    </w:p>
    <w:p w14:paraId="58B3AD5E">
      <w:pPr>
        <w:ind w:firstLine="420" w:firstLineChars="0"/>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Hequ Town, in particular, serves as a key regional food industry cluster. Endowed with abundant agricultural resources and a concentration of high-quality food processing enterprises, it forms the epicenter of the local food-making prowess. The 2025 </w:t>
      </w:r>
      <w:r>
        <w:rPr>
          <w:rFonts w:hint="eastAsia" w:ascii="微软雅黑" w:hAnsi="微软雅黑" w:eastAsia="微软雅黑" w:cs="微软雅黑"/>
          <w:i w:val="0"/>
          <w:iCs w:val="0"/>
          <w:caps w:val="0"/>
          <w:color w:val="1F2329"/>
          <w:spacing w:val="0"/>
          <w:sz w:val="18"/>
          <w:szCs w:val="18"/>
          <w:shd w:val="clear" w:fill="FFFFFF"/>
          <w:lang w:val="en-US" w:eastAsia="zh-CN"/>
        </w:rPr>
        <w:t>3</w:t>
      </w:r>
      <w:r>
        <w:rPr>
          <w:rFonts w:hint="eastAsia" w:ascii="微软雅黑" w:hAnsi="微软雅黑" w:eastAsia="微软雅黑" w:cs="微软雅黑"/>
          <w:i w:val="0"/>
          <w:iCs w:val="0"/>
          <w:caps w:val="0"/>
          <w:color w:val="1F2329"/>
          <w:spacing w:val="0"/>
          <w:sz w:val="18"/>
          <w:szCs w:val="18"/>
          <w:shd w:val="clear" w:fill="FFFFFF"/>
          <w:vertAlign w:val="superscript"/>
          <w:lang w:val="en-US" w:eastAsia="zh-CN"/>
        </w:rPr>
        <w:t>rd</w:t>
      </w:r>
      <w:r>
        <w:rPr>
          <w:rFonts w:hint="eastAsia" w:ascii="微软雅黑" w:hAnsi="微软雅黑" w:eastAsia="微软雅黑" w:cs="微软雅黑"/>
          <w:i w:val="0"/>
          <w:iCs w:val="0"/>
          <w:caps w:val="0"/>
          <w:color w:val="1F2329"/>
          <w:spacing w:val="0"/>
          <w:sz w:val="18"/>
          <w:szCs w:val="18"/>
          <w:shd w:val="clear" w:fill="FFFFFF"/>
          <w:lang w:val="en-US" w:eastAsia="zh-CN"/>
        </w:rPr>
        <w:t xml:space="preserve"> </w:t>
      </w:r>
      <w:r>
        <w:rPr>
          <w:rFonts w:hint="eastAsia" w:ascii="微软雅黑" w:hAnsi="微软雅黑" w:eastAsia="微软雅黑" w:cs="微软雅黑"/>
          <w:i w:val="0"/>
          <w:iCs w:val="0"/>
          <w:caps w:val="0"/>
          <w:color w:val="1F2329"/>
          <w:spacing w:val="0"/>
          <w:sz w:val="18"/>
          <w:szCs w:val="18"/>
          <w:shd w:val="clear" w:fill="FFFFFF"/>
        </w:rPr>
        <w:t xml:space="preserve">Hebei Ningjin Food Industry Expo is a strategic initiative designed to optimize the integration of the upstream and downstream industrial chains of snack foods. This event will serve as a premier showcase for a comprehensive range of innovative achievements, spanning from top-tier snack food products to cutting-edge raw material supply solutions, creative packaging designs, and advanced processing equipment from across the nation. By bringing together industry stakeholders, the expo aims to foster industrial cooperation, streamline technology sharing, assist enterprises in diversifying their procurement channels, and provide a holistic range of services tailored to the unique needs of the industry. </w:t>
      </w:r>
    </w:p>
    <w:p w14:paraId="53C5DE7A">
      <w:pPr>
        <w:ind w:firstLine="420" w:firstLineChars="0"/>
        <w:rPr>
          <w:rFonts w:hint="eastAsia" w:ascii="微软雅黑" w:hAnsi="微软雅黑" w:eastAsia="微软雅黑" w:cs="微软雅黑"/>
          <w:b/>
          <w:bCs/>
          <w:i w:val="0"/>
          <w:iCs w:val="0"/>
          <w:caps w:val="0"/>
          <w:color w:val="1F2329"/>
          <w:spacing w:val="0"/>
          <w:sz w:val="18"/>
          <w:szCs w:val="18"/>
          <w:shd w:val="clear" w:fill="FFFFFF"/>
        </w:rPr>
      </w:pPr>
    </w:p>
    <w:p w14:paraId="23906455">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Exhibition Theme</w:t>
      </w:r>
      <w:r>
        <w:rPr>
          <w:rFonts w:hint="eastAsia" w:ascii="微软雅黑" w:hAnsi="微软雅黑" w:eastAsia="微软雅黑" w:cs="微软雅黑"/>
          <w:i w:val="0"/>
          <w:iCs w:val="0"/>
          <w:caps w:val="0"/>
          <w:color w:val="1F2329"/>
          <w:spacing w:val="0"/>
          <w:sz w:val="18"/>
          <w:szCs w:val="18"/>
          <w:shd w:val="clear" w:fill="FFFFFF"/>
        </w:rPr>
        <w:t xml:space="preserve"> </w:t>
      </w:r>
      <w:bookmarkStart w:id="0" w:name="_GoBack"/>
      <w:bookmarkEnd w:id="0"/>
    </w:p>
    <w:p w14:paraId="05C32247">
      <w:pPr>
        <w:rPr>
          <w:rFonts w:hint="eastAsia" w:ascii="微软雅黑" w:hAnsi="微软雅黑" w:eastAsia="微软雅黑" w:cs="微软雅黑"/>
          <w:i w:val="0"/>
          <w:iCs w:val="0"/>
          <w:caps w:val="0"/>
          <w:color w:val="1F2329"/>
          <w:spacing w:val="0"/>
          <w:sz w:val="18"/>
          <w:szCs w:val="18"/>
          <w:shd w:val="clear" w:fill="FFFFFF"/>
          <w:lang w:val="en-US" w:eastAsia="zh-CN"/>
        </w:rPr>
      </w:pPr>
      <w:r>
        <w:rPr>
          <w:rFonts w:hint="eastAsia" w:ascii="微软雅黑" w:hAnsi="微软雅黑" w:eastAsia="微软雅黑" w:cs="微软雅黑"/>
          <w:i w:val="0"/>
          <w:iCs w:val="0"/>
          <w:caps w:val="0"/>
          <w:color w:val="1F2329"/>
          <w:spacing w:val="0"/>
          <w:sz w:val="18"/>
          <w:szCs w:val="18"/>
          <w:shd w:val="clear" w:fill="FFFFFF"/>
        </w:rPr>
        <w:t>“Ningjin Food Expo: A Gastronomic Journey of Discovery in Ningjin</w:t>
      </w:r>
      <w:r>
        <w:rPr>
          <w:rFonts w:hint="default" w:ascii="微软雅黑" w:hAnsi="微软雅黑" w:eastAsia="微软雅黑" w:cs="微软雅黑"/>
          <w:i w:val="0"/>
          <w:iCs w:val="0"/>
          <w:caps w:val="0"/>
          <w:color w:val="1F2329"/>
          <w:spacing w:val="0"/>
          <w:sz w:val="18"/>
          <w:szCs w:val="18"/>
          <w:shd w:val="clear" w:fill="FFFFFF"/>
          <w:lang w:val="en-US" w:eastAsia="zh-CN"/>
        </w:rPr>
        <w:t>”</w:t>
      </w:r>
    </w:p>
    <w:p w14:paraId="63080BC5">
      <w:pPr>
        <w:rPr>
          <w:rFonts w:hint="eastAsia" w:ascii="微软雅黑" w:hAnsi="微软雅黑" w:eastAsia="微软雅黑" w:cs="微软雅黑"/>
          <w:i w:val="0"/>
          <w:iCs w:val="0"/>
          <w:caps w:val="0"/>
          <w:color w:val="1F2329"/>
          <w:spacing w:val="0"/>
          <w:sz w:val="18"/>
          <w:szCs w:val="18"/>
          <w:shd w:val="clear" w:fill="FFFFFF"/>
        </w:rPr>
      </w:pPr>
    </w:p>
    <w:p w14:paraId="161B984B">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Exhibition Time</w:t>
      </w:r>
      <w:r>
        <w:rPr>
          <w:rFonts w:hint="eastAsia" w:ascii="微软雅黑" w:hAnsi="微软雅黑" w:eastAsia="微软雅黑" w:cs="微软雅黑"/>
          <w:i w:val="0"/>
          <w:iCs w:val="0"/>
          <w:caps w:val="0"/>
          <w:color w:val="1F2329"/>
          <w:spacing w:val="0"/>
          <w:sz w:val="18"/>
          <w:szCs w:val="18"/>
          <w:shd w:val="clear" w:fill="FFFFFF"/>
        </w:rPr>
        <w:t xml:space="preserve"> </w:t>
      </w:r>
    </w:p>
    <w:p w14:paraId="1BC5D308">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April 25 - 27, 2025</w:t>
      </w:r>
    </w:p>
    <w:p w14:paraId="42B56941">
      <w:pPr>
        <w:rPr>
          <w:rFonts w:hint="eastAsia" w:ascii="微软雅黑" w:hAnsi="微软雅黑" w:eastAsia="微软雅黑" w:cs="微软雅黑"/>
          <w:b/>
          <w:bCs/>
          <w:i w:val="0"/>
          <w:iCs w:val="0"/>
          <w:caps w:val="0"/>
          <w:color w:val="1F2329"/>
          <w:spacing w:val="0"/>
          <w:sz w:val="18"/>
          <w:szCs w:val="18"/>
          <w:shd w:val="clear" w:fill="FFFFFF"/>
        </w:rPr>
      </w:pPr>
    </w:p>
    <w:p w14:paraId="4088F8C6">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Exhibition Location</w:t>
      </w:r>
      <w:r>
        <w:rPr>
          <w:rFonts w:hint="eastAsia" w:ascii="微软雅黑" w:hAnsi="微软雅黑" w:eastAsia="微软雅黑" w:cs="微软雅黑"/>
          <w:i w:val="0"/>
          <w:iCs w:val="0"/>
          <w:caps w:val="0"/>
          <w:color w:val="1F2329"/>
          <w:spacing w:val="0"/>
          <w:sz w:val="18"/>
          <w:szCs w:val="18"/>
          <w:shd w:val="clear" w:fill="FFFFFF"/>
        </w:rPr>
        <w:t xml:space="preserve"> </w:t>
      </w:r>
    </w:p>
    <w:p w14:paraId="596E61D8">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Leisure Food Processing Park, Hequ Town, Ningjin County</w:t>
      </w:r>
    </w:p>
    <w:p w14:paraId="014E6B57">
      <w:pPr>
        <w:rPr>
          <w:rFonts w:hint="eastAsia" w:ascii="微软雅黑" w:hAnsi="微软雅黑" w:eastAsia="微软雅黑" w:cs="微软雅黑"/>
          <w:i w:val="0"/>
          <w:iCs w:val="0"/>
          <w:caps w:val="0"/>
          <w:color w:val="1F2329"/>
          <w:spacing w:val="0"/>
          <w:sz w:val="18"/>
          <w:szCs w:val="18"/>
          <w:shd w:val="clear" w:fill="FFFFFF"/>
        </w:rPr>
      </w:pPr>
    </w:p>
    <w:p w14:paraId="5D4B1C85">
      <w:pPr>
        <w:rPr>
          <w:rFonts w:hint="eastAsia" w:ascii="微软雅黑" w:hAnsi="微软雅黑" w:eastAsia="微软雅黑" w:cs="微软雅黑"/>
          <w:b/>
          <w:bCs/>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 xml:space="preserve">Exhibition Scale </w:t>
      </w:r>
    </w:p>
    <w:p w14:paraId="3A05B37E">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The expo is set to attract over 400 exhibitors, with an expansive exhibition area exceeding 25,000 square meters. This scale ensures a diverse and comprehensive display of the latest products, technologies, and services in the food industry, providing a one-stop platform for industry professionals to explore and engage. </w:t>
      </w:r>
    </w:p>
    <w:p w14:paraId="4450FB48">
      <w:pPr>
        <w:rPr>
          <w:rFonts w:hint="eastAsia" w:ascii="微软雅黑" w:hAnsi="微软雅黑" w:eastAsia="微软雅黑" w:cs="微软雅黑"/>
          <w:b/>
          <w:bCs/>
          <w:i w:val="0"/>
          <w:iCs w:val="0"/>
          <w:caps w:val="0"/>
          <w:color w:val="1F2329"/>
          <w:spacing w:val="0"/>
          <w:sz w:val="18"/>
          <w:szCs w:val="18"/>
          <w:shd w:val="clear" w:fill="FFFFFF"/>
        </w:rPr>
      </w:pPr>
    </w:p>
    <w:p w14:paraId="537CAC53">
      <w:pPr>
        <w:rPr>
          <w:rFonts w:hint="eastAsia" w:ascii="微软雅黑" w:hAnsi="微软雅黑" w:eastAsia="微软雅黑" w:cs="微软雅黑"/>
          <w:b/>
          <w:bCs/>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 xml:space="preserve">Exhibition Organizers </w:t>
      </w:r>
    </w:p>
    <w:p w14:paraId="08265C94">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Ningjin County Food Packaging Industry Association </w:t>
      </w:r>
    </w:p>
    <w:p w14:paraId="1ECC89C0">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Beijing Hoer International Exhibition Co., Ltd. </w:t>
      </w:r>
    </w:p>
    <w:p w14:paraId="3EA99702">
      <w:pPr>
        <w:rPr>
          <w:rFonts w:hint="eastAsia" w:ascii="微软雅黑" w:hAnsi="微软雅黑" w:eastAsia="微软雅黑" w:cs="微软雅黑"/>
          <w:i w:val="0"/>
          <w:iCs w:val="0"/>
          <w:caps w:val="0"/>
          <w:color w:val="1F2329"/>
          <w:spacing w:val="0"/>
          <w:sz w:val="18"/>
          <w:szCs w:val="18"/>
          <w:shd w:val="clear" w:fill="FFFFFF"/>
        </w:rPr>
      </w:pPr>
    </w:p>
    <w:p w14:paraId="3EAD6F37">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Exhibition Support Units</w:t>
      </w:r>
      <w:r>
        <w:rPr>
          <w:rFonts w:hint="eastAsia" w:ascii="微软雅黑" w:hAnsi="微软雅黑" w:eastAsia="微软雅黑" w:cs="微软雅黑"/>
          <w:i w:val="0"/>
          <w:iCs w:val="0"/>
          <w:caps w:val="0"/>
          <w:color w:val="1F2329"/>
          <w:spacing w:val="0"/>
          <w:sz w:val="18"/>
          <w:szCs w:val="18"/>
          <w:shd w:val="clear" w:fill="FFFFFF"/>
        </w:rPr>
        <w:t xml:space="preserve"> </w:t>
      </w:r>
    </w:p>
    <w:p w14:paraId="17A1FF2C">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Ningjin County People's Government </w:t>
      </w:r>
    </w:p>
    <w:p w14:paraId="173B292C">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Hequ Town People's Government </w:t>
      </w:r>
    </w:p>
    <w:p w14:paraId="2DEDED3E">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These support units play a crucial role in providing the necessary resources, policy - level support, and logistical assistance to ensure the seamless execution of the expo, thereby creating a conducive environment for industry growth and collaboration.</w:t>
      </w:r>
    </w:p>
    <w:p w14:paraId="6FD0A3CC">
      <w:pPr>
        <w:rPr>
          <w:rFonts w:hint="eastAsia" w:ascii="微软雅黑" w:hAnsi="微软雅黑" w:eastAsia="微软雅黑" w:cs="微软雅黑"/>
          <w:i w:val="0"/>
          <w:iCs w:val="0"/>
          <w:caps w:val="0"/>
          <w:color w:val="1F2329"/>
          <w:spacing w:val="0"/>
          <w:sz w:val="18"/>
          <w:szCs w:val="18"/>
          <w:shd w:val="clear" w:fill="FFFFFF"/>
        </w:rPr>
      </w:pPr>
    </w:p>
    <w:p w14:paraId="0F37C826">
      <w:pPr>
        <w:rPr>
          <w:rFonts w:hint="eastAsia" w:ascii="微软雅黑" w:hAnsi="微软雅黑" w:eastAsia="微软雅黑" w:cs="微软雅黑"/>
          <w:b/>
          <w:bCs/>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 xml:space="preserve">Exhibition Scope </w:t>
      </w:r>
    </w:p>
    <w:p w14:paraId="12E24673">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Leisure Food:</w:t>
      </w:r>
      <w:r>
        <w:rPr>
          <w:rFonts w:hint="eastAsia" w:ascii="微软雅黑" w:hAnsi="微软雅黑" w:eastAsia="微软雅黑" w:cs="微软雅黑"/>
          <w:i w:val="0"/>
          <w:iCs w:val="0"/>
          <w:caps w:val="0"/>
          <w:color w:val="1F2329"/>
          <w:spacing w:val="0"/>
          <w:sz w:val="18"/>
          <w:szCs w:val="18"/>
          <w:shd w:val="clear" w:fill="FFFFFF"/>
        </w:rPr>
        <w:t xml:space="preserve"> The exhibition will feature an extensive array of leisure food products, including but not limited to candy, biscuits, puffed food, dried fruit, chocolate, and jelly. This segment will showcase the latest trends in flavors, packaging, and product innovation, catering to the diverse tastes of consumers worldwide. </w:t>
      </w:r>
    </w:p>
    <w:p w14:paraId="37F200A1">
      <w:pPr>
        <w:rPr>
          <w:rFonts w:hint="eastAsia" w:ascii="微软雅黑" w:hAnsi="微软雅黑" w:eastAsia="微软雅黑" w:cs="微软雅黑"/>
          <w:i w:val="0"/>
          <w:iCs w:val="0"/>
          <w:caps w:val="0"/>
          <w:color w:val="1F2329"/>
          <w:spacing w:val="0"/>
          <w:sz w:val="18"/>
          <w:szCs w:val="18"/>
          <w:shd w:val="clear" w:fill="FFFFFF"/>
        </w:rPr>
      </w:pPr>
    </w:p>
    <w:p w14:paraId="59C925AF">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Food Raw Materials:</w:t>
      </w:r>
      <w:r>
        <w:rPr>
          <w:rFonts w:hint="eastAsia" w:ascii="微软雅黑" w:hAnsi="微软雅黑" w:eastAsia="微软雅黑" w:cs="微软雅黑"/>
          <w:i w:val="0"/>
          <w:iCs w:val="0"/>
          <w:caps w:val="0"/>
          <w:color w:val="1F2329"/>
          <w:spacing w:val="0"/>
          <w:sz w:val="18"/>
          <w:szCs w:val="18"/>
          <w:shd w:val="clear" w:fill="FFFFFF"/>
        </w:rPr>
        <w:t xml:space="preserve"> A comprehensive selection of food raw materials will be on display, encompassing oil and flour, natural fruit and vegetable ingredients, nuts, spices and condiments, as well as specialized health food raw materials. This offering allows exhibitors and attendees to source high-quality ingredients and explore new product development opportunities. </w:t>
      </w:r>
    </w:p>
    <w:p w14:paraId="3C110D4A">
      <w:pPr>
        <w:rPr>
          <w:rFonts w:hint="eastAsia" w:ascii="微软雅黑" w:hAnsi="微软雅黑" w:eastAsia="微软雅黑" w:cs="微软雅黑"/>
          <w:i w:val="0"/>
          <w:iCs w:val="0"/>
          <w:caps w:val="0"/>
          <w:color w:val="1F2329"/>
          <w:spacing w:val="0"/>
          <w:sz w:val="18"/>
          <w:szCs w:val="18"/>
          <w:shd w:val="clear" w:fill="FFFFFF"/>
        </w:rPr>
      </w:pPr>
    </w:p>
    <w:p w14:paraId="465E9FF9">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Processing Equipment:</w:t>
      </w:r>
      <w:r>
        <w:rPr>
          <w:rFonts w:hint="eastAsia" w:ascii="微软雅黑" w:hAnsi="微软雅黑" w:eastAsia="微软雅黑" w:cs="微软雅黑"/>
          <w:i w:val="0"/>
          <w:iCs w:val="0"/>
          <w:caps w:val="0"/>
          <w:color w:val="1F2329"/>
          <w:spacing w:val="0"/>
          <w:sz w:val="18"/>
          <w:szCs w:val="18"/>
          <w:shd w:val="clear" w:fill="FFFFFF"/>
        </w:rPr>
        <w:t xml:space="preserve"> State-of-the-art processing equipment will be a highlight of the expo, with exhibits including advanced food production lines, precision-engineered packaging equipment, and cutting-edge testing equipment. This showcase provides industry players with insights into the latest technological advancements, enabling them to enhance their production efficiency and product quality. </w:t>
      </w:r>
    </w:p>
    <w:p w14:paraId="3C4380C3">
      <w:pPr>
        <w:rPr>
          <w:rFonts w:hint="eastAsia" w:ascii="微软雅黑" w:hAnsi="微软雅黑" w:eastAsia="微软雅黑" w:cs="微软雅黑"/>
          <w:i w:val="0"/>
          <w:iCs w:val="0"/>
          <w:caps w:val="0"/>
          <w:color w:val="1F2329"/>
          <w:spacing w:val="0"/>
          <w:sz w:val="18"/>
          <w:szCs w:val="18"/>
          <w:shd w:val="clear" w:fill="FFFFFF"/>
        </w:rPr>
      </w:pPr>
    </w:p>
    <w:p w14:paraId="21BDDA58">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Packaging Material</w:t>
      </w:r>
      <w:r>
        <w:rPr>
          <w:rFonts w:hint="eastAsia" w:ascii="微软雅黑" w:hAnsi="微软雅黑" w:eastAsia="微软雅黑" w:cs="微软雅黑"/>
          <w:b/>
          <w:bCs/>
          <w:i w:val="0"/>
          <w:iCs w:val="0"/>
          <w:caps w:val="0"/>
          <w:color w:val="1F2329"/>
          <w:spacing w:val="0"/>
          <w:sz w:val="18"/>
          <w:szCs w:val="18"/>
          <w:shd w:val="clear" w:fill="FFFFFF"/>
          <w:lang w:val="en-US" w:eastAsia="zh-CN"/>
        </w:rPr>
        <w:t>s</w:t>
      </w:r>
      <w:r>
        <w:rPr>
          <w:rFonts w:hint="eastAsia" w:ascii="微软雅黑" w:hAnsi="微软雅黑" w:eastAsia="微软雅黑" w:cs="微软雅黑"/>
          <w:b/>
          <w:bCs/>
          <w:i w:val="0"/>
          <w:iCs w:val="0"/>
          <w:caps w:val="0"/>
          <w:color w:val="1F2329"/>
          <w:spacing w:val="0"/>
          <w:sz w:val="18"/>
          <w:szCs w:val="18"/>
          <w:shd w:val="clear" w:fill="FFFFFF"/>
        </w:rPr>
        <w:t>:</w:t>
      </w:r>
      <w:r>
        <w:rPr>
          <w:rFonts w:hint="eastAsia" w:ascii="微软雅黑" w:hAnsi="微软雅黑" w:eastAsia="微软雅黑" w:cs="微软雅黑"/>
          <w:i w:val="0"/>
          <w:iCs w:val="0"/>
          <w:caps w:val="0"/>
          <w:color w:val="1F2329"/>
          <w:spacing w:val="0"/>
          <w:sz w:val="18"/>
          <w:szCs w:val="18"/>
          <w:shd w:val="clear" w:fill="FFFFFF"/>
        </w:rPr>
        <w:t xml:space="preserve"> The expo will showcase a wide range of packaging materials, such as food-grade packaging bags, innovative bottles and cans, and sustainable food</w:t>
      </w:r>
      <w:r>
        <w:rPr>
          <w:rFonts w:hint="eastAsia" w:ascii="微软雅黑" w:hAnsi="微软雅黑" w:eastAsia="微软雅黑" w:cs="微软雅黑"/>
          <w:i w:val="0"/>
          <w:iCs w:val="0"/>
          <w:caps w:val="0"/>
          <w:color w:val="1F2329"/>
          <w:spacing w:val="0"/>
          <w:sz w:val="18"/>
          <w:szCs w:val="18"/>
          <w:shd w:val="clear" w:fill="FFFFFF"/>
          <w:lang w:val="en-US" w:eastAsia="zh-CN"/>
        </w:rPr>
        <w:t>-</w:t>
      </w:r>
      <w:r>
        <w:rPr>
          <w:rFonts w:hint="eastAsia" w:ascii="微软雅黑" w:hAnsi="微软雅黑" w:eastAsia="微软雅黑" w:cs="微软雅黑"/>
          <w:i w:val="0"/>
          <w:iCs w:val="0"/>
          <w:caps w:val="0"/>
          <w:color w:val="1F2329"/>
          <w:spacing w:val="0"/>
          <w:sz w:val="18"/>
          <w:szCs w:val="18"/>
          <w:shd w:val="clear" w:fill="FFFFFF"/>
        </w:rPr>
        <w:t xml:space="preserve">grade packaging solutions. This display not only meets the functional requirements of food packaging but also addresses the growing consumer demand for environmentally friendly and visually appealing packaging options. </w:t>
      </w:r>
    </w:p>
    <w:p w14:paraId="24DF1061">
      <w:pPr>
        <w:rPr>
          <w:rFonts w:hint="eastAsia" w:ascii="微软雅黑" w:hAnsi="微软雅黑" w:eastAsia="微软雅黑" w:cs="微软雅黑"/>
          <w:i w:val="0"/>
          <w:iCs w:val="0"/>
          <w:caps w:val="0"/>
          <w:color w:val="1F2329"/>
          <w:spacing w:val="0"/>
          <w:sz w:val="18"/>
          <w:szCs w:val="18"/>
          <w:shd w:val="clear" w:fill="FFFFFF"/>
        </w:rPr>
      </w:pPr>
    </w:p>
    <w:p w14:paraId="1B864EE9">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Logistics</w:t>
      </w:r>
      <w:r>
        <w:rPr>
          <w:rFonts w:hint="eastAsia" w:ascii="微软雅黑" w:hAnsi="微软雅黑" w:eastAsia="微软雅黑" w:cs="微软雅黑"/>
          <w:b/>
          <w:bCs/>
          <w:i w:val="0"/>
          <w:iCs w:val="0"/>
          <w:caps w:val="0"/>
          <w:color w:val="1F2329"/>
          <w:spacing w:val="0"/>
          <w:sz w:val="18"/>
          <w:szCs w:val="18"/>
          <w:shd w:val="clear" w:fill="FFFFFF"/>
          <w:lang w:val="en-US" w:eastAsia="zh-CN"/>
        </w:rPr>
        <w:t xml:space="preserve"> </w:t>
      </w:r>
      <w:r>
        <w:rPr>
          <w:rFonts w:hint="eastAsia" w:ascii="微软雅黑" w:hAnsi="微软雅黑" w:eastAsia="微软雅黑" w:cs="微软雅黑"/>
          <w:b/>
          <w:bCs/>
          <w:i w:val="0"/>
          <w:iCs w:val="0"/>
          <w:caps w:val="0"/>
          <w:color w:val="1F2329"/>
          <w:spacing w:val="0"/>
          <w:sz w:val="18"/>
          <w:szCs w:val="18"/>
          <w:shd w:val="clear" w:fill="FFFFFF"/>
        </w:rPr>
        <w:t>and Distribution:</w:t>
      </w:r>
      <w:r>
        <w:rPr>
          <w:rFonts w:hint="eastAsia" w:ascii="微软雅黑" w:hAnsi="微软雅黑" w:eastAsia="微软雅黑" w:cs="微软雅黑"/>
          <w:i w:val="0"/>
          <w:iCs w:val="0"/>
          <w:caps w:val="0"/>
          <w:color w:val="1F2329"/>
          <w:spacing w:val="0"/>
          <w:sz w:val="18"/>
          <w:szCs w:val="18"/>
          <w:shd w:val="clear" w:fill="FFFFFF"/>
        </w:rPr>
        <w:t xml:space="preserve"> The logistics and distribution segment will cover all aspects of the food supply chain, including cold chain logistics, efficient warehousing solutions, and advanced supply chain management systems. This focus on the entire supply chain ecosystem aims to optimize the movement of food products from production to consumption, ensuring freshness, safety, and timely delivery.</w:t>
      </w:r>
    </w:p>
    <w:p w14:paraId="376C02E6">
      <w:pPr>
        <w:rPr>
          <w:rFonts w:hint="eastAsia" w:ascii="微软雅黑" w:hAnsi="微软雅黑" w:eastAsia="微软雅黑" w:cs="微软雅黑"/>
          <w:i w:val="0"/>
          <w:iCs w:val="0"/>
          <w:caps w:val="0"/>
          <w:color w:val="1F2329"/>
          <w:spacing w:val="0"/>
          <w:sz w:val="18"/>
          <w:szCs w:val="18"/>
          <w:shd w:val="clear" w:fill="FFFFFF"/>
        </w:rPr>
      </w:pPr>
    </w:p>
    <w:p w14:paraId="69F384FE">
      <w:pPr>
        <w:rPr>
          <w:rFonts w:hint="eastAsia" w:ascii="微软雅黑" w:hAnsi="微软雅黑" w:eastAsia="微软雅黑" w:cs="微软雅黑"/>
          <w:b/>
          <w:bCs/>
          <w:i w:val="0"/>
          <w:iCs w:val="0"/>
          <w:caps w:val="0"/>
          <w:color w:val="1F2329"/>
          <w:spacing w:val="0"/>
          <w:sz w:val="18"/>
          <w:szCs w:val="18"/>
          <w:shd w:val="clear" w:fill="FFFFFF"/>
        </w:rPr>
      </w:pPr>
      <w:r>
        <w:rPr>
          <w:rFonts w:hint="eastAsia" w:ascii="微软雅黑" w:hAnsi="微软雅黑" w:eastAsia="微软雅黑" w:cs="微软雅黑"/>
          <w:b/>
          <w:bCs/>
          <w:i w:val="0"/>
          <w:iCs w:val="0"/>
          <w:color w:val="1F2329"/>
          <w:spacing w:val="0"/>
          <w:sz w:val="18"/>
          <w:szCs w:val="18"/>
          <w:shd w:val="clear" w:fill="FFFFFF"/>
          <w:lang w:val="en-US" w:eastAsia="zh-CN"/>
        </w:rPr>
        <w:t>T</w:t>
      </w:r>
      <w:r>
        <w:rPr>
          <w:rFonts w:hint="eastAsia" w:ascii="微软雅黑" w:hAnsi="微软雅黑" w:eastAsia="微软雅黑" w:cs="微软雅黑"/>
          <w:b/>
          <w:bCs/>
          <w:i w:val="0"/>
          <w:iCs w:val="0"/>
          <w:caps w:val="0"/>
          <w:color w:val="1F2329"/>
          <w:spacing w:val="0"/>
          <w:sz w:val="18"/>
          <w:szCs w:val="18"/>
          <w:shd w:val="clear" w:fill="FFFFFF"/>
          <w:lang w:val="en-US" w:eastAsia="zh-CN"/>
        </w:rPr>
        <w:t xml:space="preserve">arget </w:t>
      </w:r>
      <w:r>
        <w:rPr>
          <w:rFonts w:hint="eastAsia" w:ascii="微软雅黑" w:hAnsi="微软雅黑" w:eastAsia="微软雅黑" w:cs="微软雅黑"/>
          <w:b/>
          <w:bCs/>
          <w:i w:val="0"/>
          <w:iCs w:val="0"/>
          <w:caps w:val="0"/>
          <w:color w:val="1F2329"/>
          <w:spacing w:val="0"/>
          <w:sz w:val="18"/>
          <w:szCs w:val="18"/>
          <w:shd w:val="clear" w:fill="FFFFFF"/>
        </w:rPr>
        <w:t>Exhibitors</w:t>
      </w:r>
    </w:p>
    <w:p w14:paraId="59B078FC">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Leisure food production enterprises</w:t>
      </w:r>
    </w:p>
    <w:p w14:paraId="0EB9C83B">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Food raw material suppliers</w:t>
      </w:r>
    </w:p>
    <w:p w14:paraId="25E2C138">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Food industry processing aids providers</w:t>
      </w:r>
    </w:p>
    <w:p w14:paraId="2CC6916A">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Food processing equipment manufacturers </w:t>
      </w:r>
    </w:p>
    <w:p w14:paraId="3A23B26B">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Food packaging enterprises </w:t>
      </w:r>
    </w:p>
    <w:p w14:paraId="1FAB2077">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Logistics and warehousing enterprises </w:t>
      </w:r>
    </w:p>
    <w:p w14:paraId="4CE5FAC3">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Trade agents and distributors</w:t>
      </w:r>
    </w:p>
    <w:p w14:paraId="41732C21">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Industry associations and media </w:t>
      </w:r>
    </w:p>
    <w:p w14:paraId="195C325A">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Other food - related industry enterprises </w:t>
      </w:r>
    </w:p>
    <w:p w14:paraId="03CF93FC">
      <w:pPr>
        <w:rPr>
          <w:rFonts w:hint="eastAsia" w:ascii="微软雅黑" w:hAnsi="微软雅黑" w:eastAsia="微软雅黑" w:cs="微软雅黑"/>
          <w:i w:val="0"/>
          <w:iCs w:val="0"/>
          <w:caps w:val="0"/>
          <w:color w:val="1F2329"/>
          <w:spacing w:val="0"/>
          <w:sz w:val="18"/>
          <w:szCs w:val="18"/>
          <w:shd w:val="clear" w:fill="FFFFFF"/>
        </w:rPr>
      </w:pPr>
    </w:p>
    <w:p w14:paraId="50E7A42E">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 xml:space="preserve">This diverse range of exhibitors represents the entire spectrum of the food industry, creating a dynamic marketplace for networking, business development, and knowledge exchange. </w:t>
      </w:r>
    </w:p>
    <w:p w14:paraId="6ABFF9DD">
      <w:pPr>
        <w:rPr>
          <w:rFonts w:hint="eastAsia" w:ascii="微软雅黑" w:hAnsi="微软雅黑" w:eastAsia="微软雅黑" w:cs="微软雅黑"/>
          <w:i w:val="0"/>
          <w:iCs w:val="0"/>
          <w:caps w:val="0"/>
          <w:color w:val="1F2329"/>
          <w:spacing w:val="0"/>
          <w:sz w:val="18"/>
          <w:szCs w:val="18"/>
          <w:shd w:val="clear" w:fill="FFFFFF"/>
        </w:rPr>
      </w:pPr>
    </w:p>
    <w:p w14:paraId="6D6A45AF">
      <w:pPr>
        <w:rPr>
          <w:rFonts w:hint="eastAsia" w:ascii="微软雅黑" w:hAnsi="微软雅黑" w:eastAsia="微软雅黑" w:cs="微软雅黑"/>
          <w:b/>
          <w:bCs/>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Exhibition Buyers</w:t>
      </w:r>
    </w:p>
    <w:p w14:paraId="2005BC0E">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i w:val="0"/>
          <w:iCs w:val="0"/>
          <w:caps w:val="0"/>
          <w:color w:val="1F2329"/>
          <w:spacing w:val="0"/>
          <w:sz w:val="18"/>
          <w:szCs w:val="18"/>
          <w:shd w:val="clear" w:fill="FFFFFF"/>
        </w:rPr>
        <w:t>The expo attracts a broad spectrum of buyers, including large</w:t>
      </w:r>
      <w:r>
        <w:rPr>
          <w:rFonts w:hint="eastAsia" w:ascii="微软雅黑" w:hAnsi="微软雅黑" w:eastAsia="微软雅黑" w:cs="微软雅黑"/>
          <w:i w:val="0"/>
          <w:iCs w:val="0"/>
          <w:caps w:val="0"/>
          <w:color w:val="1F2329"/>
          <w:spacing w:val="0"/>
          <w:sz w:val="18"/>
          <w:szCs w:val="18"/>
          <w:shd w:val="clear" w:fill="FFFFFF"/>
          <w:lang w:val="en-US" w:eastAsia="zh-CN"/>
        </w:rPr>
        <w:t>-</w:t>
      </w:r>
      <w:r>
        <w:rPr>
          <w:rFonts w:hint="eastAsia" w:ascii="微软雅黑" w:hAnsi="微软雅黑" w:eastAsia="微软雅黑" w:cs="微软雅黑"/>
          <w:i w:val="0"/>
          <w:iCs w:val="0"/>
          <w:caps w:val="0"/>
          <w:color w:val="1F2329"/>
          <w:spacing w:val="0"/>
          <w:sz w:val="18"/>
          <w:szCs w:val="18"/>
          <w:shd w:val="clear" w:fill="FFFFFF"/>
        </w:rPr>
        <w:t>scale retailers, major supermarket chains, convenience stores, and leading e-commerce platforms. Additionally, buyers from the food service industry, such as restaurants, cafes, and fast - food establishments, along with food manufacturers, brand owners, wholesalers, cross</w:t>
      </w:r>
      <w:r>
        <w:rPr>
          <w:rFonts w:hint="eastAsia" w:ascii="微软雅黑" w:hAnsi="微软雅黑" w:eastAsia="微软雅黑" w:cs="微软雅黑"/>
          <w:i w:val="0"/>
          <w:iCs w:val="0"/>
          <w:caps w:val="0"/>
          <w:color w:val="1F2329"/>
          <w:spacing w:val="0"/>
          <w:sz w:val="18"/>
          <w:szCs w:val="18"/>
          <w:shd w:val="clear" w:fill="FFFFFF"/>
          <w:lang w:val="en-US" w:eastAsia="zh-CN"/>
        </w:rPr>
        <w:t>-</w:t>
      </w:r>
      <w:r>
        <w:rPr>
          <w:rFonts w:hint="eastAsia" w:ascii="微软雅黑" w:hAnsi="微软雅黑" w:eastAsia="微软雅黑" w:cs="微软雅黑"/>
          <w:i w:val="0"/>
          <w:iCs w:val="0"/>
          <w:caps w:val="0"/>
          <w:color w:val="1F2329"/>
          <w:spacing w:val="0"/>
          <w:sz w:val="18"/>
          <w:szCs w:val="18"/>
          <w:shd w:val="clear" w:fill="FFFFFF"/>
        </w:rPr>
        <w:t>border</w:t>
      </w:r>
      <w:r>
        <w:rPr>
          <w:rFonts w:hint="eastAsia" w:ascii="微软雅黑" w:hAnsi="微软雅黑" w:eastAsia="微软雅黑" w:cs="微软雅黑"/>
          <w:i w:val="0"/>
          <w:iCs w:val="0"/>
          <w:caps w:val="0"/>
          <w:color w:val="1F2329"/>
          <w:spacing w:val="0"/>
          <w:sz w:val="18"/>
          <w:szCs w:val="18"/>
          <w:shd w:val="clear" w:fill="FFFFFF"/>
          <w:lang w:val="en-US" w:eastAsia="zh-CN"/>
        </w:rPr>
        <w:t xml:space="preserve"> </w:t>
      </w:r>
      <w:r>
        <w:rPr>
          <w:rFonts w:hint="eastAsia" w:ascii="微软雅黑" w:hAnsi="微软雅黑" w:eastAsia="微软雅黑" w:cs="微软雅黑"/>
          <w:i w:val="0"/>
          <w:iCs w:val="0"/>
          <w:caps w:val="0"/>
          <w:color w:val="1F2329"/>
          <w:spacing w:val="0"/>
          <w:sz w:val="18"/>
          <w:szCs w:val="18"/>
          <w:shd w:val="clear" w:fill="FFFFFF"/>
        </w:rPr>
        <w:t>e</w:t>
      </w:r>
      <w:r>
        <w:rPr>
          <w:rFonts w:hint="eastAsia" w:ascii="微软雅黑" w:hAnsi="微软雅黑" w:eastAsia="微软雅黑" w:cs="微软雅黑"/>
          <w:i w:val="0"/>
          <w:iCs w:val="0"/>
          <w:caps w:val="0"/>
          <w:color w:val="1F2329"/>
          <w:spacing w:val="0"/>
          <w:sz w:val="18"/>
          <w:szCs w:val="18"/>
          <w:shd w:val="clear" w:fill="FFFFFF"/>
          <w:lang w:val="en-US" w:eastAsia="zh-CN"/>
        </w:rPr>
        <w:t>-</w:t>
      </w:r>
      <w:r>
        <w:rPr>
          <w:rFonts w:hint="eastAsia" w:ascii="微软雅黑" w:hAnsi="微软雅黑" w:eastAsia="微软雅黑" w:cs="微软雅黑"/>
          <w:i w:val="0"/>
          <w:iCs w:val="0"/>
          <w:caps w:val="0"/>
          <w:color w:val="1F2329"/>
          <w:spacing w:val="0"/>
          <w:sz w:val="18"/>
          <w:szCs w:val="18"/>
          <w:shd w:val="clear" w:fill="FFFFFF"/>
        </w:rPr>
        <w:t xml:space="preserve">commerce operators, and professional purchasing agents, will be in attendance. This large and diverse buyer pool offers exhibitors unparalleled opportunities to expand their market reach, establish new business partnerships, and drive sales growth. </w:t>
      </w:r>
    </w:p>
    <w:p w14:paraId="5836D877">
      <w:pPr>
        <w:rPr>
          <w:rFonts w:hint="eastAsia" w:ascii="微软雅黑" w:hAnsi="微软雅黑" w:eastAsia="微软雅黑" w:cs="微软雅黑"/>
          <w:i w:val="0"/>
          <w:iCs w:val="0"/>
          <w:caps w:val="0"/>
          <w:color w:val="1F2329"/>
          <w:spacing w:val="0"/>
          <w:sz w:val="18"/>
          <w:szCs w:val="18"/>
          <w:shd w:val="clear" w:fill="FFFFFF"/>
        </w:rPr>
      </w:pPr>
    </w:p>
    <w:p w14:paraId="396A1CC1">
      <w:pPr>
        <w:rPr>
          <w:rFonts w:hint="eastAsia" w:ascii="微软雅黑" w:hAnsi="微软雅黑" w:eastAsia="微软雅黑" w:cs="微软雅黑"/>
          <w:b/>
          <w:bCs/>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Exhibition Advantages</w:t>
      </w:r>
    </w:p>
    <w:p w14:paraId="25C5DC05">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 xml:space="preserve">Accelerated Market Penetration: </w:t>
      </w:r>
      <w:r>
        <w:rPr>
          <w:rFonts w:hint="eastAsia" w:ascii="微软雅黑" w:hAnsi="微软雅黑" w:eastAsia="微软雅黑" w:cs="微软雅黑"/>
          <w:i w:val="0"/>
          <w:iCs w:val="0"/>
          <w:caps w:val="0"/>
          <w:color w:val="1F2329"/>
          <w:spacing w:val="0"/>
          <w:sz w:val="18"/>
          <w:szCs w:val="18"/>
          <w:shd w:val="clear" w:fill="FFFFFF"/>
        </w:rPr>
        <w:t>By participating in the expo, exhibitors can engage in direct, face-to-face interactions with renowned national brands, key suppliers, and major distributors. This direct engagement serves as a catalyst for market expansion, enabling exhibitors to enter new markets, secure distribution partnerships, and increase their market share.</w:t>
      </w:r>
    </w:p>
    <w:p w14:paraId="5871F794">
      <w:pPr>
        <w:rPr>
          <w:rFonts w:hint="eastAsia" w:ascii="微软雅黑" w:hAnsi="微软雅黑" w:eastAsia="微软雅黑" w:cs="微软雅黑"/>
          <w:i w:val="0"/>
          <w:iCs w:val="0"/>
          <w:caps w:val="0"/>
          <w:color w:val="1F2329"/>
          <w:spacing w:val="0"/>
          <w:sz w:val="18"/>
          <w:szCs w:val="18"/>
          <w:shd w:val="clear" w:fill="FFFFFF"/>
        </w:rPr>
      </w:pPr>
    </w:p>
    <w:p w14:paraId="162EE1AC">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Amplified Brand Visibility:</w:t>
      </w:r>
      <w:r>
        <w:rPr>
          <w:rFonts w:hint="eastAsia" w:ascii="微软雅黑" w:hAnsi="微软雅黑" w:eastAsia="微软雅黑" w:cs="微软雅黑"/>
          <w:i w:val="0"/>
          <w:iCs w:val="0"/>
          <w:caps w:val="0"/>
          <w:color w:val="1F2329"/>
          <w:spacing w:val="0"/>
          <w:sz w:val="18"/>
          <w:szCs w:val="18"/>
          <w:shd w:val="clear" w:fill="FFFFFF"/>
        </w:rPr>
        <w:t xml:space="preserve"> The Food Expo provides an ideal platform for exhibitors to enhance their brand's visibility and market recognition. Through strategic exhibition booth designs, targeted promotional activities, and media coverage, exhibitors can effectively showcase their brand's unique value proposition to a highly targeted and influential audience, thereby strengthening their brand's position in the market.</w:t>
      </w:r>
    </w:p>
    <w:p w14:paraId="1B74C04E">
      <w:pPr>
        <w:rPr>
          <w:rFonts w:hint="eastAsia" w:ascii="微软雅黑" w:hAnsi="微软雅黑" w:eastAsia="微软雅黑" w:cs="微软雅黑"/>
          <w:i w:val="0"/>
          <w:iCs w:val="0"/>
          <w:caps w:val="0"/>
          <w:color w:val="1F2329"/>
          <w:spacing w:val="0"/>
          <w:sz w:val="18"/>
          <w:szCs w:val="18"/>
          <w:shd w:val="clear" w:fill="FFFFFF"/>
        </w:rPr>
      </w:pPr>
    </w:p>
    <w:p w14:paraId="7D9DF2E0">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I</w:t>
      </w:r>
      <w:r>
        <w:rPr>
          <w:rFonts w:hint="eastAsia" w:ascii="微软雅黑" w:hAnsi="微软雅黑" w:eastAsia="微软雅黑" w:cs="微软雅黑"/>
          <w:b/>
          <w:bCs/>
          <w:i w:val="0"/>
          <w:iCs w:val="0"/>
          <w:caps w:val="0"/>
          <w:color w:val="1F2329"/>
          <w:spacing w:val="0"/>
          <w:sz w:val="18"/>
          <w:szCs w:val="18"/>
          <w:shd w:val="clear" w:fill="FFFFFF"/>
          <w:lang w:val="en-US" w:eastAsia="zh-CN"/>
        </w:rPr>
        <w:t>n-</w:t>
      </w:r>
      <w:r>
        <w:rPr>
          <w:rFonts w:hint="eastAsia" w:ascii="微软雅黑" w:hAnsi="微软雅黑" w:eastAsia="微软雅黑" w:cs="微软雅黑"/>
          <w:b/>
          <w:bCs/>
          <w:i w:val="0"/>
          <w:iCs w:val="0"/>
          <w:caps w:val="0"/>
          <w:color w:val="1F2329"/>
          <w:spacing w:val="0"/>
          <w:sz w:val="18"/>
          <w:szCs w:val="18"/>
          <w:shd w:val="clear" w:fill="FFFFFF"/>
        </w:rPr>
        <w:t>depth Industry Insights:</w:t>
      </w:r>
      <w:r>
        <w:rPr>
          <w:rFonts w:hint="eastAsia" w:ascii="微软雅黑" w:hAnsi="微软雅黑" w:eastAsia="微软雅黑" w:cs="微软雅黑"/>
          <w:i w:val="0"/>
          <w:iCs w:val="0"/>
          <w:caps w:val="0"/>
          <w:color w:val="1F2329"/>
          <w:spacing w:val="0"/>
          <w:sz w:val="18"/>
          <w:szCs w:val="18"/>
          <w:shd w:val="clear" w:fill="FFFFFF"/>
        </w:rPr>
        <w:t xml:space="preserve"> Stay ahead of the curve by accessing the latest industry trends, insights, and best practices. The expo offers a series of industry-leading seminars, panel discussions, and networking events, where exhibitors can engage in in-depth exchanges with industry experts, thought leaders, and peers. These interactions provide valuable insights into emerging market trends, technological advancements, and regulatory changes, enabling exhibitors to make informed business decisions and stay competitive in the market.</w:t>
      </w:r>
    </w:p>
    <w:p w14:paraId="4D8E1E7F">
      <w:pPr>
        <w:rPr>
          <w:rFonts w:hint="eastAsia" w:ascii="微软雅黑" w:hAnsi="微软雅黑" w:eastAsia="微软雅黑" w:cs="微软雅黑"/>
          <w:i w:val="0"/>
          <w:iCs w:val="0"/>
          <w:caps w:val="0"/>
          <w:color w:val="1F2329"/>
          <w:spacing w:val="0"/>
          <w:sz w:val="18"/>
          <w:szCs w:val="18"/>
          <w:shd w:val="clear" w:fill="FFFFFF"/>
        </w:rPr>
      </w:pPr>
    </w:p>
    <w:p w14:paraId="40011256">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 xml:space="preserve">Leveraging Government - backed </w:t>
      </w:r>
      <w:r>
        <w:rPr>
          <w:rFonts w:hint="eastAsia" w:ascii="微软雅黑" w:hAnsi="微软雅黑" w:eastAsia="微软雅黑" w:cs="微软雅黑"/>
          <w:b/>
          <w:bCs/>
          <w:i w:val="0"/>
          <w:iCs w:val="0"/>
          <w:caps w:val="0"/>
          <w:color w:val="1F2329"/>
          <w:spacing w:val="0"/>
          <w:sz w:val="18"/>
          <w:szCs w:val="18"/>
          <w:shd w:val="clear" w:fill="FFFFFF"/>
          <w:lang w:val="en-US" w:eastAsia="zh-CN"/>
        </w:rPr>
        <w:t>s</w:t>
      </w:r>
      <w:r>
        <w:rPr>
          <w:rFonts w:hint="eastAsia" w:ascii="微软雅黑" w:hAnsi="微软雅黑" w:eastAsia="微软雅黑" w:cs="微软雅黑"/>
          <w:b/>
          <w:bCs/>
          <w:i w:val="0"/>
          <w:iCs w:val="0"/>
          <w:caps w:val="0"/>
          <w:color w:val="1F2329"/>
          <w:spacing w:val="0"/>
          <w:sz w:val="18"/>
          <w:szCs w:val="18"/>
          <w:shd w:val="clear" w:fill="FFFFFF"/>
        </w:rPr>
        <w:t>upport:</w:t>
      </w:r>
      <w:r>
        <w:rPr>
          <w:rFonts w:hint="eastAsia" w:ascii="微软雅黑" w:hAnsi="微软雅黑" w:eastAsia="微软雅黑" w:cs="微软雅黑"/>
          <w:b/>
          <w:bCs/>
          <w:i w:val="0"/>
          <w:iCs w:val="0"/>
          <w:caps w:val="0"/>
          <w:color w:val="1F2329"/>
          <w:spacing w:val="0"/>
          <w:sz w:val="18"/>
          <w:szCs w:val="18"/>
          <w:shd w:val="clear" w:fill="FFFFFF"/>
          <w:lang w:val="en-US" w:eastAsia="zh-CN"/>
        </w:rPr>
        <w:t xml:space="preserve"> </w:t>
      </w:r>
      <w:r>
        <w:rPr>
          <w:rFonts w:hint="eastAsia" w:ascii="微软雅黑" w:hAnsi="微软雅黑" w:eastAsia="微软雅黑" w:cs="微软雅黑"/>
          <w:i w:val="0"/>
          <w:iCs w:val="0"/>
          <w:caps w:val="0"/>
          <w:color w:val="1F2329"/>
          <w:spacing w:val="0"/>
          <w:sz w:val="18"/>
          <w:szCs w:val="18"/>
          <w:shd w:val="clear" w:fill="FFFFFF"/>
        </w:rPr>
        <w:t>The expo serves as a bridge between exhibitors and government leaders, providing a unique opportunity to establish connections and seek policy support. By engaging with government representatives, exhibitors can explore potential tax incentives, financial subsidies, and regulatory support, which can significantly reduce operating costs and enhance their overall competitiveness in the market.</w:t>
      </w:r>
    </w:p>
    <w:p w14:paraId="5E5B1C2B">
      <w:pPr>
        <w:rPr>
          <w:rFonts w:hint="eastAsia" w:ascii="微软雅黑" w:hAnsi="微软雅黑" w:eastAsia="微软雅黑" w:cs="微软雅黑"/>
          <w:i w:val="0"/>
          <w:iCs w:val="0"/>
          <w:caps w:val="0"/>
          <w:color w:val="1F2329"/>
          <w:spacing w:val="0"/>
          <w:sz w:val="18"/>
          <w:szCs w:val="18"/>
          <w:shd w:val="clear" w:fill="FFFFFF"/>
        </w:rPr>
      </w:pPr>
    </w:p>
    <w:p w14:paraId="62DF3517">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Enhanced Collaboration Opportunities:</w:t>
      </w:r>
      <w:r>
        <w:rPr>
          <w:rFonts w:hint="eastAsia" w:ascii="微软雅黑" w:hAnsi="微软雅黑" w:eastAsia="微软雅黑" w:cs="微软雅黑"/>
          <w:i w:val="0"/>
          <w:iCs w:val="0"/>
          <w:caps w:val="0"/>
          <w:color w:val="1F2329"/>
          <w:spacing w:val="0"/>
          <w:sz w:val="18"/>
          <w:szCs w:val="18"/>
          <w:shd w:val="clear" w:fill="FFFFFF"/>
        </w:rPr>
        <w:t xml:space="preserve"> Build strong and lasting partnerships with upstream and downstream enterprises in the industrial chain. The expo creates a collaborative environment where exhibitors can network, share ideas, and explore potential cooperation opportunities. By forging strategic partnerships, exhibitors can leverage each other's strengths, share resources, and drive innovation, thereby enhancing their overall corporate competitiveness and market position.</w:t>
      </w:r>
    </w:p>
    <w:p w14:paraId="7FFD6DE0">
      <w:pPr>
        <w:rPr>
          <w:rFonts w:hint="eastAsia" w:ascii="微软雅黑" w:hAnsi="微软雅黑" w:eastAsia="微软雅黑" w:cs="微软雅黑"/>
          <w:i w:val="0"/>
          <w:iCs w:val="0"/>
          <w:caps w:val="0"/>
          <w:color w:val="1F2329"/>
          <w:spacing w:val="0"/>
          <w:sz w:val="18"/>
          <w:szCs w:val="18"/>
          <w:shd w:val="clear" w:fill="FFFFFF"/>
        </w:rPr>
      </w:pPr>
    </w:p>
    <w:p w14:paraId="34605E81">
      <w:pPr>
        <w:rPr>
          <w:rFonts w:hint="eastAsia" w:ascii="微软雅黑" w:hAnsi="微软雅黑" w:eastAsia="微软雅黑" w:cs="微软雅黑"/>
          <w:b/>
          <w:bCs/>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Exhibition Highlights</w:t>
      </w:r>
    </w:p>
    <w:p w14:paraId="79CBEB01">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Comprehensive Industrial Chain Showcase:</w:t>
      </w:r>
      <w:r>
        <w:rPr>
          <w:rFonts w:hint="eastAsia" w:ascii="微软雅黑" w:hAnsi="微软雅黑" w:eastAsia="微软雅黑" w:cs="微软雅黑"/>
          <w:i w:val="0"/>
          <w:iCs w:val="0"/>
          <w:caps w:val="0"/>
          <w:color w:val="1F2329"/>
          <w:spacing w:val="0"/>
          <w:sz w:val="18"/>
          <w:szCs w:val="18"/>
          <w:shd w:val="clear" w:fill="FFFFFF"/>
        </w:rPr>
        <w:t xml:space="preserve"> The expo offers a complete and immersive display of all major links in the leisure food industry chain. From the sourcing of raw materials to the final packaging and distribution of finished products, exhibitors can gain a holistic understanding of the industry ecosystem. This comprehensive showcase enables enterprises to identify potential suppliers, partners, and industry trends,</w:t>
      </w:r>
      <w:r>
        <w:rPr>
          <w:rFonts w:hint="eastAsia" w:ascii="微软雅黑" w:hAnsi="微软雅黑" w:eastAsia="微软雅黑" w:cs="微软雅黑"/>
          <w:i w:val="0"/>
          <w:iCs w:val="0"/>
          <w:caps w:val="0"/>
          <w:color w:val="1F2329"/>
          <w:spacing w:val="0"/>
          <w:sz w:val="18"/>
          <w:szCs w:val="18"/>
          <w:shd w:val="clear" w:fill="FFFFFF"/>
          <w:lang w:val="en-US" w:eastAsia="zh-CN"/>
        </w:rPr>
        <w:t xml:space="preserve"> </w:t>
      </w:r>
      <w:r>
        <w:rPr>
          <w:rFonts w:hint="eastAsia" w:ascii="微软雅黑" w:hAnsi="微软雅黑" w:eastAsia="微软雅黑" w:cs="微软雅黑"/>
          <w:i w:val="0"/>
          <w:iCs w:val="0"/>
          <w:caps w:val="0"/>
          <w:color w:val="1F2329"/>
          <w:spacing w:val="0"/>
          <w:sz w:val="18"/>
          <w:szCs w:val="18"/>
          <w:shd w:val="clear" w:fill="FFFFFF"/>
        </w:rPr>
        <w:t>facilitating informed decision-making and strategic business planning.</w:t>
      </w:r>
    </w:p>
    <w:p w14:paraId="74F8D257">
      <w:pPr>
        <w:rPr>
          <w:rFonts w:hint="eastAsia" w:ascii="微软雅黑" w:hAnsi="微软雅黑" w:eastAsia="微软雅黑" w:cs="微软雅黑"/>
          <w:i w:val="0"/>
          <w:iCs w:val="0"/>
          <w:caps w:val="0"/>
          <w:color w:val="1F2329"/>
          <w:spacing w:val="0"/>
          <w:sz w:val="18"/>
          <w:szCs w:val="18"/>
          <w:shd w:val="clear" w:fill="FFFFFF"/>
        </w:rPr>
      </w:pPr>
    </w:p>
    <w:p w14:paraId="3F708802">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Power of the Industrial Cluster:</w:t>
      </w:r>
      <w:r>
        <w:rPr>
          <w:rFonts w:hint="eastAsia" w:ascii="微软雅黑" w:hAnsi="微软雅黑" w:eastAsia="微软雅黑" w:cs="微软雅黑"/>
          <w:i w:val="0"/>
          <w:iCs w:val="0"/>
          <w:caps w:val="0"/>
          <w:color w:val="1F2329"/>
          <w:spacing w:val="0"/>
          <w:sz w:val="18"/>
          <w:szCs w:val="18"/>
          <w:shd w:val="clear" w:fill="FFFFFF"/>
        </w:rPr>
        <w:t xml:space="preserve"> Ningjin County's status as a vital leisure food production base in the country ensures that the exhibition attracts a large number of industry professionals from across the nation. The industrial cluster effect creates a vibrant and dynamic environment for sharing industrial resources, fostering innovation, and exploring new business opportunities. This concentration of industry expertise and resources provides exhibitors with a unique competitive advantage, enabling them to stay ahead of the competition and capitalize on emerging market trends.</w:t>
      </w:r>
    </w:p>
    <w:p w14:paraId="345C9870">
      <w:pPr>
        <w:rPr>
          <w:rFonts w:hint="eastAsia" w:ascii="微软雅黑" w:hAnsi="微软雅黑" w:eastAsia="微软雅黑" w:cs="微软雅黑"/>
          <w:i w:val="0"/>
          <w:iCs w:val="0"/>
          <w:caps w:val="0"/>
          <w:color w:val="1F2329"/>
          <w:spacing w:val="0"/>
          <w:sz w:val="18"/>
          <w:szCs w:val="18"/>
          <w:shd w:val="clear" w:fill="FFFFFF"/>
        </w:rPr>
      </w:pPr>
    </w:p>
    <w:p w14:paraId="1DFE1E58">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Government - Driven Growth Initiatives:</w:t>
      </w:r>
      <w:r>
        <w:rPr>
          <w:rFonts w:hint="eastAsia" w:ascii="微软雅黑" w:hAnsi="微软雅黑" w:eastAsia="微软雅黑" w:cs="微软雅黑"/>
          <w:i w:val="0"/>
          <w:iCs w:val="0"/>
          <w:caps w:val="0"/>
          <w:color w:val="1F2329"/>
          <w:spacing w:val="0"/>
          <w:sz w:val="18"/>
          <w:szCs w:val="18"/>
          <w:shd w:val="clear" w:fill="FFFFFF"/>
        </w:rPr>
        <w:t xml:space="preserve"> The Ningjin County Government has been actively supporting the growth and development of the food industry through a series of favorable policies. These policies cover a wide range of areas, including tax incentives, financial subsidies, talent introduction, and infrastructure development. During the exhibition, exhibitors will have the opportunity to engage in direct dialogue with local government leaders, gaining access to the latest industrial development policies and exploring potential cooperation opportunities. This direct interaction with government authorities can provide</w:t>
      </w:r>
      <w:r>
        <w:rPr>
          <w:rFonts w:hint="eastAsia" w:ascii="微软雅黑" w:hAnsi="微软雅黑" w:eastAsia="微软雅黑" w:cs="微软雅黑"/>
          <w:i w:val="0"/>
          <w:iCs w:val="0"/>
          <w:caps w:val="0"/>
          <w:color w:val="1F2329"/>
          <w:spacing w:val="0"/>
          <w:sz w:val="18"/>
          <w:szCs w:val="18"/>
          <w:shd w:val="clear" w:fill="FFFFFF"/>
          <w:lang w:val="en-US" w:eastAsia="zh-CN"/>
        </w:rPr>
        <w:t xml:space="preserve"> </w:t>
      </w:r>
      <w:r>
        <w:rPr>
          <w:rFonts w:hint="eastAsia" w:ascii="微软雅黑" w:hAnsi="微软雅黑" w:eastAsia="微软雅黑" w:cs="微软雅黑"/>
          <w:i w:val="0"/>
          <w:iCs w:val="0"/>
          <w:caps w:val="0"/>
          <w:color w:val="1F2329"/>
          <w:spacing w:val="0"/>
          <w:sz w:val="18"/>
          <w:szCs w:val="18"/>
          <w:shd w:val="clear" w:fill="FFFFFF"/>
        </w:rPr>
        <w:t>exhibitors with a significant competitive edge, enabling them to leverage government support to drive business growth and innovation.</w:t>
      </w:r>
    </w:p>
    <w:p w14:paraId="704C3D20">
      <w:pPr>
        <w:rPr>
          <w:rFonts w:hint="eastAsia" w:ascii="微软雅黑" w:hAnsi="微软雅黑" w:eastAsia="微软雅黑" w:cs="微软雅黑"/>
          <w:i w:val="0"/>
          <w:iCs w:val="0"/>
          <w:caps w:val="0"/>
          <w:color w:val="1F2329"/>
          <w:spacing w:val="0"/>
          <w:sz w:val="18"/>
          <w:szCs w:val="18"/>
          <w:shd w:val="clear" w:fill="FFFFFF"/>
        </w:rPr>
      </w:pPr>
    </w:p>
    <w:p w14:paraId="0F5C9432">
      <w:pPr>
        <w:rPr>
          <w:rFonts w:hint="eastAsia" w:ascii="微软雅黑" w:hAnsi="微软雅黑" w:eastAsia="微软雅黑" w:cs="微软雅黑"/>
          <w:i w:val="0"/>
          <w:iCs w:val="0"/>
          <w:caps w:val="0"/>
          <w:color w:val="1F2329"/>
          <w:spacing w:val="0"/>
          <w:sz w:val="18"/>
          <w:szCs w:val="18"/>
          <w:shd w:val="clear" w:fill="FFFFFF"/>
        </w:rPr>
      </w:pPr>
      <w:r>
        <w:rPr>
          <w:rFonts w:hint="eastAsia" w:ascii="微软雅黑" w:hAnsi="微软雅黑" w:eastAsia="微软雅黑" w:cs="微软雅黑"/>
          <w:b/>
          <w:bCs/>
          <w:i w:val="0"/>
          <w:iCs w:val="0"/>
          <w:caps w:val="0"/>
          <w:color w:val="1F2329"/>
          <w:spacing w:val="0"/>
          <w:sz w:val="18"/>
          <w:szCs w:val="18"/>
          <w:shd w:val="clear" w:fill="FFFFFF"/>
        </w:rPr>
        <w:t>Tapping into the Lucrative Market Potential:</w:t>
      </w:r>
      <w:r>
        <w:rPr>
          <w:rFonts w:hint="eastAsia" w:ascii="微软雅黑" w:hAnsi="微软雅黑" w:eastAsia="微软雅黑" w:cs="微软雅黑"/>
          <w:i w:val="0"/>
          <w:iCs w:val="0"/>
          <w:caps w:val="0"/>
          <w:color w:val="1F2329"/>
          <w:spacing w:val="0"/>
          <w:sz w:val="18"/>
          <w:szCs w:val="18"/>
          <w:shd w:val="clear" w:fill="FFFFFF"/>
        </w:rPr>
        <w:t xml:space="preserve"> The leisure food market is experiencing a robust and sustained growth trajectory as part of the broader consumption upgrading trend. With consumers becoming increasingly health-conscious and demanding in terms of food quality, safety, and nutrition, the industry has entered a new era of growth and innovation. The expo provides exhibitors with a unique opportunity to tap into this growing market demand by showcasing their innovative products, engaging with potential customers, and expanding their sales channels. By participating in the expo, exhibitors can enhance their brand recognition, increase market share, and capitalize on the vast market potential of the leisure food industry. </w:t>
      </w:r>
    </w:p>
    <w:p w14:paraId="6228523D">
      <w:pPr>
        <w:rPr>
          <w:rFonts w:hint="eastAsia" w:ascii="微软雅黑" w:hAnsi="微软雅黑" w:eastAsia="微软雅黑" w:cs="微软雅黑"/>
          <w:i w:val="0"/>
          <w:iCs w:val="0"/>
          <w:caps w:val="0"/>
          <w:color w:val="1F2329"/>
          <w:spacing w:val="0"/>
          <w:sz w:val="18"/>
          <w:szCs w:val="18"/>
          <w:shd w:val="clear" w:fill="FFFFFF"/>
        </w:rPr>
      </w:pPr>
    </w:p>
    <w:p w14:paraId="2A2B595A">
      <w:pPr>
        <w:rPr>
          <w:rFonts w:hint="eastAsia" w:ascii="微软雅黑" w:hAnsi="微软雅黑" w:eastAsia="微软雅黑" w:cs="微软雅黑"/>
          <w:sz w:val="18"/>
          <w:szCs w:val="18"/>
          <w:lang w:val="en-US" w:eastAsia="zh-CN"/>
        </w:rPr>
      </w:pPr>
      <w:r>
        <w:rPr>
          <w:rFonts w:hint="eastAsia" w:ascii="微软雅黑" w:hAnsi="微软雅黑" w:eastAsia="微软雅黑" w:cs="微软雅黑"/>
          <w:i w:val="0"/>
          <w:iCs w:val="0"/>
          <w:caps w:val="0"/>
          <w:color w:val="1F2329"/>
          <w:spacing w:val="0"/>
          <w:sz w:val="18"/>
          <w:szCs w:val="18"/>
          <w:shd w:val="clear" w:fill="FFFFFF"/>
        </w:rPr>
        <w:t>For further information, please feel free to contact the Ningjin Food Expo Organizing Committee. We look forward to welcoming you to the 2025 3rd Hebei Ningjin Food Industry Expo and working together to drive the growth and success of the food industry.</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tserra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Segoe MDL2 Assets">
    <w:panose1 w:val="050A0102010101010101"/>
    <w:charset w:val="00"/>
    <w:family w:val="auto"/>
    <w:pitch w:val="default"/>
    <w:sig w:usb0="00000000" w:usb1="10000000" w:usb2="00000000" w:usb3="00000000" w:csb0="00000001" w:csb1="00000000"/>
  </w:font>
  <w:font w:name="Gabriola">
    <w:panose1 w:val="04040605051002020D02"/>
    <w:charset w:val="00"/>
    <w:family w:val="auto"/>
    <w:pitch w:val="default"/>
    <w:sig w:usb0="E00002EF" w:usb1="5000204B" w:usb2="00000000" w:usb3="00000000" w:csb0="2000009F" w:csb1="00000000"/>
  </w:font>
  <w:font w:name="Corbel Light">
    <w:panose1 w:val="020B0303020204020204"/>
    <w:charset w:val="00"/>
    <w:family w:val="auto"/>
    <w:pitch w:val="default"/>
    <w:sig w:usb0="A00002EF" w:usb1="4000A44B" w:usb2="00000000" w:usb3="00000000" w:csb0="2000019F"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0MWIwNzg5M2I2M2U4NmU3YTVlYzE3MTUxNzY5ZDcifQ=="/>
    <w:docVar w:name="KSO_WPS_MARK_KEY" w:val="5e3345b4-797f-40f7-88d0-bda813981e07"/>
  </w:docVars>
  <w:rsids>
    <w:rsidRoot w:val="2F1B53C3"/>
    <w:rsid w:val="04F03C97"/>
    <w:rsid w:val="058663AA"/>
    <w:rsid w:val="2DAB32C8"/>
    <w:rsid w:val="2DEC0BF0"/>
    <w:rsid w:val="2F1B53C3"/>
    <w:rsid w:val="3F0B2EA0"/>
    <w:rsid w:val="5BF32AEA"/>
    <w:rsid w:val="5D9D0F95"/>
    <w:rsid w:val="7DC82F09"/>
    <w:rsid w:val="7E1559EA"/>
    <w:rsid w:val="7EFC7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726</Words>
  <Characters>4508</Characters>
  <Lines>0</Lines>
  <Paragraphs>0</Paragraphs>
  <TotalTime>35</TotalTime>
  <ScaleCrop>false</ScaleCrop>
  <LinksUpToDate>false</LinksUpToDate>
  <CharactersWithSpaces>5187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2025-01-23T09:07:00Z</dcterms:created>
  <dc:creator>刘桐</dc:creator>
  <cp:lastModifiedBy>求生欲贼强的王某某</cp:lastModifiedBy>
  <dcterms:modified xsi:type="dcterms:W3CDTF">2025-01-24T06:31:54Z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A3675CDC39824E898FE07BC9F9840961_13</vt:lpwstr>
  </property>
  <property fmtid="{D5CDD505-2E9C-101B-9397-08002B2CF9AE}" pid="4" name="KSOTemplateDocerSaveRecord">
    <vt:lpwstr>eyJoZGlkIjoiNmMwZmJiYzk1NmE2MmM0NTcwZTgwZDY5MGVmOWM5MGUiLCJ1c2VySWQiOiI2OTc5MjAyNzQifQ==</vt:lpwstr>
  </property>
</Properties>
</file>