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2003-2010___1.vsd" ContentType="application/vnd.visio"/>
  <Override PartName="/word/embeddings/Microsoft_Visio_2003-2010___10.vsd" ContentType="application/vnd.visio"/>
  <Override PartName="/word/embeddings/Microsoft_Visio_2003-2010___2.vsd" ContentType="application/vnd.visio"/>
  <Override PartName="/word/embeddings/Microsoft_Visio_2003-2010___3.vsd" ContentType="application/vnd.visio"/>
  <Override PartName="/word/embeddings/Microsoft_Visio_2003-2010___4.vsd" ContentType="application/vnd.visio"/>
  <Override PartName="/word/embeddings/Microsoft_Visio_2003-2010___5.vsd" ContentType="application/vnd.visio"/>
  <Override PartName="/word/embeddings/Microsoft_Visio_2003-2010___6.vsd" ContentType="application/vnd.visio"/>
  <Override PartName="/word/embeddings/Microsoft_Visio_2003-2010___7.vsd" ContentType="application/vnd.visio"/>
  <Override PartName="/word/embeddings/Microsoft_Visio_2003-2010___8.vsd" ContentType="application/vnd.visio"/>
  <Override PartName="/word/embeddings/Microsoft_Visio_2003-2010___9.vsd" ContentType="application/vnd.visio"/>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20" w:hanging="420"/>
        <w:jc w:val="left"/>
        <w:sectPr>
          <w:headerReference r:id="rId7" w:type="first"/>
          <w:headerReference r:id="rId5" w:type="default"/>
          <w:headerReference r:id="rId6" w:type="even"/>
          <w:footerReference r:id="rId8" w:type="even"/>
          <w:pgSz w:w="11906" w:h="16838"/>
          <w:pgMar w:top="1304" w:right="1134" w:bottom="1134" w:left="1134" w:header="1134" w:footer="1134" w:gutter="0"/>
          <w:cols w:space="720" w:num="1"/>
          <w:docGrid w:type="lines" w:linePitch="312" w:charSpace="0"/>
        </w:sectPr>
      </w:pPr>
      <w:r>
        <w:pict>
          <v:rect id="矩形 137" o:spid="_x0000_s2055" o:spt="1" style="position:absolute;left:0pt;margin-left:-4.8pt;margin-top:193.95pt;height:89.6pt;width:599.6pt;mso-position-horizontal-relative:page;z-index:251670528;v-text-anchor:middle;mso-width-relative:page;mso-height-relative:page;" fillcolor="#003399"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">
            <v:path/>
            <v:fill on="t" color2="#FFFFFF" focussize="0,0"/>
            <v:stroke weight="1pt" color="#2F528F" joinstyle="miter"/>
            <v:imagedata o:title=""/>
            <o:lock v:ext="edit" aspectratio="f"/>
            <v:textbox>
              <w:txbxContent>
                <w:p/>
              </w:txbxContent>
            </v:textbox>
          </v:rect>
        </w:pict>
      </w:r>
      <w:r>
        <w:rPr>
          <w:rFonts w:ascii="楷体" w:hAnsi="楷体" w:eastAsia="楷体"/>
          <w:color w:val="252525"/>
        </w:rPr>
        <w:pict>
          <v:shape id="_x0000_s2050" o:spid="_x0000_s2050" o:spt="202" type="#_x0000_t202" style="position:absolute;left:0pt;margin-left:-21.9pt;margin-top:663.5pt;height:143.95pt;width:275.8pt;mso-wrap-distance-bottom:3.6pt;mso-wrap-distance-left:9pt;mso-wrap-distance-right:9pt;mso-wrap-distance-top:3.6pt;z-index:251675648;mso-width-relative:page;mso-height-relative:margin;mso-height-percent:200;"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">
            <v:path/>
            <v:fill on="f" focussize="0,0"/>
            <v:stroke on="f" joinstyle="miter"/>
            <v:imagedata o:title=""/>
            <o:lock v:ext="edit"/>
            <v:textbox style="mso-fit-shape-to-text:t;">
              <w:txbxContent>
                <w:p>
                  <w:pPr>
                    <w:rPr>
                      <w:rFonts w:hint="default" w:ascii="微软雅黑" w:hAnsi="微软雅黑" w:eastAsia="微软雅黑"/>
                      <w:spacing w:val="20"/>
                      <w:kern w:val="0"/>
                      <w:sz w:val="22"/>
                      <w:szCs w:val="28"/>
                      <w:lang w:val="en-US" w:eastAsia="zh-CN"/>
                    </w:rPr>
                  </w:pPr>
                  <w:r>
                    <w:rPr>
                      <w:rFonts w:hint="eastAsia" w:ascii="微软雅黑" w:hAnsi="微软雅黑" w:eastAsia="微软雅黑"/>
                      <w:spacing w:val="20"/>
                      <w:kern w:val="0"/>
                      <w:sz w:val="22"/>
                      <w:szCs w:val="28"/>
                    </w:rPr>
                    <w:t>让</w:t>
                  </w:r>
                  <w:r>
                    <w:rPr>
                      <w:rFonts w:hint="eastAsia" w:ascii="微软雅黑" w:hAnsi="微软雅黑" w:eastAsia="微软雅黑"/>
                      <w:spacing w:val="20"/>
                      <w:kern w:val="0"/>
                      <w:sz w:val="22"/>
                      <w:szCs w:val="28"/>
                      <w:lang w:val="en-US" w:eastAsia="zh-CN"/>
                    </w:rPr>
                    <w:t>电源更可靠</w:t>
                  </w:r>
                </w:p>
              </w:txbxContent>
            </v:textbox>
            <w10:wrap type="square"/>
          </v:shape>
        </w:pict>
      </w:r>
      <w:bookmarkStart w:id="1261" w:name="_GoBack"/>
      <w:bookmarkEnd w:id="1261"/>
      <w:r>
        <w:pict>
          <v:shape id="文本框 144" o:spid="_x0000_s2052" o:spt="202" type="#_x0000_t202" style="position:absolute;left:0pt;margin-left:-35.85pt;margin-top:192.9pt;height:92.5pt;width:315.9pt;mso-position-horizontal-relative:margin;mso-wrap-distance-bottom:3.6pt;mso-wrap-distance-left:9pt;mso-wrap-distance-right:9pt;mso-wrap-distance-top:3.6pt;z-index:25167155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">
            <v:path/>
            <v:fill on="f" focussize="0,0"/>
            <v:stroke on="f" joinstyle="miter"/>
            <v:imagedata o:title=""/>
            <o:lock v:ext="edit"/>
            <v:textbox>
              <w:txbxContent>
                <w:p>
                  <w:pPr>
                    <w:spacing w:line="240" w:lineRule="auto"/>
                    <w:rPr>
                      <w:color w:val="FFFFFF" w:themeColor="background1"/>
                      <w:sz w:val="48"/>
                      <w:szCs w:val="48"/>
                    </w:rPr>
                  </w:pPr>
                  <w:r>
                    <w:rPr>
                      <w:rFonts w:hint="eastAsia" w:ascii="微软雅黑" w:hAnsi="微软雅黑" w:eastAsia="微软雅黑" w:cs="微软雅黑"/>
                      <w:color w:val="FFFFFF" w:themeColor="background1"/>
                      <w:sz w:val="48"/>
                      <w:szCs w:val="48"/>
                    </w:rPr>
                    <w:t>M</w:t>
                  </w:r>
                  <w:r>
                    <w:rPr>
                      <w:rFonts w:hint="eastAsia" w:ascii="微软雅黑" w:hAnsi="微软雅黑" w:eastAsia="微软雅黑" w:cs="微软雅黑"/>
                      <w:color w:val="FFFFFF" w:themeColor="background1"/>
                      <w:sz w:val="48"/>
                      <w:szCs w:val="48"/>
                      <w:lang w:val="en-US" w:eastAsia="zh-CN"/>
                    </w:rPr>
                    <w:t>X</w:t>
                  </w:r>
                  <w:r>
                    <w:rPr>
                      <w:rFonts w:hint="eastAsia" w:ascii="微软雅黑" w:hAnsi="微软雅黑" w:eastAsia="微软雅黑" w:cs="微软雅黑"/>
                      <w:color w:val="FFFFFF" w:themeColor="background1"/>
                      <w:sz w:val="48"/>
                      <w:szCs w:val="48"/>
                    </w:rPr>
                    <w:t>系列模块化UPS</w:t>
                  </w:r>
                </w:p>
                <w:p>
                  <w:pPr>
                    <w:spacing w:line="240" w:lineRule="auto"/>
                    <w:rPr>
                      <w:color w:val="FFFFFF" w:themeColor="background1"/>
                      <w:sz w:val="36"/>
                      <w:szCs w:val="36"/>
                    </w:rPr>
                  </w:pPr>
                  <w:r>
                    <w:rPr>
                      <w:rFonts w:ascii="微软雅黑" w:hAnsi="微软雅黑" w:eastAsia="微软雅黑" w:cs="微软雅黑"/>
                      <w:color w:val="FFFFFF" w:themeColor="background1"/>
                      <w:sz w:val="36"/>
                      <w:szCs w:val="36"/>
                    </w:rPr>
                    <w:t>180~</w:t>
                  </w:r>
                  <w:r>
                    <w:rPr>
                      <w:rFonts w:hint="eastAsia" w:ascii="微软雅黑" w:hAnsi="微软雅黑" w:eastAsia="微软雅黑" w:cs="微软雅黑"/>
                      <w:color w:val="FFFFFF" w:themeColor="background1"/>
                      <w:sz w:val="36"/>
                      <w:szCs w:val="36"/>
                    </w:rPr>
                    <w:t>800kVA （</w:t>
                  </w:r>
                  <w:r>
                    <w:rPr>
                      <w:rFonts w:ascii="微软雅黑" w:hAnsi="微软雅黑" w:eastAsia="微软雅黑" w:cs="微软雅黑"/>
                      <w:color w:val="FFFFFF" w:themeColor="background1"/>
                      <w:sz w:val="36"/>
                      <w:szCs w:val="36"/>
                    </w:rPr>
                    <w:t>6</w:t>
                  </w:r>
                  <w:r>
                    <w:rPr>
                      <w:rFonts w:hint="eastAsia" w:ascii="微软雅黑" w:hAnsi="微软雅黑" w:eastAsia="微软雅黑" w:cs="微软雅黑"/>
                      <w:color w:val="FFFFFF" w:themeColor="background1"/>
                      <w:sz w:val="36"/>
                      <w:szCs w:val="36"/>
                    </w:rPr>
                    <w:t>0kVA功率模块）</w:t>
                  </w:r>
                </w:p>
              </w:txbxContent>
            </v:textbox>
            <w10:wrap type="square"/>
          </v:shape>
        </w:pict>
      </w:r>
      <w:r>
        <w:pict>
          <v:shape id="文本框 140" o:spid="_x0000_s2053" o:spt="202" alt="7b0a2020202022776f7264617274223a20227b5c2269645c223a32353030323136362c5c227469645c223a5c225c227d220a7d0a" type="#_x0000_t202" style="position:absolute;left:0pt;margin-left:278pt;margin-top:180.55pt;height:108.45pt;width:184.15pt;z-index:25167360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">
            <v:path/>
            <v:fill on="f" focussize="0,0"/>
            <v:stroke on="f" weight="0.5pt"/>
            <v:imagedata o:title=""/>
            <o:lock v:ext="edit" aspectratio="f"/>
            <v:textbox>
              <w:txbxContent>
                <w:p>
                  <w:pPr>
                    <w:autoSpaceDE w:val="0"/>
                    <w:autoSpaceDN w:val="0"/>
                    <w:spacing w:line="240" w:lineRule="atLeast"/>
                    <w:contextualSpacing/>
                    <w:jc w:val="center"/>
                    <w:rPr>
                      <w:rFonts w:ascii="微软雅黑" w:hAnsi="微软雅黑" w:eastAsia="微软雅黑"/>
                      <w:color w:val="auto"/>
                      <w:sz w:val="64"/>
                      <w:szCs w:val="64"/>
                    </w:rPr>
                  </w:pPr>
                  <w:r>
                    <w:rPr>
                      <w:rFonts w:hint="eastAsia" w:ascii="微软雅黑" w:hAnsi="微软雅黑" w:eastAsia="微软雅黑" w:cs="Arial"/>
                      <w:color w:val="auto"/>
                      <w:sz w:val="64"/>
                      <w:szCs w:val="64"/>
                    </w:rPr>
                    <w:t>用户手册</w:t>
                  </w:r>
                </w:p>
              </w:txbxContent>
            </v:textbox>
          </v:shape>
        </w:pict>
      </w:r>
      <w:r>
        <w:pict>
          <v:shape id="文本框 139" o:spid="_x0000_s2054" o:spt="202" type="#_x0000_t202" style="position:absolute;left:0pt;margin-left:280.05pt;margin-top:233.75pt;height:108.45pt;width:184.15pt;z-index:25167462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">
            <v:path/>
            <v:fill on="f" focussize="0,0"/>
            <v:stroke on="f" weight="0.5pt" joinstyle="miter"/>
            <v:imagedata o:title=""/>
            <o:lock v:ext="edit"/>
            <v:textbox>
              <w:txbxContent>
                <w:p>
                  <w:pPr>
                    <w:autoSpaceDE w:val="0"/>
                    <w:autoSpaceDN w:val="0"/>
                    <w:spacing w:line="240" w:lineRule="atLeast"/>
                    <w:ind w:left="420" w:hanging="420"/>
                    <w:contextualSpacing/>
                    <w:jc w:val="center"/>
                    <w:rPr>
                      <w:color w:val="auto"/>
                      <w:spacing w:val="20"/>
                      <w:kern w:val="40"/>
                      <w:sz w:val="40"/>
                      <w:szCs w:val="40"/>
                    </w:rPr>
                  </w:pPr>
                  <w:r>
                    <w:rPr>
                      <w:rFonts w:hint="eastAsia" w:ascii="思源黑体 CN Medium" w:hAnsi="思源黑体 CN Medium" w:eastAsia="思源黑体 CN Medium" w:cs="Arial"/>
                      <w:color w:val="auto"/>
                      <w:spacing w:val="20"/>
                      <w:kern w:val="40"/>
                      <w:sz w:val="40"/>
                      <w:szCs w:val="40"/>
                    </w:rPr>
                    <w:t>U</w:t>
                  </w:r>
                  <w:r>
                    <w:rPr>
                      <w:rFonts w:ascii="思源黑体 CN Medium" w:hAnsi="思源黑体 CN Medium" w:eastAsia="思源黑体 CN Medium" w:cs="Arial"/>
                      <w:color w:val="auto"/>
                      <w:spacing w:val="20"/>
                      <w:kern w:val="40"/>
                      <w:sz w:val="40"/>
                      <w:szCs w:val="40"/>
                    </w:rPr>
                    <w:t>ser Manual</w:t>
                  </w:r>
                </w:p>
              </w:txbxContent>
            </v:textbox>
          </v:shape>
        </w:pict>
      </w:r>
      <w:r>
        <w:pict>
          <v:rect id="_x0000_s2082" o:spid="_x0000_s2082" o:spt="1" style="position:absolute;left:0pt;margin-left:285.9pt;margin-top:190.3pt;height:95.1pt;width:170.05pt;z-index:251672576;v-text-anchor:middle;mso-width-relative:page;mso-height-relative:page;" stroked="f" coordsize="21600,21600" o:gfxdata="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OrJmq2QAAAAsBAAAPAAAAAAAAAAEAIAAA&#10;ACIAAABkcnMvZG93bnJldi54bWxQSwECFAAUAAAACACHTuJAxTdKlH0CAADuBAAADgAAAAAAAAAB&#10;ACAAAAAoAQAAZHJzL2Uyb0RvYy54bWxQSwUGAAAAAAYABgBZAQAAFwYAAAAA&#10;">
            <v:path/>
            <v:fill focussize="0,0"/>
            <v:stroke on="f" weight="1pt"/>
            <v:imagedata o:title=""/>
            <o:lock v:ext="edit"/>
          </v:rect>
        </w:pict>
      </w:r>
    </w:p>
    <w:p>
      <w:pPr>
        <w:pStyle w:val="126"/>
      </w:pPr>
      <w:r>
        <w:rPr>
          <w:rFonts w:hint="eastAsia"/>
        </w:rPr>
        <w:t>手册说明</w:t>
      </w:r>
    </w:p>
    <w:p>
      <w:pPr>
        <w:pStyle w:val="151"/>
        <w:widowControl/>
      </w:pPr>
      <w:r>
        <w:rPr>
          <w:rFonts w:hint="eastAsia" w:ascii="宋体" w:eastAsia="宋体"/>
        </w:rPr>
        <w:t>内容介绍</w:t>
      </w:r>
    </w:p>
    <w:p>
      <w:pPr>
        <w:pStyle w:val="187"/>
        <w:widowControl/>
      </w:pPr>
      <w:r>
        <w:rPr>
          <w:rFonts w:hint="eastAsia" w:ascii="宋体"/>
        </w:rPr>
        <w:t>本手册主要介绍</w:t>
      </w:r>
      <w:r>
        <w:rPr>
          <w:rFonts w:hint="eastAsia"/>
          <w:lang w:eastAsia="zh-CN"/>
        </w:rPr>
        <w:t>MX</w:t>
      </w:r>
      <w:r>
        <w:rPr>
          <w:rFonts w:hint="eastAsia"/>
        </w:rPr>
        <w:t>系列</w:t>
      </w:r>
      <w:r>
        <w:rPr>
          <w:rFonts w:ascii="宋体"/>
        </w:rPr>
        <w:t>180</w:t>
      </w:r>
      <w:r>
        <w:rPr>
          <w:rFonts w:hint="eastAsia" w:ascii="宋体"/>
        </w:rPr>
        <w:t>-800kVA模块化</w:t>
      </w:r>
      <w:r>
        <w:t>UPS</w:t>
      </w:r>
      <w:r>
        <w:rPr>
          <w:rFonts w:hint="eastAsia" w:ascii="宋体"/>
        </w:rPr>
        <w:t>系统（</w:t>
      </w:r>
      <w:r>
        <w:rPr>
          <w:rFonts w:ascii="宋体"/>
        </w:rPr>
        <w:t>6</w:t>
      </w:r>
      <w:r>
        <w:rPr>
          <w:rFonts w:hint="eastAsia" w:ascii="宋体"/>
        </w:rPr>
        <w:t>0kVA功率模块）的组成、特点、工作原理、安装步骤、操作技巧等，手册主要用于：</w:t>
      </w:r>
    </w:p>
    <w:p>
      <w:pPr>
        <w:pStyle w:val="187"/>
        <w:widowControl/>
      </w:pPr>
      <w:r>
        <w:t>1</w:t>
      </w:r>
      <w:r>
        <w:rPr>
          <w:rFonts w:hint="eastAsia" w:ascii="宋体"/>
        </w:rPr>
        <w:t>．设备选型和定货指导。</w:t>
      </w:r>
    </w:p>
    <w:p>
      <w:pPr>
        <w:pStyle w:val="187"/>
        <w:widowControl/>
      </w:pPr>
      <w:r>
        <w:t>2</w:t>
      </w:r>
      <w:r>
        <w:rPr>
          <w:rFonts w:hint="eastAsia" w:ascii="宋体"/>
        </w:rPr>
        <w:t>．工程设计指导。</w:t>
      </w:r>
    </w:p>
    <w:p>
      <w:pPr>
        <w:pStyle w:val="187"/>
        <w:widowControl/>
        <w:rPr>
          <w:rFonts w:ascii="宋体"/>
        </w:rPr>
      </w:pPr>
      <w:r>
        <w:t>3</w:t>
      </w:r>
      <w:r>
        <w:rPr>
          <w:rFonts w:hint="eastAsia" w:ascii="宋体"/>
        </w:rPr>
        <w:t>．产品技术推广和制作标书技术条款。</w:t>
      </w:r>
    </w:p>
    <w:p>
      <w:pPr>
        <w:pStyle w:val="187"/>
        <w:widowControl/>
      </w:pPr>
      <w:r>
        <w:rPr>
          <w:rFonts w:hint="eastAsia" w:ascii="宋体"/>
        </w:rPr>
        <w:t>4. 现场安装和日常维护。</w:t>
      </w:r>
    </w:p>
    <w:p>
      <w:pPr>
        <w:pStyle w:val="151"/>
        <w:widowControl/>
      </w:pPr>
      <w:r>
        <w:rPr>
          <w:rFonts w:hint="eastAsia" w:ascii="宋体" w:eastAsia="宋体"/>
        </w:rPr>
        <w:t>阅读对象</w:t>
      </w:r>
    </w:p>
    <w:p>
      <w:pPr>
        <w:pStyle w:val="187"/>
        <w:widowControl/>
        <w:rPr>
          <w:rFonts w:ascii="宋体"/>
        </w:rPr>
      </w:pPr>
      <w:r>
        <w:rPr>
          <w:rFonts w:hint="eastAsia" w:ascii="宋体"/>
        </w:rPr>
        <w:t>本书适合下列人员阅读：招投标人员、工程设计单位、技术支持人员、设备维护人员等。</w:t>
      </w:r>
    </w:p>
    <w:p>
      <w:pPr>
        <w:pStyle w:val="151"/>
        <w:widowControl/>
        <w:rPr>
          <w:rFonts w:ascii="宋体" w:eastAsia="宋体"/>
        </w:rPr>
      </w:pPr>
      <w:r>
        <w:rPr>
          <w:rFonts w:hint="eastAsia" w:ascii="宋体" w:eastAsia="宋体"/>
        </w:rPr>
        <w:t>注意事项</w:t>
      </w:r>
    </w:p>
    <w:p>
      <w:pPr>
        <w:pStyle w:val="187"/>
      </w:pPr>
      <w:r>
        <w:rPr>
          <w:rFonts w:hint="eastAsia"/>
        </w:rPr>
        <w:t>您购买的产品、服务等应受</w:t>
      </w:r>
      <w:r>
        <w:rPr>
          <w:rFonts w:hint="eastAsia"/>
          <w:lang w:eastAsia="zh-CN"/>
        </w:rPr>
        <w:t>本</w:t>
      </w:r>
      <w:r>
        <w:rPr>
          <w:rFonts w:hint="eastAsia"/>
        </w:rPr>
        <w:t>公司商业合同和条款的约束，本文档中描述的全部或部分产品、服务可能不在您的购买或使用范围之内。除非合同另有约定，</w:t>
      </w:r>
      <w:r>
        <w:rPr>
          <w:rFonts w:hint="eastAsia"/>
          <w:lang w:eastAsia="zh-CN"/>
        </w:rPr>
        <w:t>本</w:t>
      </w:r>
      <w:r>
        <w:rPr>
          <w:rFonts w:hint="eastAsia"/>
        </w:rPr>
        <w:t>公司对本文档内容不做任何明示或默示的声明或保证。</w:t>
      </w:r>
    </w:p>
    <w:p>
      <w:pPr>
        <w:pStyle w:val="187"/>
      </w:pPr>
      <w:r>
        <w:rPr>
          <w:rFonts w:hint="eastAsia"/>
        </w:rPr>
        <w:t>由于产品版本升级或其他原因，本文档内容会不定期进行更新。除非另有约定，本文档仅作为使用指导，本文档中的所有陈述、信息和建议不构成任何明示或暗示的担保。内容如有改动，恕不另行通知。</w:t>
      </w:r>
    </w:p>
    <w:p>
      <w:pPr>
        <w:pStyle w:val="187"/>
      </w:pPr>
      <w:r>
        <w:rPr>
          <w:rFonts w:hint="eastAsia"/>
        </w:rPr>
        <w:t>非经本公司书面许可，任何单位和个人不得擅自摘抄、复制本文档内容的部分或全部，并不得以任何形式传播。保留一切权利。</w:t>
      </w:r>
    </w:p>
    <w:p>
      <w:pPr>
        <w:sectPr>
          <w:footerReference r:id="rId9" w:type="default"/>
          <w:footerReference r:id="rId10" w:type="even"/>
          <w:pgSz w:w="11906" w:h="16838"/>
          <w:pgMar w:top="1985" w:right="1134" w:bottom="1701" w:left="1134" w:header="1134" w:footer="1134" w:gutter="0"/>
          <w:pgNumType w:start="1"/>
          <w:cols w:space="720" w:num="1"/>
          <w:docGrid w:type="lines" w:linePitch="312" w:charSpace="0"/>
        </w:sectPr>
      </w:pPr>
    </w:p>
    <w:p>
      <w:pPr>
        <w:pStyle w:val="20"/>
      </w:pPr>
      <w:r>
        <w:rPr>
          <w:rFonts w:hint="eastAsia"/>
        </w:rPr>
        <w:t>目录</w:t>
      </w:r>
    </w:p>
    <w:p>
      <w:pPr>
        <w:pStyle w:val="39"/>
        <w:tabs>
          <w:tab w:val="right" w:leader="dot" w:pos="9638"/>
        </w:tabs>
      </w:pPr>
      <w:r>
        <w:rPr>
          <w:rFonts w:ascii="宋体" w:hAnsi="宋体" w:eastAsia="宋体"/>
          <w:kern w:val="2"/>
          <w:sz w:val="21"/>
          <w:szCs w:val="24"/>
        </w:rPr>
        <w:fldChar w:fldCharType="begin"/>
      </w:r>
      <w:r>
        <w:rPr>
          <w:rFonts w:ascii="宋体" w:hAnsi="宋体" w:eastAsia="宋体"/>
          <w:kern w:val="2"/>
          <w:sz w:val="21"/>
          <w:szCs w:val="24"/>
        </w:rPr>
        <w:instrText xml:space="preserve"> TOC \o "1-3" \h \z </w:instrText>
      </w:r>
      <w:r>
        <w:rPr>
          <w:rFonts w:ascii="宋体" w:hAnsi="宋体" w:eastAsia="宋体"/>
          <w:kern w:val="2"/>
          <w:sz w:val="21"/>
          <w:szCs w:val="24"/>
        </w:rPr>
        <w:fldChar w:fldCharType="separate"/>
      </w:r>
      <w:r>
        <w:rPr>
          <w:rFonts w:ascii="宋体" w:hAnsi="宋体" w:eastAsia="宋体"/>
          <w:kern w:val="2"/>
          <w:szCs w:val="24"/>
        </w:rPr>
        <w:fldChar w:fldCharType="begin"/>
      </w:r>
      <w:r>
        <w:rPr>
          <w:rFonts w:ascii="宋体" w:hAnsi="宋体" w:eastAsia="宋体"/>
          <w:kern w:val="2"/>
          <w:szCs w:val="24"/>
        </w:rPr>
        <w:instrText xml:space="preserve"> HYPERLINK \l _Toc24299 </w:instrText>
      </w:r>
      <w:r>
        <w:rPr>
          <w:rFonts w:ascii="宋体" w:hAnsi="宋体" w:eastAsia="宋体"/>
          <w:kern w:val="2"/>
          <w:szCs w:val="24"/>
        </w:rPr>
        <w:fldChar w:fldCharType="separate"/>
      </w:r>
      <w:r>
        <w:rPr>
          <w:rFonts w:hint="eastAsia" w:ascii="宋体" w:hAnsi="宋体" w:eastAsia="宋体" w:cs="宋体"/>
          <w:szCs w:val="22"/>
        </w:rPr>
        <w:t xml:space="preserve">第一章 </w:t>
      </w:r>
      <w:r>
        <w:rPr>
          <w:rFonts w:hint="eastAsia"/>
          <w:szCs w:val="22"/>
        </w:rPr>
        <w:t>产品概述</w:t>
      </w:r>
      <w:r>
        <w:tab/>
      </w:r>
      <w:r>
        <w:fldChar w:fldCharType="begin"/>
      </w:r>
      <w:r>
        <w:instrText xml:space="preserve"> PAGEREF _Toc24299 \h </w:instrText>
      </w:r>
      <w:r>
        <w:fldChar w:fldCharType="separate"/>
      </w:r>
      <w:r>
        <w:t>1</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_Toc19093 </w:instrText>
      </w:r>
      <w:r>
        <w:rPr>
          <w:rFonts w:ascii="宋体" w:hAnsi="宋体" w:eastAsia="宋体"/>
          <w:kern w:val="2"/>
          <w:szCs w:val="24"/>
        </w:rPr>
        <w:fldChar w:fldCharType="separate"/>
      </w:r>
      <w:r>
        <w:rPr>
          <w:rFonts w:hint="eastAsia" w:ascii="宋体" w:hAnsi="宋体" w:eastAsia="宋体" w:cs="宋体"/>
        </w:rPr>
        <w:t xml:space="preserve">1.1 </w:t>
      </w:r>
      <w:r>
        <w:rPr>
          <w:rFonts w:hint="eastAsia"/>
        </w:rPr>
        <w:t>产品简介</w:t>
      </w:r>
      <w:r>
        <w:tab/>
      </w:r>
      <w:r>
        <w:fldChar w:fldCharType="begin"/>
      </w:r>
      <w:r>
        <w:instrText xml:space="preserve"> PAGEREF _Toc19093 \h </w:instrText>
      </w:r>
      <w:r>
        <w:fldChar w:fldCharType="separate"/>
      </w:r>
      <w:r>
        <w:t>1</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_Toc16091 </w:instrText>
      </w:r>
      <w:r>
        <w:rPr>
          <w:rFonts w:ascii="宋体" w:hAnsi="宋体" w:eastAsia="宋体"/>
          <w:kern w:val="2"/>
          <w:szCs w:val="24"/>
        </w:rPr>
        <w:fldChar w:fldCharType="separate"/>
      </w:r>
      <w:r>
        <w:rPr>
          <w:rFonts w:hint="eastAsia" w:ascii="宋体" w:hAnsi="宋体" w:eastAsia="宋体" w:cs="宋体"/>
        </w:rPr>
        <w:t xml:space="preserve">1.2 </w:t>
      </w:r>
      <w:r>
        <w:rPr>
          <w:rFonts w:hint="eastAsia"/>
        </w:rPr>
        <w:t>应用范围</w:t>
      </w:r>
      <w:r>
        <w:tab/>
      </w:r>
      <w:r>
        <w:fldChar w:fldCharType="begin"/>
      </w:r>
      <w:r>
        <w:instrText xml:space="preserve"> PAGEREF _Toc16091 \h </w:instrText>
      </w:r>
      <w:r>
        <w:fldChar w:fldCharType="separate"/>
      </w:r>
      <w:r>
        <w:t>1</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_Toc4141 </w:instrText>
      </w:r>
      <w:r>
        <w:rPr>
          <w:rFonts w:ascii="宋体" w:hAnsi="宋体" w:eastAsia="宋体"/>
          <w:kern w:val="2"/>
          <w:szCs w:val="24"/>
        </w:rPr>
        <w:fldChar w:fldCharType="separate"/>
      </w:r>
      <w:r>
        <w:rPr>
          <w:rFonts w:hint="eastAsia" w:ascii="宋体" w:hAnsi="宋体" w:eastAsia="宋体" w:cs="宋体"/>
        </w:rPr>
        <w:t xml:space="preserve">1.3 </w:t>
      </w:r>
      <w:r>
        <w:rPr>
          <w:rFonts w:hint="eastAsia"/>
        </w:rPr>
        <w:t>产品特点</w:t>
      </w:r>
      <w:r>
        <w:tab/>
      </w:r>
      <w:r>
        <w:fldChar w:fldCharType="begin"/>
      </w:r>
      <w:r>
        <w:instrText xml:space="preserve"> PAGEREF _Toc4141 \h </w:instrText>
      </w:r>
      <w:r>
        <w:fldChar w:fldCharType="separate"/>
      </w:r>
      <w:r>
        <w:t>1</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_Toc22012 </w:instrText>
      </w:r>
      <w:r>
        <w:rPr>
          <w:rFonts w:ascii="宋体" w:hAnsi="宋体" w:eastAsia="宋体"/>
          <w:kern w:val="2"/>
          <w:szCs w:val="24"/>
        </w:rPr>
        <w:fldChar w:fldCharType="separate"/>
      </w:r>
      <w:r>
        <w:rPr>
          <w:rFonts w:hint="eastAsia" w:ascii="宋体" w:hAnsi="宋体" w:eastAsia="宋体" w:cs="宋体"/>
        </w:rPr>
        <w:t xml:space="preserve">1.4 </w:t>
      </w:r>
      <w:r>
        <w:rPr>
          <w:rFonts w:hint="eastAsia"/>
        </w:rPr>
        <w:t>产品组成及原理</w:t>
      </w:r>
      <w:r>
        <w:tab/>
      </w:r>
      <w:r>
        <w:fldChar w:fldCharType="begin"/>
      </w:r>
      <w:r>
        <w:instrText xml:space="preserve"> PAGEREF _Toc22012 \h </w:instrText>
      </w:r>
      <w:r>
        <w:fldChar w:fldCharType="separate"/>
      </w:r>
      <w:r>
        <w:t>1</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_Toc19115 </w:instrText>
      </w:r>
      <w:r>
        <w:rPr>
          <w:rFonts w:ascii="宋体" w:hAnsi="宋体" w:eastAsia="宋体"/>
          <w:kern w:val="2"/>
          <w:szCs w:val="24"/>
        </w:rPr>
        <w:fldChar w:fldCharType="separate"/>
      </w:r>
      <w:r>
        <w:rPr>
          <w:rFonts w:hint="eastAsia" w:ascii="宋体" w:hAnsi="宋体" w:eastAsia="宋体" w:cs="宋体"/>
        </w:rPr>
        <w:t xml:space="preserve">1.4.1 </w:t>
      </w:r>
      <w:r>
        <w:rPr>
          <w:rFonts w:hint="eastAsia"/>
        </w:rPr>
        <w:t>基本组成</w:t>
      </w:r>
      <w:r>
        <w:tab/>
      </w:r>
      <w:r>
        <w:fldChar w:fldCharType="begin"/>
      </w:r>
      <w:r>
        <w:instrText xml:space="preserve"> PAGEREF _Toc19115 \h </w:instrText>
      </w:r>
      <w:r>
        <w:fldChar w:fldCharType="separate"/>
      </w:r>
      <w:r>
        <w:t>1</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_Toc32758 </w:instrText>
      </w:r>
      <w:r>
        <w:rPr>
          <w:rFonts w:ascii="宋体" w:hAnsi="宋体" w:eastAsia="宋体"/>
          <w:kern w:val="2"/>
          <w:szCs w:val="24"/>
        </w:rPr>
        <w:fldChar w:fldCharType="separate"/>
      </w:r>
      <w:r>
        <w:rPr>
          <w:rFonts w:hint="eastAsia" w:ascii="宋体" w:hAnsi="宋体" w:eastAsia="宋体" w:cs="宋体"/>
        </w:rPr>
        <w:t xml:space="preserve">1.4.2 </w:t>
      </w:r>
      <w:r>
        <w:rPr>
          <w:rFonts w:hint="eastAsia"/>
        </w:rPr>
        <w:t>工作原理</w:t>
      </w:r>
      <w:r>
        <w:tab/>
      </w:r>
      <w:r>
        <w:fldChar w:fldCharType="begin"/>
      </w:r>
      <w:r>
        <w:instrText xml:space="preserve"> PAGEREF _Toc32758 \h </w:instrText>
      </w:r>
      <w:r>
        <w:fldChar w:fldCharType="separate"/>
      </w:r>
      <w:r>
        <w:t>2</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_Toc13567 </w:instrText>
      </w:r>
      <w:r>
        <w:rPr>
          <w:rFonts w:ascii="宋体" w:hAnsi="宋体" w:eastAsia="宋体"/>
          <w:kern w:val="2"/>
          <w:szCs w:val="24"/>
        </w:rPr>
        <w:fldChar w:fldCharType="separate"/>
      </w:r>
      <w:r>
        <w:rPr>
          <w:rFonts w:hint="eastAsia" w:ascii="宋体" w:hAnsi="宋体" w:eastAsia="宋体" w:cs="宋体"/>
        </w:rPr>
        <w:t xml:space="preserve">1.4.3 </w:t>
      </w:r>
      <w:r>
        <w:rPr>
          <w:rFonts w:hint="eastAsia"/>
        </w:rPr>
        <w:t>控制原理</w:t>
      </w:r>
      <w:r>
        <w:tab/>
      </w:r>
      <w:r>
        <w:fldChar w:fldCharType="begin"/>
      </w:r>
      <w:r>
        <w:instrText xml:space="preserve"> PAGEREF _Toc13567 \h </w:instrText>
      </w:r>
      <w:r>
        <w:fldChar w:fldCharType="separate"/>
      </w:r>
      <w:r>
        <w:t>3</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_Toc10835 </w:instrText>
      </w:r>
      <w:r>
        <w:rPr>
          <w:rFonts w:ascii="宋体" w:hAnsi="宋体" w:eastAsia="宋体"/>
          <w:kern w:val="2"/>
          <w:szCs w:val="24"/>
        </w:rPr>
        <w:fldChar w:fldCharType="separate"/>
      </w:r>
      <w:r>
        <w:rPr>
          <w:rFonts w:hint="eastAsia" w:ascii="宋体" w:hAnsi="宋体" w:eastAsia="宋体" w:cs="宋体"/>
        </w:rPr>
        <w:t xml:space="preserve">1.5 </w:t>
      </w:r>
      <w:r>
        <w:rPr>
          <w:rFonts w:hint="eastAsia"/>
        </w:rPr>
        <w:t>产品规格</w:t>
      </w:r>
      <w:r>
        <w:tab/>
      </w:r>
      <w:r>
        <w:fldChar w:fldCharType="begin"/>
      </w:r>
      <w:r>
        <w:instrText xml:space="preserve"> PAGEREF _Toc10835 \h </w:instrText>
      </w:r>
      <w:r>
        <w:fldChar w:fldCharType="separate"/>
      </w:r>
      <w:r>
        <w:t>4</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_Toc4988 </w:instrText>
      </w:r>
      <w:r>
        <w:rPr>
          <w:rFonts w:ascii="宋体" w:hAnsi="宋体" w:eastAsia="宋体"/>
          <w:kern w:val="2"/>
          <w:szCs w:val="24"/>
        </w:rPr>
        <w:fldChar w:fldCharType="separate"/>
      </w:r>
      <w:r>
        <w:rPr>
          <w:rFonts w:hint="eastAsia" w:ascii="宋体" w:hAnsi="宋体" w:eastAsia="宋体" w:cs="宋体"/>
        </w:rPr>
        <w:t xml:space="preserve">1.5.1 </w:t>
      </w:r>
      <w:r>
        <w:rPr>
          <w:rFonts w:hint="eastAsia"/>
        </w:rPr>
        <w:t>适用标准</w:t>
      </w:r>
      <w:r>
        <w:tab/>
      </w:r>
      <w:r>
        <w:fldChar w:fldCharType="begin"/>
      </w:r>
      <w:r>
        <w:instrText xml:space="preserve"> PAGEREF _Toc4988 \h </w:instrText>
      </w:r>
      <w:r>
        <w:fldChar w:fldCharType="separate"/>
      </w:r>
      <w:r>
        <w:t>4</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_Toc10565 </w:instrText>
      </w:r>
      <w:r>
        <w:rPr>
          <w:rFonts w:ascii="宋体" w:hAnsi="宋体" w:eastAsia="宋体"/>
          <w:kern w:val="2"/>
          <w:szCs w:val="24"/>
        </w:rPr>
        <w:fldChar w:fldCharType="separate"/>
      </w:r>
      <w:r>
        <w:rPr>
          <w:rFonts w:hint="eastAsia" w:ascii="宋体" w:hAnsi="宋体" w:eastAsia="宋体" w:cs="宋体"/>
        </w:rPr>
        <w:t xml:space="preserve">1.5.2 </w:t>
      </w:r>
      <w:r>
        <w:rPr>
          <w:rFonts w:hint="eastAsia"/>
        </w:rPr>
        <w:t>环境特性</w:t>
      </w:r>
      <w:r>
        <w:tab/>
      </w:r>
      <w:r>
        <w:fldChar w:fldCharType="begin"/>
      </w:r>
      <w:r>
        <w:instrText xml:space="preserve"> PAGEREF _Toc10565 \h </w:instrText>
      </w:r>
      <w:r>
        <w:fldChar w:fldCharType="separate"/>
      </w:r>
      <w:r>
        <w:t>4</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_Toc11786 </w:instrText>
      </w:r>
      <w:r>
        <w:rPr>
          <w:rFonts w:ascii="宋体" w:hAnsi="宋体" w:eastAsia="宋体"/>
          <w:kern w:val="2"/>
          <w:szCs w:val="24"/>
        </w:rPr>
        <w:fldChar w:fldCharType="separate"/>
      </w:r>
      <w:r>
        <w:rPr>
          <w:rFonts w:hint="eastAsia" w:ascii="宋体" w:hAnsi="宋体" w:eastAsia="宋体" w:cs="宋体"/>
        </w:rPr>
        <w:t xml:space="preserve">1.5.3 </w:t>
      </w:r>
      <w:r>
        <w:rPr>
          <w:rFonts w:hint="eastAsia"/>
        </w:rPr>
        <w:t>机械特性</w:t>
      </w:r>
      <w:r>
        <w:tab/>
      </w:r>
      <w:r>
        <w:fldChar w:fldCharType="begin"/>
      </w:r>
      <w:r>
        <w:instrText xml:space="preserve"> PAGEREF _Toc11786 \h </w:instrText>
      </w:r>
      <w:r>
        <w:fldChar w:fldCharType="separate"/>
      </w:r>
      <w:r>
        <w:t>4</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_Toc24462 </w:instrText>
      </w:r>
      <w:r>
        <w:rPr>
          <w:rFonts w:ascii="宋体" w:hAnsi="宋体" w:eastAsia="宋体"/>
          <w:kern w:val="2"/>
          <w:szCs w:val="24"/>
        </w:rPr>
        <w:fldChar w:fldCharType="separate"/>
      </w:r>
      <w:r>
        <w:rPr>
          <w:rFonts w:hint="eastAsia" w:ascii="宋体" w:hAnsi="宋体" w:eastAsia="宋体" w:cs="宋体"/>
        </w:rPr>
        <w:t xml:space="preserve">1.5.4 </w:t>
      </w:r>
      <w:r>
        <w:rPr>
          <w:rFonts w:hint="eastAsia"/>
        </w:rPr>
        <w:t>电气特性</w:t>
      </w:r>
      <w:r>
        <w:tab/>
      </w:r>
      <w:r>
        <w:fldChar w:fldCharType="begin"/>
      </w:r>
      <w:r>
        <w:instrText xml:space="preserve"> PAGEREF _Toc24462 \h </w:instrText>
      </w:r>
      <w:r>
        <w:fldChar w:fldCharType="separate"/>
      </w:r>
      <w:r>
        <w:t>4</w:t>
      </w:r>
      <w:r>
        <w:fldChar w:fldCharType="end"/>
      </w:r>
      <w:r>
        <w:rPr>
          <w:rFonts w:ascii="宋体" w:hAnsi="宋体" w:eastAsia="宋体"/>
          <w:kern w:val="2"/>
          <w:szCs w:val="24"/>
        </w:rPr>
        <w:fldChar w:fldCharType="end"/>
      </w:r>
    </w:p>
    <w:p>
      <w:pPr>
        <w:pStyle w:val="39"/>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_Toc14987 </w:instrText>
      </w:r>
      <w:r>
        <w:rPr>
          <w:rFonts w:ascii="宋体" w:hAnsi="宋体" w:eastAsia="宋体"/>
          <w:kern w:val="2"/>
          <w:szCs w:val="24"/>
        </w:rPr>
        <w:fldChar w:fldCharType="separate"/>
      </w:r>
      <w:r>
        <w:rPr>
          <w:rFonts w:hint="eastAsia" w:ascii="宋体" w:hAnsi="宋体" w:eastAsia="宋体" w:cs="宋体"/>
        </w:rPr>
        <w:t xml:space="preserve">第二章 </w:t>
      </w:r>
      <w:r>
        <w:rPr>
          <w:rFonts w:hint="eastAsia"/>
        </w:rPr>
        <w:t>机械安装</w:t>
      </w:r>
      <w:r>
        <w:tab/>
      </w:r>
      <w:r>
        <w:fldChar w:fldCharType="begin"/>
      </w:r>
      <w:r>
        <w:instrText xml:space="preserve"> PAGEREF _Toc14987 \h </w:instrText>
      </w:r>
      <w:r>
        <w:fldChar w:fldCharType="separate"/>
      </w:r>
      <w:r>
        <w:t>6</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_Toc19793 </w:instrText>
      </w:r>
      <w:r>
        <w:rPr>
          <w:rFonts w:ascii="宋体" w:hAnsi="宋体" w:eastAsia="宋体"/>
          <w:kern w:val="2"/>
          <w:szCs w:val="24"/>
        </w:rPr>
        <w:fldChar w:fldCharType="separate"/>
      </w:r>
      <w:r>
        <w:rPr>
          <w:rFonts w:hint="eastAsia" w:ascii="宋体" w:hAnsi="宋体" w:eastAsia="宋体" w:cs="宋体"/>
          <w:szCs w:val="22"/>
        </w:rPr>
        <w:t xml:space="preserve">2.1 </w:t>
      </w:r>
      <w:r>
        <w:rPr>
          <w:rFonts w:hint="eastAsia"/>
          <w:szCs w:val="22"/>
        </w:rPr>
        <w:t>注意事项</w:t>
      </w:r>
      <w:r>
        <w:tab/>
      </w:r>
      <w:r>
        <w:fldChar w:fldCharType="begin"/>
      </w:r>
      <w:r>
        <w:instrText xml:space="preserve"> PAGEREF _Toc19793 \h </w:instrText>
      </w:r>
      <w:r>
        <w:fldChar w:fldCharType="separate"/>
      </w:r>
      <w:r>
        <w:t>6</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_Toc19379 </w:instrText>
      </w:r>
      <w:r>
        <w:rPr>
          <w:rFonts w:ascii="宋体" w:hAnsi="宋体" w:eastAsia="宋体"/>
          <w:kern w:val="2"/>
          <w:szCs w:val="24"/>
        </w:rPr>
        <w:fldChar w:fldCharType="separate"/>
      </w:r>
      <w:r>
        <w:rPr>
          <w:rFonts w:hint="eastAsia" w:ascii="宋体" w:hAnsi="宋体" w:eastAsia="宋体" w:cs="宋体"/>
          <w:szCs w:val="22"/>
        </w:rPr>
        <w:t xml:space="preserve">2.1.1 </w:t>
      </w:r>
      <w:r>
        <w:rPr>
          <w:rFonts w:hint="eastAsia"/>
          <w:szCs w:val="22"/>
        </w:rPr>
        <w:t>运输</w:t>
      </w:r>
      <w:r>
        <w:tab/>
      </w:r>
      <w:r>
        <w:fldChar w:fldCharType="begin"/>
      </w:r>
      <w:r>
        <w:instrText xml:space="preserve"> PAGEREF _Toc19379 \h </w:instrText>
      </w:r>
      <w:r>
        <w:fldChar w:fldCharType="separate"/>
      </w:r>
      <w:r>
        <w:t>6</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_Toc10463 </w:instrText>
      </w:r>
      <w:r>
        <w:rPr>
          <w:rFonts w:ascii="宋体" w:hAnsi="宋体" w:eastAsia="宋体"/>
          <w:kern w:val="2"/>
          <w:szCs w:val="24"/>
        </w:rPr>
        <w:fldChar w:fldCharType="separate"/>
      </w:r>
      <w:r>
        <w:rPr>
          <w:rFonts w:hint="eastAsia" w:ascii="宋体" w:hAnsi="宋体" w:eastAsia="宋体" w:cs="宋体"/>
        </w:rPr>
        <w:t xml:space="preserve">2.1.2 </w:t>
      </w:r>
      <w:r>
        <w:rPr>
          <w:rFonts w:hint="eastAsia"/>
        </w:rPr>
        <w:t>开箱</w:t>
      </w:r>
      <w:r>
        <w:tab/>
      </w:r>
      <w:r>
        <w:fldChar w:fldCharType="begin"/>
      </w:r>
      <w:r>
        <w:instrText xml:space="preserve"> PAGEREF _Toc10463 \h </w:instrText>
      </w:r>
      <w:r>
        <w:fldChar w:fldCharType="separate"/>
      </w:r>
      <w:r>
        <w:t>6</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_Toc21266 </w:instrText>
      </w:r>
      <w:r>
        <w:rPr>
          <w:rFonts w:ascii="宋体" w:hAnsi="宋体" w:eastAsia="宋体"/>
          <w:kern w:val="2"/>
          <w:szCs w:val="24"/>
        </w:rPr>
        <w:fldChar w:fldCharType="separate"/>
      </w:r>
      <w:r>
        <w:rPr>
          <w:rFonts w:hint="eastAsia" w:ascii="宋体" w:hAnsi="宋体" w:eastAsia="宋体" w:cs="宋体"/>
        </w:rPr>
        <w:t xml:space="preserve">2.1.3 </w:t>
      </w:r>
      <w:r>
        <w:rPr>
          <w:rFonts w:hint="eastAsia"/>
        </w:rPr>
        <w:t>初检</w:t>
      </w:r>
      <w:r>
        <w:tab/>
      </w:r>
      <w:r>
        <w:fldChar w:fldCharType="begin"/>
      </w:r>
      <w:r>
        <w:instrText xml:space="preserve"> PAGEREF _Toc21266 \h </w:instrText>
      </w:r>
      <w:r>
        <w:fldChar w:fldCharType="separate"/>
      </w:r>
      <w:r>
        <w:t>7</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_Toc28484 </w:instrText>
      </w:r>
      <w:r>
        <w:rPr>
          <w:rFonts w:ascii="宋体" w:hAnsi="宋体" w:eastAsia="宋体"/>
          <w:kern w:val="2"/>
          <w:szCs w:val="24"/>
        </w:rPr>
        <w:fldChar w:fldCharType="separate"/>
      </w:r>
      <w:r>
        <w:rPr>
          <w:rFonts w:hint="eastAsia" w:ascii="宋体" w:hAnsi="宋体" w:eastAsia="宋体" w:cs="宋体"/>
          <w:szCs w:val="22"/>
        </w:rPr>
        <w:t xml:space="preserve">2.2 </w:t>
      </w:r>
      <w:r>
        <w:rPr>
          <w:rFonts w:hint="eastAsia"/>
          <w:szCs w:val="22"/>
        </w:rPr>
        <w:t>环境要求</w:t>
      </w:r>
      <w:r>
        <w:tab/>
      </w:r>
      <w:r>
        <w:fldChar w:fldCharType="begin"/>
      </w:r>
      <w:r>
        <w:instrText xml:space="preserve"> PAGEREF _Toc28484 \h </w:instrText>
      </w:r>
      <w:r>
        <w:fldChar w:fldCharType="separate"/>
      </w:r>
      <w:r>
        <w:t>7</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_Toc27263 </w:instrText>
      </w:r>
      <w:r>
        <w:rPr>
          <w:rFonts w:ascii="宋体" w:hAnsi="宋体" w:eastAsia="宋体"/>
          <w:kern w:val="2"/>
          <w:szCs w:val="24"/>
        </w:rPr>
        <w:fldChar w:fldCharType="separate"/>
      </w:r>
      <w:r>
        <w:rPr>
          <w:rFonts w:hint="eastAsia" w:ascii="宋体" w:hAnsi="宋体" w:eastAsia="宋体" w:cs="宋体"/>
        </w:rPr>
        <w:t xml:space="preserve">2.2.1 </w:t>
      </w:r>
      <w:r>
        <w:t>UPS</w:t>
      </w:r>
      <w:r>
        <w:rPr>
          <w:rFonts w:hint="eastAsia"/>
        </w:rPr>
        <w:t>的选位</w:t>
      </w:r>
      <w:r>
        <w:tab/>
      </w:r>
      <w:r>
        <w:fldChar w:fldCharType="begin"/>
      </w:r>
      <w:r>
        <w:instrText xml:space="preserve"> PAGEREF _Toc27263 \h </w:instrText>
      </w:r>
      <w:r>
        <w:fldChar w:fldCharType="separate"/>
      </w:r>
      <w:r>
        <w:t>7</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_Toc26827 </w:instrText>
      </w:r>
      <w:r>
        <w:rPr>
          <w:rFonts w:ascii="宋体" w:hAnsi="宋体" w:eastAsia="宋体"/>
          <w:kern w:val="2"/>
          <w:szCs w:val="24"/>
        </w:rPr>
        <w:fldChar w:fldCharType="separate"/>
      </w:r>
      <w:r>
        <w:rPr>
          <w:rFonts w:hint="eastAsia" w:ascii="宋体" w:hAnsi="宋体" w:eastAsia="宋体" w:cs="宋体"/>
        </w:rPr>
        <w:t xml:space="preserve">2.2.2 </w:t>
      </w:r>
      <w:r>
        <w:rPr>
          <w:rFonts w:hint="eastAsia"/>
        </w:rPr>
        <w:t>电池的选位</w:t>
      </w:r>
      <w:r>
        <w:tab/>
      </w:r>
      <w:r>
        <w:fldChar w:fldCharType="begin"/>
      </w:r>
      <w:r>
        <w:instrText xml:space="preserve"> PAGEREF _Toc26827 \h </w:instrText>
      </w:r>
      <w:r>
        <w:fldChar w:fldCharType="separate"/>
      </w:r>
      <w:r>
        <w:t>7</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_Toc16287 </w:instrText>
      </w:r>
      <w:r>
        <w:rPr>
          <w:rFonts w:ascii="宋体" w:hAnsi="宋体" w:eastAsia="宋体"/>
          <w:kern w:val="2"/>
          <w:szCs w:val="24"/>
        </w:rPr>
        <w:fldChar w:fldCharType="separate"/>
      </w:r>
      <w:r>
        <w:rPr>
          <w:rFonts w:hint="eastAsia" w:ascii="宋体" w:hAnsi="宋体" w:eastAsia="宋体" w:cs="宋体"/>
        </w:rPr>
        <w:t xml:space="preserve">2.2.3 </w:t>
      </w:r>
      <w:r>
        <w:rPr>
          <w:rFonts w:hint="eastAsia"/>
        </w:rPr>
        <w:t>存储</w:t>
      </w:r>
      <w:r>
        <w:tab/>
      </w:r>
      <w:r>
        <w:fldChar w:fldCharType="begin"/>
      </w:r>
      <w:r>
        <w:instrText xml:space="preserve"> PAGEREF _Toc16287 \h </w:instrText>
      </w:r>
      <w:r>
        <w:fldChar w:fldCharType="separate"/>
      </w:r>
      <w:r>
        <w:t>8</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_Toc8422 </w:instrText>
      </w:r>
      <w:r>
        <w:rPr>
          <w:rFonts w:ascii="宋体" w:hAnsi="宋体" w:eastAsia="宋体"/>
          <w:kern w:val="2"/>
          <w:szCs w:val="24"/>
        </w:rPr>
        <w:fldChar w:fldCharType="separate"/>
      </w:r>
      <w:r>
        <w:rPr>
          <w:rFonts w:hint="eastAsia" w:ascii="宋体" w:hAnsi="宋体" w:eastAsia="宋体" w:cs="宋体"/>
          <w:szCs w:val="22"/>
        </w:rPr>
        <w:t xml:space="preserve">2.3 </w:t>
      </w:r>
      <w:r>
        <w:rPr>
          <w:rFonts w:hint="eastAsia"/>
          <w:szCs w:val="22"/>
        </w:rPr>
        <w:t>安装尺寸图</w:t>
      </w:r>
      <w:r>
        <w:tab/>
      </w:r>
      <w:r>
        <w:fldChar w:fldCharType="begin"/>
      </w:r>
      <w:r>
        <w:instrText xml:space="preserve"> PAGEREF _Toc8422 \h </w:instrText>
      </w:r>
      <w:r>
        <w:fldChar w:fldCharType="separate"/>
      </w:r>
      <w:r>
        <w:t>8</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_Toc31482 </w:instrText>
      </w:r>
      <w:r>
        <w:rPr>
          <w:rFonts w:ascii="宋体" w:hAnsi="宋体" w:eastAsia="宋体"/>
          <w:kern w:val="2"/>
          <w:szCs w:val="24"/>
        </w:rPr>
        <w:fldChar w:fldCharType="separate"/>
      </w:r>
      <w:r>
        <w:rPr>
          <w:rFonts w:hint="eastAsia" w:ascii="宋体" w:hAnsi="宋体" w:eastAsia="宋体" w:cs="宋体"/>
          <w:szCs w:val="22"/>
        </w:rPr>
        <w:t xml:space="preserve">2.4 </w:t>
      </w:r>
      <w:r>
        <w:rPr>
          <w:rFonts w:hint="eastAsia"/>
          <w:szCs w:val="22"/>
        </w:rPr>
        <w:t>机械要求</w:t>
      </w:r>
      <w:r>
        <w:tab/>
      </w:r>
      <w:r>
        <w:fldChar w:fldCharType="begin"/>
      </w:r>
      <w:r>
        <w:instrText xml:space="preserve"> PAGEREF _Toc31482 \h </w:instrText>
      </w:r>
      <w:r>
        <w:fldChar w:fldCharType="separate"/>
      </w:r>
      <w:r>
        <w:t>10</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_Toc9585 </w:instrText>
      </w:r>
      <w:r>
        <w:rPr>
          <w:rFonts w:ascii="宋体" w:hAnsi="宋体" w:eastAsia="宋体"/>
          <w:kern w:val="2"/>
          <w:szCs w:val="24"/>
        </w:rPr>
        <w:fldChar w:fldCharType="separate"/>
      </w:r>
      <w:r>
        <w:rPr>
          <w:rFonts w:hint="eastAsia" w:ascii="宋体" w:hAnsi="宋体" w:eastAsia="宋体" w:cs="宋体"/>
        </w:rPr>
        <w:t xml:space="preserve">2.4.1 </w:t>
      </w:r>
      <w:r>
        <w:t>UPS系统</w:t>
      </w:r>
      <w:r>
        <w:rPr>
          <w:rFonts w:hint="eastAsia"/>
        </w:rPr>
        <w:t>组成</w:t>
      </w:r>
      <w:r>
        <w:tab/>
      </w:r>
      <w:r>
        <w:fldChar w:fldCharType="begin"/>
      </w:r>
      <w:r>
        <w:instrText xml:space="preserve"> PAGEREF _Toc9585 \h </w:instrText>
      </w:r>
      <w:r>
        <w:fldChar w:fldCharType="separate"/>
      </w:r>
      <w:r>
        <w:t>10</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_Toc9381 </w:instrText>
      </w:r>
      <w:r>
        <w:rPr>
          <w:rFonts w:ascii="宋体" w:hAnsi="宋体" w:eastAsia="宋体"/>
          <w:kern w:val="2"/>
          <w:szCs w:val="24"/>
        </w:rPr>
        <w:fldChar w:fldCharType="separate"/>
      </w:r>
      <w:r>
        <w:rPr>
          <w:rFonts w:hint="eastAsia" w:ascii="宋体" w:hAnsi="宋体" w:eastAsia="宋体" w:cs="宋体"/>
        </w:rPr>
        <w:t xml:space="preserve">2.4.2 </w:t>
      </w:r>
      <w:r>
        <w:rPr>
          <w:rFonts w:hint="eastAsia"/>
          <w:lang w:val="en-US" w:eastAsia="zh-CN"/>
        </w:rPr>
        <w:t>14模块机柜安装</w:t>
      </w:r>
      <w:r>
        <w:tab/>
      </w:r>
      <w:r>
        <w:fldChar w:fldCharType="begin"/>
      </w:r>
      <w:r>
        <w:instrText xml:space="preserve"> PAGEREF _Toc9381 \h </w:instrText>
      </w:r>
      <w:r>
        <w:fldChar w:fldCharType="separate"/>
      </w:r>
      <w:r>
        <w:t>11</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_Toc28975 </w:instrText>
      </w:r>
      <w:r>
        <w:rPr>
          <w:rFonts w:ascii="宋体" w:hAnsi="宋体" w:eastAsia="宋体"/>
          <w:kern w:val="2"/>
          <w:szCs w:val="24"/>
        </w:rPr>
        <w:fldChar w:fldCharType="separate"/>
      </w:r>
      <w:r>
        <w:rPr>
          <w:rFonts w:hint="eastAsia" w:ascii="宋体" w:hAnsi="宋体" w:eastAsia="宋体" w:cs="宋体"/>
        </w:rPr>
        <w:t xml:space="preserve">2.4.3 </w:t>
      </w:r>
      <w:r>
        <w:rPr>
          <w:rFonts w:hint="eastAsia"/>
        </w:rPr>
        <w:t>功率模块组成</w:t>
      </w:r>
      <w:r>
        <w:tab/>
      </w:r>
      <w:r>
        <w:fldChar w:fldCharType="begin"/>
      </w:r>
      <w:r>
        <w:instrText xml:space="preserve"> PAGEREF _Toc28975 \h </w:instrText>
      </w:r>
      <w:r>
        <w:fldChar w:fldCharType="separate"/>
      </w:r>
      <w:r>
        <w:t>15</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_Toc6991 </w:instrText>
      </w:r>
      <w:r>
        <w:rPr>
          <w:rFonts w:ascii="宋体" w:hAnsi="宋体" w:eastAsia="宋体"/>
          <w:kern w:val="2"/>
          <w:szCs w:val="24"/>
        </w:rPr>
        <w:fldChar w:fldCharType="separate"/>
      </w:r>
      <w:r>
        <w:rPr>
          <w:rFonts w:hint="eastAsia" w:ascii="宋体" w:hAnsi="宋体" w:eastAsia="宋体" w:cs="宋体"/>
        </w:rPr>
        <w:t xml:space="preserve">2.4.4 </w:t>
      </w:r>
      <w:r>
        <w:rPr>
          <w:rFonts w:hint="eastAsia"/>
        </w:rPr>
        <w:t>旁路模块组成</w:t>
      </w:r>
      <w:r>
        <w:tab/>
      </w:r>
      <w:r>
        <w:fldChar w:fldCharType="begin"/>
      </w:r>
      <w:r>
        <w:instrText xml:space="preserve"> PAGEREF _Toc6991 \h </w:instrText>
      </w:r>
      <w:r>
        <w:fldChar w:fldCharType="separate"/>
      </w:r>
      <w:r>
        <w:t>16</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_Toc25380 </w:instrText>
      </w:r>
      <w:r>
        <w:rPr>
          <w:rFonts w:ascii="宋体" w:hAnsi="宋体" w:eastAsia="宋体"/>
          <w:kern w:val="2"/>
          <w:szCs w:val="24"/>
        </w:rPr>
        <w:fldChar w:fldCharType="separate"/>
      </w:r>
      <w:r>
        <w:rPr>
          <w:rFonts w:hint="eastAsia" w:ascii="宋体" w:hAnsi="宋体" w:eastAsia="宋体" w:cs="宋体"/>
        </w:rPr>
        <w:t xml:space="preserve">2.4.5 </w:t>
      </w:r>
      <w:r>
        <w:rPr>
          <w:rFonts w:hint="eastAsia"/>
        </w:rPr>
        <w:t>搬运机柜</w:t>
      </w:r>
      <w:r>
        <w:tab/>
      </w:r>
      <w:r>
        <w:fldChar w:fldCharType="begin"/>
      </w:r>
      <w:r>
        <w:instrText xml:space="preserve"> PAGEREF _Toc25380 \h </w:instrText>
      </w:r>
      <w:r>
        <w:fldChar w:fldCharType="separate"/>
      </w:r>
      <w:r>
        <w:t>17</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_Toc6329 </w:instrText>
      </w:r>
      <w:r>
        <w:rPr>
          <w:rFonts w:ascii="宋体" w:hAnsi="宋体" w:eastAsia="宋体"/>
          <w:kern w:val="2"/>
          <w:szCs w:val="24"/>
        </w:rPr>
        <w:fldChar w:fldCharType="separate"/>
      </w:r>
      <w:r>
        <w:rPr>
          <w:rFonts w:hint="eastAsia" w:ascii="宋体" w:hAnsi="宋体" w:eastAsia="宋体" w:cs="宋体"/>
        </w:rPr>
        <w:t xml:space="preserve">2.4.6 </w:t>
      </w:r>
      <w:r>
        <w:rPr>
          <w:rFonts w:hint="eastAsia"/>
        </w:rPr>
        <w:t>操作空间</w:t>
      </w:r>
      <w:r>
        <w:tab/>
      </w:r>
      <w:r>
        <w:fldChar w:fldCharType="begin"/>
      </w:r>
      <w:r>
        <w:instrText xml:space="preserve"> PAGEREF _Toc6329 \h </w:instrText>
      </w:r>
      <w:r>
        <w:fldChar w:fldCharType="separate"/>
      </w:r>
      <w:r>
        <w:t>17</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_Toc29103 </w:instrText>
      </w:r>
      <w:r>
        <w:rPr>
          <w:rFonts w:ascii="宋体" w:hAnsi="宋体" w:eastAsia="宋体"/>
          <w:kern w:val="2"/>
          <w:szCs w:val="24"/>
        </w:rPr>
        <w:fldChar w:fldCharType="separate"/>
      </w:r>
      <w:r>
        <w:rPr>
          <w:rFonts w:hint="eastAsia" w:ascii="宋体" w:hAnsi="宋体" w:eastAsia="宋体" w:cs="宋体"/>
        </w:rPr>
        <w:t xml:space="preserve">2.4.7 </w:t>
      </w:r>
      <w:r>
        <w:rPr>
          <w:rFonts w:hint="eastAsia"/>
        </w:rPr>
        <w:t>进线方式</w:t>
      </w:r>
      <w:r>
        <w:tab/>
      </w:r>
      <w:r>
        <w:fldChar w:fldCharType="begin"/>
      </w:r>
      <w:r>
        <w:instrText xml:space="preserve"> PAGEREF _Toc29103 \h </w:instrText>
      </w:r>
      <w:r>
        <w:fldChar w:fldCharType="separate"/>
      </w:r>
      <w:r>
        <w:t>18</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_Toc22235 </w:instrText>
      </w:r>
      <w:r>
        <w:rPr>
          <w:rFonts w:ascii="宋体" w:hAnsi="宋体" w:eastAsia="宋体"/>
          <w:kern w:val="2"/>
          <w:szCs w:val="24"/>
        </w:rPr>
        <w:fldChar w:fldCharType="separate"/>
      </w:r>
      <w:r>
        <w:rPr>
          <w:rFonts w:hint="eastAsia" w:ascii="宋体" w:hAnsi="宋体" w:eastAsia="宋体" w:cs="宋体"/>
        </w:rPr>
        <w:t xml:space="preserve">2.4.8 </w:t>
      </w:r>
      <w:r>
        <w:rPr>
          <w:rFonts w:hint="eastAsia"/>
        </w:rPr>
        <w:t>定位与固定</w:t>
      </w:r>
      <w:r>
        <w:tab/>
      </w:r>
      <w:r>
        <w:fldChar w:fldCharType="begin"/>
      </w:r>
      <w:r>
        <w:instrText xml:space="preserve"> PAGEREF _Toc22235 \h </w:instrText>
      </w:r>
      <w:r>
        <w:fldChar w:fldCharType="separate"/>
      </w:r>
      <w:r>
        <w:t>18</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_Toc32667 </w:instrText>
      </w:r>
      <w:r>
        <w:rPr>
          <w:rFonts w:ascii="宋体" w:hAnsi="宋体" w:eastAsia="宋体"/>
          <w:kern w:val="2"/>
          <w:szCs w:val="24"/>
        </w:rPr>
        <w:fldChar w:fldCharType="separate"/>
      </w:r>
      <w:r>
        <w:rPr>
          <w:rFonts w:hint="eastAsia" w:ascii="宋体" w:hAnsi="宋体" w:eastAsia="宋体" w:cs="宋体"/>
        </w:rPr>
        <w:t xml:space="preserve">2.4.9 </w:t>
      </w:r>
      <w:r>
        <w:rPr>
          <w:rFonts w:hint="eastAsia"/>
        </w:rPr>
        <w:t>安装模块</w:t>
      </w:r>
      <w:r>
        <w:tab/>
      </w:r>
      <w:r>
        <w:fldChar w:fldCharType="begin"/>
      </w:r>
      <w:r>
        <w:instrText xml:space="preserve"> PAGEREF _Toc32667 \h </w:instrText>
      </w:r>
      <w:r>
        <w:fldChar w:fldCharType="separate"/>
      </w:r>
      <w:r>
        <w:t>18</w:t>
      </w:r>
      <w:r>
        <w:fldChar w:fldCharType="end"/>
      </w:r>
      <w:r>
        <w:rPr>
          <w:rFonts w:ascii="宋体" w:hAnsi="宋体" w:eastAsia="宋体"/>
          <w:kern w:val="2"/>
          <w:szCs w:val="24"/>
        </w:rPr>
        <w:fldChar w:fldCharType="end"/>
      </w:r>
    </w:p>
    <w:p>
      <w:pPr>
        <w:pStyle w:val="39"/>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_Toc10869 </w:instrText>
      </w:r>
      <w:r>
        <w:rPr>
          <w:rFonts w:ascii="宋体" w:hAnsi="宋体" w:eastAsia="宋体"/>
          <w:kern w:val="2"/>
          <w:szCs w:val="24"/>
        </w:rPr>
        <w:fldChar w:fldCharType="separate"/>
      </w:r>
      <w:r>
        <w:rPr>
          <w:rFonts w:hint="eastAsia" w:ascii="宋体" w:hAnsi="宋体" w:eastAsia="宋体" w:cs="宋体"/>
        </w:rPr>
        <w:t xml:space="preserve">第三章 </w:t>
      </w:r>
      <w:r>
        <w:rPr>
          <w:rFonts w:hint="eastAsia"/>
        </w:rPr>
        <w:t>电气安装</w:t>
      </w:r>
      <w:r>
        <w:tab/>
      </w:r>
      <w:r>
        <w:fldChar w:fldCharType="begin"/>
      </w:r>
      <w:r>
        <w:instrText xml:space="preserve"> PAGEREF _Toc10869 \h </w:instrText>
      </w:r>
      <w:r>
        <w:fldChar w:fldCharType="separate"/>
      </w:r>
      <w:r>
        <w:t>19</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_Toc23172 </w:instrText>
      </w:r>
      <w:r>
        <w:rPr>
          <w:rFonts w:ascii="宋体" w:hAnsi="宋体" w:eastAsia="宋体"/>
          <w:kern w:val="2"/>
          <w:szCs w:val="24"/>
        </w:rPr>
        <w:fldChar w:fldCharType="separate"/>
      </w:r>
      <w:r>
        <w:rPr>
          <w:rFonts w:hint="eastAsia" w:ascii="宋体" w:hAnsi="宋体" w:eastAsia="宋体" w:cs="宋体"/>
        </w:rPr>
        <w:t xml:space="preserve">3.1 </w:t>
      </w:r>
      <w:r>
        <w:rPr>
          <w:rFonts w:hint="eastAsia"/>
        </w:rPr>
        <w:t>功率电缆布线</w:t>
      </w:r>
      <w:r>
        <w:tab/>
      </w:r>
      <w:r>
        <w:fldChar w:fldCharType="begin"/>
      </w:r>
      <w:r>
        <w:instrText xml:space="preserve"> PAGEREF _Toc23172 \h </w:instrText>
      </w:r>
      <w:r>
        <w:fldChar w:fldCharType="separate"/>
      </w:r>
      <w:r>
        <w:t>19</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_Toc25843 </w:instrText>
      </w:r>
      <w:r>
        <w:rPr>
          <w:rFonts w:ascii="宋体" w:hAnsi="宋体" w:eastAsia="宋体"/>
          <w:kern w:val="2"/>
          <w:szCs w:val="24"/>
        </w:rPr>
        <w:fldChar w:fldCharType="separate"/>
      </w:r>
      <w:r>
        <w:rPr>
          <w:rFonts w:hint="eastAsia" w:ascii="宋体" w:hAnsi="宋体" w:eastAsia="宋体" w:cs="宋体"/>
        </w:rPr>
        <w:t xml:space="preserve">3.1.1 </w:t>
      </w:r>
      <w:r>
        <w:rPr>
          <w:rFonts w:hint="eastAsia"/>
        </w:rPr>
        <w:t>系统配置</w:t>
      </w:r>
      <w:r>
        <w:tab/>
      </w:r>
      <w:r>
        <w:fldChar w:fldCharType="begin"/>
      </w:r>
      <w:r>
        <w:instrText xml:space="preserve"> PAGEREF _Toc25843 \h </w:instrText>
      </w:r>
      <w:r>
        <w:fldChar w:fldCharType="separate"/>
      </w:r>
      <w:r>
        <w:t>19</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_Toc21378 </w:instrText>
      </w:r>
      <w:r>
        <w:rPr>
          <w:rFonts w:ascii="宋体" w:hAnsi="宋体" w:eastAsia="宋体"/>
          <w:kern w:val="2"/>
          <w:szCs w:val="24"/>
        </w:rPr>
        <w:fldChar w:fldCharType="separate"/>
      </w:r>
      <w:r>
        <w:rPr>
          <w:rFonts w:hint="eastAsia" w:ascii="宋体" w:hAnsi="宋体" w:eastAsia="宋体" w:cs="宋体"/>
        </w:rPr>
        <w:t xml:space="preserve">3.1.2 </w:t>
      </w:r>
      <w:r>
        <w:rPr>
          <w:rFonts w:hint="eastAsia"/>
        </w:rPr>
        <w:t>最大稳态交流和直流电流</w:t>
      </w:r>
      <w:r>
        <w:tab/>
      </w:r>
      <w:r>
        <w:fldChar w:fldCharType="begin"/>
      </w:r>
      <w:r>
        <w:instrText xml:space="preserve"> PAGEREF _Toc21378 \h </w:instrText>
      </w:r>
      <w:r>
        <w:fldChar w:fldCharType="separate"/>
      </w:r>
      <w:r>
        <w:t>19</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_Toc1327 </w:instrText>
      </w:r>
      <w:r>
        <w:rPr>
          <w:rFonts w:ascii="宋体" w:hAnsi="宋体" w:eastAsia="宋体"/>
          <w:kern w:val="2"/>
          <w:szCs w:val="24"/>
        </w:rPr>
        <w:fldChar w:fldCharType="separate"/>
      </w:r>
      <w:r>
        <w:rPr>
          <w:rFonts w:hint="eastAsia" w:ascii="宋体" w:hAnsi="宋体" w:eastAsia="宋体" w:cs="宋体"/>
        </w:rPr>
        <w:t xml:space="preserve">3.1.3 </w:t>
      </w:r>
      <w:r>
        <w:rPr>
          <w:rFonts w:hint="eastAsia"/>
        </w:rPr>
        <w:t>线缆距离机柜的最小距离</w:t>
      </w:r>
      <w:r>
        <w:tab/>
      </w:r>
      <w:r>
        <w:fldChar w:fldCharType="begin"/>
      </w:r>
      <w:r>
        <w:instrText xml:space="preserve"> PAGEREF _Toc1327 \h </w:instrText>
      </w:r>
      <w:r>
        <w:fldChar w:fldCharType="separate"/>
      </w:r>
      <w:r>
        <w:t>20</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_Toc17228 </w:instrText>
      </w:r>
      <w:r>
        <w:rPr>
          <w:rFonts w:ascii="宋体" w:hAnsi="宋体" w:eastAsia="宋体"/>
          <w:kern w:val="2"/>
          <w:szCs w:val="24"/>
        </w:rPr>
        <w:fldChar w:fldCharType="separate"/>
      </w:r>
      <w:r>
        <w:rPr>
          <w:rFonts w:hint="eastAsia" w:ascii="宋体" w:hAnsi="宋体" w:eastAsia="宋体" w:cs="宋体"/>
        </w:rPr>
        <w:t xml:space="preserve">3.1.4 </w:t>
      </w:r>
      <w:r>
        <w:rPr>
          <w:rFonts w:hint="eastAsia"/>
        </w:rPr>
        <w:t>一般注意事项</w:t>
      </w:r>
      <w:r>
        <w:tab/>
      </w:r>
      <w:r>
        <w:fldChar w:fldCharType="begin"/>
      </w:r>
      <w:r>
        <w:instrText xml:space="preserve"> PAGEREF _Toc17228 \h </w:instrText>
      </w:r>
      <w:r>
        <w:fldChar w:fldCharType="separate"/>
      </w:r>
      <w:r>
        <w:t>20</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_Toc28151 </w:instrText>
      </w:r>
      <w:r>
        <w:rPr>
          <w:rFonts w:ascii="宋体" w:hAnsi="宋体" w:eastAsia="宋体"/>
          <w:kern w:val="2"/>
          <w:szCs w:val="24"/>
        </w:rPr>
        <w:fldChar w:fldCharType="separate"/>
      </w:r>
      <w:r>
        <w:rPr>
          <w:rFonts w:hint="eastAsia" w:ascii="宋体" w:hAnsi="宋体" w:eastAsia="宋体" w:cs="宋体"/>
        </w:rPr>
        <w:t xml:space="preserve">3.1.5 </w:t>
      </w:r>
      <w:r>
        <w:rPr>
          <w:rFonts w:hint="eastAsia"/>
        </w:rPr>
        <w:t>保护地</w:t>
      </w:r>
      <w:r>
        <w:tab/>
      </w:r>
      <w:r>
        <w:fldChar w:fldCharType="begin"/>
      </w:r>
      <w:r>
        <w:instrText xml:space="preserve"> PAGEREF _Toc28151 \h </w:instrText>
      </w:r>
      <w:r>
        <w:fldChar w:fldCharType="separate"/>
      </w:r>
      <w:r>
        <w:t>20</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_Toc25504 </w:instrText>
      </w:r>
      <w:r>
        <w:rPr>
          <w:rFonts w:ascii="宋体" w:hAnsi="宋体" w:eastAsia="宋体"/>
          <w:kern w:val="2"/>
          <w:szCs w:val="24"/>
        </w:rPr>
        <w:fldChar w:fldCharType="separate"/>
      </w:r>
      <w:r>
        <w:rPr>
          <w:rFonts w:hint="eastAsia" w:ascii="宋体" w:hAnsi="宋体" w:eastAsia="宋体" w:cs="宋体"/>
        </w:rPr>
        <w:t xml:space="preserve">3.1.6 </w:t>
      </w:r>
      <w:r>
        <w:rPr>
          <w:rFonts w:hint="eastAsia"/>
        </w:rPr>
        <w:t>输入电源保护</w:t>
      </w:r>
      <w:r>
        <w:tab/>
      </w:r>
      <w:r>
        <w:fldChar w:fldCharType="begin"/>
      </w:r>
      <w:r>
        <w:instrText xml:space="preserve"> PAGEREF _Toc25504 \h </w:instrText>
      </w:r>
      <w:r>
        <w:fldChar w:fldCharType="separate"/>
      </w:r>
      <w:r>
        <w:t>20</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_Toc29587 </w:instrText>
      </w:r>
      <w:r>
        <w:rPr>
          <w:rFonts w:ascii="宋体" w:hAnsi="宋体" w:eastAsia="宋体"/>
          <w:kern w:val="2"/>
          <w:szCs w:val="24"/>
        </w:rPr>
        <w:fldChar w:fldCharType="separate"/>
      </w:r>
      <w:r>
        <w:rPr>
          <w:rFonts w:hint="eastAsia" w:ascii="宋体" w:hAnsi="宋体" w:eastAsia="宋体" w:cs="宋体"/>
        </w:rPr>
        <w:t xml:space="preserve">3.1.7 </w:t>
      </w:r>
      <w:r>
        <w:rPr>
          <w:rFonts w:hint="eastAsia"/>
        </w:rPr>
        <w:t>电池输入保护</w:t>
      </w:r>
      <w:r>
        <w:tab/>
      </w:r>
      <w:r>
        <w:fldChar w:fldCharType="begin"/>
      </w:r>
      <w:r>
        <w:instrText xml:space="preserve"> PAGEREF _Toc29587 \h </w:instrText>
      </w:r>
      <w:r>
        <w:fldChar w:fldCharType="separate"/>
      </w:r>
      <w:r>
        <w:t>21</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_Toc15141 </w:instrText>
      </w:r>
      <w:r>
        <w:rPr>
          <w:rFonts w:ascii="宋体" w:hAnsi="宋体" w:eastAsia="宋体"/>
          <w:kern w:val="2"/>
          <w:szCs w:val="24"/>
        </w:rPr>
        <w:fldChar w:fldCharType="separate"/>
      </w:r>
      <w:r>
        <w:rPr>
          <w:rFonts w:hint="eastAsia" w:ascii="宋体" w:hAnsi="宋体" w:eastAsia="宋体" w:cs="宋体"/>
        </w:rPr>
        <w:t xml:space="preserve">3.1.8 </w:t>
      </w:r>
      <w:r>
        <w:rPr>
          <w:rFonts w:hint="eastAsia"/>
        </w:rPr>
        <w:t>系统输出保护</w:t>
      </w:r>
      <w:r>
        <w:tab/>
      </w:r>
      <w:r>
        <w:fldChar w:fldCharType="begin"/>
      </w:r>
      <w:r>
        <w:instrText xml:space="preserve"> PAGEREF _Toc15141 \h </w:instrText>
      </w:r>
      <w:r>
        <w:fldChar w:fldCharType="separate"/>
      </w:r>
      <w:r>
        <w:t>21</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_Toc24480 </w:instrText>
      </w:r>
      <w:r>
        <w:rPr>
          <w:rFonts w:ascii="宋体" w:hAnsi="宋体" w:eastAsia="宋体"/>
          <w:kern w:val="2"/>
          <w:szCs w:val="24"/>
        </w:rPr>
        <w:fldChar w:fldCharType="separate"/>
      </w:r>
      <w:r>
        <w:rPr>
          <w:rFonts w:hint="eastAsia" w:ascii="宋体" w:hAnsi="宋体" w:eastAsia="宋体" w:cs="宋体"/>
        </w:rPr>
        <w:t xml:space="preserve">3.1.9 </w:t>
      </w:r>
      <w:r>
        <w:rPr>
          <w:rFonts w:hint="eastAsia"/>
        </w:rPr>
        <w:t>功率电缆接线步骤</w:t>
      </w:r>
      <w:r>
        <w:tab/>
      </w:r>
      <w:r>
        <w:fldChar w:fldCharType="begin"/>
      </w:r>
      <w:r>
        <w:instrText xml:space="preserve"> PAGEREF _Toc24480 \h </w:instrText>
      </w:r>
      <w:r>
        <w:fldChar w:fldCharType="separate"/>
      </w:r>
      <w:r>
        <w:t>21</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_Toc7240 </w:instrText>
      </w:r>
      <w:r>
        <w:rPr>
          <w:rFonts w:ascii="宋体" w:hAnsi="宋体" w:eastAsia="宋体"/>
          <w:kern w:val="2"/>
          <w:szCs w:val="24"/>
        </w:rPr>
        <w:fldChar w:fldCharType="separate"/>
      </w:r>
      <w:r>
        <w:rPr>
          <w:rFonts w:hint="eastAsia" w:ascii="宋体" w:hAnsi="宋体" w:eastAsia="宋体" w:cs="宋体"/>
        </w:rPr>
        <w:t xml:space="preserve">3.2 </w:t>
      </w:r>
      <w:r>
        <w:rPr>
          <w:rFonts w:hint="eastAsia"/>
          <w:lang w:val="en-US" w:eastAsia="zh-CN"/>
        </w:rPr>
        <w:t>信号</w:t>
      </w:r>
      <w:r>
        <w:rPr>
          <w:rFonts w:hint="eastAsia"/>
        </w:rPr>
        <w:t>电缆布线</w:t>
      </w:r>
      <w:r>
        <w:tab/>
      </w:r>
      <w:r>
        <w:fldChar w:fldCharType="begin"/>
      </w:r>
      <w:r>
        <w:instrText xml:space="preserve"> PAGEREF _Toc7240 \h </w:instrText>
      </w:r>
      <w:r>
        <w:fldChar w:fldCharType="separate"/>
      </w:r>
      <w:r>
        <w:t>24</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_Toc21757 </w:instrText>
      </w:r>
      <w:r>
        <w:rPr>
          <w:rFonts w:ascii="宋体" w:hAnsi="宋体" w:eastAsia="宋体"/>
          <w:kern w:val="2"/>
          <w:szCs w:val="24"/>
        </w:rPr>
        <w:fldChar w:fldCharType="separate"/>
      </w:r>
      <w:r>
        <w:rPr>
          <w:rFonts w:hint="eastAsia" w:ascii="宋体" w:hAnsi="宋体" w:eastAsia="宋体" w:cs="宋体"/>
        </w:rPr>
        <w:t xml:space="preserve">3.2.1 </w:t>
      </w:r>
      <w:r>
        <w:rPr>
          <w:rFonts w:hint="eastAsia"/>
        </w:rPr>
        <w:t>概述</w:t>
      </w:r>
      <w:r>
        <w:tab/>
      </w:r>
      <w:r>
        <w:fldChar w:fldCharType="begin"/>
      </w:r>
      <w:r>
        <w:instrText xml:space="preserve"> PAGEREF _Toc21757 \h </w:instrText>
      </w:r>
      <w:r>
        <w:fldChar w:fldCharType="separate"/>
      </w:r>
      <w:r>
        <w:t>24</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_Toc22536 </w:instrText>
      </w:r>
      <w:r>
        <w:rPr>
          <w:rFonts w:ascii="宋体" w:hAnsi="宋体" w:eastAsia="宋体"/>
          <w:kern w:val="2"/>
          <w:szCs w:val="24"/>
        </w:rPr>
        <w:fldChar w:fldCharType="separate"/>
      </w:r>
      <w:r>
        <w:rPr>
          <w:rFonts w:hint="eastAsia" w:ascii="宋体" w:hAnsi="宋体" w:eastAsia="宋体" w:cs="宋体"/>
        </w:rPr>
        <w:t xml:space="preserve">3.2.2 </w:t>
      </w:r>
      <w:r>
        <w:rPr>
          <w:rFonts w:hint="eastAsia"/>
        </w:rPr>
        <w:t>监控连接端子</w:t>
      </w:r>
      <w:r>
        <w:tab/>
      </w:r>
      <w:r>
        <w:fldChar w:fldCharType="begin"/>
      </w:r>
      <w:r>
        <w:instrText xml:space="preserve"> PAGEREF _Toc22536 \h </w:instrText>
      </w:r>
      <w:r>
        <w:fldChar w:fldCharType="separate"/>
      </w:r>
      <w:r>
        <w:t>24</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_Toc7128 </w:instrText>
      </w:r>
      <w:r>
        <w:rPr>
          <w:rFonts w:ascii="宋体" w:hAnsi="宋体" w:eastAsia="宋体"/>
          <w:kern w:val="2"/>
          <w:szCs w:val="24"/>
        </w:rPr>
        <w:fldChar w:fldCharType="separate"/>
      </w:r>
      <w:r>
        <w:rPr>
          <w:rFonts w:hint="eastAsia" w:ascii="宋体" w:hAnsi="宋体" w:eastAsia="宋体" w:cs="宋体"/>
        </w:rPr>
        <w:t xml:space="preserve">3.2.3 </w:t>
      </w:r>
      <w:r>
        <w:rPr>
          <w:rFonts w:hint="eastAsia"/>
        </w:rPr>
        <w:t>远程EPO输入接口</w:t>
      </w:r>
      <w:r>
        <w:tab/>
      </w:r>
      <w:r>
        <w:fldChar w:fldCharType="begin"/>
      </w:r>
      <w:r>
        <w:instrText xml:space="preserve"> PAGEREF _Toc7128 \h </w:instrText>
      </w:r>
      <w:r>
        <w:fldChar w:fldCharType="separate"/>
      </w:r>
      <w:r>
        <w:t>25</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_Toc11332 </w:instrText>
      </w:r>
      <w:r>
        <w:rPr>
          <w:rFonts w:ascii="宋体" w:hAnsi="宋体" w:eastAsia="宋体"/>
          <w:kern w:val="2"/>
          <w:szCs w:val="24"/>
        </w:rPr>
        <w:fldChar w:fldCharType="separate"/>
      </w:r>
      <w:r>
        <w:rPr>
          <w:rFonts w:hint="eastAsia" w:ascii="宋体" w:hAnsi="宋体" w:eastAsia="宋体" w:cs="宋体"/>
        </w:rPr>
        <w:t xml:space="preserve">3.2.4 </w:t>
      </w:r>
      <w:r>
        <w:rPr>
          <w:rFonts w:hint="eastAsia"/>
        </w:rPr>
        <w:t>RS</w:t>
      </w:r>
      <w:r>
        <w:t>232</w:t>
      </w:r>
      <w:r>
        <w:rPr>
          <w:rFonts w:hint="eastAsia"/>
        </w:rPr>
        <w:t>后台通信接口</w:t>
      </w:r>
      <w:r>
        <w:tab/>
      </w:r>
      <w:r>
        <w:fldChar w:fldCharType="begin"/>
      </w:r>
      <w:r>
        <w:instrText xml:space="preserve"> PAGEREF _Toc11332 \h </w:instrText>
      </w:r>
      <w:r>
        <w:fldChar w:fldCharType="separate"/>
      </w:r>
      <w:r>
        <w:t>26</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_Toc24409 </w:instrText>
      </w:r>
      <w:r>
        <w:rPr>
          <w:rFonts w:ascii="宋体" w:hAnsi="宋体" w:eastAsia="宋体"/>
          <w:kern w:val="2"/>
          <w:szCs w:val="24"/>
        </w:rPr>
        <w:fldChar w:fldCharType="separate"/>
      </w:r>
      <w:r>
        <w:rPr>
          <w:rFonts w:hint="eastAsia" w:ascii="宋体" w:hAnsi="宋体" w:eastAsia="宋体" w:cs="宋体"/>
        </w:rPr>
        <w:t xml:space="preserve">3.2.5 </w:t>
      </w:r>
      <w:r>
        <w:rPr>
          <w:rFonts w:hint="eastAsia"/>
        </w:rPr>
        <w:t>并机线连接端子</w:t>
      </w:r>
      <w:r>
        <w:tab/>
      </w:r>
      <w:r>
        <w:fldChar w:fldCharType="begin"/>
      </w:r>
      <w:r>
        <w:instrText xml:space="preserve"> PAGEREF _Toc24409 \h </w:instrText>
      </w:r>
      <w:r>
        <w:fldChar w:fldCharType="separate"/>
      </w:r>
      <w:r>
        <w:t>26</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_Toc28993 </w:instrText>
      </w:r>
      <w:r>
        <w:rPr>
          <w:rFonts w:ascii="宋体" w:hAnsi="宋体" w:eastAsia="宋体"/>
          <w:kern w:val="2"/>
          <w:szCs w:val="24"/>
        </w:rPr>
        <w:fldChar w:fldCharType="separate"/>
      </w:r>
      <w:r>
        <w:rPr>
          <w:rFonts w:hint="eastAsia" w:ascii="宋体" w:hAnsi="宋体" w:eastAsia="宋体" w:cs="宋体"/>
        </w:rPr>
        <w:t xml:space="preserve">3.2.6 </w:t>
      </w:r>
      <w:r>
        <w:rPr>
          <w:rFonts w:hint="eastAsia"/>
        </w:rPr>
        <w:t>并机CAN匹配电阻端子</w:t>
      </w:r>
      <w:r>
        <w:tab/>
      </w:r>
      <w:r>
        <w:fldChar w:fldCharType="begin"/>
      </w:r>
      <w:r>
        <w:instrText xml:space="preserve"> PAGEREF _Toc28993 \h </w:instrText>
      </w:r>
      <w:r>
        <w:fldChar w:fldCharType="separate"/>
      </w:r>
      <w:r>
        <w:t>26</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_Toc29059 </w:instrText>
      </w:r>
      <w:r>
        <w:rPr>
          <w:rFonts w:ascii="宋体" w:hAnsi="宋体" w:eastAsia="宋体"/>
          <w:kern w:val="2"/>
          <w:szCs w:val="24"/>
        </w:rPr>
        <w:fldChar w:fldCharType="separate"/>
      </w:r>
      <w:r>
        <w:rPr>
          <w:rFonts w:hint="eastAsia" w:ascii="宋体" w:hAnsi="宋体" w:eastAsia="宋体" w:cs="宋体"/>
        </w:rPr>
        <w:t xml:space="preserve">3.2.7 </w:t>
      </w:r>
      <w:r>
        <w:rPr>
          <w:rFonts w:hint="eastAsia"/>
        </w:rPr>
        <w:t>LBS连接端子</w:t>
      </w:r>
      <w:r>
        <w:tab/>
      </w:r>
      <w:r>
        <w:fldChar w:fldCharType="begin"/>
      </w:r>
      <w:r>
        <w:instrText xml:space="preserve"> PAGEREF _Toc29059 \h </w:instrText>
      </w:r>
      <w:r>
        <w:fldChar w:fldCharType="separate"/>
      </w:r>
      <w:r>
        <w:t>26</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_Toc26748 </w:instrText>
      </w:r>
      <w:r>
        <w:rPr>
          <w:rFonts w:ascii="宋体" w:hAnsi="宋体" w:eastAsia="宋体"/>
          <w:kern w:val="2"/>
          <w:szCs w:val="24"/>
        </w:rPr>
        <w:fldChar w:fldCharType="separate"/>
      </w:r>
      <w:r>
        <w:rPr>
          <w:rFonts w:hint="eastAsia" w:ascii="宋体" w:hAnsi="宋体" w:eastAsia="宋体" w:cs="宋体"/>
        </w:rPr>
        <w:t xml:space="preserve">3.2.8 </w:t>
      </w:r>
      <w:r>
        <w:rPr>
          <w:rFonts w:hint="eastAsia"/>
        </w:rPr>
        <w:t>BCB状态接口端子</w:t>
      </w:r>
      <w:r>
        <w:tab/>
      </w:r>
      <w:r>
        <w:fldChar w:fldCharType="begin"/>
      </w:r>
      <w:r>
        <w:instrText xml:space="preserve"> PAGEREF _Toc26748 \h </w:instrText>
      </w:r>
      <w:r>
        <w:fldChar w:fldCharType="separate"/>
      </w:r>
      <w:r>
        <w:t>26</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_Toc3907 </w:instrText>
      </w:r>
      <w:r>
        <w:rPr>
          <w:rFonts w:ascii="宋体" w:hAnsi="宋体" w:eastAsia="宋体"/>
          <w:kern w:val="2"/>
          <w:szCs w:val="24"/>
        </w:rPr>
        <w:fldChar w:fldCharType="separate"/>
      </w:r>
      <w:r>
        <w:rPr>
          <w:rFonts w:hint="eastAsia" w:ascii="宋体" w:hAnsi="宋体" w:eastAsia="宋体" w:cs="宋体"/>
        </w:rPr>
        <w:t xml:space="preserve">3.2.9 </w:t>
      </w:r>
      <w:r>
        <w:rPr>
          <w:rFonts w:hint="eastAsia"/>
        </w:rPr>
        <w:t>输入干接点接口</w:t>
      </w:r>
      <w:r>
        <w:tab/>
      </w:r>
      <w:r>
        <w:fldChar w:fldCharType="begin"/>
      </w:r>
      <w:r>
        <w:instrText xml:space="preserve"> PAGEREF _Toc3907 \h </w:instrText>
      </w:r>
      <w:r>
        <w:fldChar w:fldCharType="separate"/>
      </w:r>
      <w:r>
        <w:t>26</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_Toc24333 </w:instrText>
      </w:r>
      <w:r>
        <w:rPr>
          <w:rFonts w:ascii="宋体" w:hAnsi="宋体" w:eastAsia="宋体"/>
          <w:kern w:val="2"/>
          <w:szCs w:val="24"/>
        </w:rPr>
        <w:fldChar w:fldCharType="separate"/>
      </w:r>
      <w:r>
        <w:rPr>
          <w:rFonts w:hint="eastAsia" w:ascii="宋体" w:hAnsi="宋体" w:eastAsia="宋体" w:cs="宋体"/>
        </w:rPr>
        <w:t xml:space="preserve">3.2.10 </w:t>
      </w:r>
      <w:r>
        <w:rPr>
          <w:rFonts w:hint="eastAsia"/>
        </w:rPr>
        <w:t>RS485通信接口</w:t>
      </w:r>
      <w:r>
        <w:tab/>
      </w:r>
      <w:r>
        <w:fldChar w:fldCharType="begin"/>
      </w:r>
      <w:r>
        <w:instrText xml:space="preserve"> PAGEREF _Toc24333 \h </w:instrText>
      </w:r>
      <w:r>
        <w:fldChar w:fldCharType="separate"/>
      </w:r>
      <w:r>
        <w:t>27</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_Toc11712 </w:instrText>
      </w:r>
      <w:r>
        <w:rPr>
          <w:rFonts w:ascii="宋体" w:hAnsi="宋体" w:eastAsia="宋体"/>
          <w:kern w:val="2"/>
          <w:szCs w:val="24"/>
        </w:rPr>
        <w:fldChar w:fldCharType="separate"/>
      </w:r>
      <w:r>
        <w:rPr>
          <w:rFonts w:hint="eastAsia" w:ascii="宋体" w:hAnsi="宋体" w:eastAsia="宋体" w:cs="宋体"/>
        </w:rPr>
        <w:t xml:space="preserve">3.2.11 </w:t>
      </w:r>
      <w:r>
        <w:rPr>
          <w:rFonts w:hint="eastAsia"/>
        </w:rPr>
        <w:t>输出继电器接口</w:t>
      </w:r>
      <w:r>
        <w:tab/>
      </w:r>
      <w:r>
        <w:fldChar w:fldCharType="begin"/>
      </w:r>
      <w:r>
        <w:instrText xml:space="preserve"> PAGEREF _Toc11712 \h </w:instrText>
      </w:r>
      <w:r>
        <w:fldChar w:fldCharType="separate"/>
      </w:r>
      <w:r>
        <w:t>27</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_Toc10276 </w:instrText>
      </w:r>
      <w:r>
        <w:rPr>
          <w:rFonts w:ascii="宋体" w:hAnsi="宋体" w:eastAsia="宋体"/>
          <w:kern w:val="2"/>
          <w:szCs w:val="24"/>
        </w:rPr>
        <w:fldChar w:fldCharType="separate"/>
      </w:r>
      <w:r>
        <w:rPr>
          <w:rFonts w:hint="eastAsia" w:ascii="宋体" w:hAnsi="宋体" w:eastAsia="宋体" w:cs="宋体"/>
        </w:rPr>
        <w:t xml:space="preserve">3.2.12 </w:t>
      </w:r>
      <w:r>
        <w:rPr>
          <w:rFonts w:hint="eastAsia"/>
        </w:rPr>
        <w:t>智能卡槽1和2</w:t>
      </w:r>
      <w:r>
        <w:tab/>
      </w:r>
      <w:r>
        <w:fldChar w:fldCharType="begin"/>
      </w:r>
      <w:r>
        <w:instrText xml:space="preserve"> PAGEREF _Toc10276 \h </w:instrText>
      </w:r>
      <w:r>
        <w:fldChar w:fldCharType="separate"/>
      </w:r>
      <w:r>
        <w:t>28</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_Toc25453 </w:instrText>
      </w:r>
      <w:r>
        <w:rPr>
          <w:rFonts w:ascii="宋体" w:hAnsi="宋体" w:eastAsia="宋体"/>
          <w:kern w:val="2"/>
          <w:szCs w:val="24"/>
        </w:rPr>
        <w:fldChar w:fldCharType="separate"/>
      </w:r>
      <w:r>
        <w:rPr>
          <w:rFonts w:hint="eastAsia" w:ascii="宋体" w:hAnsi="宋体" w:eastAsia="宋体" w:cs="宋体"/>
        </w:rPr>
        <w:t xml:space="preserve">3.2.13 </w:t>
      </w:r>
      <w:r>
        <w:rPr>
          <w:rFonts w:hint="eastAsia"/>
        </w:rPr>
        <w:t>信号电缆接线步骤</w:t>
      </w:r>
      <w:r>
        <w:tab/>
      </w:r>
      <w:r>
        <w:fldChar w:fldCharType="begin"/>
      </w:r>
      <w:r>
        <w:instrText xml:space="preserve"> PAGEREF _Toc25453 \h </w:instrText>
      </w:r>
      <w:r>
        <w:fldChar w:fldCharType="separate"/>
      </w:r>
      <w:r>
        <w:t>28</w:t>
      </w:r>
      <w:r>
        <w:fldChar w:fldCharType="end"/>
      </w:r>
      <w:r>
        <w:rPr>
          <w:rFonts w:ascii="宋体" w:hAnsi="宋体" w:eastAsia="宋体"/>
          <w:kern w:val="2"/>
          <w:szCs w:val="24"/>
        </w:rPr>
        <w:fldChar w:fldCharType="end"/>
      </w:r>
    </w:p>
    <w:p>
      <w:pPr>
        <w:pStyle w:val="39"/>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_Toc21100 </w:instrText>
      </w:r>
      <w:r>
        <w:rPr>
          <w:rFonts w:ascii="宋体" w:hAnsi="宋体" w:eastAsia="宋体"/>
          <w:kern w:val="2"/>
          <w:szCs w:val="24"/>
        </w:rPr>
        <w:fldChar w:fldCharType="separate"/>
      </w:r>
      <w:r>
        <w:rPr>
          <w:rFonts w:hint="eastAsia" w:ascii="宋体" w:hAnsi="宋体" w:eastAsia="宋体" w:cs="宋体"/>
        </w:rPr>
        <w:t xml:space="preserve">第四章 </w:t>
      </w:r>
      <w:r>
        <w:rPr>
          <w:rFonts w:hint="eastAsia"/>
        </w:rPr>
        <w:t>控制与显示</w:t>
      </w:r>
      <w:r>
        <w:tab/>
      </w:r>
      <w:r>
        <w:fldChar w:fldCharType="begin"/>
      </w:r>
      <w:r>
        <w:instrText xml:space="preserve"> PAGEREF _Toc21100 \h </w:instrText>
      </w:r>
      <w:r>
        <w:fldChar w:fldCharType="separate"/>
      </w:r>
      <w:r>
        <w:t>29</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_Toc12596 </w:instrText>
      </w:r>
      <w:r>
        <w:rPr>
          <w:rFonts w:ascii="宋体" w:hAnsi="宋体" w:eastAsia="宋体"/>
          <w:kern w:val="2"/>
          <w:szCs w:val="24"/>
        </w:rPr>
        <w:fldChar w:fldCharType="separate"/>
      </w:r>
      <w:r>
        <w:rPr>
          <w:rFonts w:hint="eastAsia" w:ascii="宋体" w:hAnsi="宋体" w:eastAsia="宋体" w:cs="宋体"/>
          <w:szCs w:val="22"/>
        </w:rPr>
        <w:t xml:space="preserve">4.1 </w:t>
      </w:r>
      <w:r>
        <w:rPr>
          <w:rFonts w:hint="eastAsia"/>
          <w:szCs w:val="22"/>
        </w:rPr>
        <w:t>UPS控制面板</w:t>
      </w:r>
      <w:r>
        <w:tab/>
      </w:r>
      <w:r>
        <w:fldChar w:fldCharType="begin"/>
      </w:r>
      <w:r>
        <w:instrText xml:space="preserve"> PAGEREF _Toc12596 \h </w:instrText>
      </w:r>
      <w:r>
        <w:fldChar w:fldCharType="separate"/>
      </w:r>
      <w:r>
        <w:t>29</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_Toc26433 </w:instrText>
      </w:r>
      <w:r>
        <w:rPr>
          <w:rFonts w:ascii="宋体" w:hAnsi="宋体" w:eastAsia="宋体"/>
          <w:kern w:val="2"/>
          <w:szCs w:val="24"/>
        </w:rPr>
        <w:fldChar w:fldCharType="separate"/>
      </w:r>
      <w:r>
        <w:rPr>
          <w:rFonts w:hint="eastAsia" w:ascii="宋体" w:hAnsi="宋体" w:eastAsia="宋体" w:cs="宋体"/>
          <w:szCs w:val="22"/>
          <w:lang w:val="en-GB"/>
        </w:rPr>
        <w:t xml:space="preserve">4.1.2 </w:t>
      </w:r>
      <w:r>
        <w:rPr>
          <w:rFonts w:hint="eastAsia"/>
          <w:szCs w:val="22"/>
          <w:lang w:val="en-GB"/>
        </w:rPr>
        <w:t>LED指示灯</w:t>
      </w:r>
      <w:r>
        <w:tab/>
      </w:r>
      <w:r>
        <w:fldChar w:fldCharType="begin"/>
      </w:r>
      <w:r>
        <w:instrText xml:space="preserve"> PAGEREF _Toc26433 \h </w:instrText>
      </w:r>
      <w:r>
        <w:fldChar w:fldCharType="separate"/>
      </w:r>
      <w:r>
        <w:t>29</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_Toc25374 </w:instrText>
      </w:r>
      <w:r>
        <w:rPr>
          <w:rFonts w:ascii="宋体" w:hAnsi="宋体" w:eastAsia="宋体"/>
          <w:kern w:val="2"/>
          <w:szCs w:val="24"/>
        </w:rPr>
        <w:fldChar w:fldCharType="separate"/>
      </w:r>
      <w:r>
        <w:rPr>
          <w:rFonts w:hint="eastAsia" w:ascii="宋体" w:hAnsi="宋体" w:eastAsia="宋体" w:cs="宋体"/>
          <w:szCs w:val="22"/>
          <w:lang w:val="en-GB"/>
        </w:rPr>
        <w:t xml:space="preserve">4.1.3 </w:t>
      </w:r>
      <w:r>
        <w:rPr>
          <w:rFonts w:hint="eastAsia"/>
          <w:szCs w:val="22"/>
          <w:lang w:val="en-GB"/>
        </w:rPr>
        <w:t>蜂鸣器</w:t>
      </w:r>
      <w:r>
        <w:tab/>
      </w:r>
      <w:r>
        <w:fldChar w:fldCharType="begin"/>
      </w:r>
      <w:r>
        <w:instrText xml:space="preserve"> PAGEREF _Toc25374 \h </w:instrText>
      </w:r>
      <w:r>
        <w:fldChar w:fldCharType="separate"/>
      </w:r>
      <w:r>
        <w:t>29</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_Toc5609 </w:instrText>
      </w:r>
      <w:r>
        <w:rPr>
          <w:rFonts w:ascii="宋体" w:hAnsi="宋体" w:eastAsia="宋体"/>
          <w:kern w:val="2"/>
          <w:szCs w:val="24"/>
        </w:rPr>
        <w:fldChar w:fldCharType="separate"/>
      </w:r>
      <w:r>
        <w:rPr>
          <w:rFonts w:hint="eastAsia" w:ascii="宋体" w:hAnsi="宋体" w:eastAsia="宋体" w:cs="宋体"/>
          <w:szCs w:val="22"/>
          <w:lang w:val="en-GB"/>
        </w:rPr>
        <w:t xml:space="preserve">4.1.4 </w:t>
      </w:r>
      <w:r>
        <w:rPr>
          <w:rFonts w:hint="eastAsia"/>
          <w:szCs w:val="22"/>
          <w:lang w:val="en-GB"/>
        </w:rPr>
        <w:t>EPO按钮</w:t>
      </w:r>
      <w:r>
        <w:tab/>
      </w:r>
      <w:r>
        <w:fldChar w:fldCharType="begin"/>
      </w:r>
      <w:r>
        <w:instrText xml:space="preserve"> PAGEREF _Toc5609 \h </w:instrText>
      </w:r>
      <w:r>
        <w:fldChar w:fldCharType="separate"/>
      </w:r>
      <w:r>
        <w:t>29</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_Toc18712 </w:instrText>
      </w:r>
      <w:r>
        <w:rPr>
          <w:rFonts w:ascii="宋体" w:hAnsi="宋体" w:eastAsia="宋体"/>
          <w:kern w:val="2"/>
          <w:szCs w:val="24"/>
        </w:rPr>
        <w:fldChar w:fldCharType="separate"/>
      </w:r>
      <w:r>
        <w:rPr>
          <w:rFonts w:hint="eastAsia" w:ascii="宋体" w:hAnsi="宋体" w:eastAsia="宋体" w:cs="宋体"/>
          <w:szCs w:val="22"/>
          <w:lang w:val="en-GB"/>
        </w:rPr>
        <w:t xml:space="preserve">4.1.5 </w:t>
      </w:r>
      <w:r>
        <w:rPr>
          <w:rFonts w:hint="eastAsia"/>
          <w:szCs w:val="22"/>
          <w:lang w:val="en-GB"/>
        </w:rPr>
        <w:t>触摸彩色显示屏</w:t>
      </w:r>
      <w:r>
        <w:tab/>
      </w:r>
      <w:r>
        <w:fldChar w:fldCharType="begin"/>
      </w:r>
      <w:r>
        <w:instrText xml:space="preserve"> PAGEREF _Toc18712 \h </w:instrText>
      </w:r>
      <w:r>
        <w:fldChar w:fldCharType="separate"/>
      </w:r>
      <w:r>
        <w:t>30</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_Toc20680 </w:instrText>
      </w:r>
      <w:r>
        <w:rPr>
          <w:rFonts w:ascii="宋体" w:hAnsi="宋体" w:eastAsia="宋体"/>
          <w:kern w:val="2"/>
          <w:szCs w:val="24"/>
        </w:rPr>
        <w:fldChar w:fldCharType="separate"/>
      </w:r>
      <w:r>
        <w:rPr>
          <w:rFonts w:hint="eastAsia" w:ascii="宋体" w:hAnsi="宋体" w:eastAsia="宋体" w:cs="宋体"/>
          <w:szCs w:val="22"/>
        </w:rPr>
        <w:t xml:space="preserve">4.2 </w:t>
      </w:r>
      <w:r>
        <w:rPr>
          <w:rFonts w:hint="eastAsia"/>
          <w:szCs w:val="22"/>
        </w:rPr>
        <w:t>模块显示介绍</w:t>
      </w:r>
      <w:r>
        <w:tab/>
      </w:r>
      <w:r>
        <w:fldChar w:fldCharType="begin"/>
      </w:r>
      <w:r>
        <w:instrText xml:space="preserve"> PAGEREF _Toc20680 \h </w:instrText>
      </w:r>
      <w:r>
        <w:fldChar w:fldCharType="separate"/>
      </w:r>
      <w:r>
        <w:t>30</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_Toc2603 </w:instrText>
      </w:r>
      <w:r>
        <w:rPr>
          <w:rFonts w:ascii="宋体" w:hAnsi="宋体" w:eastAsia="宋体"/>
          <w:kern w:val="2"/>
          <w:szCs w:val="24"/>
        </w:rPr>
        <w:fldChar w:fldCharType="separate"/>
      </w:r>
      <w:r>
        <w:rPr>
          <w:rFonts w:hint="eastAsia" w:ascii="宋体" w:hAnsi="宋体" w:eastAsia="宋体" w:cs="宋体"/>
          <w:szCs w:val="22"/>
          <w:lang w:val="en-GB"/>
        </w:rPr>
        <w:t xml:space="preserve">4.2.1 </w:t>
      </w:r>
      <w:r>
        <w:rPr>
          <w:rFonts w:hint="eastAsia"/>
          <w:szCs w:val="22"/>
          <w:lang w:val="en-GB"/>
        </w:rPr>
        <w:t>功率模块面板</w:t>
      </w:r>
      <w:r>
        <w:tab/>
      </w:r>
      <w:r>
        <w:fldChar w:fldCharType="begin"/>
      </w:r>
      <w:r>
        <w:instrText xml:space="preserve"> PAGEREF _Toc2603 \h </w:instrText>
      </w:r>
      <w:r>
        <w:fldChar w:fldCharType="separate"/>
      </w:r>
      <w:r>
        <w:t>30</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_Toc4125 </w:instrText>
      </w:r>
      <w:r>
        <w:rPr>
          <w:rFonts w:ascii="宋体" w:hAnsi="宋体" w:eastAsia="宋体"/>
          <w:kern w:val="2"/>
          <w:szCs w:val="24"/>
        </w:rPr>
        <w:fldChar w:fldCharType="separate"/>
      </w:r>
      <w:r>
        <w:rPr>
          <w:rFonts w:hint="eastAsia" w:ascii="宋体" w:hAnsi="宋体" w:eastAsia="宋体" w:cs="宋体"/>
          <w:lang w:val="en-GB"/>
        </w:rPr>
        <w:t xml:space="preserve">4.2.2 </w:t>
      </w:r>
      <w:r>
        <w:rPr>
          <w:rFonts w:hint="eastAsia"/>
          <w:lang w:val="en-GB"/>
        </w:rPr>
        <w:t>旁路</w:t>
      </w:r>
      <w:r>
        <w:rPr>
          <w:lang w:val="en-GB"/>
        </w:rPr>
        <w:t>模块指示灯</w:t>
      </w:r>
      <w:r>
        <w:tab/>
      </w:r>
      <w:r>
        <w:fldChar w:fldCharType="begin"/>
      </w:r>
      <w:r>
        <w:instrText xml:space="preserve"> PAGEREF _Toc4125 \h </w:instrText>
      </w:r>
      <w:r>
        <w:fldChar w:fldCharType="separate"/>
      </w:r>
      <w:r>
        <w:t>30</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_Toc15785 </w:instrText>
      </w:r>
      <w:r>
        <w:rPr>
          <w:rFonts w:ascii="宋体" w:hAnsi="宋体" w:eastAsia="宋体"/>
          <w:kern w:val="2"/>
          <w:szCs w:val="24"/>
        </w:rPr>
        <w:fldChar w:fldCharType="separate"/>
      </w:r>
      <w:r>
        <w:rPr>
          <w:rFonts w:hint="eastAsia" w:ascii="宋体" w:hAnsi="宋体" w:eastAsia="宋体" w:cs="宋体"/>
          <w:szCs w:val="22"/>
        </w:rPr>
        <w:t xml:space="preserve">4.3 </w:t>
      </w:r>
      <w:r>
        <w:rPr>
          <w:rFonts w:hint="eastAsia"/>
          <w:szCs w:val="22"/>
        </w:rPr>
        <w:t>触摸屏介绍</w:t>
      </w:r>
      <w:r>
        <w:tab/>
      </w:r>
      <w:r>
        <w:fldChar w:fldCharType="begin"/>
      </w:r>
      <w:r>
        <w:instrText xml:space="preserve"> PAGEREF _Toc15785 \h </w:instrText>
      </w:r>
      <w:r>
        <w:fldChar w:fldCharType="separate"/>
      </w:r>
      <w:r>
        <w:t>31</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_Toc13771 </w:instrText>
      </w:r>
      <w:r>
        <w:rPr>
          <w:rFonts w:ascii="宋体" w:hAnsi="宋体" w:eastAsia="宋体"/>
          <w:kern w:val="2"/>
          <w:szCs w:val="24"/>
        </w:rPr>
        <w:fldChar w:fldCharType="separate"/>
      </w:r>
      <w:r>
        <w:rPr>
          <w:rFonts w:hint="eastAsia" w:ascii="宋体" w:hAnsi="宋体" w:eastAsia="宋体" w:cs="宋体"/>
          <w:lang w:val="en-GB"/>
        </w:rPr>
        <w:t xml:space="preserve">4.3.1 </w:t>
      </w:r>
      <w:r>
        <w:rPr>
          <w:rFonts w:hint="eastAsia"/>
          <w:lang w:val="en-GB"/>
        </w:rPr>
        <w:t>系统菜单</w:t>
      </w:r>
      <w:r>
        <w:tab/>
      </w:r>
      <w:r>
        <w:fldChar w:fldCharType="begin"/>
      </w:r>
      <w:r>
        <w:instrText xml:space="preserve"> PAGEREF _Toc13771 \h </w:instrText>
      </w:r>
      <w:r>
        <w:fldChar w:fldCharType="separate"/>
      </w:r>
      <w:r>
        <w:t>31</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_Toc20034 </w:instrText>
      </w:r>
      <w:r>
        <w:rPr>
          <w:rFonts w:ascii="宋体" w:hAnsi="宋体" w:eastAsia="宋体"/>
          <w:kern w:val="2"/>
          <w:szCs w:val="24"/>
        </w:rPr>
        <w:fldChar w:fldCharType="separate"/>
      </w:r>
      <w:r>
        <w:rPr>
          <w:rFonts w:hint="eastAsia" w:ascii="宋体" w:hAnsi="宋体" w:eastAsia="宋体" w:cs="宋体"/>
          <w:lang w:val="en-GB"/>
        </w:rPr>
        <w:t xml:space="preserve">4.3.2 </w:t>
      </w:r>
      <w:r>
        <w:rPr>
          <w:rFonts w:hint="eastAsia"/>
          <w:lang w:val="en-GB"/>
        </w:rPr>
        <w:t>操作菜单</w:t>
      </w:r>
      <w:r>
        <w:tab/>
      </w:r>
      <w:r>
        <w:fldChar w:fldCharType="begin"/>
      </w:r>
      <w:r>
        <w:instrText xml:space="preserve"> PAGEREF _Toc20034 \h </w:instrText>
      </w:r>
      <w:r>
        <w:fldChar w:fldCharType="separate"/>
      </w:r>
      <w:r>
        <w:t>31</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_Toc14525 </w:instrText>
      </w:r>
      <w:r>
        <w:rPr>
          <w:rFonts w:ascii="宋体" w:hAnsi="宋体" w:eastAsia="宋体"/>
          <w:kern w:val="2"/>
          <w:szCs w:val="24"/>
        </w:rPr>
        <w:fldChar w:fldCharType="separate"/>
      </w:r>
      <w:r>
        <w:rPr>
          <w:rFonts w:hint="eastAsia" w:ascii="宋体" w:hAnsi="宋体" w:eastAsia="宋体" w:cs="宋体"/>
          <w:lang w:val="en-GB"/>
        </w:rPr>
        <w:t xml:space="preserve">4.3.3 </w:t>
      </w:r>
      <w:r>
        <w:rPr>
          <w:rFonts w:hint="eastAsia"/>
          <w:lang w:val="en-GB"/>
        </w:rPr>
        <w:t>设置</w:t>
      </w:r>
      <w:r>
        <w:rPr>
          <w:lang w:val="en-GB"/>
        </w:rPr>
        <w:t>菜单</w:t>
      </w:r>
      <w:r>
        <w:tab/>
      </w:r>
      <w:r>
        <w:fldChar w:fldCharType="begin"/>
      </w:r>
      <w:r>
        <w:instrText xml:space="preserve"> PAGEREF _Toc14525 \h </w:instrText>
      </w:r>
      <w:r>
        <w:fldChar w:fldCharType="separate"/>
      </w:r>
      <w:r>
        <w:t>32</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_Toc31325 </w:instrText>
      </w:r>
      <w:r>
        <w:rPr>
          <w:rFonts w:ascii="宋体" w:hAnsi="宋体" w:eastAsia="宋体"/>
          <w:kern w:val="2"/>
          <w:szCs w:val="24"/>
        </w:rPr>
        <w:fldChar w:fldCharType="separate"/>
      </w:r>
      <w:r>
        <w:rPr>
          <w:rFonts w:hint="eastAsia" w:ascii="宋体" w:hAnsi="宋体" w:eastAsia="宋体" w:cs="宋体"/>
          <w:lang w:val="en-GB"/>
        </w:rPr>
        <w:t xml:space="preserve">4.3.4 </w:t>
      </w:r>
      <w:r>
        <w:rPr>
          <w:rFonts w:hint="eastAsia"/>
          <w:lang w:val="en-GB"/>
        </w:rPr>
        <w:t>日志菜单</w:t>
      </w:r>
      <w:r>
        <w:tab/>
      </w:r>
      <w:r>
        <w:fldChar w:fldCharType="begin"/>
      </w:r>
      <w:r>
        <w:instrText xml:space="preserve"> PAGEREF _Toc31325 \h </w:instrText>
      </w:r>
      <w:r>
        <w:fldChar w:fldCharType="separate"/>
      </w:r>
      <w:r>
        <w:t>32</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_Toc7224 </w:instrText>
      </w:r>
      <w:r>
        <w:rPr>
          <w:rFonts w:ascii="宋体" w:hAnsi="宋体" w:eastAsia="宋体"/>
          <w:kern w:val="2"/>
          <w:szCs w:val="24"/>
        </w:rPr>
        <w:fldChar w:fldCharType="separate"/>
      </w:r>
      <w:r>
        <w:rPr>
          <w:rFonts w:hint="eastAsia" w:ascii="宋体" w:hAnsi="宋体" w:eastAsia="宋体" w:cs="宋体"/>
          <w:lang w:val="en-GB"/>
        </w:rPr>
        <w:t xml:space="preserve">4.3.5 </w:t>
      </w:r>
      <w:r>
        <w:rPr>
          <w:rFonts w:hint="eastAsia"/>
          <w:lang w:val="en-GB"/>
        </w:rPr>
        <w:t>关于菜单</w:t>
      </w:r>
      <w:r>
        <w:tab/>
      </w:r>
      <w:r>
        <w:fldChar w:fldCharType="begin"/>
      </w:r>
      <w:r>
        <w:instrText xml:space="preserve"> PAGEREF _Toc7224 \h </w:instrText>
      </w:r>
      <w:r>
        <w:fldChar w:fldCharType="separate"/>
      </w:r>
      <w:r>
        <w:t>33</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_Toc1191 </w:instrText>
      </w:r>
      <w:r>
        <w:rPr>
          <w:rFonts w:ascii="宋体" w:hAnsi="宋体" w:eastAsia="宋体"/>
          <w:kern w:val="2"/>
          <w:szCs w:val="24"/>
        </w:rPr>
        <w:fldChar w:fldCharType="separate"/>
      </w:r>
      <w:r>
        <w:rPr>
          <w:rFonts w:hint="eastAsia" w:ascii="宋体" w:hAnsi="宋体" w:eastAsia="宋体" w:cs="宋体"/>
          <w:lang w:val="en-GB"/>
        </w:rPr>
        <w:t xml:space="preserve">4.3.6 </w:t>
      </w:r>
      <w:r>
        <w:rPr>
          <w:rFonts w:hint="eastAsia"/>
          <w:lang w:val="en-GB"/>
        </w:rPr>
        <w:t>菜单窗和数据窗</w:t>
      </w:r>
      <w:r>
        <w:tab/>
      </w:r>
      <w:r>
        <w:fldChar w:fldCharType="begin"/>
      </w:r>
      <w:r>
        <w:instrText xml:space="preserve"> PAGEREF _Toc1191 \h </w:instrText>
      </w:r>
      <w:r>
        <w:fldChar w:fldCharType="separate"/>
      </w:r>
      <w:r>
        <w:t>33</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_Toc6859 </w:instrText>
      </w:r>
      <w:r>
        <w:rPr>
          <w:rFonts w:ascii="宋体" w:hAnsi="宋体" w:eastAsia="宋体"/>
          <w:kern w:val="2"/>
          <w:szCs w:val="24"/>
        </w:rPr>
        <w:fldChar w:fldCharType="separate"/>
      </w:r>
      <w:r>
        <w:rPr>
          <w:rFonts w:hint="eastAsia" w:ascii="宋体" w:hAnsi="宋体" w:eastAsia="宋体" w:cs="宋体"/>
          <w:lang w:val="en-GB"/>
        </w:rPr>
        <w:t xml:space="preserve">4.3.7 </w:t>
      </w:r>
      <w:r>
        <w:rPr>
          <w:rFonts w:hint="eastAsia"/>
          <w:lang w:val="en-GB"/>
        </w:rPr>
        <w:t>提示窗信息</w:t>
      </w:r>
      <w:r>
        <w:tab/>
      </w:r>
      <w:r>
        <w:fldChar w:fldCharType="begin"/>
      </w:r>
      <w:r>
        <w:instrText xml:space="preserve"> PAGEREF _Toc6859 \h </w:instrText>
      </w:r>
      <w:r>
        <w:fldChar w:fldCharType="separate"/>
      </w:r>
      <w:r>
        <w:t>34</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_Toc32186 </w:instrText>
      </w:r>
      <w:r>
        <w:rPr>
          <w:rFonts w:ascii="宋体" w:hAnsi="宋体" w:eastAsia="宋体"/>
          <w:kern w:val="2"/>
          <w:szCs w:val="24"/>
        </w:rPr>
        <w:fldChar w:fldCharType="separate"/>
      </w:r>
      <w:r>
        <w:rPr>
          <w:rFonts w:hint="eastAsia" w:ascii="宋体" w:hAnsi="宋体" w:eastAsia="宋体" w:cs="宋体"/>
          <w:lang w:val="en-GB"/>
        </w:rPr>
        <w:t xml:space="preserve">4.3.8 </w:t>
      </w:r>
      <w:r>
        <w:rPr>
          <w:rFonts w:hint="eastAsia"/>
          <w:lang w:val="en-GB"/>
        </w:rPr>
        <w:t>告警列表</w:t>
      </w:r>
      <w:r>
        <w:tab/>
      </w:r>
      <w:r>
        <w:fldChar w:fldCharType="begin"/>
      </w:r>
      <w:r>
        <w:instrText xml:space="preserve"> PAGEREF _Toc32186 \h </w:instrText>
      </w:r>
      <w:r>
        <w:fldChar w:fldCharType="separate"/>
      </w:r>
      <w:r>
        <w:t>35</w:t>
      </w:r>
      <w:r>
        <w:fldChar w:fldCharType="end"/>
      </w:r>
      <w:r>
        <w:rPr>
          <w:rFonts w:ascii="宋体" w:hAnsi="宋体" w:eastAsia="宋体"/>
          <w:kern w:val="2"/>
          <w:szCs w:val="24"/>
        </w:rPr>
        <w:fldChar w:fldCharType="end"/>
      </w:r>
    </w:p>
    <w:p>
      <w:pPr>
        <w:pStyle w:val="39"/>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_Toc27078 </w:instrText>
      </w:r>
      <w:r>
        <w:rPr>
          <w:rFonts w:ascii="宋体" w:hAnsi="宋体" w:eastAsia="宋体"/>
          <w:kern w:val="2"/>
          <w:szCs w:val="24"/>
        </w:rPr>
        <w:fldChar w:fldCharType="separate"/>
      </w:r>
      <w:r>
        <w:rPr>
          <w:rFonts w:hint="eastAsia" w:ascii="宋体" w:hAnsi="宋体" w:eastAsia="宋体" w:cs="宋体"/>
        </w:rPr>
        <w:t xml:space="preserve">第五章 </w:t>
      </w:r>
      <w:r>
        <w:rPr>
          <w:rFonts w:hint="eastAsia"/>
        </w:rPr>
        <w:t>操作步骤</w:t>
      </w:r>
      <w:r>
        <w:tab/>
      </w:r>
      <w:r>
        <w:fldChar w:fldCharType="begin"/>
      </w:r>
      <w:r>
        <w:instrText xml:space="preserve"> PAGEREF _Toc27078 \h </w:instrText>
      </w:r>
      <w:r>
        <w:fldChar w:fldCharType="separate"/>
      </w:r>
      <w:r>
        <w:t>38</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_Toc6211 </w:instrText>
      </w:r>
      <w:r>
        <w:rPr>
          <w:rFonts w:ascii="宋体" w:hAnsi="宋体" w:eastAsia="宋体"/>
          <w:kern w:val="2"/>
          <w:szCs w:val="24"/>
        </w:rPr>
        <w:fldChar w:fldCharType="separate"/>
      </w:r>
      <w:r>
        <w:rPr>
          <w:rFonts w:hint="eastAsia" w:ascii="宋体" w:hAnsi="宋体" w:eastAsia="宋体" w:cs="宋体"/>
          <w:szCs w:val="22"/>
        </w:rPr>
        <w:t xml:space="preserve">5.1 </w:t>
      </w:r>
      <w:r>
        <w:rPr>
          <w:rFonts w:hint="eastAsia"/>
          <w:szCs w:val="22"/>
        </w:rPr>
        <w:t>注意事项</w:t>
      </w:r>
      <w:r>
        <w:tab/>
      </w:r>
      <w:r>
        <w:fldChar w:fldCharType="begin"/>
      </w:r>
      <w:r>
        <w:instrText xml:space="preserve"> PAGEREF _Toc6211 \h </w:instrText>
      </w:r>
      <w:r>
        <w:fldChar w:fldCharType="separate"/>
      </w:r>
      <w:r>
        <w:t>38</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_Toc24925 </w:instrText>
      </w:r>
      <w:r>
        <w:rPr>
          <w:rFonts w:ascii="宋体" w:hAnsi="宋体" w:eastAsia="宋体"/>
          <w:kern w:val="2"/>
          <w:szCs w:val="24"/>
        </w:rPr>
        <w:fldChar w:fldCharType="separate"/>
      </w:r>
      <w:r>
        <w:rPr>
          <w:rFonts w:hint="eastAsia" w:ascii="宋体" w:hAnsi="宋体" w:eastAsia="宋体" w:cs="宋体"/>
          <w:szCs w:val="22"/>
        </w:rPr>
        <w:t xml:space="preserve">5.2 </w:t>
      </w:r>
      <w:r>
        <w:rPr>
          <w:rFonts w:hint="eastAsia"/>
          <w:szCs w:val="22"/>
        </w:rPr>
        <w:t>UPS开机步骤</w:t>
      </w:r>
      <w:r>
        <w:tab/>
      </w:r>
      <w:r>
        <w:fldChar w:fldCharType="begin"/>
      </w:r>
      <w:r>
        <w:instrText xml:space="preserve"> PAGEREF _Toc24925 \h </w:instrText>
      </w:r>
      <w:r>
        <w:fldChar w:fldCharType="separate"/>
      </w:r>
      <w:r>
        <w:t>38</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_Toc17169 </w:instrText>
      </w:r>
      <w:r>
        <w:rPr>
          <w:rFonts w:ascii="宋体" w:hAnsi="宋体" w:eastAsia="宋体"/>
          <w:kern w:val="2"/>
          <w:szCs w:val="24"/>
        </w:rPr>
        <w:fldChar w:fldCharType="separate"/>
      </w:r>
      <w:r>
        <w:rPr>
          <w:rFonts w:hint="eastAsia" w:ascii="宋体" w:hAnsi="宋体" w:eastAsia="宋体" w:cs="宋体"/>
          <w:szCs w:val="22"/>
          <w:lang w:val="en-GB"/>
        </w:rPr>
        <w:t xml:space="preserve">5.2.1 </w:t>
      </w:r>
      <w:r>
        <w:rPr>
          <w:rFonts w:hint="eastAsia"/>
          <w:szCs w:val="22"/>
          <w:lang w:val="en-GB"/>
        </w:rPr>
        <w:t>正常模式开机步骤</w:t>
      </w:r>
      <w:r>
        <w:tab/>
      </w:r>
      <w:r>
        <w:fldChar w:fldCharType="begin"/>
      </w:r>
      <w:r>
        <w:instrText xml:space="preserve"> PAGEREF _Toc17169 \h </w:instrText>
      </w:r>
      <w:r>
        <w:fldChar w:fldCharType="separate"/>
      </w:r>
      <w:r>
        <w:t>38</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_Toc30428 </w:instrText>
      </w:r>
      <w:r>
        <w:rPr>
          <w:rFonts w:ascii="宋体" w:hAnsi="宋体" w:eastAsia="宋体"/>
          <w:kern w:val="2"/>
          <w:szCs w:val="24"/>
        </w:rPr>
        <w:fldChar w:fldCharType="separate"/>
      </w:r>
      <w:r>
        <w:rPr>
          <w:rFonts w:hint="eastAsia" w:ascii="宋体" w:hAnsi="宋体" w:eastAsia="宋体" w:cs="宋体"/>
          <w:szCs w:val="22"/>
          <w:lang w:val="en-GB"/>
        </w:rPr>
        <w:t xml:space="preserve">5.2.2 </w:t>
      </w:r>
      <w:r>
        <w:rPr>
          <w:rFonts w:hint="eastAsia"/>
          <w:szCs w:val="22"/>
          <w:lang w:val="en-GB"/>
        </w:rPr>
        <w:t>经济运行（ECO）模式开机步骤</w:t>
      </w:r>
      <w:r>
        <w:tab/>
      </w:r>
      <w:r>
        <w:fldChar w:fldCharType="begin"/>
      </w:r>
      <w:r>
        <w:instrText xml:space="preserve"> PAGEREF _Toc30428 \h </w:instrText>
      </w:r>
      <w:r>
        <w:fldChar w:fldCharType="separate"/>
      </w:r>
      <w:r>
        <w:t>39</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_Toc24823 </w:instrText>
      </w:r>
      <w:r>
        <w:rPr>
          <w:rFonts w:ascii="宋体" w:hAnsi="宋体" w:eastAsia="宋体"/>
          <w:kern w:val="2"/>
          <w:szCs w:val="24"/>
        </w:rPr>
        <w:fldChar w:fldCharType="separate"/>
      </w:r>
      <w:r>
        <w:rPr>
          <w:rFonts w:hint="eastAsia" w:ascii="宋体" w:hAnsi="宋体" w:eastAsia="宋体" w:cs="宋体"/>
          <w:szCs w:val="22"/>
          <w:lang w:val="en-GB"/>
        </w:rPr>
        <w:t xml:space="preserve">5.2.3 </w:t>
      </w:r>
      <w:r>
        <w:rPr>
          <w:rFonts w:hint="eastAsia"/>
          <w:szCs w:val="22"/>
          <w:lang w:val="en-GB"/>
        </w:rPr>
        <w:t>电池模式开机（电池冷启动）步骤</w:t>
      </w:r>
      <w:r>
        <w:tab/>
      </w:r>
      <w:r>
        <w:fldChar w:fldCharType="begin"/>
      </w:r>
      <w:r>
        <w:instrText xml:space="preserve"> PAGEREF _Toc24823 \h </w:instrText>
      </w:r>
      <w:r>
        <w:fldChar w:fldCharType="separate"/>
      </w:r>
      <w:r>
        <w:t>40</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_Toc8609 </w:instrText>
      </w:r>
      <w:r>
        <w:rPr>
          <w:rFonts w:ascii="宋体" w:hAnsi="宋体" w:eastAsia="宋体"/>
          <w:kern w:val="2"/>
          <w:szCs w:val="24"/>
        </w:rPr>
        <w:fldChar w:fldCharType="separate"/>
      </w:r>
      <w:r>
        <w:rPr>
          <w:rFonts w:hint="eastAsia" w:ascii="宋体" w:hAnsi="宋体" w:eastAsia="宋体" w:cs="宋体"/>
          <w:szCs w:val="22"/>
        </w:rPr>
        <w:t xml:space="preserve">5.3 </w:t>
      </w:r>
      <w:r>
        <w:rPr>
          <w:rFonts w:hint="eastAsia"/>
          <w:szCs w:val="22"/>
        </w:rPr>
        <w:t>运行模式切换步骤</w:t>
      </w:r>
      <w:r>
        <w:tab/>
      </w:r>
      <w:r>
        <w:fldChar w:fldCharType="begin"/>
      </w:r>
      <w:r>
        <w:instrText xml:space="preserve"> PAGEREF _Toc8609 \h </w:instrText>
      </w:r>
      <w:r>
        <w:fldChar w:fldCharType="separate"/>
      </w:r>
      <w:r>
        <w:t>40</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_Toc29800 </w:instrText>
      </w:r>
      <w:r>
        <w:rPr>
          <w:rFonts w:ascii="宋体" w:hAnsi="宋体" w:eastAsia="宋体"/>
          <w:kern w:val="2"/>
          <w:szCs w:val="24"/>
        </w:rPr>
        <w:fldChar w:fldCharType="separate"/>
      </w:r>
      <w:r>
        <w:rPr>
          <w:rFonts w:hint="eastAsia" w:ascii="宋体" w:hAnsi="宋体" w:eastAsia="宋体" w:cs="宋体"/>
          <w:szCs w:val="22"/>
          <w:lang w:val="en-GB"/>
        </w:rPr>
        <w:t xml:space="preserve">5.3.1 </w:t>
      </w:r>
      <w:r>
        <w:rPr>
          <w:rFonts w:hint="eastAsia"/>
          <w:szCs w:val="22"/>
          <w:lang w:val="en-GB"/>
        </w:rPr>
        <w:t>运行模式种类</w:t>
      </w:r>
      <w:r>
        <w:tab/>
      </w:r>
      <w:r>
        <w:fldChar w:fldCharType="begin"/>
      </w:r>
      <w:r>
        <w:instrText xml:space="preserve"> PAGEREF _Toc29800 \h </w:instrText>
      </w:r>
      <w:r>
        <w:fldChar w:fldCharType="separate"/>
      </w:r>
      <w:r>
        <w:t>40</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_Toc18608 </w:instrText>
      </w:r>
      <w:r>
        <w:rPr>
          <w:rFonts w:ascii="宋体" w:hAnsi="宋体" w:eastAsia="宋体"/>
          <w:kern w:val="2"/>
          <w:szCs w:val="24"/>
        </w:rPr>
        <w:fldChar w:fldCharType="separate"/>
      </w:r>
      <w:r>
        <w:rPr>
          <w:rFonts w:hint="eastAsia" w:ascii="宋体" w:hAnsi="宋体" w:eastAsia="宋体" w:cs="宋体"/>
          <w:szCs w:val="22"/>
          <w:lang w:val="en-GB"/>
        </w:rPr>
        <w:t xml:space="preserve">5.3.2 </w:t>
      </w:r>
      <w:r>
        <w:rPr>
          <w:rFonts w:hint="eastAsia"/>
          <w:szCs w:val="22"/>
          <w:lang w:val="en-GB"/>
        </w:rPr>
        <w:t>正常模式到电池模式的切换</w:t>
      </w:r>
      <w:r>
        <w:tab/>
      </w:r>
      <w:r>
        <w:fldChar w:fldCharType="begin"/>
      </w:r>
      <w:r>
        <w:instrText xml:space="preserve"> PAGEREF _Toc18608 \h </w:instrText>
      </w:r>
      <w:r>
        <w:fldChar w:fldCharType="separate"/>
      </w:r>
      <w:r>
        <w:t>43</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_Toc1328 </w:instrText>
      </w:r>
      <w:r>
        <w:rPr>
          <w:rFonts w:ascii="宋体" w:hAnsi="宋体" w:eastAsia="宋体"/>
          <w:kern w:val="2"/>
          <w:szCs w:val="24"/>
        </w:rPr>
        <w:fldChar w:fldCharType="separate"/>
      </w:r>
      <w:r>
        <w:rPr>
          <w:rFonts w:hint="eastAsia" w:ascii="宋体" w:hAnsi="宋体" w:eastAsia="宋体" w:cs="宋体"/>
          <w:szCs w:val="22"/>
          <w:lang w:val="en-GB"/>
        </w:rPr>
        <w:t xml:space="preserve">5.3.3 </w:t>
      </w:r>
      <w:r>
        <w:rPr>
          <w:rFonts w:hint="eastAsia"/>
          <w:szCs w:val="22"/>
          <w:lang w:val="en-GB"/>
        </w:rPr>
        <w:t>正常模式到旁路模式的切换</w:t>
      </w:r>
      <w:r>
        <w:tab/>
      </w:r>
      <w:r>
        <w:fldChar w:fldCharType="begin"/>
      </w:r>
      <w:r>
        <w:instrText xml:space="preserve"> PAGEREF _Toc1328 \h </w:instrText>
      </w:r>
      <w:r>
        <w:fldChar w:fldCharType="separate"/>
      </w:r>
      <w:r>
        <w:t>43</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_Toc1566 </w:instrText>
      </w:r>
      <w:r>
        <w:rPr>
          <w:rFonts w:ascii="宋体" w:hAnsi="宋体" w:eastAsia="宋体"/>
          <w:kern w:val="2"/>
          <w:szCs w:val="24"/>
        </w:rPr>
        <w:fldChar w:fldCharType="separate"/>
      </w:r>
      <w:r>
        <w:rPr>
          <w:rFonts w:hint="eastAsia" w:ascii="宋体" w:hAnsi="宋体" w:eastAsia="宋体" w:cs="宋体"/>
          <w:szCs w:val="22"/>
          <w:lang w:val="en-GB"/>
        </w:rPr>
        <w:t xml:space="preserve">5.3.4 </w:t>
      </w:r>
      <w:r>
        <w:rPr>
          <w:rFonts w:hint="eastAsia"/>
          <w:szCs w:val="22"/>
          <w:lang w:val="en-GB"/>
        </w:rPr>
        <w:t>旁路模式到正常模式的切换</w:t>
      </w:r>
      <w:r>
        <w:tab/>
      </w:r>
      <w:r>
        <w:fldChar w:fldCharType="begin"/>
      </w:r>
      <w:r>
        <w:instrText xml:space="preserve"> PAGEREF _Toc1566 \h </w:instrText>
      </w:r>
      <w:r>
        <w:fldChar w:fldCharType="separate"/>
      </w:r>
      <w:r>
        <w:t>43</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_Toc30904 </w:instrText>
      </w:r>
      <w:r>
        <w:rPr>
          <w:rFonts w:ascii="宋体" w:hAnsi="宋体" w:eastAsia="宋体"/>
          <w:kern w:val="2"/>
          <w:szCs w:val="24"/>
        </w:rPr>
        <w:fldChar w:fldCharType="separate"/>
      </w:r>
      <w:r>
        <w:rPr>
          <w:rFonts w:hint="eastAsia" w:ascii="宋体" w:hAnsi="宋体" w:eastAsia="宋体" w:cs="宋体"/>
          <w:szCs w:val="22"/>
          <w:lang w:val="en-GB"/>
        </w:rPr>
        <w:t xml:space="preserve">5.3.5 </w:t>
      </w:r>
      <w:r>
        <w:rPr>
          <w:rFonts w:hint="eastAsia"/>
          <w:szCs w:val="22"/>
          <w:lang w:val="en-GB"/>
        </w:rPr>
        <w:t>正常模式到维修模式的切换</w:t>
      </w:r>
      <w:r>
        <w:tab/>
      </w:r>
      <w:r>
        <w:fldChar w:fldCharType="begin"/>
      </w:r>
      <w:r>
        <w:instrText xml:space="preserve"> PAGEREF _Toc30904 \h </w:instrText>
      </w:r>
      <w:r>
        <w:fldChar w:fldCharType="separate"/>
      </w:r>
      <w:r>
        <w:t>43</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_Toc13996 </w:instrText>
      </w:r>
      <w:r>
        <w:rPr>
          <w:rFonts w:ascii="宋体" w:hAnsi="宋体" w:eastAsia="宋体"/>
          <w:kern w:val="2"/>
          <w:szCs w:val="24"/>
        </w:rPr>
        <w:fldChar w:fldCharType="separate"/>
      </w:r>
      <w:r>
        <w:rPr>
          <w:rFonts w:hint="eastAsia" w:ascii="宋体" w:hAnsi="宋体" w:eastAsia="宋体" w:cs="宋体"/>
          <w:szCs w:val="22"/>
          <w:lang w:val="en-GB"/>
        </w:rPr>
        <w:t xml:space="preserve">5.3.6 </w:t>
      </w:r>
      <w:r>
        <w:rPr>
          <w:rFonts w:hint="eastAsia"/>
          <w:szCs w:val="22"/>
          <w:lang w:val="en-GB"/>
        </w:rPr>
        <w:t>维修模式到正常模式的切换</w:t>
      </w:r>
      <w:r>
        <w:tab/>
      </w:r>
      <w:r>
        <w:fldChar w:fldCharType="begin"/>
      </w:r>
      <w:r>
        <w:instrText xml:space="preserve"> PAGEREF _Toc13996 \h </w:instrText>
      </w:r>
      <w:r>
        <w:fldChar w:fldCharType="separate"/>
      </w:r>
      <w:r>
        <w:t>44</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_Toc6587 </w:instrText>
      </w:r>
      <w:r>
        <w:rPr>
          <w:rFonts w:ascii="宋体" w:hAnsi="宋体" w:eastAsia="宋体"/>
          <w:kern w:val="2"/>
          <w:szCs w:val="24"/>
        </w:rPr>
        <w:fldChar w:fldCharType="separate"/>
      </w:r>
      <w:r>
        <w:rPr>
          <w:rFonts w:hint="eastAsia" w:ascii="宋体" w:hAnsi="宋体" w:eastAsia="宋体" w:cs="宋体"/>
          <w:szCs w:val="22"/>
          <w:lang w:val="en-GB"/>
        </w:rPr>
        <w:t xml:space="preserve">5.4 </w:t>
      </w:r>
      <w:r>
        <w:rPr>
          <w:rFonts w:hint="eastAsia"/>
          <w:szCs w:val="22"/>
          <w:lang w:val="en-GB"/>
        </w:rPr>
        <w:t>UPS关机步骤</w:t>
      </w:r>
      <w:r>
        <w:tab/>
      </w:r>
      <w:r>
        <w:fldChar w:fldCharType="begin"/>
      </w:r>
      <w:r>
        <w:instrText xml:space="preserve"> PAGEREF _Toc6587 \h </w:instrText>
      </w:r>
      <w:r>
        <w:fldChar w:fldCharType="separate"/>
      </w:r>
      <w:r>
        <w:t>44</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_Toc16188 </w:instrText>
      </w:r>
      <w:r>
        <w:rPr>
          <w:rFonts w:ascii="宋体" w:hAnsi="宋体" w:eastAsia="宋体"/>
          <w:kern w:val="2"/>
          <w:szCs w:val="24"/>
        </w:rPr>
        <w:fldChar w:fldCharType="separate"/>
      </w:r>
      <w:r>
        <w:rPr>
          <w:rFonts w:hint="eastAsia" w:ascii="宋体" w:hAnsi="宋体" w:eastAsia="宋体" w:cs="宋体"/>
          <w:szCs w:val="22"/>
          <w:lang w:val="en-GB"/>
        </w:rPr>
        <w:t xml:space="preserve">5.4.1 </w:t>
      </w:r>
      <w:r>
        <w:rPr>
          <w:rFonts w:hint="eastAsia"/>
          <w:szCs w:val="22"/>
          <w:lang w:val="en-GB"/>
        </w:rPr>
        <w:t>UPS完全下电</w:t>
      </w:r>
      <w:r>
        <w:tab/>
      </w:r>
      <w:r>
        <w:fldChar w:fldCharType="begin"/>
      </w:r>
      <w:r>
        <w:instrText xml:space="preserve"> PAGEREF _Toc16188 \h </w:instrText>
      </w:r>
      <w:r>
        <w:fldChar w:fldCharType="separate"/>
      </w:r>
      <w:r>
        <w:t>44</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_Toc12889 </w:instrText>
      </w:r>
      <w:r>
        <w:rPr>
          <w:rFonts w:ascii="宋体" w:hAnsi="宋体" w:eastAsia="宋体"/>
          <w:kern w:val="2"/>
          <w:szCs w:val="24"/>
        </w:rPr>
        <w:fldChar w:fldCharType="separate"/>
      </w:r>
      <w:r>
        <w:rPr>
          <w:rFonts w:hint="eastAsia" w:ascii="宋体" w:hAnsi="宋体" w:eastAsia="宋体" w:cs="宋体"/>
          <w:lang w:val="en-GB"/>
        </w:rPr>
        <w:t xml:space="preserve">5.4.2 </w:t>
      </w:r>
      <w:r>
        <w:rPr>
          <w:rFonts w:hint="eastAsia"/>
        </w:rPr>
        <w:t>UPS完全</w:t>
      </w:r>
      <w:r>
        <w:rPr>
          <w:rFonts w:hint="eastAsia"/>
          <w:lang w:val="en-GB"/>
        </w:rPr>
        <w:t>下电但继续给负载供电</w:t>
      </w:r>
      <w:r>
        <w:tab/>
      </w:r>
      <w:r>
        <w:fldChar w:fldCharType="begin"/>
      </w:r>
      <w:r>
        <w:instrText xml:space="preserve"> PAGEREF _Toc12889 \h </w:instrText>
      </w:r>
      <w:r>
        <w:fldChar w:fldCharType="separate"/>
      </w:r>
      <w:r>
        <w:t>45</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_Toc32533 </w:instrText>
      </w:r>
      <w:r>
        <w:rPr>
          <w:rFonts w:ascii="宋体" w:hAnsi="宋体" w:eastAsia="宋体"/>
          <w:kern w:val="2"/>
          <w:szCs w:val="24"/>
        </w:rPr>
        <w:fldChar w:fldCharType="separate"/>
      </w:r>
      <w:r>
        <w:rPr>
          <w:rFonts w:hint="eastAsia" w:ascii="宋体" w:hAnsi="宋体" w:eastAsia="宋体" w:cs="宋体"/>
          <w:szCs w:val="22"/>
          <w:lang w:val="en-GB"/>
        </w:rPr>
        <w:t xml:space="preserve">5.5 </w:t>
      </w:r>
      <w:r>
        <w:rPr>
          <w:rFonts w:hint="eastAsia"/>
          <w:szCs w:val="22"/>
          <w:lang w:val="en-GB"/>
        </w:rPr>
        <w:t>紧急停机（EPO）步骤</w:t>
      </w:r>
      <w:r>
        <w:tab/>
      </w:r>
      <w:r>
        <w:fldChar w:fldCharType="begin"/>
      </w:r>
      <w:r>
        <w:instrText xml:space="preserve"> PAGEREF _Toc32533 \h </w:instrText>
      </w:r>
      <w:r>
        <w:fldChar w:fldCharType="separate"/>
      </w:r>
      <w:r>
        <w:t>45</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_Toc29659 </w:instrText>
      </w:r>
      <w:r>
        <w:rPr>
          <w:rFonts w:ascii="宋体" w:hAnsi="宋体" w:eastAsia="宋体"/>
          <w:kern w:val="2"/>
          <w:szCs w:val="24"/>
        </w:rPr>
        <w:fldChar w:fldCharType="separate"/>
      </w:r>
      <w:r>
        <w:rPr>
          <w:rFonts w:hint="eastAsia" w:ascii="宋体" w:hAnsi="宋体" w:eastAsia="宋体" w:cs="宋体"/>
          <w:szCs w:val="22"/>
        </w:rPr>
        <w:t xml:space="preserve">5.6 </w:t>
      </w:r>
      <w:r>
        <w:rPr>
          <w:rFonts w:hint="eastAsia"/>
          <w:szCs w:val="22"/>
        </w:rPr>
        <w:t>UPS复位步骤</w:t>
      </w:r>
      <w:r>
        <w:tab/>
      </w:r>
      <w:r>
        <w:fldChar w:fldCharType="begin"/>
      </w:r>
      <w:r>
        <w:instrText xml:space="preserve"> PAGEREF _Toc29659 \h </w:instrText>
      </w:r>
      <w:r>
        <w:fldChar w:fldCharType="separate"/>
      </w:r>
      <w:r>
        <w:t>45</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_Toc23815 </w:instrText>
      </w:r>
      <w:r>
        <w:rPr>
          <w:rFonts w:ascii="宋体" w:hAnsi="宋体" w:eastAsia="宋体"/>
          <w:kern w:val="2"/>
          <w:szCs w:val="24"/>
        </w:rPr>
        <w:fldChar w:fldCharType="separate"/>
      </w:r>
      <w:r>
        <w:rPr>
          <w:rFonts w:hint="eastAsia" w:ascii="宋体" w:hAnsi="宋体" w:eastAsia="宋体" w:cs="宋体"/>
          <w:szCs w:val="22"/>
        </w:rPr>
        <w:t xml:space="preserve">5.7 </w:t>
      </w:r>
      <w:r>
        <w:rPr>
          <w:rFonts w:hint="eastAsia"/>
          <w:szCs w:val="22"/>
          <w:lang w:val="en-GB"/>
        </w:rPr>
        <w:t>自动开机</w:t>
      </w:r>
      <w:r>
        <w:tab/>
      </w:r>
      <w:r>
        <w:fldChar w:fldCharType="begin"/>
      </w:r>
      <w:r>
        <w:instrText xml:space="preserve"> PAGEREF _Toc23815 \h </w:instrText>
      </w:r>
      <w:r>
        <w:fldChar w:fldCharType="separate"/>
      </w:r>
      <w:r>
        <w:t>45</w:t>
      </w:r>
      <w:r>
        <w:fldChar w:fldCharType="end"/>
      </w:r>
      <w:r>
        <w:rPr>
          <w:rFonts w:ascii="宋体" w:hAnsi="宋体" w:eastAsia="宋体"/>
          <w:kern w:val="2"/>
          <w:szCs w:val="24"/>
        </w:rPr>
        <w:fldChar w:fldCharType="end"/>
      </w:r>
    </w:p>
    <w:p>
      <w:pPr>
        <w:pStyle w:val="39"/>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_Toc3822 </w:instrText>
      </w:r>
      <w:r>
        <w:rPr>
          <w:rFonts w:ascii="宋体" w:hAnsi="宋体" w:eastAsia="宋体"/>
          <w:kern w:val="2"/>
          <w:szCs w:val="24"/>
        </w:rPr>
        <w:fldChar w:fldCharType="separate"/>
      </w:r>
      <w:r>
        <w:rPr>
          <w:rFonts w:hint="eastAsia" w:ascii="宋体" w:hAnsi="宋体" w:eastAsia="宋体" w:cs="宋体"/>
          <w:lang w:val="en-GB"/>
        </w:rPr>
        <w:t xml:space="preserve">第六章 </w:t>
      </w:r>
      <w:r>
        <w:rPr>
          <w:rFonts w:hint="eastAsia"/>
        </w:rPr>
        <w:t>电池</w:t>
      </w:r>
      <w:r>
        <w:tab/>
      </w:r>
      <w:r>
        <w:fldChar w:fldCharType="begin"/>
      </w:r>
      <w:r>
        <w:instrText xml:space="preserve"> PAGEREF _Toc3822 \h </w:instrText>
      </w:r>
      <w:r>
        <w:fldChar w:fldCharType="separate"/>
      </w:r>
      <w:r>
        <w:t>47</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_Toc24985 </w:instrText>
      </w:r>
      <w:r>
        <w:rPr>
          <w:rFonts w:ascii="宋体" w:hAnsi="宋体" w:eastAsia="宋体"/>
          <w:kern w:val="2"/>
          <w:szCs w:val="24"/>
        </w:rPr>
        <w:fldChar w:fldCharType="separate"/>
      </w:r>
      <w:r>
        <w:rPr>
          <w:rFonts w:hint="eastAsia" w:ascii="宋体" w:hAnsi="宋体" w:eastAsia="宋体" w:cs="宋体"/>
          <w:lang w:val="en-GB"/>
        </w:rPr>
        <w:t xml:space="preserve">6.1 </w:t>
      </w:r>
      <w:r>
        <w:rPr>
          <w:rFonts w:hint="eastAsia"/>
          <w:szCs w:val="22"/>
          <w:lang w:val="en-GB"/>
        </w:rPr>
        <w:t>简介</w:t>
      </w:r>
      <w:r>
        <w:tab/>
      </w:r>
      <w:r>
        <w:fldChar w:fldCharType="begin"/>
      </w:r>
      <w:r>
        <w:instrText xml:space="preserve"> PAGEREF _Toc24985 \h </w:instrText>
      </w:r>
      <w:r>
        <w:fldChar w:fldCharType="separate"/>
      </w:r>
      <w:r>
        <w:t>47</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_Toc30256 </w:instrText>
      </w:r>
      <w:r>
        <w:rPr>
          <w:rFonts w:ascii="宋体" w:hAnsi="宋体" w:eastAsia="宋体"/>
          <w:kern w:val="2"/>
          <w:szCs w:val="24"/>
        </w:rPr>
        <w:fldChar w:fldCharType="separate"/>
      </w:r>
      <w:r>
        <w:rPr>
          <w:rFonts w:hint="eastAsia" w:ascii="宋体" w:hAnsi="宋体" w:eastAsia="宋体" w:cs="宋体"/>
          <w:szCs w:val="22"/>
          <w:lang w:val="en-GB"/>
        </w:rPr>
        <w:t xml:space="preserve">6.2 </w:t>
      </w:r>
      <w:r>
        <w:rPr>
          <w:rFonts w:hint="eastAsia"/>
          <w:szCs w:val="22"/>
          <w:lang w:val="en-GB"/>
        </w:rPr>
        <w:t>安全</w:t>
      </w:r>
      <w:r>
        <w:tab/>
      </w:r>
      <w:r>
        <w:fldChar w:fldCharType="begin"/>
      </w:r>
      <w:r>
        <w:instrText xml:space="preserve"> PAGEREF _Toc30256 \h </w:instrText>
      </w:r>
      <w:r>
        <w:fldChar w:fldCharType="separate"/>
      </w:r>
      <w:r>
        <w:t>47</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_Toc24661 </w:instrText>
      </w:r>
      <w:r>
        <w:rPr>
          <w:rFonts w:ascii="宋体" w:hAnsi="宋体" w:eastAsia="宋体"/>
          <w:kern w:val="2"/>
          <w:szCs w:val="24"/>
        </w:rPr>
        <w:fldChar w:fldCharType="separate"/>
      </w:r>
      <w:r>
        <w:rPr>
          <w:rFonts w:hint="eastAsia" w:ascii="宋体" w:hAnsi="宋体" w:eastAsia="宋体" w:cs="宋体"/>
        </w:rPr>
        <w:t xml:space="preserve">6.3 </w:t>
      </w:r>
      <w:r>
        <w:rPr>
          <w:rFonts w:hint="eastAsia"/>
        </w:rPr>
        <w:t>UPS电池</w:t>
      </w:r>
      <w:r>
        <w:tab/>
      </w:r>
      <w:r>
        <w:fldChar w:fldCharType="begin"/>
      </w:r>
      <w:r>
        <w:instrText xml:space="preserve"> PAGEREF _Toc24661 \h </w:instrText>
      </w:r>
      <w:r>
        <w:fldChar w:fldCharType="separate"/>
      </w:r>
      <w:r>
        <w:t>48</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_Toc282 </w:instrText>
      </w:r>
      <w:r>
        <w:rPr>
          <w:rFonts w:ascii="宋体" w:hAnsi="宋体" w:eastAsia="宋体"/>
          <w:kern w:val="2"/>
          <w:szCs w:val="24"/>
        </w:rPr>
        <w:fldChar w:fldCharType="separate"/>
      </w:r>
      <w:r>
        <w:rPr>
          <w:rFonts w:hint="eastAsia" w:ascii="宋体" w:hAnsi="宋体" w:eastAsia="宋体" w:cs="宋体"/>
        </w:rPr>
        <w:t xml:space="preserve">6.4 </w:t>
      </w:r>
      <w:r>
        <w:rPr>
          <w:rFonts w:hint="eastAsia"/>
        </w:rPr>
        <w:t>电池管理</w:t>
      </w:r>
      <w:r>
        <w:tab/>
      </w:r>
      <w:r>
        <w:fldChar w:fldCharType="begin"/>
      </w:r>
      <w:r>
        <w:instrText xml:space="preserve"> PAGEREF _Toc282 \h </w:instrText>
      </w:r>
      <w:r>
        <w:fldChar w:fldCharType="separate"/>
      </w:r>
      <w:r>
        <w:t>48</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_Toc15452 </w:instrText>
      </w:r>
      <w:r>
        <w:rPr>
          <w:rFonts w:ascii="宋体" w:hAnsi="宋体" w:eastAsia="宋体"/>
          <w:kern w:val="2"/>
          <w:szCs w:val="24"/>
        </w:rPr>
        <w:fldChar w:fldCharType="separate"/>
      </w:r>
      <w:r>
        <w:rPr>
          <w:rFonts w:hint="eastAsia" w:ascii="宋体" w:hAnsi="宋体" w:eastAsia="宋体" w:cs="宋体"/>
          <w:szCs w:val="22"/>
          <w:lang w:val="en-GB"/>
        </w:rPr>
        <w:t xml:space="preserve">6.4.1 </w:t>
      </w:r>
      <w:r>
        <w:rPr>
          <w:rFonts w:hint="eastAsia"/>
          <w:szCs w:val="22"/>
          <w:lang w:val="en-GB"/>
        </w:rPr>
        <w:t>一般功能</w:t>
      </w:r>
      <w:r>
        <w:tab/>
      </w:r>
      <w:r>
        <w:fldChar w:fldCharType="begin"/>
      </w:r>
      <w:r>
        <w:instrText xml:space="preserve"> PAGEREF _Toc15452 \h </w:instrText>
      </w:r>
      <w:r>
        <w:fldChar w:fldCharType="separate"/>
      </w:r>
      <w:r>
        <w:t>48</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_Toc16468 </w:instrText>
      </w:r>
      <w:r>
        <w:rPr>
          <w:rFonts w:ascii="宋体" w:hAnsi="宋体" w:eastAsia="宋体"/>
          <w:kern w:val="2"/>
          <w:szCs w:val="24"/>
        </w:rPr>
        <w:fldChar w:fldCharType="separate"/>
      </w:r>
      <w:r>
        <w:rPr>
          <w:rFonts w:hint="eastAsia" w:ascii="宋体" w:hAnsi="宋体" w:eastAsia="宋体" w:cs="宋体"/>
          <w:szCs w:val="22"/>
          <w:lang w:val="en-GB"/>
        </w:rPr>
        <w:t xml:space="preserve">6.4.2 </w:t>
      </w:r>
      <w:r>
        <w:rPr>
          <w:rFonts w:hint="eastAsia"/>
          <w:szCs w:val="22"/>
          <w:lang w:val="en-GB"/>
        </w:rPr>
        <w:t>高级功能</w:t>
      </w:r>
      <w:r>
        <w:tab/>
      </w:r>
      <w:r>
        <w:fldChar w:fldCharType="begin"/>
      </w:r>
      <w:r>
        <w:instrText xml:space="preserve"> PAGEREF _Toc16468 \h </w:instrText>
      </w:r>
      <w:r>
        <w:fldChar w:fldCharType="separate"/>
      </w:r>
      <w:r>
        <w:t>49</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_Toc10210 </w:instrText>
      </w:r>
      <w:r>
        <w:rPr>
          <w:rFonts w:ascii="宋体" w:hAnsi="宋体" w:eastAsia="宋体"/>
          <w:kern w:val="2"/>
          <w:szCs w:val="24"/>
        </w:rPr>
        <w:fldChar w:fldCharType="separate"/>
      </w:r>
      <w:r>
        <w:rPr>
          <w:rFonts w:hint="eastAsia" w:ascii="宋体" w:hAnsi="宋体" w:eastAsia="宋体" w:cs="宋体"/>
          <w:lang w:val="en-GB"/>
        </w:rPr>
        <w:t xml:space="preserve">6.5 </w:t>
      </w:r>
      <w:r>
        <w:rPr>
          <w:rFonts w:hint="eastAsia"/>
          <w:lang w:val="en-GB"/>
        </w:rPr>
        <w:t>电池保护</w:t>
      </w:r>
      <w:r>
        <w:tab/>
      </w:r>
      <w:r>
        <w:fldChar w:fldCharType="begin"/>
      </w:r>
      <w:r>
        <w:instrText xml:space="preserve"> PAGEREF _Toc10210 \h </w:instrText>
      </w:r>
      <w:r>
        <w:fldChar w:fldCharType="separate"/>
      </w:r>
      <w:r>
        <w:t>49</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_Toc6338 </w:instrText>
      </w:r>
      <w:r>
        <w:rPr>
          <w:rFonts w:ascii="宋体" w:hAnsi="宋体" w:eastAsia="宋体"/>
          <w:kern w:val="2"/>
          <w:szCs w:val="24"/>
        </w:rPr>
        <w:fldChar w:fldCharType="separate"/>
      </w:r>
      <w:r>
        <w:rPr>
          <w:rFonts w:hint="eastAsia" w:ascii="宋体" w:hAnsi="宋体" w:eastAsia="宋体" w:cs="宋体"/>
          <w:lang w:val="en-GB"/>
        </w:rPr>
        <w:t xml:space="preserve">6.6 </w:t>
      </w:r>
      <w:r>
        <w:rPr>
          <w:rFonts w:hint="eastAsia"/>
          <w:lang w:val="en-GB"/>
        </w:rPr>
        <w:t>电池开关</w:t>
      </w:r>
      <w:r>
        <w:tab/>
      </w:r>
      <w:r>
        <w:fldChar w:fldCharType="begin"/>
      </w:r>
      <w:r>
        <w:instrText xml:space="preserve"> PAGEREF _Toc6338 \h </w:instrText>
      </w:r>
      <w:r>
        <w:fldChar w:fldCharType="separate"/>
      </w:r>
      <w:r>
        <w:t>49</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_Toc2489 </w:instrText>
      </w:r>
      <w:r>
        <w:rPr>
          <w:rFonts w:ascii="宋体" w:hAnsi="宋体" w:eastAsia="宋体"/>
          <w:kern w:val="2"/>
          <w:szCs w:val="24"/>
        </w:rPr>
        <w:fldChar w:fldCharType="separate"/>
      </w:r>
      <w:r>
        <w:rPr>
          <w:rFonts w:hint="eastAsia" w:ascii="宋体" w:hAnsi="宋体" w:eastAsia="宋体" w:cs="宋体"/>
          <w:lang w:val="en-GB"/>
        </w:rPr>
        <w:t xml:space="preserve">6.7 </w:t>
      </w:r>
      <w:r>
        <w:rPr>
          <w:rFonts w:hint="eastAsia"/>
          <w:lang w:val="en-GB"/>
        </w:rPr>
        <w:t>电池开关参考电流与连接</w:t>
      </w:r>
      <w:r>
        <w:tab/>
      </w:r>
      <w:r>
        <w:fldChar w:fldCharType="begin"/>
      </w:r>
      <w:r>
        <w:instrText xml:space="preserve"> PAGEREF _Toc2489 \h </w:instrText>
      </w:r>
      <w:r>
        <w:fldChar w:fldCharType="separate"/>
      </w:r>
      <w:r>
        <w:t>50</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_Toc32129 </w:instrText>
      </w:r>
      <w:r>
        <w:rPr>
          <w:rFonts w:ascii="宋体" w:hAnsi="宋体" w:eastAsia="宋体"/>
          <w:kern w:val="2"/>
          <w:szCs w:val="24"/>
        </w:rPr>
        <w:fldChar w:fldCharType="separate"/>
      </w:r>
      <w:r>
        <w:rPr>
          <w:rFonts w:hint="eastAsia" w:ascii="宋体" w:hAnsi="宋体" w:eastAsia="宋体" w:cs="宋体"/>
          <w:lang w:val="en-GB"/>
        </w:rPr>
        <w:t xml:space="preserve">6.8 </w:t>
      </w:r>
      <w:r>
        <w:rPr>
          <w:rFonts w:hint="eastAsia"/>
          <w:lang w:val="en-GB"/>
        </w:rPr>
        <w:t>电池安装环境和电池数量</w:t>
      </w:r>
      <w:r>
        <w:tab/>
      </w:r>
      <w:r>
        <w:fldChar w:fldCharType="begin"/>
      </w:r>
      <w:r>
        <w:instrText xml:space="preserve"> PAGEREF _Toc32129 \h </w:instrText>
      </w:r>
      <w:r>
        <w:fldChar w:fldCharType="separate"/>
      </w:r>
      <w:r>
        <w:t>51</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_Toc22987 </w:instrText>
      </w:r>
      <w:r>
        <w:rPr>
          <w:rFonts w:ascii="宋体" w:hAnsi="宋体" w:eastAsia="宋体"/>
          <w:kern w:val="2"/>
          <w:szCs w:val="24"/>
        </w:rPr>
        <w:fldChar w:fldCharType="separate"/>
      </w:r>
      <w:r>
        <w:rPr>
          <w:rFonts w:hint="eastAsia" w:ascii="宋体" w:hAnsi="宋体" w:eastAsia="宋体" w:cs="宋体"/>
        </w:rPr>
        <w:t xml:space="preserve">6.8.1 </w:t>
      </w:r>
      <w:r>
        <w:rPr>
          <w:rFonts w:hint="eastAsia"/>
        </w:rPr>
        <w:t>安装环境</w:t>
      </w:r>
      <w:r>
        <w:tab/>
      </w:r>
      <w:r>
        <w:fldChar w:fldCharType="begin"/>
      </w:r>
      <w:r>
        <w:instrText xml:space="preserve"> PAGEREF _Toc22987 \h </w:instrText>
      </w:r>
      <w:r>
        <w:fldChar w:fldCharType="separate"/>
      </w:r>
      <w:r>
        <w:t>51</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_Toc15094 </w:instrText>
      </w:r>
      <w:r>
        <w:rPr>
          <w:rFonts w:ascii="宋体" w:hAnsi="宋体" w:eastAsia="宋体"/>
          <w:kern w:val="2"/>
          <w:szCs w:val="24"/>
        </w:rPr>
        <w:fldChar w:fldCharType="separate"/>
      </w:r>
      <w:r>
        <w:rPr>
          <w:rFonts w:hint="eastAsia" w:ascii="宋体" w:hAnsi="宋体" w:eastAsia="宋体" w:cs="宋体"/>
        </w:rPr>
        <w:t xml:space="preserve">6.8.2 </w:t>
      </w:r>
      <w:r>
        <w:rPr>
          <w:rFonts w:hint="eastAsia"/>
        </w:rPr>
        <w:t>温度</w:t>
      </w:r>
      <w:r>
        <w:tab/>
      </w:r>
      <w:r>
        <w:fldChar w:fldCharType="begin"/>
      </w:r>
      <w:r>
        <w:instrText xml:space="preserve"> PAGEREF _Toc15094 \h </w:instrText>
      </w:r>
      <w:r>
        <w:fldChar w:fldCharType="separate"/>
      </w:r>
      <w:r>
        <w:t>51</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_Toc7820 </w:instrText>
      </w:r>
      <w:r>
        <w:rPr>
          <w:rFonts w:ascii="宋体" w:hAnsi="宋体" w:eastAsia="宋体"/>
          <w:kern w:val="2"/>
          <w:szCs w:val="24"/>
        </w:rPr>
        <w:fldChar w:fldCharType="separate"/>
      </w:r>
      <w:r>
        <w:rPr>
          <w:rFonts w:hint="eastAsia" w:ascii="宋体" w:hAnsi="宋体" w:eastAsia="宋体" w:cs="宋体"/>
        </w:rPr>
        <w:t xml:space="preserve">6.8.3 </w:t>
      </w:r>
      <w:r>
        <w:rPr>
          <w:rFonts w:hint="eastAsia"/>
        </w:rPr>
        <w:t>电池数量</w:t>
      </w:r>
      <w:r>
        <w:tab/>
      </w:r>
      <w:r>
        <w:fldChar w:fldCharType="begin"/>
      </w:r>
      <w:r>
        <w:instrText xml:space="preserve"> PAGEREF _Toc7820 \h </w:instrText>
      </w:r>
      <w:r>
        <w:fldChar w:fldCharType="separate"/>
      </w:r>
      <w:r>
        <w:t>52</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_Toc25335 </w:instrText>
      </w:r>
      <w:r>
        <w:rPr>
          <w:rFonts w:ascii="宋体" w:hAnsi="宋体" w:eastAsia="宋体"/>
          <w:kern w:val="2"/>
          <w:szCs w:val="24"/>
        </w:rPr>
        <w:fldChar w:fldCharType="separate"/>
      </w:r>
      <w:r>
        <w:rPr>
          <w:rFonts w:hint="eastAsia" w:ascii="宋体" w:hAnsi="宋体" w:eastAsia="宋体" w:cs="宋体"/>
        </w:rPr>
        <w:t xml:space="preserve">6.9 </w:t>
      </w:r>
      <w:r>
        <w:rPr>
          <w:rFonts w:hint="eastAsia"/>
        </w:rPr>
        <w:t>电池的安装和接线</w:t>
      </w:r>
      <w:r>
        <w:tab/>
      </w:r>
      <w:r>
        <w:fldChar w:fldCharType="begin"/>
      </w:r>
      <w:r>
        <w:instrText xml:space="preserve"> PAGEREF _Toc25335 \h </w:instrText>
      </w:r>
      <w:r>
        <w:fldChar w:fldCharType="separate"/>
      </w:r>
      <w:r>
        <w:t>52</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_Toc31457 </w:instrText>
      </w:r>
      <w:r>
        <w:rPr>
          <w:rFonts w:ascii="宋体" w:hAnsi="宋体" w:eastAsia="宋体"/>
          <w:kern w:val="2"/>
          <w:szCs w:val="24"/>
        </w:rPr>
        <w:fldChar w:fldCharType="separate"/>
      </w:r>
      <w:r>
        <w:rPr>
          <w:rFonts w:hint="eastAsia" w:ascii="宋体" w:hAnsi="宋体" w:eastAsia="宋体" w:cs="宋体"/>
        </w:rPr>
        <w:t xml:space="preserve">6.9.1 </w:t>
      </w:r>
      <w:r>
        <w:rPr>
          <w:rFonts w:hint="eastAsia"/>
        </w:rPr>
        <w:t>电池的安装</w:t>
      </w:r>
      <w:r>
        <w:tab/>
      </w:r>
      <w:r>
        <w:fldChar w:fldCharType="begin"/>
      </w:r>
      <w:r>
        <w:instrText xml:space="preserve"> PAGEREF _Toc31457 \h </w:instrText>
      </w:r>
      <w:r>
        <w:fldChar w:fldCharType="separate"/>
      </w:r>
      <w:r>
        <w:t>52</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_Toc11159 </w:instrText>
      </w:r>
      <w:r>
        <w:rPr>
          <w:rFonts w:ascii="宋体" w:hAnsi="宋体" w:eastAsia="宋体"/>
          <w:kern w:val="2"/>
          <w:szCs w:val="24"/>
        </w:rPr>
        <w:fldChar w:fldCharType="separate"/>
      </w:r>
      <w:r>
        <w:rPr>
          <w:rFonts w:hint="eastAsia" w:ascii="宋体" w:hAnsi="宋体" w:eastAsia="宋体" w:cs="宋体"/>
        </w:rPr>
        <w:t xml:space="preserve">6.9.2 </w:t>
      </w:r>
      <w:r>
        <w:rPr>
          <w:rFonts w:hint="eastAsia"/>
        </w:rPr>
        <w:t>电池的接线</w:t>
      </w:r>
      <w:r>
        <w:tab/>
      </w:r>
      <w:r>
        <w:fldChar w:fldCharType="begin"/>
      </w:r>
      <w:r>
        <w:instrText xml:space="preserve"> PAGEREF _Toc11159 \h </w:instrText>
      </w:r>
      <w:r>
        <w:fldChar w:fldCharType="separate"/>
      </w:r>
      <w:r>
        <w:t>52</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_Toc30792 </w:instrText>
      </w:r>
      <w:r>
        <w:rPr>
          <w:rFonts w:ascii="宋体" w:hAnsi="宋体" w:eastAsia="宋体"/>
          <w:kern w:val="2"/>
          <w:szCs w:val="24"/>
        </w:rPr>
        <w:fldChar w:fldCharType="separate"/>
      </w:r>
      <w:r>
        <w:rPr>
          <w:rFonts w:hint="eastAsia" w:ascii="宋体" w:hAnsi="宋体" w:eastAsia="宋体" w:cs="宋体"/>
        </w:rPr>
        <w:t xml:space="preserve">6.10 </w:t>
      </w:r>
      <w:r>
        <w:rPr>
          <w:rFonts w:hint="eastAsia"/>
        </w:rPr>
        <w:t>电池的维护</w:t>
      </w:r>
      <w:r>
        <w:tab/>
      </w:r>
      <w:r>
        <w:fldChar w:fldCharType="begin"/>
      </w:r>
      <w:r>
        <w:instrText xml:space="preserve"> PAGEREF _Toc30792 \h </w:instrText>
      </w:r>
      <w:r>
        <w:fldChar w:fldCharType="separate"/>
      </w:r>
      <w:r>
        <w:t>52</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_Toc23851 </w:instrText>
      </w:r>
      <w:r>
        <w:rPr>
          <w:rFonts w:ascii="宋体" w:hAnsi="宋体" w:eastAsia="宋体"/>
          <w:kern w:val="2"/>
          <w:szCs w:val="24"/>
        </w:rPr>
        <w:fldChar w:fldCharType="separate"/>
      </w:r>
      <w:r>
        <w:rPr>
          <w:rFonts w:hint="eastAsia" w:ascii="宋体" w:hAnsi="宋体" w:eastAsia="宋体" w:cs="宋体"/>
        </w:rPr>
        <w:t xml:space="preserve">6.11 </w:t>
      </w:r>
      <w:r>
        <w:rPr>
          <w:rFonts w:hint="eastAsia"/>
        </w:rPr>
        <w:t>电池的回收</w:t>
      </w:r>
      <w:r>
        <w:tab/>
      </w:r>
      <w:r>
        <w:fldChar w:fldCharType="begin"/>
      </w:r>
      <w:r>
        <w:instrText xml:space="preserve"> PAGEREF _Toc23851 \h </w:instrText>
      </w:r>
      <w:r>
        <w:fldChar w:fldCharType="separate"/>
      </w:r>
      <w:r>
        <w:t>53</w:t>
      </w:r>
      <w:r>
        <w:fldChar w:fldCharType="end"/>
      </w:r>
      <w:r>
        <w:rPr>
          <w:rFonts w:ascii="宋体" w:hAnsi="宋体" w:eastAsia="宋体"/>
          <w:kern w:val="2"/>
          <w:szCs w:val="24"/>
        </w:rPr>
        <w:fldChar w:fldCharType="end"/>
      </w:r>
    </w:p>
    <w:p>
      <w:pPr>
        <w:pStyle w:val="39"/>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_Toc4468 </w:instrText>
      </w:r>
      <w:r>
        <w:rPr>
          <w:rFonts w:ascii="宋体" w:hAnsi="宋体" w:eastAsia="宋体"/>
          <w:kern w:val="2"/>
          <w:szCs w:val="24"/>
        </w:rPr>
        <w:fldChar w:fldCharType="separate"/>
      </w:r>
      <w:r>
        <w:rPr>
          <w:rFonts w:hint="eastAsia" w:ascii="宋体" w:hAnsi="宋体" w:eastAsia="宋体" w:cs="宋体"/>
        </w:rPr>
        <w:t xml:space="preserve">第七章 </w:t>
      </w:r>
      <w:r>
        <w:rPr>
          <w:rFonts w:hint="eastAsia"/>
        </w:rPr>
        <w:t>并机系统与双母线系统</w:t>
      </w:r>
      <w:r>
        <w:tab/>
      </w:r>
      <w:r>
        <w:fldChar w:fldCharType="begin"/>
      </w:r>
      <w:r>
        <w:instrText xml:space="preserve"> PAGEREF _Toc4468 \h </w:instrText>
      </w:r>
      <w:r>
        <w:fldChar w:fldCharType="separate"/>
      </w:r>
      <w:r>
        <w:t>54</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_Toc16523 </w:instrText>
      </w:r>
      <w:r>
        <w:rPr>
          <w:rFonts w:ascii="宋体" w:hAnsi="宋体" w:eastAsia="宋体"/>
          <w:kern w:val="2"/>
          <w:szCs w:val="24"/>
        </w:rPr>
        <w:fldChar w:fldCharType="separate"/>
      </w:r>
      <w:r>
        <w:rPr>
          <w:rFonts w:hint="eastAsia" w:ascii="宋体" w:hAnsi="宋体" w:eastAsia="宋体" w:cs="宋体"/>
          <w:szCs w:val="22"/>
          <w:lang w:val="en-GB"/>
        </w:rPr>
        <w:t xml:space="preserve">7.1 </w:t>
      </w:r>
      <w:r>
        <w:rPr>
          <w:rFonts w:hint="eastAsia"/>
          <w:szCs w:val="22"/>
          <w:lang w:val="en-GB"/>
        </w:rPr>
        <w:t>并机系统简介</w:t>
      </w:r>
      <w:r>
        <w:tab/>
      </w:r>
      <w:r>
        <w:fldChar w:fldCharType="begin"/>
      </w:r>
      <w:r>
        <w:instrText xml:space="preserve"> PAGEREF _Toc16523 \h </w:instrText>
      </w:r>
      <w:r>
        <w:fldChar w:fldCharType="separate"/>
      </w:r>
      <w:r>
        <w:t>54</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_Toc21778 </w:instrText>
      </w:r>
      <w:r>
        <w:rPr>
          <w:rFonts w:ascii="宋体" w:hAnsi="宋体" w:eastAsia="宋体"/>
          <w:kern w:val="2"/>
          <w:szCs w:val="24"/>
        </w:rPr>
        <w:fldChar w:fldCharType="separate"/>
      </w:r>
      <w:r>
        <w:rPr>
          <w:rFonts w:hint="eastAsia" w:ascii="宋体" w:hAnsi="宋体" w:eastAsia="宋体" w:cs="宋体"/>
          <w:szCs w:val="22"/>
        </w:rPr>
        <w:t xml:space="preserve">7.2 </w:t>
      </w:r>
      <w:r>
        <w:rPr>
          <w:rFonts w:hint="eastAsia"/>
          <w:szCs w:val="22"/>
        </w:rPr>
        <w:t>并机系统要求</w:t>
      </w:r>
      <w:r>
        <w:tab/>
      </w:r>
      <w:r>
        <w:fldChar w:fldCharType="begin"/>
      </w:r>
      <w:r>
        <w:instrText xml:space="preserve"> PAGEREF _Toc21778 \h </w:instrText>
      </w:r>
      <w:r>
        <w:fldChar w:fldCharType="separate"/>
      </w:r>
      <w:r>
        <w:t>54</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_Toc17097 </w:instrText>
      </w:r>
      <w:r>
        <w:rPr>
          <w:rFonts w:ascii="宋体" w:hAnsi="宋体" w:eastAsia="宋体"/>
          <w:kern w:val="2"/>
          <w:szCs w:val="24"/>
        </w:rPr>
        <w:fldChar w:fldCharType="separate"/>
      </w:r>
      <w:r>
        <w:rPr>
          <w:rFonts w:hint="eastAsia" w:ascii="宋体" w:hAnsi="宋体" w:eastAsia="宋体" w:cs="宋体"/>
          <w:szCs w:val="22"/>
        </w:rPr>
        <w:t xml:space="preserve">7.3 </w:t>
      </w:r>
      <w:r>
        <w:rPr>
          <w:rFonts w:hint="eastAsia"/>
          <w:szCs w:val="22"/>
        </w:rPr>
        <w:t>并机系统的安装</w:t>
      </w:r>
      <w:r>
        <w:tab/>
      </w:r>
      <w:r>
        <w:fldChar w:fldCharType="begin"/>
      </w:r>
      <w:r>
        <w:instrText xml:space="preserve"> PAGEREF _Toc17097 \h </w:instrText>
      </w:r>
      <w:r>
        <w:fldChar w:fldCharType="separate"/>
      </w:r>
      <w:r>
        <w:t>54</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_Toc1459 </w:instrText>
      </w:r>
      <w:r>
        <w:rPr>
          <w:rFonts w:ascii="宋体" w:hAnsi="宋体" w:eastAsia="宋体"/>
          <w:kern w:val="2"/>
          <w:szCs w:val="24"/>
        </w:rPr>
        <w:fldChar w:fldCharType="separate"/>
      </w:r>
      <w:r>
        <w:rPr>
          <w:rFonts w:hint="eastAsia" w:ascii="宋体" w:hAnsi="宋体" w:eastAsia="宋体" w:cs="宋体"/>
          <w:szCs w:val="22"/>
        </w:rPr>
        <w:t xml:space="preserve">7.3.1 </w:t>
      </w:r>
      <w:r>
        <w:rPr>
          <w:rFonts w:hint="eastAsia"/>
          <w:szCs w:val="22"/>
        </w:rPr>
        <w:t>初检</w:t>
      </w:r>
      <w:r>
        <w:tab/>
      </w:r>
      <w:r>
        <w:fldChar w:fldCharType="begin"/>
      </w:r>
      <w:r>
        <w:instrText xml:space="preserve"> PAGEREF _Toc1459 \h </w:instrText>
      </w:r>
      <w:r>
        <w:fldChar w:fldCharType="separate"/>
      </w:r>
      <w:r>
        <w:t>54</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_Toc12022 </w:instrText>
      </w:r>
      <w:r>
        <w:rPr>
          <w:rFonts w:ascii="宋体" w:hAnsi="宋体" w:eastAsia="宋体"/>
          <w:kern w:val="2"/>
          <w:szCs w:val="24"/>
        </w:rPr>
        <w:fldChar w:fldCharType="separate"/>
      </w:r>
      <w:r>
        <w:rPr>
          <w:rFonts w:hint="eastAsia" w:ascii="宋体" w:hAnsi="宋体" w:eastAsia="宋体" w:cs="宋体"/>
          <w:szCs w:val="22"/>
        </w:rPr>
        <w:t xml:space="preserve">7.3.2 </w:t>
      </w:r>
      <w:r>
        <w:rPr>
          <w:rFonts w:hint="eastAsia"/>
          <w:szCs w:val="22"/>
        </w:rPr>
        <w:t>机柜安装</w:t>
      </w:r>
      <w:r>
        <w:tab/>
      </w:r>
      <w:r>
        <w:fldChar w:fldCharType="begin"/>
      </w:r>
      <w:r>
        <w:instrText xml:space="preserve"> PAGEREF _Toc12022 \h </w:instrText>
      </w:r>
      <w:r>
        <w:fldChar w:fldCharType="separate"/>
      </w:r>
      <w:r>
        <w:t>54</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_Toc23195 </w:instrText>
      </w:r>
      <w:r>
        <w:rPr>
          <w:rFonts w:ascii="宋体" w:hAnsi="宋体" w:eastAsia="宋体"/>
          <w:kern w:val="2"/>
          <w:szCs w:val="24"/>
        </w:rPr>
        <w:fldChar w:fldCharType="separate"/>
      </w:r>
      <w:r>
        <w:rPr>
          <w:rFonts w:hint="eastAsia" w:ascii="宋体" w:hAnsi="宋体" w:eastAsia="宋体" w:cs="宋体"/>
          <w:szCs w:val="22"/>
        </w:rPr>
        <w:t xml:space="preserve">7.3.3 </w:t>
      </w:r>
      <w:r>
        <w:rPr>
          <w:rFonts w:hint="eastAsia"/>
          <w:szCs w:val="22"/>
        </w:rPr>
        <w:t>功率电缆</w:t>
      </w:r>
      <w:r>
        <w:tab/>
      </w:r>
      <w:r>
        <w:fldChar w:fldCharType="begin"/>
      </w:r>
      <w:r>
        <w:instrText xml:space="preserve"> PAGEREF _Toc23195 \h </w:instrText>
      </w:r>
      <w:r>
        <w:fldChar w:fldCharType="separate"/>
      </w:r>
      <w:r>
        <w:t>55</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_Toc10512 </w:instrText>
      </w:r>
      <w:r>
        <w:rPr>
          <w:rFonts w:ascii="宋体" w:hAnsi="宋体" w:eastAsia="宋体"/>
          <w:kern w:val="2"/>
          <w:szCs w:val="24"/>
        </w:rPr>
        <w:fldChar w:fldCharType="separate"/>
      </w:r>
      <w:r>
        <w:rPr>
          <w:rFonts w:hint="eastAsia" w:ascii="宋体" w:hAnsi="宋体" w:eastAsia="宋体" w:cs="宋体"/>
          <w:szCs w:val="22"/>
        </w:rPr>
        <w:t xml:space="preserve">7.3.4 </w:t>
      </w:r>
      <w:r>
        <w:rPr>
          <w:rFonts w:hint="eastAsia"/>
          <w:szCs w:val="22"/>
        </w:rPr>
        <w:t>并机匹配电阻</w:t>
      </w:r>
      <w:r>
        <w:tab/>
      </w:r>
      <w:r>
        <w:fldChar w:fldCharType="begin"/>
      </w:r>
      <w:r>
        <w:instrText xml:space="preserve"> PAGEREF _Toc10512 \h </w:instrText>
      </w:r>
      <w:r>
        <w:fldChar w:fldCharType="separate"/>
      </w:r>
      <w:r>
        <w:t>55</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_Toc12915 </w:instrText>
      </w:r>
      <w:r>
        <w:rPr>
          <w:rFonts w:ascii="宋体" w:hAnsi="宋体" w:eastAsia="宋体"/>
          <w:kern w:val="2"/>
          <w:szCs w:val="24"/>
        </w:rPr>
        <w:fldChar w:fldCharType="separate"/>
      </w:r>
      <w:r>
        <w:rPr>
          <w:rFonts w:hint="eastAsia" w:ascii="宋体" w:hAnsi="宋体" w:eastAsia="宋体" w:cs="宋体"/>
          <w:szCs w:val="22"/>
        </w:rPr>
        <w:t xml:space="preserve">7.3.5 </w:t>
      </w:r>
      <w:r>
        <w:rPr>
          <w:rFonts w:hint="eastAsia"/>
          <w:szCs w:val="22"/>
          <w:lang w:val="en-GB"/>
        </w:rPr>
        <w:t>并机</w:t>
      </w:r>
      <w:r>
        <w:rPr>
          <w:rFonts w:hint="eastAsia"/>
          <w:szCs w:val="22"/>
        </w:rPr>
        <w:t>电缆</w:t>
      </w:r>
      <w:r>
        <w:tab/>
      </w:r>
      <w:r>
        <w:fldChar w:fldCharType="begin"/>
      </w:r>
      <w:r>
        <w:instrText xml:space="preserve"> PAGEREF _Toc12915 \h </w:instrText>
      </w:r>
      <w:r>
        <w:fldChar w:fldCharType="separate"/>
      </w:r>
      <w:r>
        <w:t>56</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_Toc15675 </w:instrText>
      </w:r>
      <w:r>
        <w:rPr>
          <w:rFonts w:ascii="宋体" w:hAnsi="宋体" w:eastAsia="宋体"/>
          <w:kern w:val="2"/>
          <w:szCs w:val="24"/>
        </w:rPr>
        <w:fldChar w:fldCharType="separate"/>
      </w:r>
      <w:r>
        <w:rPr>
          <w:rFonts w:hint="eastAsia" w:ascii="宋体" w:hAnsi="宋体" w:eastAsia="宋体" w:cs="宋体"/>
          <w:szCs w:val="22"/>
        </w:rPr>
        <w:t xml:space="preserve">7.3.6 </w:t>
      </w:r>
      <w:r>
        <w:rPr>
          <w:rFonts w:hint="eastAsia"/>
          <w:szCs w:val="22"/>
        </w:rPr>
        <w:t>远程紧急停机</w:t>
      </w:r>
      <w:r>
        <w:tab/>
      </w:r>
      <w:r>
        <w:fldChar w:fldCharType="begin"/>
      </w:r>
      <w:r>
        <w:instrText xml:space="preserve"> PAGEREF _Toc15675 \h </w:instrText>
      </w:r>
      <w:r>
        <w:fldChar w:fldCharType="separate"/>
      </w:r>
      <w:r>
        <w:t>56</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_Toc22654 </w:instrText>
      </w:r>
      <w:r>
        <w:rPr>
          <w:rFonts w:ascii="宋体" w:hAnsi="宋体" w:eastAsia="宋体"/>
          <w:kern w:val="2"/>
          <w:szCs w:val="24"/>
        </w:rPr>
        <w:fldChar w:fldCharType="separate"/>
      </w:r>
      <w:r>
        <w:rPr>
          <w:rFonts w:hint="eastAsia" w:ascii="宋体" w:hAnsi="宋体" w:eastAsia="宋体" w:cs="宋体"/>
          <w:szCs w:val="22"/>
        </w:rPr>
        <w:t xml:space="preserve">7.4 </w:t>
      </w:r>
      <w:r>
        <w:rPr>
          <w:rFonts w:hint="eastAsia"/>
          <w:szCs w:val="22"/>
        </w:rPr>
        <w:t>并机系统操作步骤</w:t>
      </w:r>
      <w:r>
        <w:tab/>
      </w:r>
      <w:r>
        <w:fldChar w:fldCharType="begin"/>
      </w:r>
      <w:r>
        <w:instrText xml:space="preserve"> PAGEREF _Toc22654 \h </w:instrText>
      </w:r>
      <w:r>
        <w:fldChar w:fldCharType="separate"/>
      </w:r>
      <w:r>
        <w:t>57</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_Toc658 </w:instrText>
      </w:r>
      <w:r>
        <w:rPr>
          <w:rFonts w:ascii="宋体" w:hAnsi="宋体" w:eastAsia="宋体"/>
          <w:kern w:val="2"/>
          <w:szCs w:val="24"/>
        </w:rPr>
        <w:fldChar w:fldCharType="separate"/>
      </w:r>
      <w:r>
        <w:rPr>
          <w:rFonts w:hint="eastAsia" w:ascii="宋体" w:hAnsi="宋体" w:eastAsia="宋体" w:cs="宋体"/>
          <w:szCs w:val="22"/>
          <w:lang w:val="en-GB"/>
        </w:rPr>
        <w:t xml:space="preserve">7.4.1 </w:t>
      </w:r>
      <w:r>
        <w:rPr>
          <w:rFonts w:hint="eastAsia"/>
          <w:szCs w:val="22"/>
          <w:lang w:val="en-GB"/>
        </w:rPr>
        <w:t>开机步骤（进入正常模式）</w:t>
      </w:r>
      <w:r>
        <w:tab/>
      </w:r>
      <w:r>
        <w:fldChar w:fldCharType="begin"/>
      </w:r>
      <w:r>
        <w:instrText xml:space="preserve"> PAGEREF _Toc658 \h </w:instrText>
      </w:r>
      <w:r>
        <w:fldChar w:fldCharType="separate"/>
      </w:r>
      <w:r>
        <w:t>57</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_Toc17583 </w:instrText>
      </w:r>
      <w:r>
        <w:rPr>
          <w:rFonts w:ascii="宋体" w:hAnsi="宋体" w:eastAsia="宋体"/>
          <w:kern w:val="2"/>
          <w:szCs w:val="24"/>
        </w:rPr>
        <w:fldChar w:fldCharType="separate"/>
      </w:r>
      <w:r>
        <w:rPr>
          <w:rFonts w:hint="eastAsia" w:ascii="宋体" w:hAnsi="宋体" w:eastAsia="宋体" w:cs="宋体"/>
          <w:szCs w:val="22"/>
          <w:lang w:val="en-GB"/>
        </w:rPr>
        <w:t xml:space="preserve">7.4.2 </w:t>
      </w:r>
      <w:r>
        <w:rPr>
          <w:rFonts w:hint="eastAsia"/>
          <w:szCs w:val="22"/>
          <w:lang w:val="en-GB"/>
        </w:rPr>
        <w:t>维修旁路操作步骤</w:t>
      </w:r>
      <w:r>
        <w:tab/>
      </w:r>
      <w:r>
        <w:fldChar w:fldCharType="begin"/>
      </w:r>
      <w:r>
        <w:instrText xml:space="preserve"> PAGEREF _Toc17583 \h </w:instrText>
      </w:r>
      <w:r>
        <w:fldChar w:fldCharType="separate"/>
      </w:r>
      <w:r>
        <w:t>57</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_Toc24951 </w:instrText>
      </w:r>
      <w:r>
        <w:rPr>
          <w:rFonts w:ascii="宋体" w:hAnsi="宋体" w:eastAsia="宋体"/>
          <w:kern w:val="2"/>
          <w:szCs w:val="24"/>
        </w:rPr>
        <w:fldChar w:fldCharType="separate"/>
      </w:r>
      <w:r>
        <w:rPr>
          <w:rFonts w:hint="eastAsia" w:ascii="宋体" w:hAnsi="宋体" w:eastAsia="宋体" w:cs="宋体"/>
          <w:szCs w:val="22"/>
          <w:lang w:val="en-GB"/>
        </w:rPr>
        <w:t xml:space="preserve">7.4.3 </w:t>
      </w:r>
      <w:r>
        <w:rPr>
          <w:rFonts w:hint="eastAsia"/>
          <w:szCs w:val="22"/>
          <w:lang w:val="en-GB"/>
        </w:rPr>
        <w:t>隔离并机系统中的单机</w:t>
      </w:r>
      <w:r>
        <w:tab/>
      </w:r>
      <w:r>
        <w:fldChar w:fldCharType="begin"/>
      </w:r>
      <w:r>
        <w:instrText xml:space="preserve"> PAGEREF _Toc24951 \h </w:instrText>
      </w:r>
      <w:r>
        <w:fldChar w:fldCharType="separate"/>
      </w:r>
      <w:r>
        <w:t>58</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_Toc13620 </w:instrText>
      </w:r>
      <w:r>
        <w:rPr>
          <w:rFonts w:ascii="宋体" w:hAnsi="宋体" w:eastAsia="宋体"/>
          <w:kern w:val="2"/>
          <w:szCs w:val="24"/>
        </w:rPr>
        <w:fldChar w:fldCharType="separate"/>
      </w:r>
      <w:r>
        <w:rPr>
          <w:rFonts w:hint="eastAsia" w:ascii="宋体" w:hAnsi="宋体" w:eastAsia="宋体" w:cs="宋体"/>
          <w:szCs w:val="22"/>
          <w:lang w:val="en-GB"/>
        </w:rPr>
        <w:t xml:space="preserve">7.4.4 </w:t>
      </w:r>
      <w:r>
        <w:rPr>
          <w:rFonts w:hint="eastAsia"/>
          <w:szCs w:val="22"/>
          <w:lang w:val="en-GB"/>
        </w:rPr>
        <w:t>恢复并机系统中已隔离的单机</w:t>
      </w:r>
      <w:r>
        <w:tab/>
      </w:r>
      <w:r>
        <w:fldChar w:fldCharType="begin"/>
      </w:r>
      <w:r>
        <w:instrText xml:space="preserve"> PAGEREF _Toc13620 \h </w:instrText>
      </w:r>
      <w:r>
        <w:fldChar w:fldCharType="separate"/>
      </w:r>
      <w:r>
        <w:t>59</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_Toc365 </w:instrText>
      </w:r>
      <w:r>
        <w:rPr>
          <w:rFonts w:ascii="宋体" w:hAnsi="宋体" w:eastAsia="宋体"/>
          <w:kern w:val="2"/>
          <w:szCs w:val="24"/>
        </w:rPr>
        <w:fldChar w:fldCharType="separate"/>
      </w:r>
      <w:r>
        <w:rPr>
          <w:rFonts w:hint="eastAsia" w:ascii="宋体" w:hAnsi="宋体" w:eastAsia="宋体" w:cs="宋体"/>
          <w:szCs w:val="22"/>
          <w:lang w:val="en-GB"/>
        </w:rPr>
        <w:t xml:space="preserve">7.4.5 </w:t>
      </w:r>
      <w:r>
        <w:rPr>
          <w:rFonts w:hint="eastAsia"/>
          <w:szCs w:val="22"/>
          <w:lang w:val="en-GB"/>
        </w:rPr>
        <w:t>关机步骤（UPS完全下电）</w:t>
      </w:r>
      <w:r>
        <w:tab/>
      </w:r>
      <w:r>
        <w:fldChar w:fldCharType="begin"/>
      </w:r>
      <w:r>
        <w:instrText xml:space="preserve"> PAGEREF _Toc365 \h </w:instrText>
      </w:r>
      <w:r>
        <w:fldChar w:fldCharType="separate"/>
      </w:r>
      <w:r>
        <w:t>59</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_Toc13669 </w:instrText>
      </w:r>
      <w:r>
        <w:rPr>
          <w:rFonts w:ascii="宋体" w:hAnsi="宋体" w:eastAsia="宋体"/>
          <w:kern w:val="2"/>
          <w:szCs w:val="24"/>
        </w:rPr>
        <w:fldChar w:fldCharType="separate"/>
      </w:r>
      <w:r>
        <w:rPr>
          <w:rFonts w:hint="eastAsia" w:ascii="宋体" w:hAnsi="宋体" w:eastAsia="宋体" w:cs="宋体"/>
          <w:szCs w:val="22"/>
          <w:lang w:val="en-GB"/>
        </w:rPr>
        <w:t xml:space="preserve">7.4.6 </w:t>
      </w:r>
      <w:r>
        <w:rPr>
          <w:rFonts w:hint="eastAsia"/>
          <w:szCs w:val="22"/>
          <w:lang w:val="en-GB"/>
        </w:rPr>
        <w:t>关机步骤（UPS完全下电但继续给负载供电）</w:t>
      </w:r>
      <w:r>
        <w:tab/>
      </w:r>
      <w:r>
        <w:fldChar w:fldCharType="begin"/>
      </w:r>
      <w:r>
        <w:instrText xml:space="preserve"> PAGEREF _Toc13669 \h </w:instrText>
      </w:r>
      <w:r>
        <w:fldChar w:fldCharType="separate"/>
      </w:r>
      <w:r>
        <w:t>59</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_Toc17091 </w:instrText>
      </w:r>
      <w:r>
        <w:rPr>
          <w:rFonts w:ascii="宋体" w:hAnsi="宋体" w:eastAsia="宋体"/>
          <w:kern w:val="2"/>
          <w:szCs w:val="24"/>
        </w:rPr>
        <w:fldChar w:fldCharType="separate"/>
      </w:r>
      <w:r>
        <w:rPr>
          <w:rFonts w:hint="eastAsia" w:ascii="宋体" w:hAnsi="宋体" w:eastAsia="宋体" w:cs="宋体"/>
          <w:szCs w:val="22"/>
        </w:rPr>
        <w:t xml:space="preserve">7.5 </w:t>
      </w:r>
      <w:r>
        <w:rPr>
          <w:rFonts w:hint="eastAsia"/>
          <w:szCs w:val="22"/>
        </w:rPr>
        <w:t>双母线系统的安装</w:t>
      </w:r>
      <w:r>
        <w:tab/>
      </w:r>
      <w:r>
        <w:fldChar w:fldCharType="begin"/>
      </w:r>
      <w:r>
        <w:instrText xml:space="preserve"> PAGEREF _Toc17091 \h </w:instrText>
      </w:r>
      <w:r>
        <w:fldChar w:fldCharType="separate"/>
      </w:r>
      <w:r>
        <w:t>59</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_Toc1350 </w:instrText>
      </w:r>
      <w:r>
        <w:rPr>
          <w:rFonts w:ascii="宋体" w:hAnsi="宋体" w:eastAsia="宋体"/>
          <w:kern w:val="2"/>
          <w:szCs w:val="24"/>
        </w:rPr>
        <w:fldChar w:fldCharType="separate"/>
      </w:r>
      <w:r>
        <w:rPr>
          <w:rFonts w:hint="eastAsia" w:ascii="宋体" w:hAnsi="宋体" w:eastAsia="宋体" w:cs="宋体"/>
          <w:szCs w:val="22"/>
          <w:lang w:val="en-GB"/>
        </w:rPr>
        <w:t xml:space="preserve">7.5.1 </w:t>
      </w:r>
      <w:r>
        <w:rPr>
          <w:rFonts w:hint="eastAsia"/>
          <w:szCs w:val="22"/>
          <w:lang w:val="en-GB"/>
        </w:rPr>
        <w:t>机柜安装</w:t>
      </w:r>
      <w:r>
        <w:tab/>
      </w:r>
      <w:r>
        <w:fldChar w:fldCharType="begin"/>
      </w:r>
      <w:r>
        <w:instrText xml:space="preserve"> PAGEREF _Toc1350 \h </w:instrText>
      </w:r>
      <w:r>
        <w:fldChar w:fldCharType="separate"/>
      </w:r>
      <w:r>
        <w:t>59</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_Toc2713 </w:instrText>
      </w:r>
      <w:r>
        <w:rPr>
          <w:rFonts w:ascii="宋体" w:hAnsi="宋体" w:eastAsia="宋体"/>
          <w:kern w:val="2"/>
          <w:szCs w:val="24"/>
        </w:rPr>
        <w:fldChar w:fldCharType="separate"/>
      </w:r>
      <w:r>
        <w:rPr>
          <w:rFonts w:hint="eastAsia" w:ascii="宋体" w:hAnsi="宋体" w:eastAsia="宋体" w:cs="宋体"/>
          <w:szCs w:val="22"/>
        </w:rPr>
        <w:t xml:space="preserve">7.5.2 </w:t>
      </w:r>
      <w:r>
        <w:rPr>
          <w:rFonts w:hint="eastAsia"/>
          <w:szCs w:val="22"/>
        </w:rPr>
        <w:t>LBS功率电缆</w:t>
      </w:r>
      <w:r>
        <w:tab/>
      </w:r>
      <w:r>
        <w:fldChar w:fldCharType="begin"/>
      </w:r>
      <w:r>
        <w:instrText xml:space="preserve"> PAGEREF _Toc2713 \h </w:instrText>
      </w:r>
      <w:r>
        <w:fldChar w:fldCharType="separate"/>
      </w:r>
      <w:r>
        <w:t>60</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_Toc11768 </w:instrText>
      </w:r>
      <w:r>
        <w:rPr>
          <w:rFonts w:ascii="宋体" w:hAnsi="宋体" w:eastAsia="宋体"/>
          <w:kern w:val="2"/>
          <w:szCs w:val="24"/>
        </w:rPr>
        <w:fldChar w:fldCharType="separate"/>
      </w:r>
      <w:r>
        <w:rPr>
          <w:rFonts w:hint="eastAsia" w:ascii="宋体" w:hAnsi="宋体" w:eastAsia="宋体" w:cs="宋体"/>
          <w:szCs w:val="22"/>
        </w:rPr>
        <w:t xml:space="preserve">7.5.3 </w:t>
      </w:r>
      <w:r>
        <w:rPr>
          <w:rFonts w:hint="eastAsia"/>
          <w:szCs w:val="22"/>
        </w:rPr>
        <w:t>LBS电缆</w:t>
      </w:r>
      <w:r>
        <w:tab/>
      </w:r>
      <w:r>
        <w:fldChar w:fldCharType="begin"/>
      </w:r>
      <w:r>
        <w:instrText xml:space="preserve"> PAGEREF _Toc11768 \h </w:instrText>
      </w:r>
      <w:r>
        <w:fldChar w:fldCharType="separate"/>
      </w:r>
      <w:r>
        <w:t>60</w:t>
      </w:r>
      <w:r>
        <w:fldChar w:fldCharType="end"/>
      </w:r>
      <w:r>
        <w:rPr>
          <w:rFonts w:ascii="宋体" w:hAnsi="宋体" w:eastAsia="宋体"/>
          <w:kern w:val="2"/>
          <w:szCs w:val="24"/>
        </w:rPr>
        <w:fldChar w:fldCharType="end"/>
      </w:r>
    </w:p>
    <w:p>
      <w:pPr>
        <w:pStyle w:val="39"/>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_Toc7173 </w:instrText>
      </w:r>
      <w:r>
        <w:rPr>
          <w:rFonts w:ascii="宋体" w:hAnsi="宋体" w:eastAsia="宋体"/>
          <w:kern w:val="2"/>
          <w:szCs w:val="24"/>
        </w:rPr>
        <w:fldChar w:fldCharType="separate"/>
      </w:r>
      <w:r>
        <w:rPr>
          <w:rFonts w:hint="eastAsia" w:ascii="宋体" w:hAnsi="宋体" w:eastAsia="宋体" w:cs="宋体"/>
        </w:rPr>
        <w:t xml:space="preserve">第八章 </w:t>
      </w:r>
      <w:r>
        <w:rPr>
          <w:rFonts w:hint="eastAsia"/>
        </w:rPr>
        <w:t>选件</w:t>
      </w:r>
      <w:r>
        <w:tab/>
      </w:r>
      <w:r>
        <w:fldChar w:fldCharType="begin"/>
      </w:r>
      <w:r>
        <w:instrText xml:space="preserve"> PAGEREF _Toc7173 \h </w:instrText>
      </w:r>
      <w:r>
        <w:fldChar w:fldCharType="separate"/>
      </w:r>
      <w:r>
        <w:t>61</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_Toc13003 </w:instrText>
      </w:r>
      <w:r>
        <w:rPr>
          <w:rFonts w:ascii="宋体" w:hAnsi="宋体" w:eastAsia="宋体"/>
          <w:kern w:val="2"/>
          <w:szCs w:val="24"/>
        </w:rPr>
        <w:fldChar w:fldCharType="separate"/>
      </w:r>
      <w:r>
        <w:rPr>
          <w:rFonts w:hint="eastAsia" w:ascii="宋体" w:hAnsi="宋体" w:eastAsia="宋体" w:cs="宋体"/>
          <w:szCs w:val="22"/>
        </w:rPr>
        <w:t xml:space="preserve">8.1 </w:t>
      </w:r>
      <w:r>
        <w:rPr>
          <w:rFonts w:hint="eastAsia"/>
          <w:szCs w:val="22"/>
        </w:rPr>
        <w:t>SNMP卡</w:t>
      </w:r>
      <w:r>
        <w:tab/>
      </w:r>
      <w:r>
        <w:fldChar w:fldCharType="begin"/>
      </w:r>
      <w:r>
        <w:instrText xml:space="preserve"> PAGEREF _Toc13003 \h </w:instrText>
      </w:r>
      <w:r>
        <w:fldChar w:fldCharType="separate"/>
      </w:r>
      <w:r>
        <w:t>61</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_Toc20322 </w:instrText>
      </w:r>
      <w:r>
        <w:rPr>
          <w:rFonts w:ascii="宋体" w:hAnsi="宋体" w:eastAsia="宋体"/>
          <w:kern w:val="2"/>
          <w:szCs w:val="24"/>
        </w:rPr>
        <w:fldChar w:fldCharType="separate"/>
      </w:r>
      <w:r>
        <w:rPr>
          <w:rFonts w:hint="eastAsia" w:ascii="宋体" w:hAnsi="宋体" w:eastAsia="宋体" w:cs="宋体"/>
        </w:rPr>
        <w:t xml:space="preserve">8.2 </w:t>
      </w:r>
      <w:r>
        <w:rPr>
          <w:rFonts w:hint="eastAsia"/>
        </w:rPr>
        <w:t>干接点卡</w:t>
      </w:r>
      <w:r>
        <w:tab/>
      </w:r>
      <w:r>
        <w:fldChar w:fldCharType="begin"/>
      </w:r>
      <w:r>
        <w:instrText xml:space="preserve"> PAGEREF _Toc20322 \h </w:instrText>
      </w:r>
      <w:r>
        <w:fldChar w:fldCharType="separate"/>
      </w:r>
      <w:r>
        <w:t>61</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_Toc3028 </w:instrText>
      </w:r>
      <w:r>
        <w:rPr>
          <w:rFonts w:ascii="宋体" w:hAnsi="宋体" w:eastAsia="宋体"/>
          <w:kern w:val="2"/>
          <w:szCs w:val="24"/>
        </w:rPr>
        <w:fldChar w:fldCharType="separate"/>
      </w:r>
      <w:r>
        <w:rPr>
          <w:rFonts w:hint="eastAsia" w:ascii="宋体" w:hAnsi="宋体" w:eastAsia="宋体" w:cs="宋体"/>
        </w:rPr>
        <w:t xml:space="preserve">8.3 </w:t>
      </w:r>
      <w:r>
        <w:rPr>
          <w:rFonts w:hint="eastAsia"/>
        </w:rPr>
        <w:t>智能云盒</w:t>
      </w:r>
      <w:r>
        <w:tab/>
      </w:r>
      <w:r>
        <w:fldChar w:fldCharType="begin"/>
      </w:r>
      <w:r>
        <w:instrText xml:space="preserve"> PAGEREF _Toc3028 \h </w:instrText>
      </w:r>
      <w:r>
        <w:fldChar w:fldCharType="separate"/>
      </w:r>
      <w:r>
        <w:t>62</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_Toc16653 </w:instrText>
      </w:r>
      <w:r>
        <w:rPr>
          <w:rFonts w:ascii="宋体" w:hAnsi="宋体" w:eastAsia="宋体"/>
          <w:kern w:val="2"/>
          <w:szCs w:val="24"/>
        </w:rPr>
        <w:fldChar w:fldCharType="separate"/>
      </w:r>
      <w:r>
        <w:rPr>
          <w:rFonts w:hint="eastAsia" w:ascii="宋体" w:hAnsi="宋体" w:eastAsia="宋体" w:cs="宋体"/>
        </w:rPr>
        <w:t xml:space="preserve">8.4 </w:t>
      </w:r>
      <w:r>
        <w:rPr>
          <w:rFonts w:hint="eastAsia"/>
        </w:rPr>
        <w:t>电池温度传感器</w:t>
      </w:r>
      <w:r>
        <w:tab/>
      </w:r>
      <w:r>
        <w:fldChar w:fldCharType="begin"/>
      </w:r>
      <w:r>
        <w:instrText xml:space="preserve"> PAGEREF _Toc16653 \h </w:instrText>
      </w:r>
      <w:r>
        <w:fldChar w:fldCharType="separate"/>
      </w:r>
      <w:r>
        <w:t>62</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_Toc15916 </w:instrText>
      </w:r>
      <w:r>
        <w:rPr>
          <w:rFonts w:ascii="宋体" w:hAnsi="宋体" w:eastAsia="宋体"/>
          <w:kern w:val="2"/>
          <w:szCs w:val="24"/>
        </w:rPr>
        <w:fldChar w:fldCharType="separate"/>
      </w:r>
      <w:r>
        <w:rPr>
          <w:rFonts w:hint="eastAsia" w:ascii="宋体" w:hAnsi="宋体" w:eastAsia="宋体" w:cs="宋体"/>
        </w:rPr>
        <w:t xml:space="preserve">8.5 </w:t>
      </w:r>
      <w:r>
        <w:rPr>
          <w:rFonts w:hint="eastAsia"/>
        </w:rPr>
        <w:t>防雷组件</w:t>
      </w:r>
      <w:r>
        <w:tab/>
      </w:r>
      <w:r>
        <w:fldChar w:fldCharType="begin"/>
      </w:r>
      <w:r>
        <w:instrText xml:space="preserve"> PAGEREF _Toc15916 \h </w:instrText>
      </w:r>
      <w:r>
        <w:fldChar w:fldCharType="separate"/>
      </w:r>
      <w:r>
        <w:t>63</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_Toc6940 </w:instrText>
      </w:r>
      <w:r>
        <w:rPr>
          <w:rFonts w:ascii="宋体" w:hAnsi="宋体" w:eastAsia="宋体"/>
          <w:kern w:val="2"/>
          <w:szCs w:val="24"/>
        </w:rPr>
        <w:fldChar w:fldCharType="separate"/>
      </w:r>
      <w:r>
        <w:rPr>
          <w:rFonts w:hint="eastAsia" w:ascii="宋体" w:hAnsi="宋体" w:eastAsia="宋体" w:cs="宋体"/>
        </w:rPr>
        <w:t xml:space="preserve">8.6 </w:t>
      </w:r>
      <w:r>
        <w:rPr>
          <w:rFonts w:hint="eastAsia"/>
        </w:rPr>
        <w:t>输入和输出熔断器</w:t>
      </w:r>
      <w:r>
        <w:tab/>
      </w:r>
      <w:r>
        <w:fldChar w:fldCharType="begin"/>
      </w:r>
      <w:r>
        <w:instrText xml:space="preserve"> PAGEREF _Toc6940 \h </w:instrText>
      </w:r>
      <w:r>
        <w:fldChar w:fldCharType="separate"/>
      </w:r>
      <w:r>
        <w:t>64</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_Toc18256 </w:instrText>
      </w:r>
      <w:r>
        <w:rPr>
          <w:rFonts w:ascii="宋体" w:hAnsi="宋体" w:eastAsia="宋体"/>
          <w:kern w:val="2"/>
          <w:szCs w:val="24"/>
        </w:rPr>
        <w:fldChar w:fldCharType="separate"/>
      </w:r>
      <w:r>
        <w:rPr>
          <w:rFonts w:hint="eastAsia" w:ascii="宋体" w:hAnsi="宋体" w:eastAsia="宋体" w:cs="宋体"/>
        </w:rPr>
        <w:t xml:space="preserve">8.7 </w:t>
      </w:r>
      <w:r>
        <w:rPr>
          <w:rFonts w:hint="eastAsia"/>
        </w:rPr>
        <w:t>防地震组件</w:t>
      </w:r>
      <w:r>
        <w:tab/>
      </w:r>
      <w:r>
        <w:fldChar w:fldCharType="begin"/>
      </w:r>
      <w:r>
        <w:instrText xml:space="preserve"> PAGEREF _Toc18256 \h </w:instrText>
      </w:r>
      <w:r>
        <w:fldChar w:fldCharType="separate"/>
      </w:r>
      <w:r>
        <w:t>64</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_Toc31197 </w:instrText>
      </w:r>
      <w:r>
        <w:rPr>
          <w:rFonts w:ascii="宋体" w:hAnsi="宋体" w:eastAsia="宋体"/>
          <w:kern w:val="2"/>
          <w:szCs w:val="24"/>
        </w:rPr>
        <w:fldChar w:fldCharType="separate"/>
      </w:r>
      <w:r>
        <w:rPr>
          <w:rFonts w:hint="eastAsia" w:ascii="宋体" w:hAnsi="宋体" w:eastAsia="宋体" w:cs="宋体"/>
        </w:rPr>
        <w:t xml:space="preserve">8.8 </w:t>
      </w:r>
      <w:r>
        <w:t>L</w:t>
      </w:r>
      <w:r>
        <w:rPr>
          <w:rFonts w:hint="eastAsia"/>
        </w:rPr>
        <w:t>BS电缆</w:t>
      </w:r>
      <w:r>
        <w:tab/>
      </w:r>
      <w:r>
        <w:fldChar w:fldCharType="begin"/>
      </w:r>
      <w:r>
        <w:instrText xml:space="preserve"> PAGEREF _Toc31197 \h </w:instrText>
      </w:r>
      <w:r>
        <w:fldChar w:fldCharType="separate"/>
      </w:r>
      <w:r>
        <w:t>69</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_Toc31787 </w:instrText>
      </w:r>
      <w:r>
        <w:rPr>
          <w:rFonts w:ascii="宋体" w:hAnsi="宋体" w:eastAsia="宋体"/>
          <w:kern w:val="2"/>
          <w:szCs w:val="24"/>
        </w:rPr>
        <w:fldChar w:fldCharType="separate"/>
      </w:r>
      <w:r>
        <w:rPr>
          <w:rFonts w:hint="eastAsia" w:ascii="宋体" w:hAnsi="宋体" w:eastAsia="宋体" w:cs="宋体"/>
        </w:rPr>
        <w:t xml:space="preserve">8.9 </w:t>
      </w:r>
      <w:r>
        <w:rPr>
          <w:rFonts w:hint="eastAsia"/>
        </w:rPr>
        <w:t>并机电缆</w:t>
      </w:r>
      <w:r>
        <w:tab/>
      </w:r>
      <w:r>
        <w:fldChar w:fldCharType="begin"/>
      </w:r>
      <w:r>
        <w:instrText xml:space="preserve"> PAGEREF _Toc31787 \h </w:instrText>
      </w:r>
      <w:r>
        <w:fldChar w:fldCharType="separate"/>
      </w:r>
      <w:r>
        <w:t>69</w:t>
      </w:r>
      <w:r>
        <w:fldChar w:fldCharType="end"/>
      </w:r>
      <w:r>
        <w:rPr>
          <w:rFonts w:ascii="宋体" w:hAnsi="宋体" w:eastAsia="宋体"/>
          <w:kern w:val="2"/>
          <w:szCs w:val="24"/>
        </w:rPr>
        <w:fldChar w:fldCharType="end"/>
      </w:r>
    </w:p>
    <w:p>
      <w:pPr>
        <w:pStyle w:val="39"/>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_Toc16856 </w:instrText>
      </w:r>
      <w:r>
        <w:rPr>
          <w:rFonts w:ascii="宋体" w:hAnsi="宋体" w:eastAsia="宋体"/>
          <w:kern w:val="2"/>
          <w:szCs w:val="24"/>
        </w:rPr>
        <w:fldChar w:fldCharType="separate"/>
      </w:r>
      <w:r>
        <w:rPr>
          <w:rFonts w:hint="eastAsia" w:ascii="宋体" w:hAnsi="宋体" w:eastAsia="宋体" w:cs="宋体"/>
        </w:rPr>
        <w:t xml:space="preserve">第九章 </w:t>
      </w:r>
      <w:r>
        <w:rPr>
          <w:rFonts w:hint="eastAsia"/>
        </w:rPr>
        <w:t>通信</w:t>
      </w:r>
      <w:r>
        <w:tab/>
      </w:r>
      <w:r>
        <w:fldChar w:fldCharType="begin"/>
      </w:r>
      <w:r>
        <w:instrText xml:space="preserve"> PAGEREF _Toc16856 \h </w:instrText>
      </w:r>
      <w:r>
        <w:fldChar w:fldCharType="separate"/>
      </w:r>
      <w:r>
        <w:t>70</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_Toc10311 </w:instrText>
      </w:r>
      <w:r>
        <w:rPr>
          <w:rFonts w:ascii="宋体" w:hAnsi="宋体" w:eastAsia="宋体"/>
          <w:kern w:val="2"/>
          <w:szCs w:val="24"/>
        </w:rPr>
        <w:fldChar w:fldCharType="separate"/>
      </w:r>
      <w:r>
        <w:rPr>
          <w:rFonts w:hint="eastAsia" w:ascii="宋体" w:hAnsi="宋体" w:eastAsia="宋体" w:cs="宋体"/>
          <w:szCs w:val="22"/>
        </w:rPr>
        <w:t xml:space="preserve">9.1 </w:t>
      </w:r>
      <w:r>
        <w:rPr>
          <w:rFonts w:hint="eastAsia"/>
          <w:szCs w:val="22"/>
        </w:rPr>
        <w:t>SNMP协议通信</w:t>
      </w:r>
      <w:r>
        <w:tab/>
      </w:r>
      <w:r>
        <w:fldChar w:fldCharType="begin"/>
      </w:r>
      <w:r>
        <w:instrText xml:space="preserve"> PAGEREF _Toc10311 \h </w:instrText>
      </w:r>
      <w:r>
        <w:fldChar w:fldCharType="separate"/>
      </w:r>
      <w:r>
        <w:t>70</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_Toc29988 </w:instrText>
      </w:r>
      <w:r>
        <w:rPr>
          <w:rFonts w:ascii="宋体" w:hAnsi="宋体" w:eastAsia="宋体"/>
          <w:kern w:val="2"/>
          <w:szCs w:val="24"/>
        </w:rPr>
        <w:fldChar w:fldCharType="separate"/>
      </w:r>
      <w:r>
        <w:rPr>
          <w:rFonts w:hint="eastAsia" w:ascii="宋体" w:hAnsi="宋体" w:eastAsia="宋体" w:cs="宋体"/>
          <w:szCs w:val="22"/>
        </w:rPr>
        <w:t xml:space="preserve">9.2 </w:t>
      </w:r>
      <w:r>
        <w:rPr>
          <w:rFonts w:hint="eastAsia"/>
          <w:szCs w:val="22"/>
        </w:rPr>
        <w:t>Modbus协议通信</w:t>
      </w:r>
      <w:r>
        <w:tab/>
      </w:r>
      <w:r>
        <w:fldChar w:fldCharType="begin"/>
      </w:r>
      <w:r>
        <w:instrText xml:space="preserve"> PAGEREF _Toc29988 \h </w:instrText>
      </w:r>
      <w:r>
        <w:fldChar w:fldCharType="separate"/>
      </w:r>
      <w:r>
        <w:t>70</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_Toc5823 </w:instrText>
      </w:r>
      <w:r>
        <w:rPr>
          <w:rFonts w:ascii="宋体" w:hAnsi="宋体" w:eastAsia="宋体"/>
          <w:kern w:val="2"/>
          <w:szCs w:val="24"/>
        </w:rPr>
        <w:fldChar w:fldCharType="separate"/>
      </w:r>
      <w:r>
        <w:rPr>
          <w:rFonts w:hint="eastAsia" w:ascii="宋体" w:hAnsi="宋体" w:eastAsia="宋体" w:cs="宋体"/>
          <w:szCs w:val="22"/>
        </w:rPr>
        <w:t xml:space="preserve">9.3 </w:t>
      </w:r>
      <w:r>
        <w:rPr>
          <w:rFonts w:hint="eastAsia"/>
          <w:szCs w:val="22"/>
        </w:rPr>
        <w:t>电总协议通信</w:t>
      </w:r>
      <w:r>
        <w:tab/>
      </w:r>
      <w:r>
        <w:fldChar w:fldCharType="begin"/>
      </w:r>
      <w:r>
        <w:instrText xml:space="preserve"> PAGEREF _Toc5823 \h </w:instrText>
      </w:r>
      <w:r>
        <w:fldChar w:fldCharType="separate"/>
      </w:r>
      <w:r>
        <w:t>70</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_Toc16203 </w:instrText>
      </w:r>
      <w:r>
        <w:rPr>
          <w:rFonts w:ascii="宋体" w:hAnsi="宋体" w:eastAsia="宋体"/>
          <w:kern w:val="2"/>
          <w:szCs w:val="24"/>
        </w:rPr>
        <w:fldChar w:fldCharType="separate"/>
      </w:r>
      <w:r>
        <w:rPr>
          <w:rFonts w:hint="eastAsia" w:ascii="宋体" w:hAnsi="宋体" w:eastAsia="宋体" w:cs="宋体"/>
          <w:szCs w:val="22"/>
        </w:rPr>
        <w:t xml:space="preserve">9.4 </w:t>
      </w:r>
      <w:r>
        <w:rPr>
          <w:rFonts w:hint="eastAsia"/>
          <w:szCs w:val="22"/>
        </w:rPr>
        <w:t>干接点通信</w:t>
      </w:r>
      <w:r>
        <w:tab/>
      </w:r>
      <w:r>
        <w:fldChar w:fldCharType="begin"/>
      </w:r>
      <w:r>
        <w:instrText xml:space="preserve"> PAGEREF _Toc16203 \h </w:instrText>
      </w:r>
      <w:r>
        <w:fldChar w:fldCharType="separate"/>
      </w:r>
      <w:r>
        <w:t>70</w:t>
      </w:r>
      <w:r>
        <w:fldChar w:fldCharType="end"/>
      </w:r>
      <w:r>
        <w:rPr>
          <w:rFonts w:ascii="宋体" w:hAnsi="宋体" w:eastAsia="宋体"/>
          <w:kern w:val="2"/>
          <w:szCs w:val="24"/>
        </w:rPr>
        <w:fldChar w:fldCharType="end"/>
      </w:r>
    </w:p>
    <w:p>
      <w:pPr>
        <w:pStyle w:val="39"/>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_Toc27582 </w:instrText>
      </w:r>
      <w:r>
        <w:rPr>
          <w:rFonts w:ascii="宋体" w:hAnsi="宋体" w:eastAsia="宋体"/>
          <w:kern w:val="2"/>
          <w:szCs w:val="24"/>
        </w:rPr>
        <w:fldChar w:fldCharType="separate"/>
      </w:r>
      <w:r>
        <w:rPr>
          <w:rFonts w:hint="eastAsia" w:ascii="宋体" w:hAnsi="宋体" w:eastAsia="宋体" w:cs="宋体"/>
        </w:rPr>
        <w:t xml:space="preserve">第十章 </w:t>
      </w:r>
      <w:r>
        <w:rPr>
          <w:rFonts w:hint="eastAsia"/>
        </w:rPr>
        <w:t>维护和保养</w:t>
      </w:r>
      <w:r>
        <w:tab/>
      </w:r>
      <w:r>
        <w:fldChar w:fldCharType="begin"/>
      </w:r>
      <w:r>
        <w:instrText xml:space="preserve"> PAGEREF _Toc27582 \h </w:instrText>
      </w:r>
      <w:r>
        <w:fldChar w:fldCharType="separate"/>
      </w:r>
      <w:r>
        <w:t>71</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_Toc18834 </w:instrText>
      </w:r>
      <w:r>
        <w:rPr>
          <w:rFonts w:ascii="宋体" w:hAnsi="宋体" w:eastAsia="宋体"/>
          <w:kern w:val="2"/>
          <w:szCs w:val="24"/>
        </w:rPr>
        <w:fldChar w:fldCharType="separate"/>
      </w:r>
      <w:r>
        <w:rPr>
          <w:rFonts w:hint="eastAsia" w:ascii="宋体" w:hAnsi="宋体" w:eastAsia="宋体" w:cs="宋体"/>
        </w:rPr>
        <w:t xml:space="preserve">10.1 </w:t>
      </w:r>
      <w:r>
        <w:rPr>
          <w:rFonts w:hint="eastAsia"/>
        </w:rPr>
        <w:t>安全</w:t>
      </w:r>
      <w:r>
        <w:tab/>
      </w:r>
      <w:r>
        <w:fldChar w:fldCharType="begin"/>
      </w:r>
      <w:r>
        <w:instrText xml:space="preserve"> PAGEREF _Toc18834 \h </w:instrText>
      </w:r>
      <w:r>
        <w:fldChar w:fldCharType="separate"/>
      </w:r>
      <w:r>
        <w:t>71</w:t>
      </w:r>
      <w:r>
        <w:fldChar w:fldCharType="end"/>
      </w:r>
      <w:r>
        <w:rPr>
          <w:rFonts w:ascii="宋体" w:hAnsi="宋体" w:eastAsia="宋体"/>
          <w:kern w:val="2"/>
          <w:szCs w:val="24"/>
        </w:rPr>
        <w:fldChar w:fldCharType="end"/>
      </w:r>
    </w:p>
    <w:p>
      <w:pPr>
        <w:pStyle w:val="44"/>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_Toc17985 </w:instrText>
      </w:r>
      <w:r>
        <w:rPr>
          <w:rFonts w:ascii="宋体" w:hAnsi="宋体" w:eastAsia="宋体"/>
          <w:kern w:val="2"/>
          <w:szCs w:val="24"/>
        </w:rPr>
        <w:fldChar w:fldCharType="separate"/>
      </w:r>
      <w:r>
        <w:rPr>
          <w:rFonts w:hint="eastAsia" w:ascii="宋体" w:hAnsi="宋体" w:eastAsia="宋体" w:cs="宋体"/>
          <w:szCs w:val="22"/>
        </w:rPr>
        <w:t xml:space="preserve">10.2 </w:t>
      </w:r>
      <w:r>
        <w:rPr>
          <w:rFonts w:hint="eastAsia"/>
          <w:szCs w:val="22"/>
        </w:rPr>
        <w:t>UPS关键器件及其寿命</w:t>
      </w:r>
      <w:r>
        <w:tab/>
      </w:r>
      <w:r>
        <w:fldChar w:fldCharType="begin"/>
      </w:r>
      <w:r>
        <w:instrText xml:space="preserve"> PAGEREF _Toc17985 \h </w:instrText>
      </w:r>
      <w:r>
        <w:fldChar w:fldCharType="separate"/>
      </w:r>
      <w:r>
        <w:t>71</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_Toc3746 </w:instrText>
      </w:r>
      <w:r>
        <w:rPr>
          <w:rFonts w:ascii="宋体" w:hAnsi="宋体" w:eastAsia="宋体"/>
          <w:kern w:val="2"/>
          <w:szCs w:val="24"/>
        </w:rPr>
        <w:fldChar w:fldCharType="separate"/>
      </w:r>
      <w:r>
        <w:rPr>
          <w:rFonts w:hint="eastAsia" w:ascii="宋体" w:hAnsi="宋体" w:eastAsia="宋体" w:cs="宋体"/>
          <w:bCs w:val="0"/>
          <w:i w:val="0"/>
          <w:iCs w:val="0"/>
          <w:caps w:val="0"/>
          <w:smallCaps w:val="0"/>
          <w:strike w:val="0"/>
          <w:dstrike w:val="0"/>
          <w:vanish w:val="0"/>
          <w:spacing w:val="0"/>
          <w:kern w:val="0"/>
          <w:position w:val="0"/>
          <w:szCs w:val="22"/>
          <w:vertAlign w:val="baseline"/>
          <w:lang w:val="en-GB"/>
        </w:rPr>
        <w:t xml:space="preserve">10.2.1 </w:t>
      </w:r>
      <w:r>
        <w:rPr>
          <w:rFonts w:hint="eastAsia"/>
          <w:szCs w:val="22"/>
          <w:lang w:val="en-GB"/>
        </w:rPr>
        <w:t>磁性元件</w:t>
      </w:r>
      <w:r>
        <w:tab/>
      </w:r>
      <w:r>
        <w:fldChar w:fldCharType="begin"/>
      </w:r>
      <w:r>
        <w:instrText xml:space="preserve"> PAGEREF _Toc3746 \h </w:instrText>
      </w:r>
      <w:r>
        <w:fldChar w:fldCharType="separate"/>
      </w:r>
      <w:r>
        <w:t>71</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_Toc14182 </w:instrText>
      </w:r>
      <w:r>
        <w:rPr>
          <w:rFonts w:ascii="宋体" w:hAnsi="宋体" w:eastAsia="宋体"/>
          <w:kern w:val="2"/>
          <w:szCs w:val="24"/>
        </w:rPr>
        <w:fldChar w:fldCharType="separate"/>
      </w:r>
      <w:r>
        <w:rPr>
          <w:rFonts w:hint="eastAsia" w:ascii="宋体" w:hAnsi="宋体" w:eastAsia="宋体" w:cs="宋体"/>
          <w:bCs w:val="0"/>
          <w:i w:val="0"/>
          <w:iCs w:val="0"/>
          <w:caps w:val="0"/>
          <w:smallCaps w:val="0"/>
          <w:strike w:val="0"/>
          <w:dstrike w:val="0"/>
          <w:vanish w:val="0"/>
          <w:spacing w:val="0"/>
          <w:kern w:val="0"/>
          <w:position w:val="0"/>
          <w:szCs w:val="22"/>
          <w:vertAlign w:val="baseline"/>
          <w:lang w:val="en-GB"/>
        </w:rPr>
        <w:t xml:space="preserve">10.2.2 </w:t>
      </w:r>
      <w:r>
        <w:rPr>
          <w:rFonts w:hint="eastAsia"/>
          <w:szCs w:val="22"/>
          <w:lang w:val="en-GB"/>
        </w:rPr>
        <w:t>功率半导体器件</w:t>
      </w:r>
      <w:r>
        <w:tab/>
      </w:r>
      <w:r>
        <w:fldChar w:fldCharType="begin"/>
      </w:r>
      <w:r>
        <w:instrText xml:space="preserve"> PAGEREF _Toc14182 \h </w:instrText>
      </w:r>
      <w:r>
        <w:fldChar w:fldCharType="separate"/>
      </w:r>
      <w:r>
        <w:t>71</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_Toc16340 </w:instrText>
      </w:r>
      <w:r>
        <w:rPr>
          <w:rFonts w:ascii="宋体" w:hAnsi="宋体" w:eastAsia="宋体"/>
          <w:kern w:val="2"/>
          <w:szCs w:val="24"/>
        </w:rPr>
        <w:fldChar w:fldCharType="separate"/>
      </w:r>
      <w:r>
        <w:rPr>
          <w:rFonts w:hint="eastAsia" w:ascii="宋体" w:hAnsi="宋体" w:eastAsia="宋体" w:cs="宋体"/>
          <w:bCs w:val="0"/>
          <w:i w:val="0"/>
          <w:iCs w:val="0"/>
          <w:caps w:val="0"/>
          <w:smallCaps w:val="0"/>
          <w:strike w:val="0"/>
          <w:dstrike w:val="0"/>
          <w:vanish w:val="0"/>
          <w:spacing w:val="0"/>
          <w:kern w:val="0"/>
          <w:position w:val="0"/>
          <w:szCs w:val="22"/>
          <w:vertAlign w:val="baseline"/>
          <w:lang w:val="en-GB"/>
        </w:rPr>
        <w:t xml:space="preserve">10.2.3 </w:t>
      </w:r>
      <w:r>
        <w:rPr>
          <w:rFonts w:hint="eastAsia"/>
          <w:szCs w:val="22"/>
          <w:lang w:val="en-GB"/>
        </w:rPr>
        <w:t>直流电解电容</w:t>
      </w:r>
      <w:r>
        <w:tab/>
      </w:r>
      <w:r>
        <w:fldChar w:fldCharType="begin"/>
      </w:r>
      <w:r>
        <w:instrText xml:space="preserve"> PAGEREF _Toc16340 \h </w:instrText>
      </w:r>
      <w:r>
        <w:fldChar w:fldCharType="separate"/>
      </w:r>
      <w:r>
        <w:t>71</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_Toc17674 </w:instrText>
      </w:r>
      <w:r>
        <w:rPr>
          <w:rFonts w:ascii="宋体" w:hAnsi="宋体" w:eastAsia="宋体"/>
          <w:kern w:val="2"/>
          <w:szCs w:val="24"/>
        </w:rPr>
        <w:fldChar w:fldCharType="separate"/>
      </w:r>
      <w:r>
        <w:rPr>
          <w:rFonts w:hint="eastAsia" w:ascii="宋体" w:hAnsi="宋体" w:eastAsia="宋体" w:cs="宋体"/>
          <w:bCs w:val="0"/>
          <w:i w:val="0"/>
          <w:iCs w:val="0"/>
          <w:caps w:val="0"/>
          <w:smallCaps w:val="0"/>
          <w:strike w:val="0"/>
          <w:dstrike w:val="0"/>
          <w:vanish w:val="0"/>
          <w:spacing w:val="0"/>
          <w:kern w:val="0"/>
          <w:position w:val="0"/>
          <w:szCs w:val="22"/>
          <w:vertAlign w:val="baseline"/>
          <w:lang w:val="en-GB"/>
        </w:rPr>
        <w:t xml:space="preserve">10.2.4 </w:t>
      </w:r>
      <w:r>
        <w:rPr>
          <w:rFonts w:hint="eastAsia"/>
          <w:szCs w:val="22"/>
          <w:lang w:val="en-GB"/>
        </w:rPr>
        <w:t>交流电容</w:t>
      </w:r>
      <w:r>
        <w:tab/>
      </w:r>
      <w:r>
        <w:fldChar w:fldCharType="begin"/>
      </w:r>
      <w:r>
        <w:instrText xml:space="preserve"> PAGEREF _Toc17674 \h </w:instrText>
      </w:r>
      <w:r>
        <w:fldChar w:fldCharType="separate"/>
      </w:r>
      <w:r>
        <w:t>71</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_Toc9683 </w:instrText>
      </w:r>
      <w:r>
        <w:rPr>
          <w:rFonts w:ascii="宋体" w:hAnsi="宋体" w:eastAsia="宋体"/>
          <w:kern w:val="2"/>
          <w:szCs w:val="24"/>
        </w:rPr>
        <w:fldChar w:fldCharType="separate"/>
      </w:r>
      <w:r>
        <w:rPr>
          <w:rFonts w:hint="eastAsia" w:ascii="宋体" w:hAnsi="宋体" w:eastAsia="宋体" w:cs="宋体"/>
          <w:bCs w:val="0"/>
          <w:i w:val="0"/>
          <w:iCs w:val="0"/>
          <w:caps w:val="0"/>
          <w:smallCaps w:val="0"/>
          <w:strike w:val="0"/>
          <w:dstrike w:val="0"/>
          <w:vanish w:val="0"/>
          <w:spacing w:val="0"/>
          <w:kern w:val="0"/>
          <w:position w:val="0"/>
          <w:szCs w:val="22"/>
          <w:vertAlign w:val="baseline"/>
          <w:lang w:val="en-GB"/>
        </w:rPr>
        <w:t xml:space="preserve">10.2.5 </w:t>
      </w:r>
      <w:r>
        <w:rPr>
          <w:rFonts w:hint="eastAsia"/>
          <w:szCs w:val="22"/>
          <w:lang w:val="en-GB"/>
        </w:rPr>
        <w:t>关键器件的更换时间</w:t>
      </w:r>
      <w:r>
        <w:tab/>
      </w:r>
      <w:r>
        <w:fldChar w:fldCharType="begin"/>
      </w:r>
      <w:r>
        <w:instrText xml:space="preserve"> PAGEREF _Toc9683 \h </w:instrText>
      </w:r>
      <w:r>
        <w:fldChar w:fldCharType="separate"/>
      </w:r>
      <w:r>
        <w:t>71</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_Toc3693 </w:instrText>
      </w:r>
      <w:r>
        <w:rPr>
          <w:rFonts w:ascii="宋体" w:hAnsi="宋体" w:eastAsia="宋体"/>
          <w:kern w:val="2"/>
          <w:szCs w:val="24"/>
        </w:rPr>
        <w:fldChar w:fldCharType="separate"/>
      </w:r>
      <w:r>
        <w:rPr>
          <w:rFonts w:hint="eastAsia" w:ascii="宋体" w:hAnsi="宋体" w:eastAsia="宋体" w:cs="宋体"/>
          <w:bCs w:val="0"/>
          <w:i w:val="0"/>
          <w:iCs w:val="0"/>
          <w:caps w:val="0"/>
          <w:smallCaps w:val="0"/>
          <w:strike w:val="0"/>
          <w:dstrike w:val="0"/>
          <w:vanish w:val="0"/>
          <w:spacing w:val="0"/>
          <w:kern w:val="0"/>
          <w:position w:val="0"/>
          <w:szCs w:val="22"/>
          <w:vertAlign w:val="baseline"/>
          <w:lang w:val="en-GB"/>
        </w:rPr>
        <w:t xml:space="preserve">10.2.6 </w:t>
      </w:r>
      <w:r>
        <w:rPr>
          <w:rFonts w:hint="eastAsia"/>
          <w:szCs w:val="22"/>
          <w:lang w:val="en-GB"/>
        </w:rPr>
        <w:t>更换保险</w:t>
      </w:r>
      <w:r>
        <w:tab/>
      </w:r>
      <w:r>
        <w:fldChar w:fldCharType="begin"/>
      </w:r>
      <w:r>
        <w:instrText xml:space="preserve"> PAGEREF _Toc3693 \h </w:instrText>
      </w:r>
      <w:r>
        <w:fldChar w:fldCharType="separate"/>
      </w:r>
      <w:r>
        <w:t>72</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_Toc24370 </w:instrText>
      </w:r>
      <w:r>
        <w:rPr>
          <w:rFonts w:ascii="宋体" w:hAnsi="宋体" w:eastAsia="宋体"/>
          <w:kern w:val="2"/>
          <w:szCs w:val="24"/>
        </w:rPr>
        <w:fldChar w:fldCharType="separate"/>
      </w:r>
      <w:r>
        <w:rPr>
          <w:rFonts w:hint="eastAsia" w:ascii="宋体" w:hAnsi="宋体" w:eastAsia="宋体" w:cs="宋体"/>
          <w:bCs w:val="0"/>
          <w:i w:val="0"/>
          <w:iCs w:val="0"/>
          <w:caps w:val="0"/>
          <w:smallCaps w:val="0"/>
          <w:strike w:val="0"/>
          <w:dstrike w:val="0"/>
          <w:vanish w:val="0"/>
          <w:spacing w:val="0"/>
          <w:kern w:val="0"/>
          <w:position w:val="0"/>
          <w:szCs w:val="22"/>
          <w:vertAlign w:val="baseline"/>
          <w:lang w:val="en-GB"/>
        </w:rPr>
        <w:t xml:space="preserve">10.2.7 </w:t>
      </w:r>
      <w:r>
        <w:rPr>
          <w:rFonts w:hint="eastAsia"/>
          <w:szCs w:val="22"/>
          <w:lang w:val="en-GB"/>
        </w:rPr>
        <w:t>更换防尘网</w:t>
      </w:r>
      <w:r>
        <w:tab/>
      </w:r>
      <w:r>
        <w:fldChar w:fldCharType="begin"/>
      </w:r>
      <w:r>
        <w:instrText xml:space="preserve"> PAGEREF _Toc24370 \h </w:instrText>
      </w:r>
      <w:r>
        <w:fldChar w:fldCharType="separate"/>
      </w:r>
      <w:r>
        <w:t>72</w:t>
      </w:r>
      <w:r>
        <w:fldChar w:fldCharType="end"/>
      </w:r>
      <w:r>
        <w:rPr>
          <w:rFonts w:ascii="宋体" w:hAnsi="宋体" w:eastAsia="宋体"/>
          <w:kern w:val="2"/>
          <w:szCs w:val="24"/>
        </w:rPr>
        <w:fldChar w:fldCharType="end"/>
      </w:r>
    </w:p>
    <w:p>
      <w:pPr>
        <w:pStyle w:val="30"/>
        <w:tabs>
          <w:tab w:val="right" w:leader="dot" w:pos="9638"/>
        </w:tabs>
      </w:pPr>
      <w:r>
        <w:rPr>
          <w:rFonts w:ascii="宋体" w:hAnsi="宋体" w:eastAsia="宋体"/>
          <w:kern w:val="2"/>
          <w:szCs w:val="24"/>
        </w:rPr>
        <w:fldChar w:fldCharType="begin"/>
      </w:r>
      <w:r>
        <w:rPr>
          <w:rFonts w:ascii="宋体" w:hAnsi="宋体" w:eastAsia="宋体"/>
          <w:kern w:val="2"/>
          <w:szCs w:val="24"/>
        </w:rPr>
        <w:instrText xml:space="preserve"> HYPERLINK \l _Toc2777 </w:instrText>
      </w:r>
      <w:r>
        <w:rPr>
          <w:rFonts w:ascii="宋体" w:hAnsi="宋体" w:eastAsia="宋体"/>
          <w:kern w:val="2"/>
          <w:szCs w:val="24"/>
        </w:rPr>
        <w:fldChar w:fldCharType="separate"/>
      </w:r>
      <w:r>
        <w:rPr>
          <w:rFonts w:hint="eastAsia" w:ascii="宋体" w:hAnsi="宋体" w:eastAsia="宋体" w:cs="宋体"/>
          <w:bCs w:val="0"/>
          <w:i w:val="0"/>
          <w:iCs w:val="0"/>
          <w:caps w:val="0"/>
          <w:smallCaps w:val="0"/>
          <w:strike w:val="0"/>
          <w:dstrike w:val="0"/>
          <w:vanish w:val="0"/>
          <w:spacing w:val="0"/>
          <w:kern w:val="0"/>
          <w:position w:val="0"/>
          <w:szCs w:val="22"/>
          <w:vertAlign w:val="baseline"/>
          <w:lang w:val="en-GB"/>
        </w:rPr>
        <w:t xml:space="preserve">10.2.8 </w:t>
      </w:r>
      <w:r>
        <w:rPr>
          <w:rFonts w:hint="eastAsia"/>
          <w:szCs w:val="22"/>
          <w:lang w:val="en-GB"/>
        </w:rPr>
        <w:t>UPS和选件的维护与保养</w:t>
      </w:r>
      <w:r>
        <w:tab/>
      </w:r>
      <w:r>
        <w:fldChar w:fldCharType="begin"/>
      </w:r>
      <w:r>
        <w:instrText xml:space="preserve"> PAGEREF _Toc2777 \h </w:instrText>
      </w:r>
      <w:r>
        <w:fldChar w:fldCharType="separate"/>
      </w:r>
      <w:r>
        <w:t>72</w:t>
      </w:r>
      <w:r>
        <w:fldChar w:fldCharType="end"/>
      </w:r>
      <w:r>
        <w:rPr>
          <w:rFonts w:ascii="宋体" w:hAnsi="宋体" w:eastAsia="宋体"/>
          <w:kern w:val="2"/>
          <w:szCs w:val="24"/>
        </w:rPr>
        <w:fldChar w:fldCharType="end"/>
      </w:r>
    </w:p>
    <w:p>
      <w:pPr>
        <w:pStyle w:val="39"/>
        <w:tabs>
          <w:tab w:val="right" w:leader="dot" w:pos="9628"/>
        </w:tabs>
        <w:rPr>
          <w:rFonts w:ascii="Times New Roman" w:hAnsi="Times New Roman" w:eastAsia="宋体"/>
          <w:kern w:val="2"/>
          <w:sz w:val="21"/>
          <w:szCs w:val="24"/>
        </w:rPr>
      </w:pPr>
      <w:r>
        <w:rPr>
          <w:rFonts w:ascii="宋体" w:hAnsi="宋体" w:eastAsia="宋体"/>
          <w:kern w:val="2"/>
          <w:szCs w:val="24"/>
        </w:rPr>
        <w:fldChar w:fldCharType="end"/>
      </w:r>
    </w:p>
    <w:p>
      <w:pPr>
        <w:rPr>
          <w:rFonts w:ascii="宋体"/>
          <w:b/>
          <w:sz w:val="30"/>
        </w:rPr>
      </w:pPr>
    </w:p>
    <w:p>
      <w:pPr>
        <w:rPr>
          <w:rFonts w:ascii="宋体"/>
          <w:b/>
          <w:sz w:val="30"/>
        </w:rPr>
      </w:pPr>
    </w:p>
    <w:p>
      <w:pPr>
        <w:rPr>
          <w:rFonts w:ascii="宋体"/>
          <w:b/>
          <w:sz w:val="30"/>
        </w:rPr>
      </w:pPr>
    </w:p>
    <w:p>
      <w:pPr>
        <w:rPr>
          <w:rFonts w:ascii="宋体"/>
          <w:b/>
          <w:sz w:val="30"/>
        </w:rPr>
      </w:pPr>
    </w:p>
    <w:p>
      <w:pPr>
        <w:rPr>
          <w:rFonts w:ascii="宋体"/>
          <w:b/>
          <w:sz w:val="30"/>
        </w:rPr>
      </w:pPr>
    </w:p>
    <w:p>
      <w:pPr>
        <w:rPr>
          <w:rFonts w:ascii="宋体"/>
          <w:b/>
          <w:sz w:val="30"/>
        </w:rPr>
      </w:pPr>
      <w:r>
        <w:rPr>
          <w:rFonts w:ascii="宋体"/>
          <w:b/>
          <w:sz w:val="30"/>
        </w:rPr>
        <w:br w:type="page"/>
      </w:r>
    </w:p>
    <w:p>
      <w:pPr>
        <w:jc w:val="center"/>
        <w:rPr>
          <w:rFonts w:ascii="宋体"/>
          <w:b/>
          <w:sz w:val="30"/>
        </w:rPr>
      </w:pPr>
      <w:r>
        <w:rPr>
          <w:rFonts w:hint="eastAsia" w:ascii="宋体"/>
          <w:b/>
          <w:sz w:val="30"/>
        </w:rPr>
        <w:t>安全须知</w:t>
      </w:r>
    </w:p>
    <w:p>
      <w:pPr>
        <w:ind w:left="680"/>
        <w:jc w:val="left"/>
        <w:rPr>
          <w:sz w:val="18"/>
          <w:szCs w:val="18"/>
        </w:rPr>
      </w:pPr>
      <w:r>
        <w:rPr>
          <w:rFonts w:hint="eastAsia" w:ascii="宋体"/>
          <w:sz w:val="18"/>
          <w:szCs w:val="18"/>
        </w:rPr>
        <w:t>非常感谢您购买本公司的UPS产品！在操作UPS前，请务必仔细阅读本手册内容，</w:t>
      </w:r>
      <w:r>
        <w:rPr>
          <w:rFonts w:hint="eastAsia" w:ascii="Arial" w:cs="宋体"/>
          <w:sz w:val="18"/>
          <w:szCs w:val="18"/>
        </w:rPr>
        <w:t>了解设备和手册中的所有告警信息，严格按照手册中的要求进行操作，同时强烈建议在专业</w:t>
      </w:r>
      <w:r>
        <w:rPr>
          <w:rFonts w:hint="eastAsia"/>
          <w:sz w:val="18"/>
          <w:szCs w:val="18"/>
        </w:rPr>
        <w:t>人员（指具有专业资格的工程人员或者经过专业培训并取得授权的人员）在场的情况下再进行安装和调试工作。</w:t>
      </w:r>
    </w:p>
    <w:p>
      <w:pPr>
        <w:ind w:left="680"/>
        <w:jc w:val="left"/>
        <w:rPr>
          <w:sz w:val="18"/>
          <w:szCs w:val="18"/>
        </w:rPr>
      </w:pPr>
      <w:r>
        <w:rPr>
          <w:rFonts w:hint="eastAsia"/>
          <w:sz w:val="18"/>
          <w:szCs w:val="18"/>
        </w:rPr>
        <w:t>必须注意手册中或产品上带有以下标识的内容：</w:t>
      </w:r>
    </w:p>
    <w:p>
      <w:pPr>
        <w:ind w:left="680"/>
        <w:jc w:val="left"/>
        <w:rPr>
          <w:rFonts w:ascii="宋体"/>
          <w:sz w:val="18"/>
          <w:szCs w:val="18"/>
        </w:rPr>
      </w:pPr>
    </w:p>
    <w:p>
      <w:pPr>
        <w:ind w:left="680"/>
        <w:jc w:val="left"/>
        <w:rPr>
          <w:sz w:val="18"/>
          <w:szCs w:val="18"/>
        </w:rPr>
      </w:pPr>
      <w:r>
        <w:rPr>
          <w:sz w:val="18"/>
          <w:szCs w:val="18"/>
        </w:rPr>
        <w:drawing>
          <wp:inline distT="0" distB="0" distL="0" distR="0">
            <wp:extent cx="646430" cy="283845"/>
            <wp:effectExtent l="0" t="0" r="1270" b="1905"/>
            <wp:docPr id="118" name="图片 118"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6430" cy="283845"/>
                    </a:xfrm>
                    <a:prstGeom prst="rect">
                      <a:avLst/>
                    </a:prstGeom>
                    <a:noFill/>
                    <a:ln>
                      <a:noFill/>
                    </a:ln>
                  </pic:spPr>
                </pic:pic>
              </a:graphicData>
            </a:graphic>
          </wp:inline>
        </w:drawing>
      </w:r>
      <w:r>
        <w:rPr>
          <w:rFonts w:hint="eastAsia"/>
          <w:sz w:val="18"/>
          <w:szCs w:val="18"/>
        </w:rPr>
        <w:t>意即该内容对于避免安全事故至关重要，必须严格遵守；</w:t>
      </w:r>
    </w:p>
    <w:p>
      <w:pPr>
        <w:ind w:left="680"/>
        <w:jc w:val="left"/>
        <w:rPr>
          <w:sz w:val="18"/>
          <w:szCs w:val="18"/>
        </w:rPr>
      </w:pPr>
    </w:p>
    <w:p>
      <w:pPr>
        <w:ind w:left="680"/>
        <w:jc w:val="left"/>
        <w:rPr>
          <w:rFonts w:ascii="黑体" w:eastAsia="黑体"/>
        </w:rPr>
      </w:pPr>
      <w:r>
        <w:drawing>
          <wp:inline distT="0" distB="0" distL="0" distR="0">
            <wp:extent cx="315595" cy="267970"/>
            <wp:effectExtent l="0" t="0" r="8255" b="0"/>
            <wp:docPr id="117" name="图片 117" descr="图形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图形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315595" cy="267970"/>
                    </a:xfrm>
                    <a:prstGeom prst="rect">
                      <a:avLst/>
                    </a:prstGeom>
                    <a:noFill/>
                    <a:ln>
                      <a:noFill/>
                    </a:ln>
                  </pic:spPr>
                </pic:pic>
              </a:graphicData>
            </a:graphic>
          </wp:inline>
        </w:drawing>
      </w:r>
      <w:r>
        <w:rPr>
          <w:rFonts w:hint="eastAsia"/>
          <w:sz w:val="18"/>
          <w:szCs w:val="18"/>
        </w:rPr>
        <w:t>意即该内容对于避免产品或周边设备的损坏很有必要，或者有助于确保正确的产品操作。</w:t>
      </w:r>
    </w:p>
    <w:p>
      <w:pPr>
        <w:ind w:left="680"/>
        <w:rPr>
          <w:rFonts w:ascii="宋体"/>
          <w:b/>
          <w:sz w:val="30"/>
        </w:rPr>
      </w:pPr>
    </w:p>
    <w:p>
      <w:pPr>
        <w:ind w:left="680"/>
        <w:jc w:val="left"/>
        <w:rPr>
          <w:sz w:val="18"/>
          <w:szCs w:val="18"/>
        </w:rPr>
      </w:pPr>
      <w:r>
        <w:rPr>
          <w:rFonts w:hint="eastAsia"/>
          <w:sz w:val="18"/>
          <w:szCs w:val="18"/>
        </w:rPr>
        <w:t>如您在使用中仍有一些不确定的使用问题，请与本公司技术服务中心联系。</w:t>
      </w:r>
    </w:p>
    <w:p>
      <w:pPr>
        <w:ind w:left="680"/>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tabs>
          <w:tab w:val="center" w:pos="4819"/>
        </w:tabs>
        <w:rPr>
          <w:sz w:val="18"/>
          <w:szCs w:val="18"/>
        </w:rPr>
        <w:sectPr>
          <w:headerReference r:id="rId11" w:type="default"/>
          <w:footerReference r:id="rId13" w:type="default"/>
          <w:headerReference r:id="rId12" w:type="even"/>
          <w:footerReference r:id="rId14" w:type="even"/>
          <w:type w:val="oddPage"/>
          <w:pgSz w:w="11906" w:h="16838"/>
          <w:pgMar w:top="1985" w:right="1134" w:bottom="1701" w:left="1134" w:header="1134" w:footer="1134" w:gutter="0"/>
          <w:pgNumType w:start="1"/>
          <w:cols w:space="720" w:num="1"/>
          <w:docGrid w:type="lines" w:linePitch="312" w:charSpace="0"/>
        </w:sectPr>
      </w:pPr>
      <w:r>
        <w:rPr>
          <w:sz w:val="18"/>
          <w:szCs w:val="18"/>
        </w:rPr>
        <w:tab/>
      </w:r>
    </w:p>
    <w:p>
      <w:pPr>
        <w:pStyle w:val="2"/>
        <w:rPr>
          <w:szCs w:val="22"/>
        </w:rPr>
      </w:pPr>
      <w:bookmarkStart w:id="0" w:name="_Hlt241809669"/>
      <w:bookmarkEnd w:id="0"/>
      <w:bookmarkStart w:id="1" w:name="_Hlt324239181"/>
      <w:bookmarkEnd w:id="1"/>
      <w:bookmarkStart w:id="2" w:name="_Hlt322509678"/>
      <w:bookmarkEnd w:id="2"/>
      <w:bookmarkStart w:id="3" w:name="_Ref210104846"/>
      <w:bookmarkStart w:id="4" w:name="_Toc24299"/>
      <w:bookmarkStart w:id="5" w:name="_Toc212951946"/>
      <w:bookmarkStart w:id="6" w:name="_Ref210106207"/>
      <w:bookmarkStart w:id="7" w:name="_Toc43267863"/>
      <w:bookmarkStart w:id="8" w:name="_Toc181760556"/>
      <w:bookmarkStart w:id="9" w:name="_Toc23250991"/>
      <w:bookmarkStart w:id="10" w:name="_Ref210118455"/>
      <w:bookmarkStart w:id="11" w:name="_Toc181776122"/>
      <w:r>
        <w:rPr>
          <w:rFonts w:hint="eastAsia"/>
          <w:szCs w:val="22"/>
        </w:rPr>
        <w:t>产品概述</w:t>
      </w:r>
      <w:bookmarkEnd w:id="3"/>
      <w:bookmarkEnd w:id="4"/>
      <w:bookmarkEnd w:id="5"/>
      <w:bookmarkEnd w:id="6"/>
      <w:bookmarkEnd w:id="7"/>
      <w:bookmarkEnd w:id="8"/>
      <w:bookmarkEnd w:id="9"/>
      <w:bookmarkEnd w:id="10"/>
      <w:bookmarkEnd w:id="11"/>
    </w:p>
    <w:p>
      <w:pPr>
        <w:pStyle w:val="4"/>
      </w:pPr>
      <w:bookmarkStart w:id="12" w:name="_Toc212951947"/>
      <w:bookmarkStart w:id="13" w:name="_Toc23250992"/>
      <w:bookmarkStart w:id="14" w:name="_Toc19093"/>
      <w:r>
        <w:rPr>
          <w:rFonts w:hint="eastAsia"/>
        </w:rPr>
        <w:t>产品简介</w:t>
      </w:r>
      <w:bookmarkEnd w:id="12"/>
      <w:bookmarkEnd w:id="13"/>
      <w:bookmarkEnd w:id="14"/>
    </w:p>
    <w:p>
      <w:pPr>
        <w:pStyle w:val="3"/>
      </w:pPr>
      <w:r>
        <w:rPr>
          <w:rFonts w:hint="eastAsia"/>
          <w:lang w:eastAsia="zh-CN"/>
        </w:rPr>
        <w:t>MX</w:t>
      </w:r>
      <w:r>
        <w:rPr>
          <w:rFonts w:hint="eastAsia"/>
        </w:rPr>
        <w:t xml:space="preserve"> </w:t>
      </w:r>
      <w:r>
        <w:t>18</w:t>
      </w:r>
      <w:r>
        <w:rPr>
          <w:rFonts w:hint="eastAsia"/>
        </w:rPr>
        <w:t>0-800kVA系列模块化UPS是一款业界领先的全数字化不间断电源产品，支持</w:t>
      </w:r>
      <w:r>
        <w:t>18</w:t>
      </w:r>
      <w:r>
        <w:rPr>
          <w:rFonts w:hint="eastAsia"/>
        </w:rPr>
        <w:t>0-800kVA容量，可按需配置功率。功率模块为</w:t>
      </w:r>
      <w:r>
        <w:t>6</w:t>
      </w:r>
      <w:r>
        <w:rPr>
          <w:rFonts w:hint="eastAsia"/>
        </w:rPr>
        <w:t>0kVA，高度为3U，处于业界领先的功率密度水平。系统采用的是全模块化设计，方便维护与后期扩容。双变换在线式拓扑结构保证了产品的稳定性和可靠性，同时高密度和高效率的特点更是大中型数据机房的理想配置。</w:t>
      </w:r>
    </w:p>
    <w:p>
      <w:pPr>
        <w:pStyle w:val="4"/>
      </w:pPr>
      <w:bookmarkStart w:id="15" w:name="_Toc43197552"/>
      <w:bookmarkStart w:id="16" w:name="_Toc16091"/>
      <w:bookmarkStart w:id="17" w:name="_Toc43267865"/>
      <w:bookmarkStart w:id="18" w:name="_Toc181760558"/>
      <w:bookmarkStart w:id="19" w:name="_Toc212951948"/>
      <w:bookmarkStart w:id="20" w:name="_Toc181776124"/>
      <w:bookmarkStart w:id="21" w:name="_Toc23250993"/>
      <w:bookmarkStart w:id="22" w:name="_Toc101847501"/>
      <w:r>
        <w:rPr>
          <w:rFonts w:hint="eastAsia"/>
        </w:rPr>
        <w:t>应用范围</w:t>
      </w:r>
      <w:bookmarkEnd w:id="15"/>
      <w:bookmarkEnd w:id="16"/>
      <w:bookmarkEnd w:id="17"/>
      <w:bookmarkEnd w:id="18"/>
      <w:bookmarkEnd w:id="19"/>
      <w:bookmarkEnd w:id="20"/>
      <w:bookmarkEnd w:id="21"/>
      <w:bookmarkEnd w:id="22"/>
    </w:p>
    <w:p>
      <w:pPr>
        <w:pStyle w:val="3"/>
        <w:rPr>
          <w:rFonts w:ascii="宋体"/>
        </w:rPr>
      </w:pPr>
      <w:r>
        <w:rPr>
          <w:rFonts w:hint="eastAsia"/>
          <w:lang w:eastAsia="zh-CN"/>
        </w:rPr>
        <w:t>MX</w:t>
      </w:r>
      <w:r>
        <w:rPr>
          <w:rFonts w:hint="eastAsia"/>
        </w:rPr>
        <w:t xml:space="preserve"> </w:t>
      </w:r>
      <w:r>
        <w:t>18</w:t>
      </w:r>
      <w:r>
        <w:rPr>
          <w:rFonts w:hint="eastAsia"/>
        </w:rPr>
        <w:t>0-800kVA系列模块化UPS可</w:t>
      </w:r>
      <w:r>
        <w:rPr>
          <w:rFonts w:hint="eastAsia" w:ascii="宋体"/>
        </w:rPr>
        <w:t>广泛应用于政府机关、</w:t>
      </w:r>
      <w:r>
        <w:rPr>
          <w:rFonts w:hint="eastAsia"/>
        </w:rPr>
        <w:t>国防军队、容灾中心、医疗卫生、</w:t>
      </w:r>
      <w:r>
        <w:rPr>
          <w:rFonts w:hint="eastAsia" w:ascii="宋体"/>
        </w:rPr>
        <w:t>能源化工、金融证券、企业数据中心、邮政通讯、交通运输</w:t>
      </w:r>
      <w:r>
        <w:rPr>
          <w:rFonts w:hint="eastAsia"/>
        </w:rPr>
        <w:t>、工商税务</w:t>
      </w:r>
      <w:r>
        <w:rPr>
          <w:rFonts w:hint="eastAsia" w:ascii="宋体"/>
        </w:rPr>
        <w:t>等需要可靠供电的用电设备。</w:t>
      </w:r>
    </w:p>
    <w:p>
      <w:pPr>
        <w:pStyle w:val="4"/>
      </w:pPr>
      <w:bookmarkStart w:id="23" w:name="_Toc339307106"/>
      <w:bookmarkEnd w:id="23"/>
      <w:bookmarkStart w:id="24" w:name="_Toc339307098"/>
      <w:bookmarkEnd w:id="24"/>
      <w:bookmarkStart w:id="25" w:name="_Toc339307100"/>
      <w:bookmarkEnd w:id="25"/>
      <w:bookmarkStart w:id="26" w:name="_Toc339294138"/>
      <w:bookmarkEnd w:id="26"/>
      <w:bookmarkStart w:id="27" w:name="_Hlt323029850"/>
      <w:bookmarkEnd w:id="27"/>
      <w:bookmarkStart w:id="28" w:name="_Toc339307111"/>
      <w:bookmarkEnd w:id="28"/>
      <w:bookmarkStart w:id="29" w:name="_Toc339294139"/>
      <w:bookmarkEnd w:id="29"/>
      <w:bookmarkStart w:id="30" w:name="_Toc339294150"/>
      <w:bookmarkEnd w:id="30"/>
      <w:bookmarkStart w:id="31" w:name="_Toc339307104"/>
      <w:bookmarkEnd w:id="31"/>
      <w:bookmarkStart w:id="32" w:name="_Toc339307102"/>
      <w:bookmarkEnd w:id="32"/>
      <w:bookmarkStart w:id="33" w:name="_Toc339294142"/>
      <w:bookmarkEnd w:id="33"/>
      <w:bookmarkStart w:id="34" w:name="_Toc339294137"/>
      <w:bookmarkEnd w:id="34"/>
      <w:bookmarkStart w:id="35" w:name="_Hlt333826615"/>
      <w:bookmarkEnd w:id="35"/>
      <w:bookmarkStart w:id="36" w:name="_Toc339307105"/>
      <w:bookmarkEnd w:id="36"/>
      <w:bookmarkStart w:id="37" w:name="_Toc339307099"/>
      <w:bookmarkEnd w:id="37"/>
      <w:bookmarkStart w:id="38" w:name="_Hlt77420679"/>
      <w:bookmarkEnd w:id="38"/>
      <w:bookmarkStart w:id="39" w:name="_Toc339294143"/>
      <w:bookmarkEnd w:id="39"/>
      <w:bookmarkStart w:id="40" w:name="_Toc339307096"/>
      <w:bookmarkEnd w:id="40"/>
      <w:bookmarkStart w:id="41" w:name="_Toc339307092"/>
      <w:bookmarkEnd w:id="41"/>
      <w:bookmarkStart w:id="42" w:name="_Toc339294144"/>
      <w:bookmarkEnd w:id="42"/>
      <w:bookmarkStart w:id="43" w:name="_Toc339294141"/>
      <w:bookmarkEnd w:id="43"/>
      <w:bookmarkStart w:id="44" w:name="_Toc339307095"/>
      <w:bookmarkEnd w:id="44"/>
      <w:bookmarkStart w:id="45" w:name="_Toc339294134"/>
      <w:bookmarkEnd w:id="45"/>
      <w:bookmarkStart w:id="46" w:name="_Toc339307097"/>
      <w:bookmarkEnd w:id="46"/>
      <w:bookmarkStart w:id="47" w:name="_Toc339294131"/>
      <w:bookmarkEnd w:id="47"/>
      <w:bookmarkStart w:id="48" w:name="_Hlt324250456"/>
      <w:bookmarkEnd w:id="48"/>
      <w:bookmarkStart w:id="49" w:name="_Toc339307103"/>
      <w:bookmarkEnd w:id="49"/>
      <w:bookmarkStart w:id="50" w:name="_Toc339294133"/>
      <w:bookmarkEnd w:id="50"/>
      <w:bookmarkStart w:id="51" w:name="_Toc339307094"/>
      <w:bookmarkEnd w:id="51"/>
      <w:bookmarkStart w:id="52" w:name="_Toc339294135"/>
      <w:bookmarkEnd w:id="52"/>
      <w:bookmarkStart w:id="53" w:name="_Toc339294145"/>
      <w:bookmarkEnd w:id="53"/>
      <w:bookmarkStart w:id="54" w:name="_Toc339294136"/>
      <w:bookmarkEnd w:id="54"/>
      <w:bookmarkStart w:id="55" w:name="_Toc23250994"/>
      <w:bookmarkStart w:id="56" w:name="_Toc4141"/>
      <w:bookmarkStart w:id="57" w:name="_Toc181776133"/>
      <w:bookmarkStart w:id="58" w:name="_Toc212951955"/>
      <w:bookmarkStart w:id="59" w:name="_Toc181760567"/>
      <w:r>
        <w:rPr>
          <w:rFonts w:hint="eastAsia"/>
        </w:rPr>
        <w:t>产品特点</w:t>
      </w:r>
      <w:bookmarkEnd w:id="55"/>
      <w:bookmarkEnd w:id="56"/>
      <w:bookmarkEnd w:id="57"/>
      <w:bookmarkEnd w:id="58"/>
      <w:bookmarkEnd w:id="59"/>
    </w:p>
    <w:p>
      <w:pPr>
        <w:pStyle w:val="3"/>
      </w:pPr>
      <w:r>
        <w:rPr>
          <w:rFonts w:hint="eastAsia"/>
        </w:rPr>
        <w:t>UPS为重要负载（如服务器）提供高质量的电源，具有如下优点：</w:t>
      </w:r>
    </w:p>
    <w:p>
      <w:pPr>
        <w:pStyle w:val="114"/>
        <w:numPr>
          <w:ilvl w:val="0"/>
          <w:numId w:val="2"/>
        </w:numPr>
        <w:spacing w:before="200" w:after="80"/>
        <w:ind w:left="680" w:firstLine="0"/>
        <w:rPr>
          <w:b/>
        </w:rPr>
      </w:pPr>
      <w:r>
        <w:rPr>
          <w:rFonts w:hint="eastAsia"/>
          <w:b/>
        </w:rPr>
        <w:t>高可靠性</w:t>
      </w:r>
    </w:p>
    <w:p>
      <w:pPr>
        <w:pStyle w:val="3"/>
      </w:pPr>
      <w:r>
        <w:rPr>
          <w:rFonts w:hint="eastAsia"/>
        </w:rPr>
        <w:t>228～478Vac宽电压输入，保证恶劣电网环境下可靠运行；功率模块采用双DSP自主控制，消除单点故障带来的风险。</w:t>
      </w:r>
    </w:p>
    <w:p>
      <w:pPr>
        <w:pStyle w:val="114"/>
        <w:numPr>
          <w:ilvl w:val="0"/>
          <w:numId w:val="2"/>
        </w:numPr>
        <w:spacing w:before="200" w:after="80"/>
        <w:ind w:left="680" w:firstLine="0"/>
        <w:rPr>
          <w:b/>
        </w:rPr>
      </w:pPr>
      <w:r>
        <w:rPr>
          <w:rFonts w:hint="eastAsia"/>
          <w:b/>
        </w:rPr>
        <w:t>高效率</w:t>
      </w:r>
    </w:p>
    <w:p>
      <w:pPr>
        <w:pStyle w:val="3"/>
      </w:pPr>
      <w:r>
        <w:rPr>
          <w:rFonts w:hint="eastAsia"/>
        </w:rPr>
        <w:t>采用了世界顶级的功率半导体和DSP芯片，并应用高效的功率变换拓扑和智能控制算法使系统效率高达96.5%。</w:t>
      </w:r>
    </w:p>
    <w:p>
      <w:pPr>
        <w:pStyle w:val="114"/>
        <w:numPr>
          <w:ilvl w:val="0"/>
          <w:numId w:val="2"/>
        </w:numPr>
        <w:spacing w:before="200" w:after="80"/>
        <w:ind w:left="680" w:firstLine="0"/>
        <w:rPr>
          <w:b/>
        </w:rPr>
      </w:pPr>
      <w:r>
        <w:rPr>
          <w:rFonts w:hint="eastAsia"/>
          <w:b/>
        </w:rPr>
        <w:t>高可用性</w:t>
      </w:r>
    </w:p>
    <w:p>
      <w:pPr>
        <w:pStyle w:val="3"/>
        <w:rPr>
          <w:lang w:val="en-GB"/>
        </w:rPr>
      </w:pPr>
      <w:r>
        <w:rPr>
          <w:rFonts w:hint="eastAsia"/>
          <w:lang w:val="en-GB"/>
        </w:rPr>
        <w:t>产品采用的是热插拔设计，</w:t>
      </w:r>
      <w:r>
        <w:rPr>
          <w:rFonts w:hint="eastAsia"/>
        </w:rPr>
        <w:t xml:space="preserve"> 5</w:t>
      </w:r>
      <w:r>
        <w:t>min</w:t>
      </w:r>
      <w:r>
        <w:rPr>
          <w:rFonts w:hint="eastAsia"/>
        </w:rPr>
        <w:t>内实现模块的升级或维护；通过系统的N+X配置，系统可用性可达99.999%</w:t>
      </w:r>
      <w:r>
        <w:rPr>
          <w:rFonts w:hint="eastAsia"/>
          <w:lang w:val="en-GB"/>
        </w:rPr>
        <w:t>；</w:t>
      </w:r>
    </w:p>
    <w:p>
      <w:pPr>
        <w:pStyle w:val="114"/>
        <w:numPr>
          <w:ilvl w:val="0"/>
          <w:numId w:val="2"/>
        </w:numPr>
        <w:spacing w:before="200" w:after="80"/>
        <w:ind w:left="680" w:firstLine="0"/>
        <w:rPr>
          <w:b/>
        </w:rPr>
      </w:pPr>
      <w:r>
        <w:rPr>
          <w:rFonts w:hint="eastAsia"/>
          <w:b/>
        </w:rPr>
        <w:t>模块化设计</w:t>
      </w:r>
    </w:p>
    <w:p>
      <w:pPr>
        <w:pStyle w:val="3"/>
      </w:pPr>
      <w:r>
        <w:rPr>
          <w:rFonts w:hint="eastAsia"/>
        </w:rPr>
        <w:t>系统的模块化设计，可根据未来系统需求进行设计，根据现有负载进行模块配置，大幅降低一次性投入成本。</w:t>
      </w:r>
    </w:p>
    <w:p>
      <w:pPr>
        <w:pStyle w:val="114"/>
        <w:numPr>
          <w:ilvl w:val="0"/>
          <w:numId w:val="2"/>
        </w:numPr>
        <w:spacing w:before="200" w:after="80"/>
        <w:ind w:left="680" w:firstLine="0"/>
        <w:rPr>
          <w:b/>
        </w:rPr>
      </w:pPr>
      <w:r>
        <w:rPr>
          <w:rFonts w:hint="eastAsia"/>
          <w:b/>
        </w:rPr>
        <w:t>界面友好，操作简单</w:t>
      </w:r>
    </w:p>
    <w:p>
      <w:pPr>
        <w:pStyle w:val="3"/>
      </w:pPr>
      <w:r>
        <w:rPr>
          <w:rFonts w:hint="eastAsia"/>
        </w:rPr>
        <w:t>标配大尺寸彩色触摸显示屏，界面设计友好，操作灵活方便。</w:t>
      </w:r>
    </w:p>
    <w:p>
      <w:pPr>
        <w:pStyle w:val="114"/>
        <w:numPr>
          <w:ilvl w:val="0"/>
          <w:numId w:val="2"/>
        </w:numPr>
        <w:spacing w:before="200" w:after="80"/>
        <w:ind w:left="680" w:firstLine="0"/>
        <w:rPr>
          <w:b/>
        </w:rPr>
      </w:pPr>
      <w:r>
        <w:rPr>
          <w:rFonts w:hint="eastAsia"/>
          <w:b/>
        </w:rPr>
        <w:t>智能电池管理</w:t>
      </w:r>
    </w:p>
    <w:p>
      <w:pPr>
        <w:pStyle w:val="3"/>
      </w:pPr>
      <w:r>
        <w:rPr>
          <w:rFonts w:hint="eastAsia"/>
        </w:rPr>
        <w:t>电池节数可调，配置灵活；采用智能温度补偿和充放电管理，大大延长电池寿命。</w:t>
      </w:r>
    </w:p>
    <w:p>
      <w:pPr>
        <w:pStyle w:val="4"/>
      </w:pPr>
      <w:bookmarkStart w:id="60" w:name="_Toc339294155"/>
      <w:bookmarkEnd w:id="60"/>
      <w:bookmarkStart w:id="61" w:name="_Toc339307116"/>
      <w:bookmarkEnd w:id="61"/>
      <w:bookmarkStart w:id="62" w:name="_Toc22012"/>
      <w:bookmarkStart w:id="63" w:name="_Toc23250995"/>
      <w:bookmarkStart w:id="64" w:name="_Toc99422079"/>
      <w:bookmarkStart w:id="65" w:name="_Toc185394205"/>
      <w:bookmarkStart w:id="66" w:name="_Toc181776134"/>
      <w:bookmarkStart w:id="67" w:name="_Toc43267874"/>
      <w:bookmarkStart w:id="68" w:name="_Toc181760568"/>
      <w:r>
        <w:rPr>
          <w:rFonts w:hint="eastAsia"/>
        </w:rPr>
        <w:t>产品组成及原理</w:t>
      </w:r>
      <w:bookmarkEnd w:id="62"/>
      <w:bookmarkEnd w:id="63"/>
    </w:p>
    <w:p>
      <w:pPr>
        <w:pStyle w:val="5"/>
      </w:pPr>
      <w:bookmarkStart w:id="69" w:name="_Toc23250996"/>
      <w:bookmarkStart w:id="70" w:name="_Toc19115"/>
      <w:r>
        <w:rPr>
          <w:rFonts w:hint="eastAsia"/>
        </w:rPr>
        <w:t>基本组成</w:t>
      </w:r>
      <w:bookmarkEnd w:id="69"/>
      <w:bookmarkEnd w:id="70"/>
    </w:p>
    <w:p>
      <w:pPr>
        <w:pStyle w:val="3"/>
      </w:pPr>
      <w:r>
        <w:rPr>
          <w:rFonts w:hint="eastAsia"/>
          <w:lang w:eastAsia="zh-CN"/>
        </w:rPr>
        <w:t>MX</w:t>
      </w:r>
      <w:r>
        <w:rPr>
          <w:rFonts w:hint="eastAsia"/>
        </w:rPr>
        <w:t xml:space="preserve"> </w:t>
      </w:r>
      <w:r>
        <w:t>18</w:t>
      </w:r>
      <w:r>
        <w:rPr>
          <w:rFonts w:hint="eastAsia"/>
        </w:rPr>
        <w:t>0-800kVA系列模块化UPS系统主要由若干个主功率模块、一个旁路模块和一个维修旁路以及若干个开关组成。主功率模块功率为</w:t>
      </w:r>
      <w:r>
        <w:t>6</w:t>
      </w:r>
      <w:r>
        <w:rPr>
          <w:rFonts w:hint="eastAsia"/>
        </w:rPr>
        <w:t>0KW，系统分为5个功率模块、7个功率模块、12个功率模块和1</w:t>
      </w:r>
      <w:r>
        <w:t>4</w:t>
      </w:r>
      <w:r>
        <w:rPr>
          <w:rFonts w:hint="eastAsia"/>
        </w:rPr>
        <w:t>个功率模块四种系统结构。</w:t>
      </w:r>
    </w:p>
    <w:p>
      <w:pPr>
        <w:pStyle w:val="3"/>
        <w:rPr>
          <w:rFonts w:hint="eastAsia"/>
        </w:rPr>
      </w:pPr>
      <w:r>
        <w:rPr>
          <w:rFonts w:hint="eastAsia"/>
        </w:rPr>
        <w:t>5个功率模块的</w:t>
      </w:r>
      <w:r>
        <w:rPr>
          <w:rFonts w:hint="eastAsia"/>
          <w:lang w:val="en-US" w:eastAsia="zh-CN"/>
        </w:rPr>
        <w:t>满配</w:t>
      </w:r>
      <w:r>
        <w:rPr>
          <w:rFonts w:hint="eastAsia"/>
        </w:rPr>
        <w:t>为5个功率模块，系统最大功率为180 kVA，可冗余2个功率模块；7个功率模块的</w:t>
      </w:r>
      <w:r>
        <w:rPr>
          <w:rFonts w:hint="eastAsia"/>
          <w:lang w:val="en-US" w:eastAsia="zh-CN"/>
        </w:rPr>
        <w:t>满配</w:t>
      </w:r>
      <w:r>
        <w:rPr>
          <w:rFonts w:hint="eastAsia"/>
        </w:rPr>
        <w:t>为7个功率模块，系统最大功率为300kVA，可冗余2个功率模块；12个功率模块的</w:t>
      </w:r>
      <w:r>
        <w:rPr>
          <w:rFonts w:hint="eastAsia"/>
          <w:lang w:val="en-US" w:eastAsia="zh-CN"/>
        </w:rPr>
        <w:t>满配</w:t>
      </w:r>
      <w:r>
        <w:rPr>
          <w:rFonts w:hint="eastAsia"/>
        </w:rPr>
        <w:t>为12个功率模块，系统最大功率为600 kVA，可冗余2个功率模块；14个功率模块的</w:t>
      </w:r>
      <w:r>
        <w:rPr>
          <w:rFonts w:hint="eastAsia"/>
          <w:lang w:val="en-US" w:eastAsia="zh-CN"/>
        </w:rPr>
        <w:t>满配</w:t>
      </w:r>
      <w:r>
        <w:rPr>
          <w:rFonts w:hint="eastAsia"/>
        </w:rPr>
        <w:t>为14个功率模块，系统最大功率为800 kVA。</w:t>
      </w:r>
    </w:p>
    <w:p>
      <w:pPr>
        <w:pStyle w:val="3"/>
        <w:rPr>
          <w:rFonts w:hint="eastAsia"/>
        </w:rPr>
      </w:pPr>
      <w:r>
        <w:rPr>
          <w:rFonts w:hint="eastAsia"/>
        </w:rPr>
        <w:t>按照开关配置的不同，可以分为二种：</w:t>
      </w:r>
    </w:p>
    <w:p>
      <w:pPr>
        <w:pStyle w:val="3"/>
      </w:pPr>
      <w:r>
        <w:rPr>
          <w:rFonts w:hint="eastAsia"/>
        </w:rPr>
        <w:t>（1）四开关型，包含主路输入开关、旁路输入开关、输出开关和维修旁路开关。静态旁路和维修旁路共同采用一个独立市电输入，如果不能给旁路提供独立市电输入，则把旁路输入开关的输入端子和主路输入开关的输入端子短接，使旁路输入和主路输入使用同一路市电；（主旁同源铜排为选件，四开关型默认主旁不同源配置）</w:t>
      </w:r>
    </w:p>
    <w:p>
      <w:pPr>
        <w:pStyle w:val="3"/>
      </w:pPr>
      <w:r>
        <w:rPr>
          <w:rFonts w:hint="eastAsia"/>
        </w:rPr>
        <w:t>（2）单开关型，只包含维修旁路开关，客户可以接成主旁同源或主旁不同源。</w:t>
      </w:r>
    </w:p>
    <w:p>
      <w:pPr>
        <w:pStyle w:val="3"/>
      </w:pPr>
      <w:r>
        <w:rPr>
          <w:rFonts w:hint="eastAsia"/>
        </w:rPr>
        <w:t>各种开关配置的系统框图如下图1-1所示：</w:t>
      </w:r>
    </w:p>
    <w:p>
      <w:pPr>
        <w:pStyle w:val="3"/>
        <w:jc w:val="center"/>
      </w:pPr>
      <w:r>
        <w:object>
          <v:shape id="_x0000_i1025" o:spt="75" type="#_x0000_t75" style="height:177.4pt;width:361.5pt;" o:ole="t" filled="f" o:preferrelative="t" stroked="f" coordsize="21600,21600">
            <v:path/>
            <v:fill on="f" focussize="0,0"/>
            <v:stroke on="f" joinstyle="miter"/>
            <v:imagedata r:id="rId39" o:title=""/>
            <o:lock v:ext="edit" aspectratio="t"/>
            <w10:wrap type="none"/>
            <w10:anchorlock/>
          </v:shape>
          <o:OLEObject Type="Embed" ProgID="Visio.Drawing.11" ShapeID="_x0000_i1025" DrawAspect="Content" ObjectID="_1468075725" r:id="rId38">
            <o:LockedField>false</o:LockedField>
          </o:OLEObject>
        </w:object>
      </w:r>
    </w:p>
    <w:p>
      <w:pPr>
        <w:pStyle w:val="3"/>
        <w:ind w:left="0"/>
        <w:jc w:val="center"/>
        <w:rPr>
          <w:rFonts w:ascii="黑体" w:hAnsi="黑体" w:eastAsia="黑体"/>
          <w:sz w:val="16"/>
          <w:szCs w:val="16"/>
        </w:rPr>
      </w:pPr>
      <w:r>
        <w:rPr>
          <w:rFonts w:hint="eastAsia" w:ascii="黑体" w:hAnsi="黑体" w:eastAsia="黑体"/>
          <w:sz w:val="16"/>
          <w:szCs w:val="16"/>
        </w:rPr>
        <w:t>四开关型</w:t>
      </w:r>
    </w:p>
    <w:p>
      <w:pPr>
        <w:pStyle w:val="3"/>
        <w:jc w:val="center"/>
      </w:pPr>
      <w:r>
        <w:object>
          <v:shape id="_x0000_i1026" o:spt="75" type="#_x0000_t75" style="height:176.65pt;width:376.15pt;" o:ole="t" filled="f" o:preferrelative="t" stroked="f" coordsize="21600,21600">
            <v:path/>
            <v:fill on="f" focussize="0,0"/>
            <v:stroke on="f" joinstyle="miter"/>
            <v:imagedata r:id="rId41" o:title=""/>
            <o:lock v:ext="edit" aspectratio="t"/>
            <w10:wrap type="none"/>
            <w10:anchorlock/>
          </v:shape>
          <o:OLEObject Type="Embed" ProgID="Visio.Drawing.11" ShapeID="_x0000_i1026" DrawAspect="Content" ObjectID="_1468075726" r:id="rId40">
            <o:LockedField>false</o:LockedField>
          </o:OLEObject>
        </w:object>
      </w:r>
    </w:p>
    <w:p>
      <w:pPr>
        <w:pStyle w:val="3"/>
        <w:ind w:left="0"/>
        <w:jc w:val="center"/>
        <w:rPr>
          <w:rFonts w:ascii="黑体" w:hAnsi="黑体" w:eastAsia="黑体"/>
          <w:sz w:val="16"/>
          <w:szCs w:val="16"/>
        </w:rPr>
      </w:pPr>
      <w:r>
        <w:rPr>
          <w:rFonts w:hint="eastAsia" w:ascii="黑体" w:hAnsi="黑体" w:eastAsia="黑体"/>
          <w:sz w:val="16"/>
          <w:szCs w:val="16"/>
        </w:rPr>
        <w:t>单开关型</w:t>
      </w:r>
    </w:p>
    <w:p>
      <w:pPr>
        <w:pStyle w:val="83"/>
      </w:pPr>
      <w:r>
        <w:rPr>
          <w:rFonts w:hint="eastAsia"/>
        </w:rPr>
        <w:t>UPS系统框图</w:t>
      </w:r>
    </w:p>
    <w:p>
      <w:pPr>
        <w:pStyle w:val="3"/>
      </w:pPr>
      <w:r>
        <w:rPr>
          <w:rFonts w:hint="eastAsia"/>
        </w:rPr>
        <w:t>主功率模块由整流器、逆变器和电池充放电器组成。旁路模块由旁路静态开关及并机板、旁路控制板组成。UPS系统的基本工作方式是市电交流电源经主路输入开关输入后，经过主功率模块的整流器将三相交流输入电压变换成稳定的直流电压，完成AC/DC变换，一方面直流母线通过电池充电器给蓄电池组进行充电，另一方面向逆变器提供可靠的输入直流电。逆变器进行DC/AC变换，将整流器提供的直流电源变换成输出稳定、洁净、不间断的交流电源，供应给负载。</w:t>
      </w:r>
    </w:p>
    <w:p>
      <w:pPr>
        <w:pStyle w:val="5"/>
      </w:pPr>
      <w:bookmarkStart w:id="71" w:name="_Toc32758"/>
      <w:r>
        <w:rPr>
          <w:rFonts w:hint="eastAsia"/>
        </w:rPr>
        <w:t>工作原理</w:t>
      </w:r>
      <w:bookmarkEnd w:id="71"/>
    </w:p>
    <w:p>
      <w:pPr>
        <w:pStyle w:val="3"/>
      </w:pPr>
      <w:r>
        <w:rPr>
          <w:rFonts w:hint="eastAsia"/>
          <w:lang w:eastAsia="zh-CN"/>
        </w:rPr>
        <w:t>MX</w:t>
      </w:r>
      <w:r>
        <w:rPr>
          <w:rFonts w:hint="eastAsia"/>
        </w:rPr>
        <w:t>系列模块化UPS单机工作原理框图如下图所示</w:t>
      </w:r>
    </w:p>
    <w:p>
      <w:pPr>
        <w:pStyle w:val="3"/>
        <w:jc w:val="center"/>
        <w:rPr>
          <w:lang w:val="pt-BR"/>
        </w:rPr>
      </w:pPr>
      <w:r>
        <w:object>
          <v:shape id="_x0000_i1027" o:spt="75" type="#_x0000_t75" style="height:140.25pt;width:325.15pt;" o:ole="t" filled="f" o:preferrelative="t" stroked="f" coordsize="21600,21600">
            <v:path/>
            <v:fill on="f" focussize="0,0"/>
            <v:stroke on="f" joinstyle="miter"/>
            <v:imagedata r:id="rId43" o:title=""/>
            <o:lock v:ext="edit" aspectratio="t"/>
            <w10:wrap type="none"/>
            <w10:anchorlock/>
          </v:shape>
          <o:OLEObject Type="Embed" ProgID="Visio.Drawing.11" ShapeID="_x0000_i1027" DrawAspect="Content" ObjectID="_1468075727" r:id="rId42">
            <o:LockedField>false</o:LockedField>
          </o:OLEObject>
        </w:object>
      </w:r>
    </w:p>
    <w:p>
      <w:pPr>
        <w:pStyle w:val="83"/>
      </w:pPr>
      <w:r>
        <w:rPr>
          <w:rFonts w:hint="eastAsia"/>
        </w:rPr>
        <w:t>UPS单机工作原理框图</w:t>
      </w:r>
    </w:p>
    <w:p>
      <w:pPr>
        <w:pStyle w:val="3"/>
      </w:pPr>
      <w:r>
        <w:rPr>
          <w:rFonts w:hint="eastAsia"/>
        </w:rPr>
        <w:t>UPS采用AC-DC-AC变换器，且具备独立的电池充电器，并采用业界先进的温度补偿技术，可以有效延长电池使用寿命。逆变器采用大功率绝缘栅双极性晶体管（IGBT）作为其逆变元件，控制上采用了先进的正弦波脉宽调制（SPWM）技术，把直流母线电压逆变回交流电压。</w:t>
      </w:r>
    </w:p>
    <w:p>
      <w:pPr>
        <w:pStyle w:val="3"/>
      </w:pPr>
      <w:r>
        <w:rPr>
          <w:rFonts w:hint="eastAsia"/>
        </w:rPr>
        <w:t>市电正常时，整流器和逆变器同时工作，给负载供电的同时对电池进行充电。</w:t>
      </w:r>
    </w:p>
    <w:p>
      <w:pPr>
        <w:pStyle w:val="3"/>
      </w:pPr>
      <w:r>
        <w:rPr>
          <w:rFonts w:hint="eastAsia"/>
        </w:rPr>
        <w:t>当市电异常时，整流器停止工作，转由电池经整流器与逆变器向负载供电；若电池电压下降到放电终止电压，而市电还未恢复正常，UPS将关机。电池放电终止电压已预先设定。市电异常，电池维持UPS工作，直至电池电压降到电池放电终止电压而关机的时间，被称作“后备时间”。后备时间的长短取决于电池的容量和所带负载的大小。</w:t>
      </w:r>
    </w:p>
    <w:p>
      <w:pPr>
        <w:pStyle w:val="3"/>
      </w:pPr>
      <w:r>
        <w:rPr>
          <w:rFonts w:hint="eastAsia"/>
        </w:rPr>
        <w:t>当某个功率模块出现逆变器故障、整流器故障或输出熔丝断等情况时，系统仍然逆变供电；在某些致命的故障情况下，系统自动转旁路模块供电，输出电源不会中断，保证供电的可靠性。</w:t>
      </w:r>
    </w:p>
    <w:p>
      <w:pPr>
        <w:pStyle w:val="5"/>
      </w:pPr>
      <w:bookmarkStart w:id="72" w:name="_Toc23250999"/>
      <w:bookmarkStart w:id="73" w:name="_Toc13567"/>
      <w:r>
        <w:rPr>
          <w:rFonts w:hint="eastAsia"/>
        </w:rPr>
        <w:t>控制原理</w:t>
      </w:r>
      <w:bookmarkEnd w:id="72"/>
      <w:bookmarkEnd w:id="73"/>
    </w:p>
    <w:p>
      <w:pPr>
        <w:pStyle w:val="6"/>
        <w:numPr>
          <w:ilvl w:val="0"/>
          <w:numId w:val="3"/>
        </w:numPr>
        <w:rPr>
          <w:rFonts w:asciiTheme="majorEastAsia" w:hAnsiTheme="majorEastAsia" w:eastAsiaTheme="majorEastAsia"/>
          <w:lang w:val="pt-BR"/>
        </w:rPr>
      </w:pPr>
      <w:r>
        <w:rPr>
          <w:rFonts w:hint="eastAsia" w:asciiTheme="majorEastAsia" w:hAnsiTheme="majorEastAsia" w:eastAsiaTheme="majorEastAsia"/>
          <w:lang w:val="pt-BR"/>
        </w:rPr>
        <w:t>正常运行</w:t>
      </w:r>
    </w:p>
    <w:p>
      <w:pPr>
        <w:pStyle w:val="3"/>
      </w:pPr>
      <w:r>
        <w:rPr>
          <w:rFonts w:hint="eastAsia"/>
        </w:rPr>
        <w:t>UPS正常运行状态，指UPS输入市电正常，整流器和逆变器均正常工作，负载由逆变器供电，电池开关闭合且电池处于稳定的浮充状态。</w:t>
      </w:r>
    </w:p>
    <w:p>
      <w:pPr>
        <w:pStyle w:val="6"/>
        <w:numPr>
          <w:ilvl w:val="0"/>
          <w:numId w:val="3"/>
        </w:numPr>
        <w:rPr>
          <w:rFonts w:asciiTheme="majorEastAsia" w:hAnsiTheme="majorEastAsia" w:eastAsiaTheme="majorEastAsia"/>
        </w:rPr>
      </w:pPr>
      <w:r>
        <w:rPr>
          <w:rFonts w:hint="eastAsia" w:asciiTheme="majorEastAsia" w:hAnsiTheme="majorEastAsia" w:eastAsiaTheme="majorEastAsia"/>
        </w:rPr>
        <w:t>市电异常</w:t>
      </w:r>
    </w:p>
    <w:p>
      <w:pPr>
        <w:pStyle w:val="3"/>
      </w:pPr>
      <w:r>
        <w:rPr>
          <w:rFonts w:hint="eastAsia"/>
        </w:rPr>
        <w:t>如市电停电或不正常，整流器将自动停止工作，系统转由电池逆变输出，电池逆变时间的长短取决于负载的大小及电池的容量。在此期间，若电池电压下降到放电终止电压，市电仍未恢复正常，逆变器将自动停止工作，UPS的操作控制显示面板将显示相应告警信息。若主旁不同源，且旁路正常，则转由旁路供电。</w:t>
      </w:r>
    </w:p>
    <w:p>
      <w:pPr>
        <w:pStyle w:val="6"/>
        <w:numPr>
          <w:ilvl w:val="0"/>
          <w:numId w:val="3"/>
        </w:numPr>
        <w:rPr>
          <w:rFonts w:asciiTheme="majorEastAsia" w:hAnsiTheme="majorEastAsia" w:eastAsiaTheme="majorEastAsia"/>
        </w:rPr>
      </w:pPr>
      <w:r>
        <w:rPr>
          <w:rFonts w:hint="eastAsia" w:asciiTheme="majorEastAsia" w:hAnsiTheme="majorEastAsia" w:eastAsiaTheme="majorEastAsia"/>
        </w:rPr>
        <w:t>市电恢复</w:t>
      </w:r>
    </w:p>
    <w:p>
      <w:pPr>
        <w:pStyle w:val="3"/>
      </w:pPr>
      <w:r>
        <w:rPr>
          <w:rFonts w:hint="eastAsia"/>
        </w:rPr>
        <w:t>当市电在允许的时间内恢复正常时，整流器将切换为市电供电，电池放电停止工作，重新由市电给负载供电并对电池进行充电，因此负载的供电不会中断。</w:t>
      </w:r>
    </w:p>
    <w:p>
      <w:pPr>
        <w:pStyle w:val="6"/>
        <w:numPr>
          <w:ilvl w:val="0"/>
          <w:numId w:val="3"/>
        </w:numPr>
        <w:rPr>
          <w:rFonts w:asciiTheme="majorEastAsia" w:hAnsiTheme="majorEastAsia" w:eastAsiaTheme="majorEastAsia"/>
        </w:rPr>
      </w:pPr>
      <w:r>
        <w:rPr>
          <w:rFonts w:hint="eastAsia" w:asciiTheme="majorEastAsia" w:hAnsiTheme="majorEastAsia" w:eastAsiaTheme="majorEastAsia"/>
        </w:rPr>
        <w:t>UPS单机故障</w:t>
      </w:r>
    </w:p>
    <w:p>
      <w:pPr>
        <w:pStyle w:val="3"/>
      </w:pPr>
      <w:r>
        <w:rPr>
          <w:rFonts w:hint="eastAsia"/>
        </w:rPr>
        <w:t>如某一个主功率模块出现故障，系统会告警，监控会显示故障模块信息；当系统出现某些严重故障时，系统会自动转旁路供电，输出电源不会中断。</w:t>
      </w:r>
    </w:p>
    <w:p>
      <w:pPr>
        <w:pStyle w:val="6"/>
        <w:numPr>
          <w:ilvl w:val="0"/>
          <w:numId w:val="3"/>
        </w:numPr>
        <w:rPr>
          <w:rFonts w:asciiTheme="majorEastAsia" w:hAnsiTheme="majorEastAsia" w:eastAsiaTheme="majorEastAsia"/>
        </w:rPr>
      </w:pPr>
      <w:r>
        <w:rPr>
          <w:rFonts w:hint="eastAsia" w:asciiTheme="majorEastAsia" w:hAnsiTheme="majorEastAsia" w:eastAsiaTheme="majorEastAsia"/>
        </w:rPr>
        <w:t>过载</w:t>
      </w:r>
    </w:p>
    <w:p>
      <w:pPr>
        <w:pStyle w:val="3"/>
      </w:pPr>
      <w:r>
        <w:rPr>
          <w:rFonts w:hint="eastAsia"/>
        </w:rPr>
        <w:t>如果逆变器输出过载或逆变电流超过指标范围（见表1-6），且超出了所规定的时间，负载将自动转旁路供电，负载电源不中断。如过载和电流均降到规定范围内，则负载将切换回逆变器供电。如遇输出短路且超过200ms，系统关闭输出，负载掉电。如输出短路故障消失，5分钟后逆变器自动开启，负载重新由逆变器供电。UPS操作控制显示面板会提供告警信息显示。以上两种情况，UPS操作控制显示面板都会提供告警信息显示。</w:t>
      </w:r>
    </w:p>
    <w:p>
      <w:pPr>
        <w:pStyle w:val="6"/>
        <w:numPr>
          <w:ilvl w:val="0"/>
          <w:numId w:val="3"/>
        </w:numPr>
        <w:rPr>
          <w:rFonts w:asciiTheme="majorEastAsia" w:hAnsiTheme="majorEastAsia" w:eastAsiaTheme="majorEastAsia"/>
        </w:rPr>
      </w:pPr>
      <w:r>
        <w:rPr>
          <w:rFonts w:hint="eastAsia" w:asciiTheme="majorEastAsia" w:hAnsiTheme="majorEastAsia" w:eastAsiaTheme="majorEastAsia"/>
        </w:rPr>
        <w:t>维修旁路</w:t>
      </w:r>
    </w:p>
    <w:p>
      <w:pPr>
        <w:pStyle w:val="3"/>
      </w:pPr>
      <w:r>
        <w:rPr>
          <w:rFonts w:hint="eastAsia"/>
        </w:rPr>
        <w:t>UPS具有第二条旁路电路，即维修旁路，用于对UPS系统进行定期保养或维修时给工作人员提供一个安全的工作环境，同时给负载提供未经处理的市电电源。该维修旁路可通过维修开关进行手动选择，置于OFF位置可将其断开。</w:t>
      </w:r>
    </w:p>
    <w:p>
      <w:pPr>
        <w:pStyle w:val="4"/>
      </w:pPr>
      <w:bookmarkStart w:id="74" w:name="_Toc10835"/>
      <w:bookmarkStart w:id="75" w:name="_Toc23251001"/>
      <w:r>
        <w:rPr>
          <w:rFonts w:hint="eastAsia"/>
        </w:rPr>
        <w:t>产品规格</w:t>
      </w:r>
      <w:bookmarkEnd w:id="64"/>
      <w:bookmarkEnd w:id="65"/>
      <w:bookmarkEnd w:id="74"/>
      <w:bookmarkEnd w:id="75"/>
    </w:p>
    <w:p>
      <w:pPr>
        <w:pStyle w:val="5"/>
      </w:pPr>
      <w:bookmarkStart w:id="76" w:name="_Toc4988"/>
      <w:bookmarkStart w:id="77" w:name="_Toc23251002"/>
      <w:bookmarkStart w:id="78" w:name="_Toc321729214"/>
      <w:bookmarkStart w:id="79" w:name="_Toc267573039"/>
      <w:r>
        <w:rPr>
          <w:rFonts w:hint="eastAsia"/>
        </w:rPr>
        <w:t>适用标准</w:t>
      </w:r>
      <w:bookmarkEnd w:id="76"/>
      <w:bookmarkEnd w:id="77"/>
      <w:bookmarkEnd w:id="78"/>
      <w:bookmarkEnd w:id="79"/>
    </w:p>
    <w:p>
      <w:pPr>
        <w:pStyle w:val="194"/>
        <w:numPr>
          <w:ilvl w:val="5"/>
          <w:numId w:val="4"/>
        </w:numPr>
      </w:pPr>
      <w:r>
        <w:rPr>
          <w:rFonts w:hint="eastAsia"/>
        </w:rPr>
        <w:t>适用标准</w:t>
      </w:r>
    </w:p>
    <w:tbl>
      <w:tblPr>
        <w:tblStyle w:val="50"/>
        <w:tblW w:w="918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2596"/>
        <w:gridCol w:w="6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187" w:hRule="atLeast"/>
          <w:jc w:val="right"/>
        </w:trPr>
        <w:tc>
          <w:tcPr>
            <w:tcW w:w="2596" w:type="dxa"/>
            <w:shd w:val="clear" w:color="auto" w:fill="D9D9D9"/>
            <w:tcMar>
              <w:left w:w="108" w:type="dxa"/>
              <w:right w:w="108" w:type="dxa"/>
            </w:tcMar>
            <w:vAlign w:val="center"/>
          </w:tcPr>
          <w:p>
            <w:pPr>
              <w:pStyle w:val="88"/>
              <w:rPr>
                <w:lang w:val="en-GB"/>
              </w:rPr>
            </w:pPr>
            <w:r>
              <w:rPr>
                <w:rFonts w:hint="eastAsia"/>
                <w:lang w:val="en-GB"/>
              </w:rPr>
              <w:t>项目</w:t>
            </w:r>
          </w:p>
        </w:tc>
        <w:tc>
          <w:tcPr>
            <w:tcW w:w="6590" w:type="dxa"/>
            <w:shd w:val="clear" w:color="auto" w:fill="D9D9D9"/>
            <w:tcMar>
              <w:left w:w="108" w:type="dxa"/>
              <w:right w:w="108" w:type="dxa"/>
            </w:tcMar>
            <w:vAlign w:val="center"/>
          </w:tcPr>
          <w:p>
            <w:pPr>
              <w:pStyle w:val="88"/>
              <w:rPr>
                <w:lang w:val="en-GB"/>
              </w:rPr>
            </w:pPr>
            <w:r>
              <w:rPr>
                <w:rFonts w:hint="eastAsia"/>
                <w:lang w:val="en-GB"/>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187" w:hRule="atLeast"/>
          <w:jc w:val="right"/>
        </w:trPr>
        <w:tc>
          <w:tcPr>
            <w:tcW w:w="2596" w:type="dxa"/>
            <w:tcMar>
              <w:left w:w="108" w:type="dxa"/>
              <w:right w:w="108" w:type="dxa"/>
            </w:tcMar>
            <w:vAlign w:val="center"/>
          </w:tcPr>
          <w:p>
            <w:pPr>
              <w:pStyle w:val="73"/>
            </w:pPr>
            <w:r>
              <w:rPr>
                <w:rFonts w:hint="eastAsia" w:ascii="Arial" w:hAnsi="Arial" w:cs="Arial"/>
                <w:lang w:val="en-GB"/>
              </w:rPr>
              <w:t>安规</w:t>
            </w:r>
          </w:p>
        </w:tc>
        <w:tc>
          <w:tcPr>
            <w:tcW w:w="6590" w:type="dxa"/>
            <w:tcMar>
              <w:left w:w="108" w:type="dxa"/>
              <w:right w:w="108" w:type="dxa"/>
            </w:tcMar>
            <w:vAlign w:val="center"/>
          </w:tcPr>
          <w:p>
            <w:pPr>
              <w:pStyle w:val="73"/>
            </w:pPr>
            <w:r>
              <w:t>EN62040-1/IEC62040-1/</w:t>
            </w:r>
            <w:r>
              <w:rPr>
                <w:rFonts w:ascii="Times New Roman" w:hAnsi="Times New Roman"/>
                <w:szCs w:val="21"/>
              </w:rPr>
              <w:t xml:space="preserve"> YD/T2165-2017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187" w:hRule="atLeast"/>
          <w:jc w:val="right"/>
        </w:trPr>
        <w:tc>
          <w:tcPr>
            <w:tcW w:w="2596" w:type="dxa"/>
            <w:tcMar>
              <w:left w:w="108" w:type="dxa"/>
              <w:right w:w="108" w:type="dxa"/>
            </w:tcMar>
            <w:vAlign w:val="center"/>
          </w:tcPr>
          <w:p>
            <w:pPr>
              <w:pStyle w:val="73"/>
              <w:rPr>
                <w:lang w:val="en-GB"/>
              </w:rPr>
            </w:pPr>
            <w:r>
              <w:rPr>
                <w:rFonts w:hint="eastAsia"/>
              </w:rPr>
              <w:t>EMC</w:t>
            </w:r>
          </w:p>
        </w:tc>
        <w:tc>
          <w:tcPr>
            <w:tcW w:w="6590" w:type="dxa"/>
            <w:tcMar>
              <w:left w:w="108" w:type="dxa"/>
              <w:right w:w="108" w:type="dxa"/>
            </w:tcMar>
            <w:vAlign w:val="center"/>
          </w:tcPr>
          <w:p>
            <w:pPr>
              <w:pStyle w:val="73"/>
              <w:rPr>
                <w:lang w:val="en-GB"/>
              </w:rPr>
            </w:pPr>
            <w:r>
              <w:rPr>
                <w:lang w:val="en-GB"/>
              </w:rPr>
              <w:t>EN62040-2/IEC62040-2/</w:t>
            </w:r>
            <w:r>
              <w:rPr>
                <w:rFonts w:ascii="Times New Roman" w:hAnsi="Times New Roman"/>
                <w:szCs w:val="21"/>
              </w:rPr>
              <w:t xml:space="preserve"> YD/T2165-2017</w:t>
            </w:r>
          </w:p>
        </w:tc>
      </w:tr>
    </w:tbl>
    <w:p>
      <w:pPr>
        <w:pStyle w:val="5"/>
        <w:numPr>
          <w:ilvl w:val="2"/>
          <w:numId w:val="4"/>
        </w:numPr>
      </w:pPr>
      <w:bookmarkStart w:id="80" w:name="_Hlt324320711"/>
      <w:bookmarkEnd w:id="80"/>
      <w:bookmarkStart w:id="81" w:name="_Toc10565"/>
      <w:bookmarkStart w:id="82" w:name="_Toc267573040"/>
      <w:bookmarkStart w:id="83" w:name="_Toc232477212"/>
      <w:bookmarkStart w:id="84" w:name="_Toc321729215"/>
      <w:bookmarkStart w:id="85" w:name="_Toc228855191"/>
      <w:bookmarkStart w:id="86" w:name="_Toc23251003"/>
      <w:r>
        <w:rPr>
          <w:rFonts w:hint="eastAsia"/>
        </w:rPr>
        <w:t>环境特性</w:t>
      </w:r>
      <w:bookmarkEnd w:id="81"/>
      <w:bookmarkEnd w:id="82"/>
      <w:bookmarkEnd w:id="83"/>
      <w:bookmarkEnd w:id="84"/>
      <w:bookmarkEnd w:id="85"/>
      <w:bookmarkEnd w:id="86"/>
    </w:p>
    <w:p>
      <w:pPr>
        <w:pStyle w:val="194"/>
        <w:numPr>
          <w:ilvl w:val="5"/>
          <w:numId w:val="4"/>
        </w:numPr>
        <w:rPr>
          <w:szCs w:val="22"/>
        </w:rPr>
      </w:pPr>
      <w:r>
        <w:rPr>
          <w:rFonts w:hint="eastAsia"/>
          <w:szCs w:val="22"/>
        </w:rPr>
        <w:t>环境特性</w:t>
      </w:r>
    </w:p>
    <w:tbl>
      <w:tblPr>
        <w:tblStyle w:val="50"/>
        <w:tblW w:w="935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6"/>
        <w:gridCol w:w="1220"/>
        <w:gridCol w:w="5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466" w:type="dxa"/>
            <w:vMerge w:val="restart"/>
            <w:shd w:val="clear" w:color="auto" w:fill="D9D9D9"/>
            <w:vAlign w:val="center"/>
          </w:tcPr>
          <w:p>
            <w:pPr>
              <w:pStyle w:val="88"/>
            </w:pPr>
            <w:r>
              <w:rPr>
                <w:rFonts w:hint="eastAsia"/>
              </w:rPr>
              <w:t>项目</w:t>
            </w:r>
          </w:p>
        </w:tc>
        <w:tc>
          <w:tcPr>
            <w:tcW w:w="1220" w:type="dxa"/>
            <w:vMerge w:val="restart"/>
            <w:shd w:val="clear" w:color="auto" w:fill="D9D9D9"/>
            <w:vAlign w:val="center"/>
          </w:tcPr>
          <w:p>
            <w:pPr>
              <w:pStyle w:val="88"/>
            </w:pPr>
            <w:r>
              <w:rPr>
                <w:rFonts w:hint="eastAsia"/>
              </w:rPr>
              <w:t>单位</w:t>
            </w:r>
          </w:p>
        </w:tc>
        <w:tc>
          <w:tcPr>
            <w:tcW w:w="5670" w:type="dxa"/>
            <w:shd w:val="clear" w:color="auto" w:fill="D9D9D9"/>
            <w:vAlign w:val="center"/>
          </w:tcPr>
          <w:p>
            <w:pPr>
              <w:pStyle w:val="88"/>
            </w:pPr>
            <w:r>
              <w:rPr>
                <w:rFonts w:hint="eastAsia"/>
              </w:rPr>
              <w:t>额定功率（kVA）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466" w:type="dxa"/>
            <w:vMerge w:val="continue"/>
            <w:shd w:val="clear" w:color="auto" w:fill="D9D9D9"/>
            <w:vAlign w:val="center"/>
          </w:tcPr>
          <w:p>
            <w:pPr>
              <w:pStyle w:val="88"/>
            </w:pPr>
          </w:p>
        </w:tc>
        <w:tc>
          <w:tcPr>
            <w:tcW w:w="1220" w:type="dxa"/>
            <w:vMerge w:val="continue"/>
            <w:shd w:val="clear" w:color="auto" w:fill="D9D9D9"/>
            <w:vAlign w:val="center"/>
          </w:tcPr>
          <w:p>
            <w:pPr>
              <w:pStyle w:val="88"/>
            </w:pPr>
          </w:p>
        </w:tc>
        <w:tc>
          <w:tcPr>
            <w:tcW w:w="5670" w:type="dxa"/>
            <w:shd w:val="clear" w:color="auto" w:fill="D9D9D9"/>
            <w:vAlign w:val="center"/>
          </w:tcPr>
          <w:p>
            <w:pPr>
              <w:pStyle w:val="88"/>
            </w:pPr>
            <w:r>
              <w:t>18</w:t>
            </w:r>
            <w:r>
              <w:rPr>
                <w:rFonts w:hint="eastAsia"/>
              </w:rPr>
              <w:t>0-</w:t>
            </w:r>
            <w:r>
              <w:rPr>
                <w:rFonts w:hint="eastAsia"/>
                <w:lang w:val="en-US" w:eastAsia="zh-CN"/>
              </w:rPr>
              <w:t>8</w:t>
            </w:r>
            <w:r>
              <w:rPr>
                <w:rFonts w:hint="eastAsia"/>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466" w:type="dxa"/>
            <w:vAlign w:val="center"/>
          </w:tcPr>
          <w:p>
            <w:pPr>
              <w:pStyle w:val="73"/>
              <w:rPr>
                <w:lang w:val="en-GB"/>
              </w:rPr>
            </w:pPr>
            <w:r>
              <w:rPr>
                <w:rFonts w:hint="eastAsia"/>
                <w:lang w:val="en-GB"/>
              </w:rPr>
              <w:t>噪音（正前方1m）</w:t>
            </w:r>
          </w:p>
        </w:tc>
        <w:tc>
          <w:tcPr>
            <w:tcW w:w="1220" w:type="dxa"/>
            <w:vAlign w:val="center"/>
          </w:tcPr>
          <w:p>
            <w:pPr>
              <w:pStyle w:val="88"/>
            </w:pPr>
            <w:r>
              <w:rPr>
                <w:rFonts w:hint="eastAsia"/>
              </w:rPr>
              <w:t>dB</w:t>
            </w:r>
          </w:p>
        </w:tc>
        <w:tc>
          <w:tcPr>
            <w:tcW w:w="5670" w:type="dxa"/>
            <w:vAlign w:val="center"/>
          </w:tcPr>
          <w:p>
            <w:pPr>
              <w:pStyle w:val="72"/>
              <w:jc w:val="left"/>
            </w:pPr>
            <w:r>
              <w:rPr>
                <w:rFonts w:hint="eastAsia"/>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466" w:type="dxa"/>
            <w:vAlign w:val="center"/>
          </w:tcPr>
          <w:p>
            <w:pPr>
              <w:pStyle w:val="73"/>
              <w:rPr>
                <w:lang w:val="en-GB"/>
              </w:rPr>
            </w:pPr>
            <w:r>
              <w:rPr>
                <w:rFonts w:hint="eastAsia"/>
                <w:lang w:val="en-GB"/>
              </w:rPr>
              <w:t>海拔高度</w:t>
            </w:r>
          </w:p>
        </w:tc>
        <w:tc>
          <w:tcPr>
            <w:tcW w:w="1220" w:type="dxa"/>
            <w:vAlign w:val="center"/>
          </w:tcPr>
          <w:p>
            <w:pPr>
              <w:pStyle w:val="72"/>
              <w:rPr>
                <w:sz w:val="20"/>
              </w:rPr>
            </w:pPr>
            <w:r>
              <w:rPr>
                <w:rFonts w:hint="eastAsia"/>
              </w:rPr>
              <w:t>m</w:t>
            </w:r>
          </w:p>
        </w:tc>
        <w:tc>
          <w:tcPr>
            <w:tcW w:w="5670" w:type="dxa"/>
            <w:vAlign w:val="center"/>
          </w:tcPr>
          <w:p>
            <w:pPr>
              <w:pStyle w:val="73"/>
              <w:rPr>
                <w:spacing w:val="-2"/>
              </w:rPr>
            </w:pPr>
            <w:r>
              <w:rPr>
                <w:rFonts w:hint="eastAsia"/>
              </w:rPr>
              <w:t>≤1</w:t>
            </w:r>
            <w:r>
              <w:t>0</w:t>
            </w:r>
            <w:r>
              <w:rPr>
                <w:rFonts w:hint="eastAsia"/>
              </w:rPr>
              <w:t>0</w:t>
            </w:r>
            <w:r>
              <w:t>0</w:t>
            </w:r>
            <w:r>
              <w:rPr>
                <w:rFonts w:hint="eastAsia"/>
              </w:rPr>
              <w:t>，</w:t>
            </w:r>
            <w:r>
              <w:rPr>
                <w:rFonts w:ascii="Times New Roman" w:hAnsi="Times New Roman"/>
                <w:szCs w:val="21"/>
              </w:rPr>
              <w:t xml:space="preserve">1000m </w:t>
            </w:r>
            <w:r>
              <w:rPr>
                <w:rFonts w:hint="eastAsia" w:ascii="宋体" w:hAnsi="Times New Roman" w:cs="宋体"/>
                <w:szCs w:val="21"/>
              </w:rPr>
              <w:t>以上开始参考</w:t>
            </w:r>
            <w:r>
              <w:rPr>
                <w:rFonts w:ascii="Times New Roman" w:hAnsi="Times New Roman"/>
                <w:szCs w:val="21"/>
              </w:rPr>
              <w:t xml:space="preserve">IEC62040-3 </w:t>
            </w:r>
            <w:r>
              <w:rPr>
                <w:rFonts w:hint="eastAsia" w:ascii="宋体" w:hAnsi="Times New Roman" w:cs="宋体"/>
                <w:szCs w:val="21"/>
              </w:rPr>
              <w:t>标准降额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466" w:type="dxa"/>
            <w:vAlign w:val="center"/>
          </w:tcPr>
          <w:p>
            <w:pPr>
              <w:pStyle w:val="73"/>
              <w:rPr>
                <w:lang w:val="en-GB"/>
              </w:rPr>
            </w:pPr>
            <w:r>
              <w:rPr>
                <w:rFonts w:hint="eastAsia"/>
                <w:lang w:val="en-GB"/>
              </w:rPr>
              <w:t>相对湿度</w:t>
            </w:r>
          </w:p>
        </w:tc>
        <w:tc>
          <w:tcPr>
            <w:tcW w:w="1220" w:type="dxa"/>
            <w:vAlign w:val="center"/>
          </w:tcPr>
          <w:p>
            <w:pPr>
              <w:pStyle w:val="72"/>
            </w:pPr>
            <w:r>
              <w:t>％RH</w:t>
            </w:r>
          </w:p>
        </w:tc>
        <w:tc>
          <w:tcPr>
            <w:tcW w:w="5670" w:type="dxa"/>
            <w:vAlign w:val="center"/>
          </w:tcPr>
          <w:p>
            <w:pPr>
              <w:pStyle w:val="73"/>
            </w:pPr>
            <w:r>
              <w:rPr>
                <w:rFonts w:hint="eastAsia"/>
              </w:rPr>
              <w:t>0～</w:t>
            </w:r>
            <w:r>
              <w:t>9</w:t>
            </w:r>
            <w:r>
              <w:rPr>
                <w:rFonts w:hint="eastAsia"/>
              </w:rPr>
              <w:t>5%，无凝露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466" w:type="dxa"/>
            <w:vAlign w:val="center"/>
          </w:tcPr>
          <w:p>
            <w:pPr>
              <w:pStyle w:val="73"/>
              <w:rPr>
                <w:lang w:val="en-GB"/>
              </w:rPr>
            </w:pPr>
            <w:r>
              <w:rPr>
                <w:rFonts w:hint="eastAsia"/>
                <w:lang w:val="en-GB"/>
              </w:rPr>
              <w:t>工作温度</w:t>
            </w:r>
          </w:p>
        </w:tc>
        <w:tc>
          <w:tcPr>
            <w:tcW w:w="1220" w:type="dxa"/>
            <w:vAlign w:val="center"/>
          </w:tcPr>
          <w:p>
            <w:pPr>
              <w:pStyle w:val="72"/>
            </w:pPr>
            <w:r>
              <w:t>℃</w:t>
            </w:r>
          </w:p>
        </w:tc>
        <w:tc>
          <w:tcPr>
            <w:tcW w:w="5670" w:type="dxa"/>
            <w:vAlign w:val="center"/>
          </w:tcPr>
          <w:p>
            <w:pPr>
              <w:pStyle w:val="73"/>
              <w:rPr>
                <w:lang w:val="en-GB"/>
              </w:rPr>
            </w:pPr>
            <w:r>
              <w:rPr>
                <w:lang w:val="en-GB"/>
              </w:rPr>
              <w:t>0</w:t>
            </w:r>
            <w:r>
              <w:rPr>
                <w:rFonts w:hint="eastAsia"/>
                <w:lang w:val="en-GB"/>
              </w:rPr>
              <w:t>～</w:t>
            </w:r>
            <w:r>
              <w:rPr>
                <w:lang w:val="en-GB"/>
              </w:rPr>
              <w:t>40</w:t>
            </w:r>
            <w:r>
              <w:rPr>
                <w:rFonts w:hint="eastAsia"/>
                <w:lang w:val="en-GB"/>
              </w:rPr>
              <w:t>（</w:t>
            </w:r>
            <w:r>
              <w:rPr>
                <w:lang w:val="en-GB"/>
              </w:rPr>
              <w:t>20℃</w:t>
            </w:r>
            <w:r>
              <w:rPr>
                <w:rFonts w:hint="eastAsia"/>
                <w:lang w:val="en-GB"/>
              </w:rPr>
              <w:t>以上时每增加</w:t>
            </w:r>
            <w:r>
              <w:rPr>
                <w:lang w:val="en-GB"/>
              </w:rPr>
              <w:t>10℃</w:t>
            </w:r>
            <w:r>
              <w:rPr>
                <w:rFonts w:hint="eastAsia"/>
                <w:lang w:val="en-GB"/>
              </w:rPr>
              <w:t>则电池寿命减半）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466" w:type="dxa"/>
            <w:vAlign w:val="center"/>
          </w:tcPr>
          <w:p>
            <w:pPr>
              <w:pStyle w:val="73"/>
              <w:rPr>
                <w:lang w:val="en-GB"/>
              </w:rPr>
            </w:pPr>
            <w:r>
              <w:rPr>
                <w:rFonts w:hint="eastAsia"/>
                <w:lang w:val="en-GB"/>
              </w:rPr>
              <w:t>UPS储存</w:t>
            </w:r>
            <w:r>
              <w:rPr>
                <w:lang w:val="en-GB"/>
              </w:rPr>
              <w:t>-</w:t>
            </w:r>
            <w:r>
              <w:rPr>
                <w:rFonts w:hint="eastAsia"/>
                <w:lang w:val="en-GB"/>
              </w:rPr>
              <w:t>运输温度</w:t>
            </w:r>
          </w:p>
        </w:tc>
        <w:tc>
          <w:tcPr>
            <w:tcW w:w="1220" w:type="dxa"/>
            <w:vAlign w:val="center"/>
          </w:tcPr>
          <w:p>
            <w:pPr>
              <w:pStyle w:val="72"/>
            </w:pPr>
            <w:r>
              <w:t>℃</w:t>
            </w:r>
          </w:p>
        </w:tc>
        <w:tc>
          <w:tcPr>
            <w:tcW w:w="5670" w:type="dxa"/>
            <w:vAlign w:val="center"/>
          </w:tcPr>
          <w:p>
            <w:pPr>
              <w:pStyle w:val="73"/>
              <w:rPr>
                <w:lang w:val="en-GB"/>
              </w:rPr>
            </w:pPr>
            <w:r>
              <w:rPr>
                <w:rFonts w:hint="eastAsia"/>
                <w:lang w:val="en-GB"/>
              </w:rPr>
              <w:t>存储：</w:t>
            </w:r>
            <w:r>
              <w:rPr>
                <w:rFonts w:hint="eastAsia"/>
              </w:rPr>
              <w:t>-25～＋55℃</w:t>
            </w:r>
            <w:r>
              <w:rPr>
                <w:rFonts w:hint="eastAsia" w:ascii="宋体" w:hAnsi="宋体" w:cs="宋体"/>
                <w:lang w:val="en-GB"/>
              </w:rPr>
              <w:t>；运输：</w:t>
            </w:r>
            <w:r>
              <w:rPr>
                <w:rFonts w:hint="eastAsia"/>
              </w:rPr>
              <w:t>－40℃～＋70℃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466" w:type="dxa"/>
            <w:vAlign w:val="center"/>
          </w:tcPr>
          <w:p>
            <w:pPr>
              <w:pStyle w:val="73"/>
              <w:rPr>
                <w:lang w:val="en-GB"/>
              </w:rPr>
            </w:pPr>
            <w:r>
              <w:rPr>
                <w:rFonts w:hint="eastAsia"/>
                <w:lang w:val="en-GB"/>
              </w:rPr>
              <w:t>过电压等级</w:t>
            </w:r>
          </w:p>
        </w:tc>
        <w:tc>
          <w:tcPr>
            <w:tcW w:w="1220" w:type="dxa"/>
            <w:vAlign w:val="center"/>
          </w:tcPr>
          <w:p>
            <w:pPr>
              <w:pStyle w:val="72"/>
            </w:pPr>
          </w:p>
        </w:tc>
        <w:tc>
          <w:tcPr>
            <w:tcW w:w="5670" w:type="dxa"/>
            <w:vAlign w:val="center"/>
          </w:tcPr>
          <w:p>
            <w:pPr>
              <w:pStyle w:val="73"/>
            </w:pPr>
            <w:r>
              <w:rPr>
                <w:rFonts w:hint="eastAsia"/>
                <w:lang w:val="en-GB"/>
              </w:rPr>
              <w:t>过电压等级Ⅱ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466" w:type="dxa"/>
            <w:vAlign w:val="center"/>
          </w:tcPr>
          <w:p>
            <w:pPr>
              <w:pStyle w:val="73"/>
              <w:rPr>
                <w:lang w:val="en-GB"/>
              </w:rPr>
            </w:pPr>
            <w:r>
              <w:rPr>
                <w:rFonts w:hint="eastAsia"/>
                <w:lang w:val="en-GB"/>
              </w:rPr>
              <w:t>污染等级</w:t>
            </w:r>
          </w:p>
        </w:tc>
        <w:tc>
          <w:tcPr>
            <w:tcW w:w="1220" w:type="dxa"/>
            <w:vAlign w:val="center"/>
          </w:tcPr>
          <w:p>
            <w:pPr>
              <w:pStyle w:val="72"/>
            </w:pPr>
          </w:p>
        </w:tc>
        <w:tc>
          <w:tcPr>
            <w:tcW w:w="5670" w:type="dxa"/>
            <w:vAlign w:val="center"/>
          </w:tcPr>
          <w:p>
            <w:pPr>
              <w:pStyle w:val="73"/>
            </w:pPr>
            <w:r>
              <w:rPr>
                <w:rFonts w:hint="eastAsia"/>
                <w:lang w:val="en-GB"/>
              </w:rPr>
              <w:t>污染等级Ⅱ</w:t>
            </w:r>
          </w:p>
        </w:tc>
      </w:tr>
    </w:tbl>
    <w:p>
      <w:pPr>
        <w:pStyle w:val="5"/>
        <w:numPr>
          <w:ilvl w:val="2"/>
          <w:numId w:val="4"/>
        </w:numPr>
      </w:pPr>
      <w:bookmarkStart w:id="87" w:name="_Hlt320263654"/>
      <w:bookmarkEnd w:id="87"/>
      <w:bookmarkStart w:id="88" w:name="_Toc11786"/>
      <w:bookmarkStart w:id="89" w:name="_Toc321729216"/>
      <w:bookmarkStart w:id="90" w:name="_Toc267573041"/>
      <w:bookmarkStart w:id="91" w:name="_Toc232477213"/>
      <w:bookmarkStart w:id="92" w:name="_Toc23251004"/>
      <w:bookmarkStart w:id="93" w:name="_Toc228855192"/>
      <w:r>
        <w:rPr>
          <w:rFonts w:hint="eastAsia"/>
        </w:rPr>
        <w:t>机械特性</w:t>
      </w:r>
      <w:bookmarkEnd w:id="88"/>
      <w:bookmarkEnd w:id="89"/>
      <w:bookmarkEnd w:id="90"/>
      <w:bookmarkEnd w:id="91"/>
      <w:bookmarkEnd w:id="92"/>
      <w:bookmarkEnd w:id="93"/>
    </w:p>
    <w:p>
      <w:pPr>
        <w:pStyle w:val="194"/>
        <w:numPr>
          <w:ilvl w:val="5"/>
          <w:numId w:val="4"/>
        </w:numPr>
        <w:rPr>
          <w:szCs w:val="22"/>
        </w:rPr>
      </w:pPr>
      <w:r>
        <w:rPr>
          <w:rFonts w:hint="eastAsia"/>
          <w:szCs w:val="22"/>
        </w:rPr>
        <w:t>机械特性</w:t>
      </w:r>
    </w:p>
    <w:tbl>
      <w:tblPr>
        <w:tblStyle w:val="50"/>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3"/>
        <w:gridCol w:w="856"/>
        <w:gridCol w:w="1176"/>
        <w:gridCol w:w="1347"/>
        <w:gridCol w:w="1347"/>
        <w:gridCol w:w="1429"/>
        <w:gridCol w:w="1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629" w:type="dxa"/>
            <w:gridSpan w:val="2"/>
            <w:vMerge w:val="restart"/>
            <w:tcBorders>
              <w:top w:val="single" w:color="auto" w:sz="4" w:space="0"/>
              <w:left w:val="single" w:color="auto" w:sz="4" w:space="0"/>
              <w:bottom w:val="single" w:color="auto" w:sz="4" w:space="0"/>
              <w:right w:val="single" w:color="auto" w:sz="4" w:space="0"/>
            </w:tcBorders>
            <w:shd w:val="clear" w:color="auto" w:fill="D9D9D9"/>
            <w:tcMar>
              <w:left w:w="108" w:type="dxa"/>
              <w:right w:w="108" w:type="dxa"/>
            </w:tcMar>
            <w:vAlign w:val="center"/>
          </w:tcPr>
          <w:p>
            <w:pPr>
              <w:pStyle w:val="88"/>
            </w:pPr>
            <w:r>
              <w:rPr>
                <w:rFonts w:hint="eastAsia"/>
              </w:rPr>
              <w:t>项目</w:t>
            </w:r>
          </w:p>
        </w:tc>
        <w:tc>
          <w:tcPr>
            <w:tcW w:w="0" w:type="auto"/>
            <w:tcBorders>
              <w:top w:val="single" w:color="auto" w:sz="4" w:space="0"/>
              <w:left w:val="single" w:color="auto" w:sz="4" w:space="0"/>
              <w:bottom w:val="single" w:color="auto" w:sz="4" w:space="0"/>
              <w:right w:val="single" w:color="auto" w:sz="4" w:space="0"/>
            </w:tcBorders>
            <w:shd w:val="clear" w:color="auto" w:fill="D9D9D9"/>
            <w:tcMar>
              <w:left w:w="108" w:type="dxa"/>
              <w:right w:w="108" w:type="dxa"/>
            </w:tcMar>
            <w:vAlign w:val="center"/>
          </w:tcPr>
          <w:p>
            <w:pPr>
              <w:pStyle w:val="88"/>
            </w:pPr>
            <w:r>
              <w:t>系统最大功率</w:t>
            </w:r>
          </w:p>
        </w:tc>
        <w:tc>
          <w:tcPr>
            <w:tcW w:w="0" w:type="auto"/>
            <w:tcBorders>
              <w:top w:val="single" w:color="auto" w:sz="4" w:space="0"/>
              <w:left w:val="single" w:color="auto" w:sz="4" w:space="0"/>
              <w:bottom w:val="single" w:color="auto" w:sz="4" w:space="0"/>
              <w:right w:val="single" w:color="auto" w:sz="4" w:space="0"/>
            </w:tcBorders>
            <w:shd w:val="clear" w:color="auto" w:fill="D9D9D9"/>
            <w:tcMar>
              <w:left w:w="108" w:type="dxa"/>
              <w:right w:w="108" w:type="dxa"/>
            </w:tcMar>
            <w:vAlign w:val="center"/>
          </w:tcPr>
          <w:p>
            <w:pPr>
              <w:pStyle w:val="88"/>
            </w:pPr>
            <w:r>
              <w:rPr>
                <w:rFonts w:hint="eastAsia"/>
              </w:rPr>
              <w:t>1</w:t>
            </w:r>
            <w:r>
              <w:t>80</w:t>
            </w:r>
            <w:r>
              <w:rPr>
                <w:rFonts w:hint="eastAsia"/>
              </w:rPr>
              <w:t xml:space="preserve"> kVA</w:t>
            </w:r>
          </w:p>
        </w:tc>
        <w:tc>
          <w:tcPr>
            <w:tcW w:w="0" w:type="auto"/>
            <w:tcBorders>
              <w:top w:val="single" w:color="auto" w:sz="4" w:space="0"/>
              <w:left w:val="single" w:color="auto" w:sz="4" w:space="0"/>
              <w:bottom w:val="single" w:color="auto" w:sz="4" w:space="0"/>
              <w:right w:val="single" w:color="auto" w:sz="4" w:space="0"/>
            </w:tcBorders>
            <w:shd w:val="clear" w:color="auto" w:fill="D9D9D9"/>
            <w:vAlign w:val="center"/>
          </w:tcPr>
          <w:p>
            <w:pPr>
              <w:pStyle w:val="88"/>
            </w:pPr>
            <w:r>
              <w:t>300</w:t>
            </w:r>
            <w:r>
              <w:rPr>
                <w:rFonts w:hint="eastAsia"/>
              </w:rPr>
              <w:t>kVA</w:t>
            </w:r>
          </w:p>
        </w:tc>
        <w:tc>
          <w:tcPr>
            <w:tcW w:w="1429"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88"/>
            </w:pPr>
            <w:r>
              <w:rPr>
                <w:rFonts w:hint="eastAsia"/>
              </w:rPr>
              <w:t>600kVA</w:t>
            </w:r>
          </w:p>
        </w:tc>
        <w:tc>
          <w:tcPr>
            <w:tcW w:w="1429"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88"/>
            </w:pPr>
            <w:r>
              <w:rPr>
                <w:rFonts w:hint="eastAsia"/>
              </w:rPr>
              <w:t>800kVA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629" w:type="dxa"/>
            <w:gridSpan w:val="2"/>
            <w:vMerge w:val="continue"/>
            <w:shd w:val="clear" w:color="auto" w:fill="D9D9D9"/>
            <w:tcMar>
              <w:left w:w="108" w:type="dxa"/>
              <w:right w:w="108" w:type="dxa"/>
            </w:tcMar>
            <w:vAlign w:val="center"/>
          </w:tcPr>
          <w:p>
            <w:pPr>
              <w:pStyle w:val="88"/>
            </w:pPr>
          </w:p>
        </w:tc>
        <w:tc>
          <w:tcPr>
            <w:tcW w:w="0" w:type="auto"/>
            <w:shd w:val="clear" w:color="auto" w:fill="D9D9D9"/>
            <w:tcMar>
              <w:left w:w="108" w:type="dxa"/>
              <w:right w:w="108" w:type="dxa"/>
            </w:tcMar>
            <w:vAlign w:val="center"/>
          </w:tcPr>
          <w:p>
            <w:pPr>
              <w:pStyle w:val="88"/>
            </w:pPr>
            <w:r>
              <w:t>功率模块数量</w:t>
            </w:r>
          </w:p>
        </w:tc>
        <w:tc>
          <w:tcPr>
            <w:tcW w:w="0" w:type="auto"/>
            <w:shd w:val="clear" w:color="auto" w:fill="D9D9D9"/>
            <w:tcMar>
              <w:left w:w="108" w:type="dxa"/>
              <w:right w:w="108" w:type="dxa"/>
            </w:tcMar>
            <w:vAlign w:val="center"/>
          </w:tcPr>
          <w:p>
            <w:pPr>
              <w:pStyle w:val="88"/>
            </w:pPr>
            <w:r>
              <w:t>5</w:t>
            </w:r>
            <w:r>
              <w:rPr>
                <w:rFonts w:hint="eastAsia"/>
              </w:rPr>
              <w:t>模块系统</w:t>
            </w:r>
          </w:p>
        </w:tc>
        <w:tc>
          <w:tcPr>
            <w:tcW w:w="0" w:type="auto"/>
            <w:shd w:val="clear" w:color="auto" w:fill="D9D9D9"/>
            <w:vAlign w:val="center"/>
          </w:tcPr>
          <w:p>
            <w:pPr>
              <w:pStyle w:val="88"/>
            </w:pPr>
            <w:r>
              <w:t>7</w:t>
            </w:r>
            <w:r>
              <w:rPr>
                <w:rFonts w:hint="eastAsia"/>
              </w:rPr>
              <w:t>模块系统</w:t>
            </w:r>
          </w:p>
        </w:tc>
        <w:tc>
          <w:tcPr>
            <w:tcW w:w="1429" w:type="dxa"/>
            <w:shd w:val="clear" w:color="auto" w:fill="D9D9D9"/>
            <w:vAlign w:val="center"/>
          </w:tcPr>
          <w:p>
            <w:pPr>
              <w:pStyle w:val="88"/>
            </w:pPr>
            <w:r>
              <w:t>12</w:t>
            </w:r>
            <w:r>
              <w:rPr>
                <w:rFonts w:hint="eastAsia"/>
              </w:rPr>
              <w:t>模块系统</w:t>
            </w:r>
          </w:p>
        </w:tc>
        <w:tc>
          <w:tcPr>
            <w:tcW w:w="1429" w:type="dxa"/>
            <w:shd w:val="clear" w:color="auto" w:fill="D9D9D9"/>
            <w:vAlign w:val="center"/>
          </w:tcPr>
          <w:p>
            <w:pPr>
              <w:pStyle w:val="88"/>
            </w:pPr>
            <w:r>
              <w:rPr>
                <w:rFonts w:hint="eastAsia"/>
              </w:rPr>
              <w:t>14模块系统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1773" w:type="dxa"/>
            <w:vMerge w:val="restart"/>
            <w:tcMar>
              <w:left w:w="108" w:type="dxa"/>
              <w:right w:w="108" w:type="dxa"/>
            </w:tcMar>
            <w:vAlign w:val="center"/>
          </w:tcPr>
          <w:p>
            <w:pPr>
              <w:pStyle w:val="73"/>
            </w:pPr>
            <w:r>
              <w:rPr>
                <w:rFonts w:hint="eastAsia"/>
              </w:rPr>
              <w:t>机械尺寸（</w:t>
            </w:r>
            <w:r>
              <w:t>W</w:t>
            </w:r>
            <w:r>
              <w:rPr>
                <w:rFonts w:hint="eastAsia"/>
              </w:rPr>
              <w:t>×D×</w:t>
            </w:r>
            <w:r>
              <w:t>H</w:t>
            </w:r>
            <w:r>
              <w:rPr>
                <w:rFonts w:hint="eastAsia"/>
              </w:rPr>
              <w:t>）</w:t>
            </w:r>
          </w:p>
        </w:tc>
        <w:tc>
          <w:tcPr>
            <w:tcW w:w="0" w:type="auto"/>
            <w:tcMar>
              <w:left w:w="108" w:type="dxa"/>
              <w:right w:w="108" w:type="dxa"/>
            </w:tcMar>
            <w:vAlign w:val="center"/>
          </w:tcPr>
          <w:p>
            <w:pPr>
              <w:pStyle w:val="73"/>
            </w:pPr>
            <w:r>
              <w:rPr>
                <w:rFonts w:hint="eastAsia"/>
              </w:rPr>
              <w:t>不带包装</w:t>
            </w:r>
          </w:p>
        </w:tc>
        <w:tc>
          <w:tcPr>
            <w:tcW w:w="0" w:type="auto"/>
            <w:tcMar>
              <w:left w:w="108" w:type="dxa"/>
              <w:right w:w="108" w:type="dxa"/>
            </w:tcMar>
            <w:vAlign w:val="center"/>
          </w:tcPr>
          <w:p>
            <w:pPr>
              <w:pStyle w:val="72"/>
            </w:pPr>
            <w:r>
              <w:rPr>
                <w:rFonts w:hint="eastAsia"/>
              </w:rPr>
              <w:t>m</w:t>
            </w:r>
            <w:r>
              <w:t>m</w:t>
            </w:r>
          </w:p>
        </w:tc>
        <w:tc>
          <w:tcPr>
            <w:tcW w:w="0" w:type="auto"/>
            <w:tcMar>
              <w:left w:w="108" w:type="dxa"/>
              <w:right w:w="108" w:type="dxa"/>
            </w:tcMar>
            <w:vAlign w:val="center"/>
          </w:tcPr>
          <w:p>
            <w:pPr>
              <w:pStyle w:val="72"/>
            </w:pPr>
            <w:r>
              <w:rPr>
                <w:rFonts w:hint="eastAsia"/>
              </w:rPr>
              <w:t>600×</w:t>
            </w:r>
            <w:r>
              <w:t>850</w:t>
            </w:r>
            <w:r>
              <w:rPr>
                <w:rFonts w:hint="eastAsia"/>
              </w:rPr>
              <w:t>×2000</w:t>
            </w:r>
          </w:p>
        </w:tc>
        <w:tc>
          <w:tcPr>
            <w:tcW w:w="0" w:type="auto"/>
            <w:vAlign w:val="center"/>
          </w:tcPr>
          <w:p>
            <w:pPr>
              <w:pStyle w:val="72"/>
            </w:pPr>
            <w:r>
              <w:rPr>
                <w:rFonts w:hint="eastAsia"/>
              </w:rPr>
              <w:t>600×</w:t>
            </w:r>
            <w:r>
              <w:t>850</w:t>
            </w:r>
            <w:r>
              <w:rPr>
                <w:rFonts w:hint="eastAsia"/>
              </w:rPr>
              <w:t>×2000</w:t>
            </w:r>
          </w:p>
        </w:tc>
        <w:tc>
          <w:tcPr>
            <w:tcW w:w="1429" w:type="dxa"/>
            <w:vAlign w:val="center"/>
          </w:tcPr>
          <w:p>
            <w:pPr>
              <w:pStyle w:val="72"/>
            </w:pPr>
            <w:r>
              <w:t>12</w:t>
            </w:r>
            <w:r>
              <w:rPr>
                <w:rFonts w:hint="eastAsia"/>
              </w:rPr>
              <w:t>00×</w:t>
            </w:r>
            <w:r>
              <w:t>85</w:t>
            </w:r>
            <w:r>
              <w:rPr>
                <w:rFonts w:hint="eastAsia"/>
              </w:rPr>
              <w:t>0×2000</w:t>
            </w:r>
          </w:p>
        </w:tc>
        <w:tc>
          <w:tcPr>
            <w:tcW w:w="1429" w:type="dxa"/>
            <w:vAlign w:val="center"/>
          </w:tcPr>
          <w:p>
            <w:pPr>
              <w:pStyle w:val="72"/>
            </w:pPr>
            <w:r>
              <w:t>18</w:t>
            </w:r>
            <w:r>
              <w:rPr>
                <w:rFonts w:hint="eastAsia"/>
              </w:rPr>
              <w:t>00×</w:t>
            </w:r>
            <w:r>
              <w:t>85</w:t>
            </w:r>
            <w:r>
              <w:rPr>
                <w:rFonts w:hint="eastAsia"/>
              </w:rPr>
              <w:t>0×2000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1773" w:type="dxa"/>
            <w:vMerge w:val="continue"/>
            <w:tcMar>
              <w:left w:w="108" w:type="dxa"/>
              <w:right w:w="108" w:type="dxa"/>
            </w:tcMar>
            <w:vAlign w:val="center"/>
          </w:tcPr>
          <w:p>
            <w:pPr>
              <w:pStyle w:val="73"/>
            </w:pPr>
          </w:p>
        </w:tc>
        <w:tc>
          <w:tcPr>
            <w:tcW w:w="0" w:type="auto"/>
            <w:tcMar>
              <w:left w:w="108" w:type="dxa"/>
              <w:right w:w="108" w:type="dxa"/>
            </w:tcMar>
            <w:vAlign w:val="center"/>
          </w:tcPr>
          <w:p>
            <w:pPr>
              <w:pStyle w:val="72"/>
              <w:jc w:val="both"/>
            </w:pPr>
            <w:r>
              <w:rPr>
                <w:rFonts w:hint="eastAsia"/>
              </w:rPr>
              <w:t>带包装</w:t>
            </w:r>
          </w:p>
        </w:tc>
        <w:tc>
          <w:tcPr>
            <w:tcW w:w="0" w:type="auto"/>
            <w:tcMar>
              <w:left w:w="108" w:type="dxa"/>
              <w:right w:w="108" w:type="dxa"/>
            </w:tcMar>
            <w:vAlign w:val="center"/>
          </w:tcPr>
          <w:p>
            <w:pPr>
              <w:pStyle w:val="72"/>
            </w:pPr>
            <w:r>
              <w:rPr>
                <w:rFonts w:hint="eastAsia"/>
              </w:rPr>
              <w:t>m</w:t>
            </w:r>
            <w:r>
              <w:t>m</w:t>
            </w:r>
          </w:p>
        </w:tc>
        <w:tc>
          <w:tcPr>
            <w:tcW w:w="0" w:type="auto"/>
            <w:tcMar>
              <w:left w:w="108" w:type="dxa"/>
              <w:right w:w="108" w:type="dxa"/>
            </w:tcMar>
            <w:vAlign w:val="center"/>
          </w:tcPr>
          <w:p>
            <w:pPr>
              <w:pStyle w:val="72"/>
              <w:rPr>
                <w:b/>
              </w:rPr>
            </w:pPr>
            <w:r>
              <w:rPr>
                <w:rFonts w:hint="eastAsia"/>
              </w:rPr>
              <w:t>710×</w:t>
            </w:r>
            <w:r>
              <w:t>960</w:t>
            </w:r>
            <w:r>
              <w:rPr>
                <w:rFonts w:hint="eastAsia"/>
              </w:rPr>
              <w:t>×2</w:t>
            </w:r>
            <w:r>
              <w:t>200</w:t>
            </w:r>
          </w:p>
        </w:tc>
        <w:tc>
          <w:tcPr>
            <w:tcW w:w="0" w:type="auto"/>
            <w:vAlign w:val="center"/>
          </w:tcPr>
          <w:p>
            <w:pPr>
              <w:pStyle w:val="72"/>
            </w:pPr>
            <w:r>
              <w:rPr>
                <w:rFonts w:hint="eastAsia"/>
              </w:rPr>
              <w:t>710×</w:t>
            </w:r>
            <w:r>
              <w:t>960</w:t>
            </w:r>
            <w:r>
              <w:rPr>
                <w:rFonts w:hint="eastAsia"/>
              </w:rPr>
              <w:t>×2</w:t>
            </w:r>
            <w:r>
              <w:t>200</w:t>
            </w:r>
          </w:p>
        </w:tc>
        <w:tc>
          <w:tcPr>
            <w:tcW w:w="1429" w:type="dxa"/>
            <w:vAlign w:val="center"/>
          </w:tcPr>
          <w:p>
            <w:pPr>
              <w:pStyle w:val="72"/>
            </w:pPr>
            <w:r>
              <w:rPr>
                <w:rFonts w:hint="eastAsia"/>
              </w:rPr>
              <w:t>1</w:t>
            </w:r>
            <w:r>
              <w:t>2</w:t>
            </w:r>
            <w:r>
              <w:rPr>
                <w:rFonts w:hint="eastAsia"/>
              </w:rPr>
              <w:t>10×</w:t>
            </w:r>
            <w:r>
              <w:t>96</w:t>
            </w:r>
            <w:r>
              <w:rPr>
                <w:rFonts w:hint="eastAsia"/>
              </w:rPr>
              <w:t>0×2</w:t>
            </w:r>
            <w:r>
              <w:t>200</w:t>
            </w:r>
          </w:p>
        </w:tc>
        <w:tc>
          <w:tcPr>
            <w:tcW w:w="1429" w:type="dxa"/>
            <w:vAlign w:val="center"/>
          </w:tcPr>
          <w:p>
            <w:pPr>
              <w:pStyle w:val="72"/>
            </w:pPr>
            <w:r>
              <w:rPr>
                <w:rFonts w:hint="eastAsia"/>
              </w:rPr>
              <w:t>1</w:t>
            </w:r>
            <w:r>
              <w:t>6</w:t>
            </w:r>
            <w:r>
              <w:rPr>
                <w:rFonts w:hint="eastAsia"/>
              </w:rPr>
              <w:t>10×</w:t>
            </w:r>
            <w:r>
              <w:t>96</w:t>
            </w:r>
            <w:r>
              <w:rPr>
                <w:rFonts w:hint="eastAsia"/>
              </w:rPr>
              <w:t>0×2</w:t>
            </w:r>
            <w: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629" w:type="dxa"/>
            <w:gridSpan w:val="2"/>
            <w:tcMar>
              <w:left w:w="108" w:type="dxa"/>
              <w:right w:w="108" w:type="dxa"/>
            </w:tcMar>
            <w:vAlign w:val="center"/>
          </w:tcPr>
          <w:p>
            <w:pPr>
              <w:pStyle w:val="73"/>
            </w:pPr>
            <w:r>
              <w:rPr>
                <w:rFonts w:hint="eastAsia"/>
              </w:rPr>
              <w:t>净重</w:t>
            </w:r>
          </w:p>
        </w:tc>
        <w:tc>
          <w:tcPr>
            <w:tcW w:w="0" w:type="auto"/>
            <w:tcMar>
              <w:left w:w="108" w:type="dxa"/>
              <w:right w:w="108" w:type="dxa"/>
            </w:tcMar>
            <w:vAlign w:val="center"/>
          </w:tcPr>
          <w:p>
            <w:pPr>
              <w:pStyle w:val="72"/>
            </w:pPr>
            <w:r>
              <w:rPr>
                <w:rFonts w:hint="eastAsia"/>
              </w:rPr>
              <w:t>k</w:t>
            </w:r>
            <w:r>
              <w:t>g</w:t>
            </w:r>
          </w:p>
        </w:tc>
        <w:tc>
          <w:tcPr>
            <w:tcW w:w="0" w:type="auto"/>
            <w:tcMar>
              <w:left w:w="108" w:type="dxa"/>
              <w:right w:w="108" w:type="dxa"/>
            </w:tcMar>
            <w:vAlign w:val="center"/>
          </w:tcPr>
          <w:p>
            <w:pPr>
              <w:pStyle w:val="72"/>
            </w:pPr>
            <w:r>
              <w:rPr>
                <w:rFonts w:hint="eastAsia"/>
              </w:rPr>
              <w:t>3</w:t>
            </w:r>
            <w:r>
              <w:t>70</w:t>
            </w:r>
          </w:p>
        </w:tc>
        <w:tc>
          <w:tcPr>
            <w:tcW w:w="0" w:type="auto"/>
            <w:vAlign w:val="center"/>
          </w:tcPr>
          <w:p>
            <w:pPr>
              <w:pStyle w:val="72"/>
            </w:pPr>
            <w:r>
              <w:t>5</w:t>
            </w:r>
            <w:r>
              <w:rPr>
                <w:rFonts w:hint="eastAsia"/>
              </w:rPr>
              <w:t>00</w:t>
            </w:r>
          </w:p>
        </w:tc>
        <w:tc>
          <w:tcPr>
            <w:tcW w:w="1429" w:type="dxa"/>
            <w:vAlign w:val="center"/>
          </w:tcPr>
          <w:p>
            <w:pPr>
              <w:pStyle w:val="72"/>
            </w:pPr>
            <w:r>
              <w:t>800</w:t>
            </w:r>
          </w:p>
        </w:tc>
        <w:tc>
          <w:tcPr>
            <w:tcW w:w="1429" w:type="dxa"/>
            <w:vAlign w:val="center"/>
          </w:tcPr>
          <w:p>
            <w:pPr>
              <w:pStyle w:val="72"/>
            </w:pPr>
            <w:r>
              <w:rPr>
                <w:rFonts w:hint="eastAsia"/>
              </w:rPr>
              <w:t>1</w:t>
            </w:r>
            <w:r>
              <w:rPr>
                <w:rFonts w:hint="eastAsia"/>
                <w:lang w:val="en-US" w:eastAsia="zh-CN"/>
              </w:rPr>
              <w:t>1</w:t>
            </w:r>
            <w: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629" w:type="dxa"/>
            <w:gridSpan w:val="2"/>
            <w:tcMar>
              <w:left w:w="108" w:type="dxa"/>
              <w:right w:w="108" w:type="dxa"/>
            </w:tcMar>
            <w:vAlign w:val="center"/>
          </w:tcPr>
          <w:p>
            <w:pPr>
              <w:pStyle w:val="73"/>
            </w:pPr>
            <w:r>
              <w:rPr>
                <w:rFonts w:hint="eastAsia"/>
              </w:rPr>
              <w:t>毛重</w:t>
            </w:r>
          </w:p>
        </w:tc>
        <w:tc>
          <w:tcPr>
            <w:tcW w:w="0" w:type="auto"/>
            <w:tcMar>
              <w:left w:w="108" w:type="dxa"/>
              <w:right w:w="108" w:type="dxa"/>
            </w:tcMar>
            <w:vAlign w:val="center"/>
          </w:tcPr>
          <w:p>
            <w:pPr>
              <w:pStyle w:val="72"/>
            </w:pPr>
            <w:r>
              <w:rPr>
                <w:rFonts w:hint="eastAsia"/>
              </w:rPr>
              <w:t>k</w:t>
            </w:r>
            <w:r>
              <w:t>g</w:t>
            </w:r>
          </w:p>
        </w:tc>
        <w:tc>
          <w:tcPr>
            <w:tcW w:w="0" w:type="auto"/>
            <w:tcMar>
              <w:left w:w="108" w:type="dxa"/>
              <w:right w:w="108" w:type="dxa"/>
            </w:tcMar>
            <w:vAlign w:val="center"/>
          </w:tcPr>
          <w:p>
            <w:pPr>
              <w:pStyle w:val="72"/>
            </w:pPr>
            <w:r>
              <w:rPr>
                <w:rFonts w:hint="eastAsia"/>
              </w:rPr>
              <w:t>4</w:t>
            </w:r>
            <w:r>
              <w:t>00</w:t>
            </w:r>
          </w:p>
        </w:tc>
        <w:tc>
          <w:tcPr>
            <w:tcW w:w="0" w:type="auto"/>
            <w:vAlign w:val="center"/>
          </w:tcPr>
          <w:p>
            <w:pPr>
              <w:pStyle w:val="72"/>
            </w:pPr>
            <w:r>
              <w:t>5</w:t>
            </w:r>
            <w:r>
              <w:rPr>
                <w:rFonts w:hint="eastAsia"/>
              </w:rPr>
              <w:t>30</w:t>
            </w:r>
          </w:p>
        </w:tc>
        <w:tc>
          <w:tcPr>
            <w:tcW w:w="1429" w:type="dxa"/>
            <w:vAlign w:val="center"/>
          </w:tcPr>
          <w:p>
            <w:pPr>
              <w:pStyle w:val="72"/>
            </w:pPr>
            <w:r>
              <w:t>850</w:t>
            </w:r>
          </w:p>
        </w:tc>
        <w:tc>
          <w:tcPr>
            <w:tcW w:w="1429" w:type="dxa"/>
            <w:vAlign w:val="center"/>
          </w:tcPr>
          <w:p>
            <w:pPr>
              <w:pStyle w:val="72"/>
            </w:pPr>
            <w:r>
              <w:rPr>
                <w:rFonts w:hint="eastAsia"/>
              </w:rPr>
              <w:t>1</w:t>
            </w:r>
            <w:r>
              <w:rPr>
                <w:rFonts w:hint="eastAsia"/>
                <w:lang w:val="en-US" w:eastAsia="zh-CN"/>
              </w:rPr>
              <w:t>1</w:t>
            </w:r>
            <w: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629" w:type="dxa"/>
            <w:gridSpan w:val="2"/>
            <w:tcMar>
              <w:left w:w="108" w:type="dxa"/>
              <w:right w:w="108" w:type="dxa"/>
            </w:tcMar>
            <w:vAlign w:val="center"/>
          </w:tcPr>
          <w:p>
            <w:pPr>
              <w:pStyle w:val="73"/>
            </w:pPr>
            <w:r>
              <w:rPr>
                <w:rFonts w:hint="eastAsia"/>
              </w:rPr>
              <w:t>防护等级</w:t>
            </w:r>
          </w:p>
        </w:tc>
        <w:tc>
          <w:tcPr>
            <w:tcW w:w="0" w:type="auto"/>
            <w:tcMar>
              <w:left w:w="108" w:type="dxa"/>
              <w:right w:w="108" w:type="dxa"/>
            </w:tcMar>
            <w:vAlign w:val="center"/>
          </w:tcPr>
          <w:p>
            <w:pPr>
              <w:pStyle w:val="72"/>
            </w:pPr>
          </w:p>
        </w:tc>
        <w:tc>
          <w:tcPr>
            <w:tcW w:w="0" w:type="auto"/>
            <w:tcMar>
              <w:left w:w="108" w:type="dxa"/>
              <w:right w:w="108" w:type="dxa"/>
            </w:tcMar>
            <w:vAlign w:val="center"/>
          </w:tcPr>
          <w:p>
            <w:pPr>
              <w:pStyle w:val="73"/>
              <w:jc w:val="center"/>
            </w:pPr>
            <w:r>
              <w:t>IP20</w:t>
            </w:r>
          </w:p>
        </w:tc>
        <w:tc>
          <w:tcPr>
            <w:tcW w:w="0" w:type="auto"/>
            <w:vAlign w:val="center"/>
          </w:tcPr>
          <w:p>
            <w:pPr>
              <w:pStyle w:val="73"/>
              <w:jc w:val="center"/>
            </w:pPr>
            <w:r>
              <w:t>IP20</w:t>
            </w:r>
          </w:p>
        </w:tc>
        <w:tc>
          <w:tcPr>
            <w:tcW w:w="1429" w:type="dxa"/>
            <w:vAlign w:val="center"/>
          </w:tcPr>
          <w:p>
            <w:pPr>
              <w:pStyle w:val="73"/>
              <w:jc w:val="center"/>
            </w:pPr>
            <w:r>
              <w:t>IP20</w:t>
            </w:r>
          </w:p>
        </w:tc>
        <w:tc>
          <w:tcPr>
            <w:tcW w:w="1429" w:type="dxa"/>
            <w:vAlign w:val="center"/>
          </w:tcPr>
          <w:p>
            <w:pPr>
              <w:pStyle w:val="73"/>
              <w:jc w:val="center"/>
            </w:pPr>
            <w:r>
              <w:t>IP20</w:t>
            </w:r>
          </w:p>
        </w:tc>
      </w:tr>
    </w:tbl>
    <w:p>
      <w:pPr>
        <w:pStyle w:val="5"/>
        <w:numPr>
          <w:ilvl w:val="2"/>
          <w:numId w:val="4"/>
        </w:numPr>
      </w:pPr>
      <w:bookmarkStart w:id="94" w:name="_Toc24462"/>
      <w:r>
        <w:rPr>
          <w:rFonts w:hint="eastAsia"/>
        </w:rPr>
        <w:t>电气特性</w:t>
      </w:r>
      <w:bookmarkEnd w:id="94"/>
    </w:p>
    <w:p>
      <w:pPr>
        <w:pStyle w:val="3"/>
        <w:rPr>
          <w:lang w:val="pt-BR"/>
        </w:rPr>
      </w:pPr>
      <w:r>
        <w:rPr>
          <w:rFonts w:hint="eastAsia"/>
          <w:lang w:val="pt-BR"/>
        </w:rPr>
        <w:t>电气特性包含了，整流器，电池充放电器，逆变器及静态旁路等电气参数部分。表1</w:t>
      </w:r>
      <w:r>
        <w:rPr>
          <w:lang w:val="pt-BR"/>
        </w:rPr>
        <w:t>-4为</w:t>
      </w:r>
      <w:r>
        <w:rPr>
          <w:rFonts w:hint="eastAsia"/>
        </w:rPr>
        <w:t>整流器交流输入电气特性，</w:t>
      </w:r>
      <w:r>
        <w:rPr>
          <w:rFonts w:hint="eastAsia"/>
          <w:lang w:val="pt-BR"/>
        </w:rPr>
        <w:t>表1</w:t>
      </w:r>
      <w:r>
        <w:rPr>
          <w:lang w:val="pt-BR"/>
        </w:rPr>
        <w:t>-5为</w:t>
      </w:r>
      <w:r>
        <w:rPr>
          <w:rFonts w:hint="eastAsia"/>
        </w:rPr>
        <w:t>电池充放电器电气特性，</w:t>
      </w:r>
      <w:r>
        <w:rPr>
          <w:rFonts w:hint="eastAsia"/>
          <w:lang w:val="pt-BR"/>
        </w:rPr>
        <w:t>表1</w:t>
      </w:r>
      <w:r>
        <w:rPr>
          <w:lang w:val="pt-BR"/>
        </w:rPr>
        <w:t>-6</w:t>
      </w:r>
      <w:r>
        <w:rPr>
          <w:rFonts w:hint="eastAsia"/>
          <w:lang w:val="pt-BR"/>
        </w:rPr>
        <w:t>为</w:t>
      </w:r>
      <w:r>
        <w:rPr>
          <w:rFonts w:hint="eastAsia"/>
        </w:rPr>
        <w:t>逆变器交流输出电气特性，</w:t>
      </w:r>
      <w:r>
        <w:rPr>
          <w:rFonts w:hint="eastAsia"/>
          <w:lang w:val="pt-BR"/>
        </w:rPr>
        <w:t>表1</w:t>
      </w:r>
      <w:r>
        <w:rPr>
          <w:lang w:val="pt-BR"/>
        </w:rPr>
        <w:t>-7</w:t>
      </w:r>
      <w:r>
        <w:rPr>
          <w:rFonts w:hint="eastAsia"/>
          <w:lang w:val="pt-BR"/>
        </w:rPr>
        <w:t>为</w:t>
      </w:r>
      <w:r>
        <w:rPr>
          <w:rFonts w:hint="eastAsia"/>
        </w:rPr>
        <w:t>旁路交流输入电气特性。</w:t>
      </w:r>
    </w:p>
    <w:p>
      <w:pPr>
        <w:pStyle w:val="194"/>
        <w:numPr>
          <w:ilvl w:val="5"/>
          <w:numId w:val="4"/>
        </w:numPr>
        <w:rPr>
          <w:szCs w:val="22"/>
        </w:rPr>
      </w:pPr>
      <w:r>
        <w:rPr>
          <w:rFonts w:hint="eastAsia"/>
          <w:szCs w:val="22"/>
        </w:rPr>
        <w:t>整流器交流输入</w:t>
      </w:r>
    </w:p>
    <w:tbl>
      <w:tblPr>
        <w:tblStyle w:val="50"/>
        <w:tblW w:w="9391"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9"/>
        <w:gridCol w:w="1748"/>
        <w:gridCol w:w="6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right"/>
        </w:trPr>
        <w:tc>
          <w:tcPr>
            <w:tcW w:w="1479" w:type="dxa"/>
            <w:vMerge w:val="restart"/>
            <w:shd w:val="clear" w:color="auto" w:fill="D9D9D9"/>
            <w:tcMar>
              <w:left w:w="28" w:type="dxa"/>
              <w:right w:w="28" w:type="dxa"/>
            </w:tcMar>
            <w:vAlign w:val="center"/>
          </w:tcPr>
          <w:p>
            <w:pPr>
              <w:pStyle w:val="88"/>
            </w:pPr>
            <w:bookmarkStart w:id="95" w:name="_Toc232477215"/>
            <w:bookmarkStart w:id="96" w:name="_Toc228855194"/>
            <w:bookmarkStart w:id="97" w:name="_Toc321729218"/>
            <w:bookmarkStart w:id="98" w:name="_Toc267573043"/>
            <w:r>
              <w:rPr>
                <w:rFonts w:hint="eastAsia"/>
              </w:rPr>
              <w:t>项目</w:t>
            </w:r>
          </w:p>
        </w:tc>
        <w:tc>
          <w:tcPr>
            <w:tcW w:w="1748" w:type="dxa"/>
            <w:vMerge w:val="restart"/>
            <w:shd w:val="clear" w:color="auto" w:fill="D9D9D9"/>
            <w:tcMar>
              <w:left w:w="28" w:type="dxa"/>
              <w:right w:w="28" w:type="dxa"/>
            </w:tcMar>
            <w:vAlign w:val="center"/>
          </w:tcPr>
          <w:p>
            <w:pPr>
              <w:pStyle w:val="88"/>
            </w:pPr>
            <w:r>
              <w:rPr>
                <w:rFonts w:hint="eastAsia"/>
              </w:rPr>
              <w:t>单位</w:t>
            </w:r>
          </w:p>
        </w:tc>
        <w:tc>
          <w:tcPr>
            <w:tcW w:w="6164" w:type="dxa"/>
            <w:shd w:val="clear" w:color="auto" w:fill="D9D9D9"/>
            <w:tcMar>
              <w:left w:w="28" w:type="dxa"/>
              <w:right w:w="28" w:type="dxa"/>
            </w:tcMar>
            <w:vAlign w:val="center"/>
          </w:tcPr>
          <w:p>
            <w:pPr>
              <w:pStyle w:val="88"/>
            </w:pPr>
            <w:r>
              <w:rPr>
                <w:rFonts w:hint="eastAsia"/>
              </w:rPr>
              <w:t>额定功率（kVA）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right"/>
        </w:trPr>
        <w:tc>
          <w:tcPr>
            <w:tcW w:w="1479" w:type="dxa"/>
            <w:vMerge w:val="continue"/>
            <w:shd w:val="clear" w:color="auto" w:fill="D9D9D9"/>
            <w:tcMar>
              <w:left w:w="28" w:type="dxa"/>
              <w:right w:w="28" w:type="dxa"/>
            </w:tcMar>
            <w:vAlign w:val="center"/>
          </w:tcPr>
          <w:p>
            <w:pPr>
              <w:pStyle w:val="88"/>
            </w:pPr>
          </w:p>
        </w:tc>
        <w:tc>
          <w:tcPr>
            <w:tcW w:w="1748" w:type="dxa"/>
            <w:vMerge w:val="continue"/>
            <w:shd w:val="clear" w:color="auto" w:fill="D9D9D9"/>
            <w:tcMar>
              <w:left w:w="28" w:type="dxa"/>
              <w:right w:w="28" w:type="dxa"/>
            </w:tcMar>
            <w:vAlign w:val="center"/>
          </w:tcPr>
          <w:p>
            <w:pPr>
              <w:pStyle w:val="88"/>
            </w:pPr>
          </w:p>
        </w:tc>
        <w:tc>
          <w:tcPr>
            <w:tcW w:w="6164" w:type="dxa"/>
            <w:shd w:val="clear" w:color="auto" w:fill="D9D9D9"/>
            <w:tcMar>
              <w:left w:w="28" w:type="dxa"/>
              <w:right w:w="28" w:type="dxa"/>
            </w:tcMar>
            <w:vAlign w:val="center"/>
          </w:tcPr>
          <w:p>
            <w:pPr>
              <w:pStyle w:val="88"/>
            </w:pPr>
            <w:r>
              <w:t>18</w:t>
            </w:r>
            <w:r>
              <w:rPr>
                <w:rFonts w:hint="eastAsia"/>
              </w:rPr>
              <w:t>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1479" w:type="dxa"/>
            <w:tcMar>
              <w:left w:w="28" w:type="dxa"/>
              <w:right w:w="28" w:type="dxa"/>
            </w:tcMar>
            <w:vAlign w:val="center"/>
          </w:tcPr>
          <w:p>
            <w:pPr>
              <w:pStyle w:val="73"/>
              <w:rPr>
                <w:vertAlign w:val="superscript"/>
              </w:rPr>
            </w:pPr>
            <w:r>
              <w:rPr>
                <w:rFonts w:hint="eastAsia"/>
              </w:rPr>
              <w:t>额定交流输入电压</w:t>
            </w:r>
            <w:r>
              <w:rPr>
                <w:rFonts w:hint="eastAsia"/>
                <w:vertAlign w:val="superscript"/>
              </w:rPr>
              <w:t>1</w:t>
            </w:r>
          </w:p>
        </w:tc>
        <w:tc>
          <w:tcPr>
            <w:tcW w:w="1748" w:type="dxa"/>
            <w:tcMar>
              <w:left w:w="28" w:type="dxa"/>
              <w:right w:w="28" w:type="dxa"/>
            </w:tcMar>
            <w:vAlign w:val="center"/>
          </w:tcPr>
          <w:p>
            <w:pPr>
              <w:pStyle w:val="73"/>
            </w:pPr>
            <w:r>
              <w:t>Vac</w:t>
            </w:r>
          </w:p>
        </w:tc>
        <w:tc>
          <w:tcPr>
            <w:tcW w:w="6164" w:type="dxa"/>
            <w:tcMar>
              <w:left w:w="28" w:type="dxa"/>
              <w:right w:w="28" w:type="dxa"/>
            </w:tcMar>
            <w:vAlign w:val="center"/>
          </w:tcPr>
          <w:p>
            <w:pPr>
              <w:pStyle w:val="73"/>
            </w:pPr>
            <w:r>
              <w:t>380/400/415</w:t>
            </w:r>
            <w:r>
              <w:rPr>
                <w:rFonts w:hint="eastAsia"/>
              </w:rPr>
              <w:t>，三相四线（+PE）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1479" w:type="dxa"/>
            <w:tcMar>
              <w:left w:w="28" w:type="dxa"/>
              <w:right w:w="28" w:type="dxa"/>
            </w:tcMar>
            <w:vAlign w:val="center"/>
          </w:tcPr>
          <w:p>
            <w:pPr>
              <w:pStyle w:val="73"/>
              <w:rPr>
                <w:vertAlign w:val="superscript"/>
              </w:rPr>
            </w:pPr>
            <w:r>
              <w:rPr>
                <w:rFonts w:hint="eastAsia"/>
              </w:rPr>
              <w:t>输入电压范围</w:t>
            </w:r>
            <w:r>
              <w:rPr>
                <w:rFonts w:hint="eastAsia"/>
                <w:vertAlign w:val="superscript"/>
              </w:rPr>
              <w:t>2</w:t>
            </w:r>
          </w:p>
        </w:tc>
        <w:tc>
          <w:tcPr>
            <w:tcW w:w="1748" w:type="dxa"/>
            <w:tcMar>
              <w:left w:w="28" w:type="dxa"/>
              <w:right w:w="28" w:type="dxa"/>
            </w:tcMar>
            <w:vAlign w:val="center"/>
          </w:tcPr>
          <w:p>
            <w:pPr>
              <w:pStyle w:val="73"/>
            </w:pPr>
            <w:r>
              <w:t>Vac</w:t>
            </w:r>
          </w:p>
        </w:tc>
        <w:tc>
          <w:tcPr>
            <w:tcW w:w="6164" w:type="dxa"/>
            <w:tcMar>
              <w:left w:w="28" w:type="dxa"/>
              <w:right w:w="28" w:type="dxa"/>
            </w:tcMar>
            <w:vAlign w:val="center"/>
          </w:tcPr>
          <w:p>
            <w:pPr>
              <w:pStyle w:val="73"/>
            </w:pPr>
            <w:r>
              <w:t>2</w:t>
            </w:r>
            <w:r>
              <w:rPr>
                <w:rFonts w:hint="eastAsia"/>
              </w:rPr>
              <w:t>2</w:t>
            </w:r>
            <w:r>
              <w:t>8</w:t>
            </w:r>
            <w:r>
              <w:rPr>
                <w:rFonts w:hint="eastAsia"/>
              </w:rPr>
              <w:t>～478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1479" w:type="dxa"/>
            <w:tcMar>
              <w:left w:w="28" w:type="dxa"/>
              <w:right w:w="28" w:type="dxa"/>
            </w:tcMar>
            <w:vAlign w:val="center"/>
          </w:tcPr>
          <w:p>
            <w:pPr>
              <w:pStyle w:val="73"/>
            </w:pPr>
            <w:r>
              <w:rPr>
                <w:rFonts w:hint="eastAsia"/>
              </w:rPr>
              <w:t>频率</w:t>
            </w:r>
            <w:r>
              <w:rPr>
                <w:rFonts w:hint="eastAsia"/>
                <w:vertAlign w:val="superscript"/>
              </w:rPr>
              <w:t>1</w:t>
            </w:r>
          </w:p>
        </w:tc>
        <w:tc>
          <w:tcPr>
            <w:tcW w:w="1748" w:type="dxa"/>
            <w:tcMar>
              <w:left w:w="28" w:type="dxa"/>
              <w:right w:w="28" w:type="dxa"/>
            </w:tcMar>
            <w:vAlign w:val="center"/>
          </w:tcPr>
          <w:p>
            <w:pPr>
              <w:pStyle w:val="73"/>
            </w:pPr>
            <w:r>
              <w:t>Hz</w:t>
            </w:r>
          </w:p>
        </w:tc>
        <w:tc>
          <w:tcPr>
            <w:tcW w:w="6164" w:type="dxa"/>
            <w:tcMar>
              <w:left w:w="28" w:type="dxa"/>
              <w:right w:w="28" w:type="dxa"/>
            </w:tcMar>
            <w:vAlign w:val="center"/>
          </w:tcPr>
          <w:p>
            <w:pPr>
              <w:pStyle w:val="73"/>
            </w:pPr>
            <w:r>
              <w:t>50/60</w:t>
            </w:r>
            <w:r>
              <w:rPr>
                <w:rFonts w:hint="eastAsia"/>
              </w:rPr>
              <w:t>（范围：</w:t>
            </w:r>
            <w:r>
              <w:t>40</w:t>
            </w:r>
            <w:r>
              <w:rPr>
                <w:rFonts w:hint="eastAsia"/>
              </w:rPr>
              <w:t>～</w:t>
            </w:r>
            <w:r>
              <w:t>7</w:t>
            </w: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1479" w:type="dxa"/>
            <w:tcMar>
              <w:left w:w="28" w:type="dxa"/>
              <w:right w:w="28" w:type="dxa"/>
            </w:tcMar>
            <w:vAlign w:val="center"/>
          </w:tcPr>
          <w:p>
            <w:pPr>
              <w:pStyle w:val="73"/>
            </w:pPr>
            <w:r>
              <w:rPr>
                <w:rFonts w:hint="eastAsia"/>
              </w:rPr>
              <w:t>功率因数</w:t>
            </w:r>
          </w:p>
        </w:tc>
        <w:tc>
          <w:tcPr>
            <w:tcW w:w="1748" w:type="dxa"/>
            <w:tcMar>
              <w:left w:w="28" w:type="dxa"/>
              <w:right w:w="28" w:type="dxa"/>
            </w:tcMar>
            <w:vAlign w:val="center"/>
          </w:tcPr>
          <w:p>
            <w:pPr>
              <w:pStyle w:val="73"/>
            </w:pPr>
            <w:r>
              <w:t>kW/</w:t>
            </w:r>
            <w:r>
              <w:rPr>
                <w:rFonts w:hint="eastAsia"/>
              </w:rPr>
              <w:t>kVA，满载</w:t>
            </w:r>
            <w:r>
              <w:t>（</w:t>
            </w:r>
            <w:r>
              <w:rPr>
                <w:rFonts w:hint="eastAsia"/>
              </w:rPr>
              <w:t>半载</w:t>
            </w:r>
            <w:r>
              <w:t>）</w:t>
            </w:r>
          </w:p>
        </w:tc>
        <w:tc>
          <w:tcPr>
            <w:tcW w:w="6164" w:type="dxa"/>
            <w:tcMar>
              <w:left w:w="28" w:type="dxa"/>
              <w:right w:w="28" w:type="dxa"/>
            </w:tcMar>
            <w:vAlign w:val="center"/>
          </w:tcPr>
          <w:p>
            <w:pPr>
              <w:pStyle w:val="73"/>
            </w:pPr>
            <w:r>
              <w:t>0.99</w:t>
            </w:r>
            <w:r>
              <w:rPr>
                <w:rFonts w:hint="eastAsia"/>
              </w:rPr>
              <w:t>（</w:t>
            </w:r>
            <w:r>
              <w:t>0.9</w:t>
            </w:r>
            <w:r>
              <w:rPr>
                <w:rFonts w:hint="eastAsia"/>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1479" w:type="dxa"/>
            <w:tcMar>
              <w:left w:w="28" w:type="dxa"/>
              <w:right w:w="28" w:type="dxa"/>
            </w:tcMar>
            <w:vAlign w:val="center"/>
          </w:tcPr>
          <w:p>
            <w:pPr>
              <w:pStyle w:val="73"/>
              <w:rPr>
                <w:vertAlign w:val="superscript"/>
              </w:rPr>
            </w:pPr>
            <w:r>
              <w:rPr>
                <w:rFonts w:hint="eastAsia"/>
              </w:rPr>
              <w:t>总谐波失真</w:t>
            </w:r>
            <w:r>
              <w:t>THD</w:t>
            </w:r>
            <w:r>
              <w:rPr>
                <w:rFonts w:hint="eastAsia"/>
              </w:rPr>
              <w:t>I</w:t>
            </w:r>
          </w:p>
        </w:tc>
        <w:tc>
          <w:tcPr>
            <w:tcW w:w="1748" w:type="dxa"/>
            <w:tcMar>
              <w:left w:w="28" w:type="dxa"/>
              <w:right w:w="28" w:type="dxa"/>
            </w:tcMar>
            <w:vAlign w:val="center"/>
          </w:tcPr>
          <w:p>
            <w:pPr>
              <w:pStyle w:val="73"/>
            </w:pPr>
            <w:r>
              <w:rPr>
                <w:lang w:val="en-GB"/>
              </w:rPr>
              <w:t>％</w:t>
            </w:r>
          </w:p>
        </w:tc>
        <w:tc>
          <w:tcPr>
            <w:tcW w:w="6164" w:type="dxa"/>
            <w:tcMar>
              <w:left w:w="28" w:type="dxa"/>
              <w:right w:w="28" w:type="dxa"/>
            </w:tcMar>
            <w:vAlign w:val="center"/>
          </w:tcPr>
          <w:p>
            <w:pPr>
              <w:pStyle w:val="73"/>
            </w:pPr>
            <w:r>
              <w:rPr>
                <w:rFonts w:hint="eastAsia"/>
              </w:rPr>
              <w:t>3</w:t>
            </w:r>
          </w:p>
        </w:tc>
      </w:tr>
      <w:bookmarkEnd w:id="95"/>
      <w:bookmarkEnd w:id="96"/>
      <w:bookmarkEnd w:id="97"/>
      <w:bookmarkEnd w:id="98"/>
    </w:tbl>
    <w:p>
      <w:pPr>
        <w:pStyle w:val="3"/>
        <w:spacing w:line="312" w:lineRule="auto"/>
        <w:rPr>
          <w:sz w:val="16"/>
          <w:szCs w:val="16"/>
          <w:lang w:val="pt-BR"/>
        </w:rPr>
      </w:pPr>
      <w:r>
        <w:rPr>
          <w:rFonts w:hint="eastAsia"/>
          <w:sz w:val="16"/>
          <w:szCs w:val="16"/>
        </w:rPr>
        <w:drawing>
          <wp:inline distT="0" distB="0" distL="0" distR="0">
            <wp:extent cx="646430" cy="283845"/>
            <wp:effectExtent l="0" t="0" r="1270" b="1905"/>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noChangeArrowheads="1"/>
                    </pic:cNvPicPr>
                  </pic:nvPicPr>
                  <pic:blipFill>
                    <a:blip r:embed="rId44">
                      <a:extLst>
                        <a:ext uri="{28A0092B-C50C-407E-A947-70E740481C1C}">
                          <a14:useLocalDpi xmlns:a14="http://schemas.microsoft.com/office/drawing/2010/main" val="0"/>
                        </a:ext>
                      </a:extLst>
                    </a:blip>
                    <a:srcRect l="3618" r="2592"/>
                    <a:stretch>
                      <a:fillRect/>
                    </a:stretch>
                  </pic:blipFill>
                  <pic:spPr>
                    <a:xfrm>
                      <a:off x="0" y="0"/>
                      <a:ext cx="646430" cy="283845"/>
                    </a:xfrm>
                    <a:prstGeom prst="rect">
                      <a:avLst/>
                    </a:prstGeom>
                    <a:noFill/>
                    <a:ln>
                      <a:noFill/>
                    </a:ln>
                  </pic:spPr>
                </pic:pic>
              </a:graphicData>
            </a:graphic>
          </wp:inline>
        </w:drawing>
      </w:r>
    </w:p>
    <w:p>
      <w:pPr>
        <w:pStyle w:val="3"/>
        <w:spacing w:line="312" w:lineRule="auto"/>
        <w:rPr>
          <w:sz w:val="16"/>
          <w:szCs w:val="16"/>
        </w:rPr>
      </w:pPr>
      <w:r>
        <w:rPr>
          <w:rFonts w:hint="eastAsia"/>
          <w:sz w:val="16"/>
          <w:szCs w:val="16"/>
        </w:rPr>
        <w:t>1．整流器可在任何额定电源电压和频率正常工作，无需作任何调整。</w:t>
      </w:r>
    </w:p>
    <w:p>
      <w:pPr>
        <w:pStyle w:val="3"/>
        <w:spacing w:line="312" w:lineRule="auto"/>
        <w:rPr>
          <w:sz w:val="16"/>
          <w:szCs w:val="16"/>
        </w:rPr>
      </w:pPr>
      <w:r>
        <w:rPr>
          <w:rFonts w:hint="eastAsia"/>
          <w:sz w:val="16"/>
          <w:szCs w:val="16"/>
        </w:rPr>
        <w:t>2．在</w:t>
      </w:r>
      <w:r>
        <w:rPr>
          <w:sz w:val="16"/>
          <w:szCs w:val="16"/>
        </w:rPr>
        <w:t>324V</w:t>
      </w:r>
      <w:r>
        <w:rPr>
          <w:rFonts w:hint="eastAsia"/>
          <w:sz w:val="16"/>
          <w:szCs w:val="16"/>
        </w:rPr>
        <w:t>的输入电压点，UPS带额定负载时可保持设定输出电压，无需电池放电。</w:t>
      </w:r>
    </w:p>
    <w:p>
      <w:pPr>
        <w:pStyle w:val="3"/>
        <w:spacing w:line="312" w:lineRule="auto"/>
        <w:rPr>
          <w:sz w:val="16"/>
          <w:szCs w:val="16"/>
          <w:lang w:val="pt-BR"/>
        </w:rPr>
      </w:pPr>
      <w:r>
        <w:rPr>
          <w:sz w:val="16"/>
          <w:szCs w:val="16"/>
        </w:rPr>
        <w:t>3</w:t>
      </w:r>
      <w:r>
        <w:rPr>
          <w:rFonts w:hint="eastAsia"/>
          <w:sz w:val="16"/>
          <w:szCs w:val="16"/>
        </w:rPr>
        <w:t>．</w:t>
      </w:r>
      <w:r>
        <w:rPr>
          <w:sz w:val="16"/>
          <w:szCs w:val="16"/>
        </w:rPr>
        <w:t>IEC 62040-3/EN50091-3</w:t>
      </w:r>
      <w:r>
        <w:rPr>
          <w:rFonts w:hint="eastAsia"/>
          <w:sz w:val="16"/>
          <w:szCs w:val="16"/>
        </w:rPr>
        <w:t>：额定负载，输入额定电压400V，电池满充。</w:t>
      </w:r>
    </w:p>
    <w:p>
      <w:pPr>
        <w:pStyle w:val="194"/>
        <w:numPr>
          <w:ilvl w:val="5"/>
          <w:numId w:val="4"/>
        </w:numPr>
        <w:rPr>
          <w:szCs w:val="22"/>
        </w:rPr>
      </w:pPr>
      <w:r>
        <w:rPr>
          <w:rFonts w:hint="eastAsia"/>
          <w:szCs w:val="22"/>
        </w:rPr>
        <w:t>电池充放电器</w:t>
      </w:r>
    </w:p>
    <w:tbl>
      <w:tblPr>
        <w:tblStyle w:val="50"/>
        <w:tblW w:w="9214"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1559"/>
        <w:gridCol w:w="5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1985" w:type="dxa"/>
            <w:vMerge w:val="restart"/>
            <w:shd w:val="clear" w:color="auto" w:fill="D9D9D9"/>
            <w:tcMar>
              <w:left w:w="108" w:type="dxa"/>
              <w:right w:w="108" w:type="dxa"/>
            </w:tcMar>
            <w:vAlign w:val="center"/>
          </w:tcPr>
          <w:p>
            <w:pPr>
              <w:pStyle w:val="88"/>
            </w:pPr>
            <w:r>
              <w:rPr>
                <w:rFonts w:hint="eastAsia"/>
              </w:rPr>
              <w:t>项目</w:t>
            </w:r>
          </w:p>
        </w:tc>
        <w:tc>
          <w:tcPr>
            <w:tcW w:w="1559" w:type="dxa"/>
            <w:vMerge w:val="restart"/>
            <w:shd w:val="clear" w:color="auto" w:fill="D9D9D9"/>
            <w:tcMar>
              <w:left w:w="108" w:type="dxa"/>
              <w:right w:w="108" w:type="dxa"/>
            </w:tcMar>
            <w:vAlign w:val="center"/>
          </w:tcPr>
          <w:p>
            <w:pPr>
              <w:pStyle w:val="88"/>
            </w:pPr>
            <w:r>
              <w:rPr>
                <w:rFonts w:hint="eastAsia"/>
              </w:rPr>
              <w:t>单位</w:t>
            </w:r>
          </w:p>
        </w:tc>
        <w:tc>
          <w:tcPr>
            <w:tcW w:w="5670" w:type="dxa"/>
            <w:shd w:val="clear" w:color="auto" w:fill="D9D9D9"/>
            <w:tcMar>
              <w:left w:w="108" w:type="dxa"/>
              <w:right w:w="108" w:type="dxa"/>
            </w:tcMar>
            <w:vAlign w:val="center"/>
          </w:tcPr>
          <w:p>
            <w:pPr>
              <w:pStyle w:val="88"/>
            </w:pPr>
            <w:r>
              <w:rPr>
                <w:rFonts w:hint="eastAsia"/>
              </w:rPr>
              <w:t>额定功率（</w:t>
            </w:r>
            <w:r>
              <w:rPr>
                <w:rFonts w:hint="eastAsia"/>
                <w:iCs w:val="0"/>
              </w:rPr>
              <w:t>kVA</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1985" w:type="dxa"/>
            <w:vMerge w:val="continue"/>
            <w:shd w:val="clear" w:color="auto" w:fill="D9D9D9"/>
            <w:tcMar>
              <w:left w:w="108" w:type="dxa"/>
              <w:right w:w="108" w:type="dxa"/>
            </w:tcMar>
            <w:vAlign w:val="center"/>
          </w:tcPr>
          <w:p>
            <w:pPr>
              <w:pStyle w:val="88"/>
            </w:pPr>
          </w:p>
        </w:tc>
        <w:tc>
          <w:tcPr>
            <w:tcW w:w="1559" w:type="dxa"/>
            <w:vMerge w:val="continue"/>
            <w:shd w:val="clear" w:color="auto" w:fill="D9D9D9"/>
            <w:tcMar>
              <w:left w:w="108" w:type="dxa"/>
              <w:right w:w="108" w:type="dxa"/>
            </w:tcMar>
            <w:vAlign w:val="center"/>
          </w:tcPr>
          <w:p>
            <w:pPr>
              <w:pStyle w:val="88"/>
            </w:pPr>
          </w:p>
        </w:tc>
        <w:tc>
          <w:tcPr>
            <w:tcW w:w="5670" w:type="dxa"/>
            <w:shd w:val="clear" w:color="auto" w:fill="D9D9D9"/>
            <w:tcMar>
              <w:left w:w="108" w:type="dxa"/>
              <w:right w:w="108" w:type="dxa"/>
            </w:tcMar>
            <w:vAlign w:val="bottom"/>
          </w:tcPr>
          <w:p>
            <w:pPr>
              <w:pStyle w:val="88"/>
            </w:pPr>
            <w:r>
              <w:t>18</w:t>
            </w:r>
            <w:r>
              <w:rPr>
                <w:rFonts w:hint="eastAsia"/>
              </w:rPr>
              <w:t>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 w:hRule="atLeast"/>
          <w:jc w:val="right"/>
        </w:trPr>
        <w:tc>
          <w:tcPr>
            <w:tcW w:w="1985" w:type="dxa"/>
            <w:tcMar>
              <w:left w:w="108" w:type="dxa"/>
              <w:right w:w="108" w:type="dxa"/>
            </w:tcMar>
            <w:vAlign w:val="center"/>
          </w:tcPr>
          <w:p>
            <w:pPr>
              <w:pStyle w:val="73"/>
            </w:pPr>
            <w:r>
              <w:rPr>
                <w:rFonts w:hint="eastAsia"/>
              </w:rPr>
              <w:t>额定电池母线电压</w:t>
            </w:r>
          </w:p>
        </w:tc>
        <w:tc>
          <w:tcPr>
            <w:tcW w:w="1559" w:type="dxa"/>
            <w:tcMar>
              <w:left w:w="108" w:type="dxa"/>
              <w:right w:w="108" w:type="dxa"/>
            </w:tcMar>
            <w:vAlign w:val="center"/>
          </w:tcPr>
          <w:p>
            <w:pPr>
              <w:pStyle w:val="73"/>
              <w:jc w:val="both"/>
            </w:pPr>
            <w:r>
              <w:rPr>
                <w:rFonts w:hint="eastAsia"/>
              </w:rPr>
              <w:t>Vdc</w:t>
            </w:r>
          </w:p>
        </w:tc>
        <w:tc>
          <w:tcPr>
            <w:tcW w:w="5670" w:type="dxa"/>
            <w:tcMar>
              <w:left w:w="108" w:type="dxa"/>
              <w:right w:w="108" w:type="dxa"/>
            </w:tcMar>
            <w:vAlign w:val="center"/>
          </w:tcPr>
          <w:p>
            <w:pPr>
              <w:pStyle w:val="73"/>
            </w:pPr>
            <w:r>
              <w:t>384</w:t>
            </w:r>
            <w:r>
              <w:rPr>
                <w:rFonts w:hint="eastAsia"/>
              </w:rPr>
              <w:t>～528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1985" w:type="dxa"/>
            <w:tcMar>
              <w:left w:w="108" w:type="dxa"/>
              <w:right w:w="108" w:type="dxa"/>
            </w:tcMar>
            <w:vAlign w:val="center"/>
          </w:tcPr>
          <w:p>
            <w:pPr>
              <w:pStyle w:val="73"/>
            </w:pPr>
            <w:r>
              <w:rPr>
                <w:rFonts w:hint="eastAsia"/>
              </w:rPr>
              <w:t>铅酸电池单体数量（标定）</w:t>
            </w:r>
          </w:p>
        </w:tc>
        <w:tc>
          <w:tcPr>
            <w:tcW w:w="1559" w:type="dxa"/>
            <w:tcMar>
              <w:left w:w="108" w:type="dxa"/>
              <w:right w:w="108" w:type="dxa"/>
            </w:tcMar>
            <w:vAlign w:val="center"/>
          </w:tcPr>
          <w:p>
            <w:pPr>
              <w:pStyle w:val="73"/>
              <w:jc w:val="both"/>
              <w:rPr>
                <w:lang w:val="it-IT"/>
              </w:rPr>
            </w:pPr>
            <w:r>
              <w:rPr>
                <w:rFonts w:hint="eastAsia"/>
                <w:lang w:val="it-IT"/>
              </w:rPr>
              <w:t>节</w:t>
            </w:r>
          </w:p>
        </w:tc>
        <w:tc>
          <w:tcPr>
            <w:tcW w:w="5670" w:type="dxa"/>
            <w:tcMar>
              <w:left w:w="108" w:type="dxa"/>
              <w:right w:w="108" w:type="dxa"/>
            </w:tcMar>
            <w:vAlign w:val="center"/>
          </w:tcPr>
          <w:p>
            <w:pPr>
              <w:pStyle w:val="73"/>
            </w:pPr>
            <w:r>
              <w:rPr>
                <w:rFonts w:hint="eastAsia"/>
              </w:rPr>
              <w:t>3</w:t>
            </w:r>
            <w:r>
              <w:t>2</w:t>
            </w:r>
            <w:r>
              <w:rPr>
                <w:rFonts w:hint="eastAsia"/>
              </w:rPr>
              <w:t>～44（12Vdc）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1985" w:type="dxa"/>
            <w:tcMar>
              <w:left w:w="108" w:type="dxa"/>
              <w:right w:w="108" w:type="dxa"/>
            </w:tcMar>
            <w:vAlign w:val="center"/>
          </w:tcPr>
          <w:p>
            <w:pPr>
              <w:pStyle w:val="73"/>
            </w:pPr>
            <w:r>
              <w:rPr>
                <w:rFonts w:hint="eastAsia"/>
              </w:rPr>
              <w:t>浮充电压</w:t>
            </w:r>
          </w:p>
        </w:tc>
        <w:tc>
          <w:tcPr>
            <w:tcW w:w="1559" w:type="dxa"/>
            <w:tcMar>
              <w:left w:w="108" w:type="dxa"/>
              <w:right w:w="108" w:type="dxa"/>
            </w:tcMar>
            <w:vAlign w:val="center"/>
          </w:tcPr>
          <w:p>
            <w:pPr>
              <w:pStyle w:val="73"/>
              <w:jc w:val="both"/>
            </w:pPr>
            <w:r>
              <w:rPr>
                <w:lang w:val="it-IT"/>
              </w:rPr>
              <w:t>V/cell（VRLA）</w:t>
            </w:r>
          </w:p>
        </w:tc>
        <w:tc>
          <w:tcPr>
            <w:tcW w:w="5670" w:type="dxa"/>
            <w:tcMar>
              <w:left w:w="108" w:type="dxa"/>
              <w:right w:w="108" w:type="dxa"/>
            </w:tcMar>
            <w:vAlign w:val="center"/>
          </w:tcPr>
          <w:p>
            <w:pPr>
              <w:pStyle w:val="73"/>
            </w:pPr>
            <w:r>
              <w:t>2.25</w:t>
            </w:r>
            <w:r>
              <w:rPr>
                <w:rFonts w:hint="eastAsia"/>
              </w:rPr>
              <w:t>（可设范围2</w:t>
            </w:r>
            <w:r>
              <w:t>.2</w:t>
            </w:r>
            <w:r>
              <w:rPr>
                <w:rFonts w:hint="eastAsia"/>
              </w:rPr>
              <w:t>～</w:t>
            </w:r>
            <w:r>
              <w:t>2.3</w:t>
            </w:r>
            <w:r>
              <w:rPr>
                <w:rFonts w:hint="eastAsia"/>
              </w:rPr>
              <w:t>）</w:t>
            </w:r>
            <w:r>
              <w:t>，</w:t>
            </w:r>
            <w:r>
              <w:rPr>
                <w:rFonts w:hint="eastAsia"/>
              </w:rPr>
              <w:t>恒流和恒压充电模式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1985" w:type="dxa"/>
            <w:tcMar>
              <w:left w:w="108" w:type="dxa"/>
              <w:right w:w="108" w:type="dxa"/>
            </w:tcMar>
            <w:vAlign w:val="center"/>
          </w:tcPr>
          <w:p>
            <w:pPr>
              <w:pStyle w:val="73"/>
            </w:pPr>
            <w:r>
              <w:rPr>
                <w:rFonts w:hint="eastAsia"/>
              </w:rPr>
              <w:t>温度补偿</w:t>
            </w:r>
          </w:p>
        </w:tc>
        <w:tc>
          <w:tcPr>
            <w:tcW w:w="1559" w:type="dxa"/>
            <w:tcMar>
              <w:left w:w="108" w:type="dxa"/>
              <w:right w:w="108" w:type="dxa"/>
            </w:tcMar>
            <w:vAlign w:val="center"/>
          </w:tcPr>
          <w:p>
            <w:pPr>
              <w:pStyle w:val="73"/>
              <w:jc w:val="both"/>
              <w:rPr>
                <w:sz w:val="14"/>
                <w:szCs w:val="14"/>
              </w:rPr>
            </w:pPr>
            <w:r>
              <w:t>mV/℃/cl</w:t>
            </w:r>
          </w:p>
        </w:tc>
        <w:tc>
          <w:tcPr>
            <w:tcW w:w="5670" w:type="dxa"/>
            <w:tcMar>
              <w:left w:w="108" w:type="dxa"/>
              <w:right w:w="108" w:type="dxa"/>
            </w:tcMar>
            <w:vAlign w:val="center"/>
          </w:tcPr>
          <w:p>
            <w:pPr>
              <w:pStyle w:val="73"/>
            </w:pPr>
            <w:r>
              <w:rPr>
                <w:rFonts w:hint="eastAsia"/>
              </w:rPr>
              <w:t>－</w:t>
            </w:r>
            <w:r>
              <w:t>3.0</w:t>
            </w:r>
            <w:r>
              <w:rPr>
                <w:rFonts w:hint="eastAsia"/>
              </w:rPr>
              <w:t>（可设范围：</w:t>
            </w:r>
            <w:r>
              <w:t>0</w:t>
            </w:r>
            <w:r>
              <w:rPr>
                <w:rFonts w:hint="eastAsia"/>
              </w:rPr>
              <w:t>～－</w:t>
            </w:r>
            <w:r>
              <w:t>5.0</w:t>
            </w:r>
            <w:r>
              <w:rPr>
                <w:rFonts w:hint="eastAsia"/>
              </w:rPr>
              <w:t>，</w:t>
            </w:r>
            <w:r>
              <w:t>25℃</w:t>
            </w:r>
            <w:r>
              <w:rPr>
                <w:rFonts w:hint="eastAsia"/>
              </w:rPr>
              <w:t>或3</w:t>
            </w:r>
            <w:r>
              <w:t>0℃</w:t>
            </w:r>
            <w:r>
              <w:rPr>
                <w:rFonts w:hint="eastAsia"/>
              </w:rPr>
              <w:t>，或禁止）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 w:hRule="atLeast"/>
          <w:jc w:val="right"/>
        </w:trPr>
        <w:tc>
          <w:tcPr>
            <w:tcW w:w="1985" w:type="dxa"/>
            <w:tcMar>
              <w:left w:w="108" w:type="dxa"/>
              <w:right w:w="108" w:type="dxa"/>
            </w:tcMar>
            <w:vAlign w:val="center"/>
          </w:tcPr>
          <w:p>
            <w:pPr>
              <w:pStyle w:val="73"/>
              <w:rPr>
                <w:sz w:val="20"/>
              </w:rPr>
            </w:pPr>
            <w:r>
              <w:rPr>
                <w:rFonts w:hint="eastAsia"/>
              </w:rPr>
              <w:t>均充电压</w:t>
            </w:r>
          </w:p>
        </w:tc>
        <w:tc>
          <w:tcPr>
            <w:tcW w:w="1559" w:type="dxa"/>
            <w:tcMar>
              <w:left w:w="108" w:type="dxa"/>
              <w:right w:w="108" w:type="dxa"/>
            </w:tcMar>
            <w:vAlign w:val="center"/>
          </w:tcPr>
          <w:p>
            <w:pPr>
              <w:pStyle w:val="73"/>
              <w:rPr>
                <w:sz w:val="20"/>
                <w:lang w:val="it-IT"/>
              </w:rPr>
            </w:pPr>
            <w:r>
              <w:rPr>
                <w:lang w:val="it-IT"/>
              </w:rPr>
              <w:t>V/cell（VRLA）</w:t>
            </w:r>
          </w:p>
        </w:tc>
        <w:tc>
          <w:tcPr>
            <w:tcW w:w="5670" w:type="dxa"/>
            <w:tcMar>
              <w:left w:w="108" w:type="dxa"/>
              <w:right w:w="108" w:type="dxa"/>
            </w:tcMar>
            <w:vAlign w:val="center"/>
          </w:tcPr>
          <w:p>
            <w:pPr>
              <w:pStyle w:val="73"/>
            </w:pPr>
            <w:r>
              <w:t>2.35</w:t>
            </w:r>
            <w:r>
              <w:rPr>
                <w:rFonts w:hint="eastAsia"/>
              </w:rPr>
              <w:t>（可设范围：</w:t>
            </w:r>
            <w:r>
              <w:t>2.3</w:t>
            </w:r>
            <w:r>
              <w:rPr>
                <w:rFonts w:hint="eastAsia"/>
              </w:rPr>
              <w:t>～</w:t>
            </w:r>
            <w:r>
              <w:t>2.</w:t>
            </w:r>
            <w:r>
              <w:rPr>
                <w:rFonts w:hint="eastAsia"/>
              </w:rPr>
              <w:t>35），恒流和恒压充电模式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 w:hRule="atLeast"/>
          <w:jc w:val="right"/>
        </w:trPr>
        <w:tc>
          <w:tcPr>
            <w:tcW w:w="1985" w:type="dxa"/>
            <w:tcMar>
              <w:left w:w="108" w:type="dxa"/>
              <w:right w:w="108" w:type="dxa"/>
            </w:tcMar>
            <w:vAlign w:val="center"/>
          </w:tcPr>
          <w:p>
            <w:pPr>
              <w:pStyle w:val="73"/>
            </w:pPr>
            <w:r>
              <w:rPr>
                <w:rFonts w:hint="eastAsia"/>
              </w:rPr>
              <w:t>均充控制</w:t>
            </w:r>
          </w:p>
        </w:tc>
        <w:tc>
          <w:tcPr>
            <w:tcW w:w="1559" w:type="dxa"/>
            <w:tcMar>
              <w:left w:w="108" w:type="dxa"/>
              <w:right w:w="108" w:type="dxa"/>
            </w:tcMar>
            <w:vAlign w:val="center"/>
          </w:tcPr>
          <w:p>
            <w:pPr>
              <w:pStyle w:val="73"/>
              <w:rPr>
                <w:lang w:val="it-IT"/>
              </w:rPr>
            </w:pPr>
          </w:p>
        </w:tc>
        <w:tc>
          <w:tcPr>
            <w:tcW w:w="5670" w:type="dxa"/>
            <w:tcMar>
              <w:left w:w="108" w:type="dxa"/>
              <w:right w:w="108" w:type="dxa"/>
            </w:tcMar>
            <w:vAlign w:val="center"/>
          </w:tcPr>
          <w:p>
            <w:pPr>
              <w:pStyle w:val="73"/>
            </w:pPr>
            <w:r>
              <w:rPr>
                <w:rFonts w:hint="eastAsia"/>
              </w:rPr>
              <w:t>浮充</w:t>
            </w:r>
            <w:r>
              <w:rPr>
                <w:rFonts w:hint="eastAsia" w:ascii="宋体" w:hAnsi="宋体"/>
              </w:rPr>
              <w:t>转</w:t>
            </w:r>
            <w:r>
              <w:rPr>
                <w:rFonts w:hint="eastAsia"/>
              </w:rPr>
              <w:t>均充电流触发</w:t>
            </w:r>
            <w:r>
              <w:t>0.050C</w:t>
            </w:r>
            <w:r>
              <w:rPr>
                <w:vertAlign w:val="subscript"/>
              </w:rPr>
              <w:t>10</w:t>
            </w:r>
            <w:r>
              <w:rPr>
                <w:rFonts w:hint="eastAsia"/>
              </w:rPr>
              <w:t>（可设范围：</w:t>
            </w:r>
            <w:r>
              <w:t>0.0</w:t>
            </w:r>
            <w:r>
              <w:rPr>
                <w:rFonts w:hint="eastAsia"/>
              </w:rPr>
              <w:t>01～</w:t>
            </w:r>
            <w:r>
              <w:t>0.070</w:t>
            </w:r>
            <w:r>
              <w:rPr>
                <w:rFonts w:hint="eastAsia"/>
              </w:rPr>
              <w:t>）</w:t>
            </w:r>
          </w:p>
          <w:p>
            <w:pPr>
              <w:pStyle w:val="73"/>
            </w:pPr>
            <w:r>
              <w:rPr>
                <w:rFonts w:hint="eastAsia"/>
              </w:rPr>
              <w:t>均充</w:t>
            </w:r>
            <w:r>
              <w:rPr>
                <w:rFonts w:hint="eastAsia" w:ascii="宋体" w:hAnsi="宋体"/>
              </w:rPr>
              <w:t>转</w:t>
            </w:r>
            <w:r>
              <w:rPr>
                <w:rFonts w:hint="eastAsia"/>
              </w:rPr>
              <w:t>浮充电流触发</w:t>
            </w:r>
            <w:r>
              <w:t>0.010C</w:t>
            </w:r>
            <w:r>
              <w:rPr>
                <w:vertAlign w:val="subscript"/>
              </w:rPr>
              <w:t>10</w:t>
            </w:r>
            <w:r>
              <w:t>（</w:t>
            </w:r>
            <w:r>
              <w:rPr>
                <w:rFonts w:hint="eastAsia"/>
              </w:rPr>
              <w:t>可设范围：</w:t>
            </w:r>
            <w:r>
              <w:t>0.00</w:t>
            </w:r>
            <w:r>
              <w:rPr>
                <w:rFonts w:hint="eastAsia"/>
              </w:rPr>
              <w:t>1～</w:t>
            </w:r>
            <w:r>
              <w:t>0.025</w:t>
            </w:r>
            <w:r>
              <w:rPr>
                <w:rFonts w:hint="eastAsia"/>
              </w:rPr>
              <w:t>）</w:t>
            </w:r>
          </w:p>
          <w:p>
            <w:pPr>
              <w:pStyle w:val="73"/>
            </w:pPr>
            <w:r>
              <w:rPr>
                <w:rFonts w:hint="eastAsia"/>
              </w:rPr>
              <w:t>8小时安全时限（可设范围：</w:t>
            </w:r>
            <w:r>
              <w:t>8</w:t>
            </w:r>
            <w:r>
              <w:rPr>
                <w:rFonts w:hint="eastAsia"/>
              </w:rPr>
              <w:t>小时～</w:t>
            </w:r>
            <w:r>
              <w:t>30</w:t>
            </w:r>
            <w:r>
              <w:rPr>
                <w:rFonts w:hint="eastAsia"/>
              </w:rPr>
              <w:t>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 w:hRule="atLeast"/>
          <w:jc w:val="right"/>
        </w:trPr>
        <w:tc>
          <w:tcPr>
            <w:tcW w:w="1985" w:type="dxa"/>
            <w:tcMar>
              <w:left w:w="108" w:type="dxa"/>
              <w:right w:w="108" w:type="dxa"/>
            </w:tcMar>
            <w:vAlign w:val="center"/>
          </w:tcPr>
          <w:p>
            <w:pPr>
              <w:pStyle w:val="73"/>
            </w:pPr>
            <w:r>
              <w:rPr>
                <w:rFonts w:hint="eastAsia"/>
              </w:rPr>
              <w:t>放电终止电压</w:t>
            </w:r>
          </w:p>
        </w:tc>
        <w:tc>
          <w:tcPr>
            <w:tcW w:w="1559" w:type="dxa"/>
            <w:tcMar>
              <w:left w:w="108" w:type="dxa"/>
              <w:right w:w="108" w:type="dxa"/>
            </w:tcMar>
            <w:vAlign w:val="center"/>
          </w:tcPr>
          <w:p>
            <w:pPr>
              <w:pStyle w:val="73"/>
              <w:rPr>
                <w:sz w:val="20"/>
                <w:lang w:val="it-IT"/>
              </w:rPr>
            </w:pPr>
            <w:r>
              <w:rPr>
                <w:lang w:val="it-IT"/>
              </w:rPr>
              <w:t>V/cell（VRLA）</w:t>
            </w:r>
          </w:p>
        </w:tc>
        <w:tc>
          <w:tcPr>
            <w:tcW w:w="5670" w:type="dxa"/>
            <w:tcMar>
              <w:left w:w="108" w:type="dxa"/>
              <w:right w:w="108" w:type="dxa"/>
            </w:tcMar>
            <w:vAlign w:val="center"/>
          </w:tcPr>
          <w:p>
            <w:pPr>
              <w:pStyle w:val="73"/>
            </w:pPr>
            <w:r>
              <w:rPr>
                <w:rFonts w:hint="eastAsia"/>
              </w:rPr>
              <w:t>1.67（可设范围：1.60～1.90）</w:t>
            </w:r>
          </w:p>
        </w:tc>
      </w:tr>
    </w:tbl>
    <w:p>
      <w:pPr>
        <w:pStyle w:val="194"/>
        <w:numPr>
          <w:ilvl w:val="0"/>
          <w:numId w:val="0"/>
        </w:numPr>
        <w:jc w:val="both"/>
        <w:rPr>
          <w:szCs w:val="22"/>
        </w:rPr>
      </w:pPr>
    </w:p>
    <w:p>
      <w:pPr>
        <w:pStyle w:val="194"/>
        <w:numPr>
          <w:ilvl w:val="5"/>
          <w:numId w:val="4"/>
        </w:numPr>
        <w:rPr>
          <w:szCs w:val="22"/>
        </w:rPr>
      </w:pPr>
      <w:r>
        <w:rPr>
          <w:rFonts w:hint="eastAsia"/>
          <w:szCs w:val="22"/>
        </w:rPr>
        <w:t>逆变器交流输出</w:t>
      </w:r>
    </w:p>
    <w:tbl>
      <w:tblPr>
        <w:tblStyle w:val="50"/>
        <w:tblW w:w="925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0"/>
        <w:gridCol w:w="1559"/>
        <w:gridCol w:w="5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blHeader/>
          <w:jc w:val="right"/>
        </w:trPr>
        <w:tc>
          <w:tcPr>
            <w:tcW w:w="2090" w:type="dxa"/>
            <w:vMerge w:val="restart"/>
            <w:shd w:val="clear" w:color="auto" w:fill="D9D9D9"/>
            <w:vAlign w:val="center"/>
          </w:tcPr>
          <w:p>
            <w:pPr>
              <w:pStyle w:val="88"/>
            </w:pPr>
            <w:bookmarkStart w:id="99" w:name="_Toc321729221"/>
            <w:bookmarkStart w:id="100" w:name="_Toc228855197"/>
            <w:bookmarkStart w:id="101" w:name="_Toc267573046"/>
            <w:bookmarkStart w:id="102" w:name="_Toc232477218"/>
            <w:r>
              <w:rPr>
                <w:rFonts w:hint="eastAsia"/>
              </w:rPr>
              <w:t>项目</w:t>
            </w:r>
          </w:p>
        </w:tc>
        <w:tc>
          <w:tcPr>
            <w:tcW w:w="1559" w:type="dxa"/>
            <w:vMerge w:val="restart"/>
            <w:shd w:val="clear" w:color="auto" w:fill="D9D9D9"/>
            <w:vAlign w:val="center"/>
          </w:tcPr>
          <w:p>
            <w:pPr>
              <w:pStyle w:val="88"/>
            </w:pPr>
            <w:r>
              <w:rPr>
                <w:rFonts w:hint="eastAsia"/>
              </w:rPr>
              <w:t>单位</w:t>
            </w:r>
          </w:p>
        </w:tc>
        <w:tc>
          <w:tcPr>
            <w:tcW w:w="5607" w:type="dxa"/>
            <w:shd w:val="clear" w:color="auto" w:fill="D9D9D9"/>
            <w:vAlign w:val="center"/>
          </w:tcPr>
          <w:p>
            <w:pPr>
              <w:pStyle w:val="88"/>
            </w:pPr>
            <w:r>
              <w:rPr>
                <w:rFonts w:hint="eastAsia"/>
              </w:rPr>
              <w:t>额定功率（kVA）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blHeader/>
          <w:jc w:val="right"/>
        </w:trPr>
        <w:tc>
          <w:tcPr>
            <w:tcW w:w="2090" w:type="dxa"/>
            <w:vMerge w:val="continue"/>
            <w:shd w:val="clear" w:color="auto" w:fill="D9D9D9"/>
            <w:vAlign w:val="center"/>
          </w:tcPr>
          <w:p>
            <w:pPr>
              <w:pStyle w:val="88"/>
            </w:pPr>
          </w:p>
        </w:tc>
        <w:tc>
          <w:tcPr>
            <w:tcW w:w="1559" w:type="dxa"/>
            <w:vMerge w:val="continue"/>
            <w:shd w:val="clear" w:color="auto" w:fill="D9D9D9"/>
            <w:vAlign w:val="center"/>
          </w:tcPr>
          <w:p>
            <w:pPr>
              <w:pStyle w:val="88"/>
            </w:pPr>
          </w:p>
        </w:tc>
        <w:tc>
          <w:tcPr>
            <w:tcW w:w="5607" w:type="dxa"/>
            <w:shd w:val="clear" w:color="auto" w:fill="D9D9D9"/>
            <w:vAlign w:val="center"/>
          </w:tcPr>
          <w:p>
            <w:pPr>
              <w:pStyle w:val="88"/>
            </w:pPr>
            <w:r>
              <w:t>18</w:t>
            </w:r>
            <w:r>
              <w:rPr>
                <w:rFonts w:hint="eastAsia"/>
              </w:rPr>
              <w:t>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2090" w:type="dxa"/>
            <w:vAlign w:val="center"/>
          </w:tcPr>
          <w:p>
            <w:pPr>
              <w:pStyle w:val="73"/>
              <w:rPr>
                <w:vertAlign w:val="superscript"/>
              </w:rPr>
            </w:pPr>
            <w:r>
              <w:rPr>
                <w:rFonts w:hint="eastAsia"/>
              </w:rPr>
              <w:t>额定交流电压</w:t>
            </w:r>
            <w:r>
              <w:rPr>
                <w:rFonts w:hint="eastAsia"/>
                <w:vertAlign w:val="superscript"/>
              </w:rPr>
              <w:t>1</w:t>
            </w:r>
          </w:p>
        </w:tc>
        <w:tc>
          <w:tcPr>
            <w:tcW w:w="1559" w:type="dxa"/>
            <w:vAlign w:val="center"/>
          </w:tcPr>
          <w:p>
            <w:pPr>
              <w:pStyle w:val="73"/>
              <w:jc w:val="center"/>
            </w:pPr>
            <w:r>
              <w:t>Vac</w:t>
            </w:r>
          </w:p>
        </w:tc>
        <w:tc>
          <w:tcPr>
            <w:tcW w:w="5607" w:type="dxa"/>
            <w:vAlign w:val="center"/>
          </w:tcPr>
          <w:p>
            <w:pPr>
              <w:pStyle w:val="73"/>
            </w:pPr>
            <w:r>
              <w:t>380/400/415</w:t>
            </w:r>
            <w:r>
              <w:rPr>
                <w:rFonts w:hint="eastAsia"/>
              </w:rPr>
              <w:t>（三相四线，与旁路共N线）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2090" w:type="dxa"/>
            <w:vAlign w:val="center"/>
          </w:tcPr>
          <w:p>
            <w:pPr>
              <w:pStyle w:val="73"/>
              <w:rPr>
                <w:vertAlign w:val="superscript"/>
              </w:rPr>
            </w:pPr>
            <w:r>
              <w:rPr>
                <w:rFonts w:hint="eastAsia"/>
              </w:rPr>
              <w:t>频率</w:t>
            </w:r>
            <w:r>
              <w:rPr>
                <w:rFonts w:hint="eastAsia"/>
                <w:vertAlign w:val="superscript"/>
              </w:rPr>
              <w:t>2</w:t>
            </w:r>
          </w:p>
        </w:tc>
        <w:tc>
          <w:tcPr>
            <w:tcW w:w="1559" w:type="dxa"/>
            <w:vAlign w:val="center"/>
          </w:tcPr>
          <w:p>
            <w:pPr>
              <w:pStyle w:val="73"/>
              <w:jc w:val="center"/>
            </w:pPr>
            <w:r>
              <w:t>Hz</w:t>
            </w:r>
          </w:p>
        </w:tc>
        <w:tc>
          <w:tcPr>
            <w:tcW w:w="5607" w:type="dxa"/>
            <w:vAlign w:val="center"/>
          </w:tcPr>
          <w:p>
            <w:pPr>
              <w:pStyle w:val="73"/>
            </w:pPr>
            <w:r>
              <w:t>50/60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2090" w:type="dxa"/>
            <w:vAlign w:val="center"/>
          </w:tcPr>
          <w:p>
            <w:pPr>
              <w:pStyle w:val="73"/>
            </w:pPr>
            <w:r>
              <w:rPr>
                <w:rFonts w:hint="eastAsia"/>
              </w:rPr>
              <w:t>功率因数</w:t>
            </w:r>
          </w:p>
        </w:tc>
        <w:tc>
          <w:tcPr>
            <w:tcW w:w="1559" w:type="dxa"/>
            <w:vAlign w:val="center"/>
          </w:tcPr>
          <w:p>
            <w:pPr>
              <w:pStyle w:val="73"/>
              <w:jc w:val="center"/>
            </w:pPr>
          </w:p>
        </w:tc>
        <w:tc>
          <w:tcPr>
            <w:tcW w:w="5607" w:type="dxa"/>
            <w:vAlign w:val="center"/>
          </w:tcPr>
          <w:p>
            <w:pPr>
              <w:pStyle w:val="73"/>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2090" w:type="dxa"/>
            <w:vAlign w:val="center"/>
          </w:tcPr>
          <w:p>
            <w:pPr>
              <w:pStyle w:val="73"/>
            </w:pPr>
            <w:r>
              <w:rPr>
                <w:rFonts w:hint="eastAsia"/>
              </w:rPr>
              <w:t>过载能力</w:t>
            </w:r>
          </w:p>
        </w:tc>
        <w:tc>
          <w:tcPr>
            <w:tcW w:w="1559" w:type="dxa"/>
            <w:vAlign w:val="center"/>
          </w:tcPr>
          <w:p>
            <w:pPr>
              <w:pStyle w:val="73"/>
              <w:jc w:val="center"/>
              <w:rPr>
                <w:sz w:val="20"/>
              </w:rPr>
            </w:pPr>
            <w:r>
              <w:rPr>
                <w:lang w:val="en-GB"/>
              </w:rPr>
              <w:t>％</w:t>
            </w:r>
          </w:p>
        </w:tc>
        <w:tc>
          <w:tcPr>
            <w:tcW w:w="5607" w:type="dxa"/>
            <w:vAlign w:val="center"/>
          </w:tcPr>
          <w:p>
            <w:pPr>
              <w:pStyle w:val="73"/>
              <w:rPr>
                <w:lang w:val="sv-SE"/>
              </w:rPr>
            </w:pPr>
            <w:r>
              <w:rPr>
                <w:rFonts w:hint="eastAsia" w:ascii="宋体" w:hAnsi="宋体"/>
              </w:rPr>
              <w:t>＜</w:t>
            </w:r>
            <w:r>
              <w:rPr>
                <w:lang w:val="sv-SE"/>
              </w:rPr>
              <w:t>105</w:t>
            </w:r>
            <w:r>
              <w:t>％</w:t>
            </w:r>
            <w:r>
              <w:rPr>
                <w:rFonts w:hint="eastAsia"/>
                <w:lang w:val="sv-SE"/>
              </w:rPr>
              <w:t>，长期；</w:t>
            </w:r>
          </w:p>
          <w:p>
            <w:pPr>
              <w:pStyle w:val="73"/>
              <w:rPr>
                <w:lang w:val="sv-SE"/>
              </w:rPr>
            </w:pPr>
            <w:r>
              <w:rPr>
                <w:rFonts w:hint="eastAsia" w:ascii="宋体" w:hAnsi="宋体"/>
              </w:rPr>
              <w:t>＜</w:t>
            </w:r>
            <w:r>
              <w:rPr>
                <w:lang w:val="sv-SE"/>
              </w:rPr>
              <w:t>1</w:t>
            </w:r>
            <w:r>
              <w:rPr>
                <w:rFonts w:hint="eastAsia"/>
                <w:lang w:val="sv-SE"/>
              </w:rPr>
              <w:t>10</w:t>
            </w:r>
            <w:r>
              <w:t>％</w:t>
            </w:r>
            <w:r>
              <w:rPr>
                <w:rFonts w:hint="eastAsia"/>
                <w:lang w:val="sv-SE"/>
              </w:rPr>
              <w:t>，60分钟；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2090" w:type="dxa"/>
            <w:vAlign w:val="center"/>
          </w:tcPr>
          <w:p>
            <w:pPr>
              <w:pStyle w:val="73"/>
            </w:pPr>
            <w:r>
              <w:rPr>
                <w:rFonts w:hint="eastAsia"/>
              </w:rPr>
              <w:t>稳态电压稳定度</w:t>
            </w:r>
          </w:p>
        </w:tc>
        <w:tc>
          <w:tcPr>
            <w:tcW w:w="1559" w:type="dxa"/>
            <w:vAlign w:val="center"/>
          </w:tcPr>
          <w:p>
            <w:pPr>
              <w:pStyle w:val="72"/>
            </w:pPr>
            <w:r>
              <w:t>％</w:t>
            </w:r>
          </w:p>
        </w:tc>
        <w:tc>
          <w:tcPr>
            <w:tcW w:w="5607" w:type="dxa"/>
            <w:vAlign w:val="center"/>
          </w:tcPr>
          <w:p>
            <w:pPr>
              <w:pStyle w:val="73"/>
            </w:pPr>
            <w:r>
              <w:rPr>
                <w:rFonts w:hint="eastAsia"/>
              </w:rPr>
              <w:t>±1</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2090" w:type="dxa"/>
            <w:vAlign w:val="center"/>
          </w:tcPr>
          <w:p>
            <w:pPr>
              <w:pStyle w:val="73"/>
            </w:pPr>
            <w:r>
              <w:rPr>
                <w:rFonts w:hint="eastAsia"/>
              </w:rPr>
              <w:t>瞬态电压响应</w:t>
            </w:r>
          </w:p>
        </w:tc>
        <w:tc>
          <w:tcPr>
            <w:tcW w:w="1559" w:type="dxa"/>
            <w:vAlign w:val="center"/>
          </w:tcPr>
          <w:p>
            <w:pPr>
              <w:pStyle w:val="72"/>
            </w:pPr>
            <w:r>
              <w:t>％</w:t>
            </w:r>
          </w:p>
        </w:tc>
        <w:tc>
          <w:tcPr>
            <w:tcW w:w="5607" w:type="dxa"/>
            <w:vAlign w:val="center"/>
          </w:tcPr>
          <w:p>
            <w:pPr>
              <w:pStyle w:val="73"/>
            </w:pPr>
            <w:r>
              <w:rPr>
                <w:rFonts w:hint="eastAsia"/>
              </w:rPr>
              <w:t>±5</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2090" w:type="dxa"/>
            <w:vAlign w:val="center"/>
          </w:tcPr>
          <w:p>
            <w:pPr>
              <w:pStyle w:val="73"/>
            </w:pPr>
            <w:r>
              <w:rPr>
                <w:rFonts w:hint="eastAsia"/>
              </w:rPr>
              <w:t>总谐波电压失真</w:t>
            </w:r>
          </w:p>
        </w:tc>
        <w:tc>
          <w:tcPr>
            <w:tcW w:w="1559" w:type="dxa"/>
            <w:vAlign w:val="center"/>
          </w:tcPr>
          <w:p>
            <w:pPr>
              <w:pStyle w:val="72"/>
            </w:pPr>
            <w:r>
              <w:t>％</w:t>
            </w:r>
          </w:p>
        </w:tc>
        <w:tc>
          <w:tcPr>
            <w:tcW w:w="5607" w:type="dxa"/>
            <w:vAlign w:val="center"/>
          </w:tcPr>
          <w:p>
            <w:pPr>
              <w:pStyle w:val="73"/>
            </w:pPr>
            <w:r>
              <w:rPr>
                <w:rFonts w:hint="eastAsia" w:ascii="宋体" w:hAnsi="宋体"/>
              </w:rPr>
              <w:t>＜</w:t>
            </w:r>
            <w:r>
              <w:rPr>
                <w:rFonts w:hint="eastAsia"/>
              </w:rPr>
              <w:t>1</w:t>
            </w:r>
            <w:r>
              <w:rPr>
                <w:lang w:val="en-GB"/>
              </w:rPr>
              <w:t>（</w:t>
            </w:r>
            <w:r>
              <w:rPr>
                <w:rFonts w:hint="eastAsia"/>
                <w:lang w:val="en-GB"/>
              </w:rPr>
              <w:t>线性负载</w:t>
            </w:r>
            <w:r>
              <w:rPr>
                <w:lang w:val="en-GB"/>
              </w:rPr>
              <w:t>）</w:t>
            </w:r>
            <w:r>
              <w:rPr>
                <w:rFonts w:hint="eastAsia"/>
                <w:lang w:val="en-GB"/>
              </w:rPr>
              <w:t>，</w:t>
            </w:r>
            <w:r>
              <w:rPr>
                <w:rFonts w:hint="eastAsia" w:ascii="宋体" w:hAnsi="宋体"/>
              </w:rPr>
              <w:t>＜</w:t>
            </w:r>
            <w:r>
              <w:t>2</w:t>
            </w:r>
            <w:r>
              <w:rPr>
                <w:lang w:val="en-GB"/>
              </w:rPr>
              <w:t>（</w:t>
            </w:r>
            <w:r>
              <w:rPr>
                <w:rFonts w:hint="eastAsia"/>
                <w:lang w:val="en-GB"/>
              </w:rPr>
              <w:t>非线性负载）</w:t>
            </w:r>
            <w:r>
              <w:rPr>
                <w:rFonts w:hint="eastAsia"/>
                <w:vertAlign w:val="superscript"/>
                <w:lang w:val="en-GB"/>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2090" w:type="dxa"/>
            <w:vAlign w:val="center"/>
          </w:tcPr>
          <w:p>
            <w:pPr>
              <w:pStyle w:val="73"/>
            </w:pPr>
            <w:r>
              <w:rPr>
                <w:rFonts w:hint="eastAsia"/>
              </w:rPr>
              <w:t>同步范围</w:t>
            </w:r>
          </w:p>
        </w:tc>
        <w:tc>
          <w:tcPr>
            <w:tcW w:w="1559" w:type="dxa"/>
            <w:vAlign w:val="center"/>
          </w:tcPr>
          <w:p>
            <w:pPr>
              <w:pStyle w:val="72"/>
              <w:rPr>
                <w:sz w:val="20"/>
              </w:rPr>
            </w:pPr>
            <w:r>
              <w:t>Hz</w:t>
            </w:r>
          </w:p>
        </w:tc>
        <w:tc>
          <w:tcPr>
            <w:tcW w:w="5607" w:type="dxa"/>
            <w:vAlign w:val="center"/>
          </w:tcPr>
          <w:p>
            <w:pPr>
              <w:pStyle w:val="73"/>
              <w:rPr>
                <w:lang w:val="en-GB"/>
              </w:rPr>
            </w:pPr>
            <w:r>
              <w:rPr>
                <w:rFonts w:hint="eastAsia"/>
                <w:lang w:val="en-GB"/>
              </w:rPr>
              <w:t>额定频率</w:t>
            </w:r>
            <w:r>
              <w:rPr>
                <w:rFonts w:hint="eastAsia"/>
              </w:rPr>
              <w:t>±2（范围：50/60±10%）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right"/>
        </w:trPr>
        <w:tc>
          <w:tcPr>
            <w:tcW w:w="2090" w:type="dxa"/>
            <w:vAlign w:val="center"/>
          </w:tcPr>
          <w:p>
            <w:pPr>
              <w:pStyle w:val="73"/>
            </w:pPr>
            <w:r>
              <w:rPr>
                <w:rFonts w:hint="eastAsia"/>
              </w:rPr>
              <w:t>同步频率最大变化率</w:t>
            </w:r>
          </w:p>
        </w:tc>
        <w:tc>
          <w:tcPr>
            <w:tcW w:w="1559" w:type="dxa"/>
            <w:vAlign w:val="center"/>
          </w:tcPr>
          <w:p>
            <w:pPr>
              <w:pStyle w:val="72"/>
            </w:pPr>
            <w:r>
              <w:t>Hz</w:t>
            </w:r>
            <w:r>
              <w:rPr>
                <w:rFonts w:hint="eastAsia"/>
              </w:rPr>
              <w:t>/</w:t>
            </w:r>
            <w:r>
              <w:t>s</w:t>
            </w:r>
          </w:p>
        </w:tc>
        <w:tc>
          <w:tcPr>
            <w:tcW w:w="5607" w:type="dxa"/>
            <w:vAlign w:val="center"/>
          </w:tcPr>
          <w:p>
            <w:pPr>
              <w:pStyle w:val="73"/>
              <w:rPr>
                <w:lang w:val="en-GB"/>
              </w:rPr>
            </w:pPr>
            <w:r>
              <w:rPr>
                <w:rFonts w:hint="eastAsia"/>
              </w:rPr>
              <w:t>0.6</w:t>
            </w:r>
            <w:r>
              <w:rPr>
                <w:rFonts w:hint="eastAsia"/>
                <w:lang w:val="en-GB"/>
              </w:rPr>
              <w:t>；可设定范围</w:t>
            </w:r>
            <w:r>
              <w:rPr>
                <w:rFonts w:hint="eastAsia"/>
              </w:rPr>
              <w:t>：0.1</w:t>
            </w:r>
            <w:r>
              <w:rPr>
                <w:rFonts w:hint="eastAsia" w:ascii="宋体" w:hAnsi="宋体"/>
              </w:rPr>
              <w:t>～3</w:t>
            </w:r>
          </w:p>
        </w:tc>
      </w:tr>
    </w:tbl>
    <w:p>
      <w:pPr>
        <w:pStyle w:val="3"/>
        <w:spacing w:line="312" w:lineRule="auto"/>
        <w:rPr>
          <w:sz w:val="16"/>
          <w:szCs w:val="16"/>
        </w:rPr>
      </w:pPr>
      <w:r>
        <w:rPr>
          <w:rFonts w:hint="eastAsia"/>
          <w:sz w:val="16"/>
          <w:szCs w:val="16"/>
        </w:rPr>
        <w:drawing>
          <wp:inline distT="0" distB="0" distL="0" distR="0">
            <wp:extent cx="646430" cy="283845"/>
            <wp:effectExtent l="0" t="0" r="1270" b="190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noChangeArrowheads="1"/>
                    </pic:cNvPicPr>
                  </pic:nvPicPr>
                  <pic:blipFill>
                    <a:blip r:embed="rId44">
                      <a:extLst>
                        <a:ext uri="{28A0092B-C50C-407E-A947-70E740481C1C}">
                          <a14:useLocalDpi xmlns:a14="http://schemas.microsoft.com/office/drawing/2010/main" val="0"/>
                        </a:ext>
                      </a:extLst>
                    </a:blip>
                    <a:srcRect l="3618" r="2592"/>
                    <a:stretch>
                      <a:fillRect/>
                    </a:stretch>
                  </pic:blipFill>
                  <pic:spPr>
                    <a:xfrm>
                      <a:off x="0" y="0"/>
                      <a:ext cx="646430" cy="283845"/>
                    </a:xfrm>
                    <a:prstGeom prst="rect">
                      <a:avLst/>
                    </a:prstGeom>
                    <a:noFill/>
                    <a:ln>
                      <a:noFill/>
                    </a:ln>
                  </pic:spPr>
                </pic:pic>
              </a:graphicData>
            </a:graphic>
          </wp:inline>
        </w:drawing>
      </w:r>
    </w:p>
    <w:p>
      <w:pPr>
        <w:pStyle w:val="3"/>
        <w:spacing w:line="312" w:lineRule="auto"/>
        <w:rPr>
          <w:sz w:val="16"/>
          <w:szCs w:val="16"/>
        </w:rPr>
      </w:pPr>
      <w:r>
        <w:rPr>
          <w:sz w:val="16"/>
          <w:szCs w:val="16"/>
        </w:rPr>
        <w:t>1</w:t>
      </w:r>
      <w:r>
        <w:rPr>
          <w:rFonts w:hint="eastAsia"/>
          <w:sz w:val="16"/>
          <w:szCs w:val="16"/>
        </w:rPr>
        <w:t>．厂家设置为</w:t>
      </w:r>
      <w:r>
        <w:rPr>
          <w:sz w:val="16"/>
          <w:szCs w:val="16"/>
        </w:rPr>
        <w:t>380V</w:t>
      </w:r>
      <w:r>
        <w:rPr>
          <w:rFonts w:hint="eastAsia"/>
          <w:sz w:val="16"/>
          <w:szCs w:val="16"/>
        </w:rPr>
        <w:t>，服务工程师可设置为</w:t>
      </w:r>
      <w:r>
        <w:rPr>
          <w:sz w:val="16"/>
          <w:szCs w:val="16"/>
        </w:rPr>
        <w:t>400V</w:t>
      </w:r>
      <w:r>
        <w:rPr>
          <w:rFonts w:hint="eastAsia"/>
          <w:sz w:val="16"/>
          <w:szCs w:val="16"/>
        </w:rPr>
        <w:t>或</w:t>
      </w:r>
      <w:r>
        <w:rPr>
          <w:sz w:val="16"/>
          <w:szCs w:val="16"/>
        </w:rPr>
        <w:t>415V</w:t>
      </w:r>
      <w:r>
        <w:rPr>
          <w:rFonts w:hint="eastAsia"/>
          <w:sz w:val="16"/>
          <w:szCs w:val="16"/>
        </w:rPr>
        <w:t>。</w:t>
      </w:r>
    </w:p>
    <w:p>
      <w:pPr>
        <w:pStyle w:val="3"/>
        <w:spacing w:line="312" w:lineRule="auto"/>
        <w:rPr>
          <w:sz w:val="16"/>
          <w:szCs w:val="16"/>
        </w:rPr>
      </w:pPr>
      <w:r>
        <w:rPr>
          <w:rFonts w:hint="eastAsia"/>
          <w:sz w:val="16"/>
          <w:szCs w:val="16"/>
        </w:rPr>
        <w:t>2．厂家设置为5</w:t>
      </w:r>
      <w:r>
        <w:rPr>
          <w:sz w:val="16"/>
          <w:szCs w:val="16"/>
        </w:rPr>
        <w:t>0Hz，</w:t>
      </w:r>
      <w:r>
        <w:rPr>
          <w:rFonts w:hint="eastAsia"/>
          <w:sz w:val="16"/>
          <w:szCs w:val="16"/>
        </w:rPr>
        <w:t>服务工程师可设置为</w:t>
      </w:r>
      <w:r>
        <w:rPr>
          <w:sz w:val="16"/>
          <w:szCs w:val="16"/>
        </w:rPr>
        <w:t>60Hz</w:t>
      </w:r>
      <w:r>
        <w:rPr>
          <w:rFonts w:hint="eastAsia"/>
          <w:sz w:val="16"/>
          <w:szCs w:val="16"/>
        </w:rPr>
        <w:t>。注意系统频率更改须在旁路供电时执行，禁止在逆变供电时更改系统频率。</w:t>
      </w:r>
    </w:p>
    <w:bookmarkEnd w:id="99"/>
    <w:bookmarkEnd w:id="100"/>
    <w:bookmarkEnd w:id="101"/>
    <w:bookmarkEnd w:id="102"/>
    <w:p>
      <w:pPr>
        <w:pStyle w:val="194"/>
        <w:numPr>
          <w:ilvl w:val="5"/>
          <w:numId w:val="4"/>
        </w:numPr>
        <w:rPr>
          <w:szCs w:val="22"/>
        </w:rPr>
      </w:pPr>
      <w:r>
        <w:rPr>
          <w:rFonts w:hint="eastAsia"/>
          <w:szCs w:val="22"/>
        </w:rPr>
        <w:t>旁路交流输入</w:t>
      </w:r>
    </w:p>
    <w:tbl>
      <w:tblPr>
        <w:tblStyle w:val="50"/>
        <w:tblW w:w="9215"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784"/>
        <w:gridCol w:w="6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1680" w:type="dxa"/>
            <w:vMerge w:val="restart"/>
            <w:shd w:val="clear" w:color="auto" w:fill="D9D9D9"/>
            <w:tcMar>
              <w:left w:w="108" w:type="dxa"/>
              <w:right w:w="108" w:type="dxa"/>
            </w:tcMar>
            <w:vAlign w:val="center"/>
          </w:tcPr>
          <w:p>
            <w:pPr>
              <w:pStyle w:val="88"/>
              <w:rPr>
                <w:rFonts w:ascii="黑体" w:hAnsi="黑体"/>
              </w:rPr>
            </w:pPr>
            <w:r>
              <w:rPr>
                <w:rFonts w:hint="eastAsia" w:ascii="黑体" w:hAnsi="黑体"/>
              </w:rPr>
              <w:t>项目</w:t>
            </w:r>
          </w:p>
        </w:tc>
        <w:tc>
          <w:tcPr>
            <w:tcW w:w="784" w:type="dxa"/>
            <w:vMerge w:val="restart"/>
            <w:shd w:val="clear" w:color="auto" w:fill="D9D9D9"/>
            <w:tcMar>
              <w:left w:w="108" w:type="dxa"/>
              <w:right w:w="108" w:type="dxa"/>
            </w:tcMar>
            <w:vAlign w:val="center"/>
          </w:tcPr>
          <w:p>
            <w:pPr>
              <w:pStyle w:val="88"/>
              <w:rPr>
                <w:rFonts w:ascii="黑体" w:hAnsi="黑体"/>
              </w:rPr>
            </w:pPr>
            <w:r>
              <w:rPr>
                <w:rFonts w:hint="eastAsia" w:ascii="黑体" w:hAnsi="黑体"/>
              </w:rPr>
              <w:t>单位</w:t>
            </w:r>
          </w:p>
        </w:tc>
        <w:tc>
          <w:tcPr>
            <w:tcW w:w="6751" w:type="dxa"/>
            <w:shd w:val="clear" w:color="auto" w:fill="D9D9D9"/>
            <w:tcMar>
              <w:left w:w="108" w:type="dxa"/>
              <w:right w:w="108" w:type="dxa"/>
            </w:tcMar>
            <w:vAlign w:val="center"/>
          </w:tcPr>
          <w:p>
            <w:pPr>
              <w:pStyle w:val="88"/>
              <w:rPr>
                <w:rFonts w:ascii="黑体" w:hAnsi="黑体"/>
              </w:rPr>
            </w:pPr>
            <w:r>
              <w:rPr>
                <w:rFonts w:hint="eastAsia" w:ascii="黑体" w:hAnsi="黑体"/>
              </w:rPr>
              <w:t>额定功率（kVA）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1680" w:type="dxa"/>
            <w:vMerge w:val="continue"/>
            <w:shd w:val="clear" w:color="auto" w:fill="D9D9D9"/>
            <w:tcMar>
              <w:left w:w="108" w:type="dxa"/>
              <w:right w:w="108" w:type="dxa"/>
            </w:tcMar>
            <w:vAlign w:val="center"/>
          </w:tcPr>
          <w:p>
            <w:pPr>
              <w:pStyle w:val="88"/>
              <w:rPr>
                <w:rFonts w:ascii="黑体" w:hAnsi="黑体"/>
              </w:rPr>
            </w:pPr>
          </w:p>
        </w:tc>
        <w:tc>
          <w:tcPr>
            <w:tcW w:w="784" w:type="dxa"/>
            <w:vMerge w:val="continue"/>
            <w:shd w:val="clear" w:color="auto" w:fill="D9D9D9"/>
            <w:tcMar>
              <w:left w:w="108" w:type="dxa"/>
              <w:right w:w="108" w:type="dxa"/>
            </w:tcMar>
            <w:vAlign w:val="center"/>
          </w:tcPr>
          <w:p>
            <w:pPr>
              <w:pStyle w:val="88"/>
              <w:rPr>
                <w:rFonts w:ascii="黑体" w:hAnsi="黑体"/>
              </w:rPr>
            </w:pPr>
          </w:p>
        </w:tc>
        <w:tc>
          <w:tcPr>
            <w:tcW w:w="6751" w:type="dxa"/>
            <w:shd w:val="clear" w:color="auto" w:fill="D9D9D9"/>
            <w:tcMar>
              <w:left w:w="108" w:type="dxa"/>
              <w:right w:w="108" w:type="dxa"/>
            </w:tcMar>
            <w:vAlign w:val="bottom"/>
          </w:tcPr>
          <w:p>
            <w:pPr>
              <w:pStyle w:val="88"/>
              <w:rPr>
                <w:rFonts w:ascii="黑体" w:hAnsi="黑体"/>
              </w:rPr>
            </w:pPr>
            <w:r>
              <w:t>18</w:t>
            </w:r>
            <w:r>
              <w:rPr>
                <w:rFonts w:hint="eastAsia"/>
              </w:rPr>
              <w:t>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1680" w:type="dxa"/>
            <w:tcMar>
              <w:left w:w="108" w:type="dxa"/>
              <w:right w:w="108" w:type="dxa"/>
            </w:tcMar>
            <w:vAlign w:val="center"/>
          </w:tcPr>
          <w:p>
            <w:pPr>
              <w:pStyle w:val="73"/>
              <w:rPr>
                <w:sz w:val="14"/>
                <w:szCs w:val="14"/>
              </w:rPr>
            </w:pPr>
            <w:r>
              <w:rPr>
                <w:rFonts w:hint="eastAsia"/>
              </w:rPr>
              <w:t>额定交流电压</w:t>
            </w:r>
            <w:r>
              <w:rPr>
                <w:vertAlign w:val="superscript"/>
              </w:rPr>
              <w:t>1</w:t>
            </w:r>
          </w:p>
        </w:tc>
        <w:tc>
          <w:tcPr>
            <w:tcW w:w="784" w:type="dxa"/>
            <w:tcMar>
              <w:left w:w="108" w:type="dxa"/>
              <w:right w:w="108" w:type="dxa"/>
            </w:tcMar>
            <w:vAlign w:val="center"/>
          </w:tcPr>
          <w:p>
            <w:pPr>
              <w:pStyle w:val="72"/>
            </w:pPr>
            <w:r>
              <w:t>Vac</w:t>
            </w:r>
          </w:p>
        </w:tc>
        <w:tc>
          <w:tcPr>
            <w:tcW w:w="6751" w:type="dxa"/>
            <w:tcMar>
              <w:left w:w="108" w:type="dxa"/>
              <w:right w:w="108" w:type="dxa"/>
            </w:tcMar>
            <w:vAlign w:val="center"/>
          </w:tcPr>
          <w:p>
            <w:pPr>
              <w:pStyle w:val="73"/>
            </w:pPr>
            <w:r>
              <w:t>380/400/415；</w:t>
            </w:r>
            <w:r>
              <w:rPr>
                <w:rFonts w:hint="eastAsia"/>
              </w:rPr>
              <w:t>三四线，与整流器输入共中线，为输出提供中线参考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right"/>
        </w:trPr>
        <w:tc>
          <w:tcPr>
            <w:tcW w:w="1680" w:type="dxa"/>
            <w:tcMar>
              <w:left w:w="108" w:type="dxa"/>
              <w:right w:w="108" w:type="dxa"/>
            </w:tcMar>
            <w:vAlign w:val="center"/>
          </w:tcPr>
          <w:p>
            <w:pPr>
              <w:pStyle w:val="73"/>
            </w:pPr>
            <w:r>
              <w:rPr>
                <w:rFonts w:hint="eastAsia"/>
              </w:rPr>
              <w:t>频率</w:t>
            </w:r>
            <w:r>
              <w:rPr>
                <w:vertAlign w:val="superscript"/>
              </w:rPr>
              <w:t>2</w:t>
            </w:r>
          </w:p>
        </w:tc>
        <w:tc>
          <w:tcPr>
            <w:tcW w:w="784" w:type="dxa"/>
            <w:tcMar>
              <w:left w:w="108" w:type="dxa"/>
              <w:right w:w="108" w:type="dxa"/>
            </w:tcMar>
            <w:vAlign w:val="center"/>
          </w:tcPr>
          <w:p>
            <w:pPr>
              <w:pStyle w:val="72"/>
            </w:pPr>
            <w:r>
              <w:t>Hz</w:t>
            </w:r>
          </w:p>
        </w:tc>
        <w:tc>
          <w:tcPr>
            <w:tcW w:w="6751" w:type="dxa"/>
            <w:tcMar>
              <w:left w:w="108" w:type="dxa"/>
              <w:right w:w="108" w:type="dxa"/>
            </w:tcMar>
            <w:vAlign w:val="center"/>
          </w:tcPr>
          <w:p>
            <w:pPr>
              <w:pStyle w:val="73"/>
            </w:pPr>
            <w:r>
              <w:t>50/60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right"/>
        </w:trPr>
        <w:tc>
          <w:tcPr>
            <w:tcW w:w="1680" w:type="dxa"/>
            <w:tcMar>
              <w:left w:w="108" w:type="dxa"/>
              <w:right w:w="108" w:type="dxa"/>
            </w:tcMar>
            <w:vAlign w:val="center"/>
          </w:tcPr>
          <w:p>
            <w:pPr>
              <w:pStyle w:val="73"/>
            </w:pPr>
            <w:r>
              <w:rPr>
                <w:rFonts w:hint="eastAsia"/>
              </w:rPr>
              <w:t>旁路电压范围</w:t>
            </w:r>
          </w:p>
        </w:tc>
        <w:tc>
          <w:tcPr>
            <w:tcW w:w="784" w:type="dxa"/>
            <w:tcMar>
              <w:left w:w="108" w:type="dxa"/>
              <w:right w:w="108" w:type="dxa"/>
            </w:tcMar>
            <w:vAlign w:val="center"/>
          </w:tcPr>
          <w:p>
            <w:pPr>
              <w:pStyle w:val="72"/>
              <w:rPr>
                <w:sz w:val="20"/>
              </w:rPr>
            </w:pPr>
            <w:r>
              <w:t>％Vac</w:t>
            </w:r>
          </w:p>
        </w:tc>
        <w:tc>
          <w:tcPr>
            <w:tcW w:w="6751" w:type="dxa"/>
            <w:tcMar>
              <w:left w:w="108" w:type="dxa"/>
              <w:right w:w="108" w:type="dxa"/>
            </w:tcMar>
            <w:vAlign w:val="center"/>
          </w:tcPr>
          <w:p>
            <w:pPr>
              <w:pStyle w:val="73"/>
            </w:pPr>
            <w:r>
              <w:rPr>
                <w:rFonts w:hint="eastAsia"/>
              </w:rPr>
              <w:t>上限：＋</w:t>
            </w:r>
            <w:r>
              <w:t>10、</w:t>
            </w:r>
            <w:r>
              <w:rPr>
                <w:rFonts w:hint="eastAsia"/>
              </w:rPr>
              <w:t>＋</w:t>
            </w:r>
            <w:r>
              <w:t>15</w:t>
            </w:r>
            <w:r>
              <w:rPr>
                <w:rFonts w:hint="eastAsia"/>
              </w:rPr>
              <w:t>或＋</w:t>
            </w:r>
            <w:r>
              <w:t>20</w:t>
            </w:r>
            <w:r>
              <w:rPr>
                <w:rFonts w:hint="eastAsia"/>
              </w:rPr>
              <w:t>，缺省为＋</w:t>
            </w:r>
            <w:r>
              <w:t>15</w:t>
            </w:r>
            <w:r>
              <w:rPr>
                <w:rFonts w:hint="eastAsia"/>
              </w:rPr>
              <w:t>；</w:t>
            </w:r>
          </w:p>
          <w:p>
            <w:pPr>
              <w:pStyle w:val="73"/>
            </w:pPr>
            <w:r>
              <w:rPr>
                <w:rFonts w:hint="eastAsia"/>
              </w:rPr>
              <w:t>下限：－</w:t>
            </w:r>
            <w:r>
              <w:t>10</w:t>
            </w:r>
            <w:r>
              <w:rPr>
                <w:rFonts w:hint="eastAsia"/>
              </w:rPr>
              <w:t>、－</w:t>
            </w:r>
            <w:r>
              <w:t>20</w:t>
            </w:r>
            <w:r>
              <w:rPr>
                <w:rFonts w:hint="eastAsia"/>
              </w:rPr>
              <w:t>、－</w:t>
            </w:r>
            <w:r>
              <w:t>30</w:t>
            </w:r>
            <w:r>
              <w:rPr>
                <w:rFonts w:hint="eastAsia"/>
              </w:rPr>
              <w:t>或－</w:t>
            </w:r>
            <w:r>
              <w:t>40</w:t>
            </w:r>
            <w:r>
              <w:rPr>
                <w:rFonts w:hint="eastAsia"/>
              </w:rPr>
              <w:t>，缺省为－</w:t>
            </w:r>
            <w: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right"/>
        </w:trPr>
        <w:tc>
          <w:tcPr>
            <w:tcW w:w="1680" w:type="dxa"/>
            <w:tcMar>
              <w:left w:w="108" w:type="dxa"/>
              <w:right w:w="108" w:type="dxa"/>
            </w:tcMar>
            <w:vAlign w:val="center"/>
          </w:tcPr>
          <w:p>
            <w:pPr>
              <w:pStyle w:val="73"/>
            </w:pPr>
            <w:r>
              <w:rPr>
                <w:rFonts w:hint="eastAsia"/>
              </w:rPr>
              <w:t>旁路频率范围</w:t>
            </w:r>
          </w:p>
        </w:tc>
        <w:tc>
          <w:tcPr>
            <w:tcW w:w="784" w:type="dxa"/>
            <w:tcMar>
              <w:left w:w="108" w:type="dxa"/>
              <w:right w:w="108" w:type="dxa"/>
            </w:tcMar>
            <w:vAlign w:val="center"/>
          </w:tcPr>
          <w:p>
            <w:pPr>
              <w:pStyle w:val="72"/>
            </w:pPr>
            <w:r>
              <w:t>％</w:t>
            </w:r>
          </w:p>
        </w:tc>
        <w:tc>
          <w:tcPr>
            <w:tcW w:w="6751" w:type="dxa"/>
            <w:tcMar>
              <w:left w:w="108" w:type="dxa"/>
              <w:right w:w="108" w:type="dxa"/>
            </w:tcMar>
            <w:vAlign w:val="center"/>
          </w:tcPr>
          <w:p>
            <w:pPr>
              <w:pStyle w:val="73"/>
            </w:pPr>
            <w:r>
              <w:rPr>
                <w:rFonts w:hint="eastAsia"/>
              </w:rPr>
              <w:t>±</w:t>
            </w:r>
            <w:r>
              <w:t>10</w:t>
            </w:r>
            <w:r>
              <w:rPr>
                <w:rFonts w:hint="eastAsia"/>
              </w:rPr>
              <w:t>或±</w:t>
            </w:r>
            <w:r>
              <w:t>20</w:t>
            </w:r>
            <w:r>
              <w:rPr>
                <w:rFonts w:hint="eastAsia"/>
              </w:rPr>
              <w:t>，缺省：±</w:t>
            </w:r>
            <w:r>
              <w:t xml:space="preserve">10 </w:t>
            </w:r>
          </w:p>
        </w:tc>
      </w:tr>
    </w:tbl>
    <w:p>
      <w:pPr>
        <w:ind w:left="680"/>
      </w:pPr>
      <w:r>
        <w:rPr>
          <w:rFonts w:hint="eastAsia"/>
        </w:rPr>
        <w:drawing>
          <wp:inline distT="0" distB="0" distL="0" distR="0">
            <wp:extent cx="646430" cy="283845"/>
            <wp:effectExtent l="0" t="0" r="1270" b="1905"/>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noChangeArrowheads="1"/>
                    </pic:cNvPicPr>
                  </pic:nvPicPr>
                  <pic:blipFill>
                    <a:blip r:embed="rId44">
                      <a:extLst>
                        <a:ext uri="{28A0092B-C50C-407E-A947-70E740481C1C}">
                          <a14:useLocalDpi xmlns:a14="http://schemas.microsoft.com/office/drawing/2010/main" val="0"/>
                        </a:ext>
                      </a:extLst>
                    </a:blip>
                    <a:srcRect l="3618" r="2592"/>
                    <a:stretch>
                      <a:fillRect/>
                    </a:stretch>
                  </pic:blipFill>
                  <pic:spPr>
                    <a:xfrm>
                      <a:off x="0" y="0"/>
                      <a:ext cx="646430" cy="283845"/>
                    </a:xfrm>
                    <a:prstGeom prst="rect">
                      <a:avLst/>
                    </a:prstGeom>
                    <a:noFill/>
                    <a:ln>
                      <a:noFill/>
                    </a:ln>
                  </pic:spPr>
                </pic:pic>
              </a:graphicData>
            </a:graphic>
          </wp:inline>
        </w:drawing>
      </w:r>
    </w:p>
    <w:p>
      <w:pPr>
        <w:pStyle w:val="3"/>
        <w:rPr>
          <w:sz w:val="16"/>
          <w:szCs w:val="16"/>
        </w:rPr>
      </w:pPr>
      <w:r>
        <w:rPr>
          <w:sz w:val="16"/>
          <w:szCs w:val="16"/>
        </w:rPr>
        <w:t>1</w:t>
      </w:r>
      <w:r>
        <w:rPr>
          <w:rFonts w:hint="eastAsia"/>
          <w:sz w:val="16"/>
          <w:szCs w:val="16"/>
        </w:rPr>
        <w:t>．厂家设置为</w:t>
      </w:r>
      <w:r>
        <w:rPr>
          <w:sz w:val="16"/>
          <w:szCs w:val="16"/>
        </w:rPr>
        <w:t>380V</w:t>
      </w:r>
      <w:r>
        <w:rPr>
          <w:rFonts w:hint="eastAsia"/>
          <w:sz w:val="16"/>
          <w:szCs w:val="16"/>
        </w:rPr>
        <w:t>，服务工程师可设置为</w:t>
      </w:r>
      <w:r>
        <w:rPr>
          <w:sz w:val="16"/>
          <w:szCs w:val="16"/>
        </w:rPr>
        <w:t>400V</w:t>
      </w:r>
      <w:r>
        <w:rPr>
          <w:rFonts w:hint="eastAsia"/>
          <w:sz w:val="16"/>
          <w:szCs w:val="16"/>
        </w:rPr>
        <w:t>或</w:t>
      </w:r>
      <w:r>
        <w:rPr>
          <w:sz w:val="16"/>
          <w:szCs w:val="16"/>
        </w:rPr>
        <w:t>415V</w:t>
      </w:r>
      <w:r>
        <w:rPr>
          <w:rFonts w:hint="eastAsia"/>
          <w:sz w:val="16"/>
          <w:szCs w:val="16"/>
        </w:rPr>
        <w:t>。</w:t>
      </w:r>
    </w:p>
    <w:p>
      <w:pPr>
        <w:pStyle w:val="3"/>
        <w:rPr>
          <w:sz w:val="16"/>
          <w:szCs w:val="16"/>
        </w:rPr>
      </w:pPr>
      <w:r>
        <w:rPr>
          <w:sz w:val="16"/>
          <w:szCs w:val="16"/>
        </w:rPr>
        <w:t>2</w:t>
      </w:r>
      <w:r>
        <w:rPr>
          <w:rFonts w:hint="eastAsia"/>
          <w:sz w:val="16"/>
          <w:szCs w:val="16"/>
        </w:rPr>
        <w:t>．厂家设置为</w:t>
      </w:r>
      <w:r>
        <w:rPr>
          <w:sz w:val="16"/>
          <w:szCs w:val="16"/>
        </w:rPr>
        <w:t>50Hz，</w:t>
      </w:r>
      <w:r>
        <w:rPr>
          <w:rFonts w:hint="eastAsia"/>
          <w:sz w:val="16"/>
          <w:szCs w:val="16"/>
        </w:rPr>
        <w:t>服务工程师可设置为6</w:t>
      </w:r>
      <w:r>
        <w:rPr>
          <w:sz w:val="16"/>
          <w:szCs w:val="16"/>
        </w:rPr>
        <w:t>0Hz</w:t>
      </w:r>
      <w:r>
        <w:rPr>
          <w:rFonts w:hint="eastAsia"/>
          <w:sz w:val="16"/>
          <w:szCs w:val="16"/>
        </w:rPr>
        <w:t>。</w:t>
      </w:r>
    </w:p>
    <w:p>
      <w:pPr>
        <w:pStyle w:val="2"/>
        <w:rPr>
          <w:szCs w:val="22"/>
        </w:rPr>
        <w:sectPr>
          <w:headerReference r:id="rId15" w:type="default"/>
          <w:footerReference r:id="rId17" w:type="default"/>
          <w:headerReference r:id="rId16" w:type="even"/>
          <w:footerReference r:id="rId18" w:type="even"/>
          <w:type w:val="continuous"/>
          <w:pgSz w:w="11906" w:h="16838"/>
          <w:pgMar w:top="1304" w:right="737" w:bottom="1134" w:left="1134" w:header="851" w:footer="737" w:gutter="0"/>
          <w:pgNumType w:start="1"/>
          <w:cols w:space="720" w:num="1"/>
          <w:docGrid w:type="lines" w:linePitch="312" w:charSpace="0"/>
        </w:sectPr>
      </w:pPr>
      <w:bookmarkStart w:id="103" w:name="_Hlt241809675"/>
      <w:bookmarkEnd w:id="103"/>
      <w:bookmarkStart w:id="104" w:name="_Hlt322525726"/>
      <w:bookmarkEnd w:id="104"/>
      <w:bookmarkStart w:id="105" w:name="_Toc23251010"/>
      <w:bookmarkStart w:id="106" w:name="_Toc212951956"/>
    </w:p>
    <w:p>
      <w:pPr>
        <w:pStyle w:val="2"/>
      </w:pPr>
      <w:bookmarkStart w:id="107" w:name="_Toc14987"/>
      <w:r>
        <w:rPr>
          <w:rFonts w:hint="eastAsia"/>
        </w:rPr>
        <w:t>机械安装</w:t>
      </w:r>
      <w:bookmarkEnd w:id="66"/>
      <w:bookmarkEnd w:id="67"/>
      <w:bookmarkEnd w:id="68"/>
      <w:bookmarkEnd w:id="105"/>
      <w:bookmarkEnd w:id="106"/>
      <w:bookmarkEnd w:id="107"/>
    </w:p>
    <w:p>
      <w:pPr>
        <w:pStyle w:val="3"/>
      </w:pPr>
      <w:r>
        <w:rPr>
          <w:rFonts w:hint="eastAsia"/>
        </w:rPr>
        <w:t>本章简要介绍UPS的机械安装，包括注意事项、初检、环境要求、机械要求</w:t>
      </w:r>
      <w:bookmarkStart w:id="108" w:name="_Hlt322525946"/>
      <w:bookmarkEnd w:id="108"/>
      <w:r>
        <w:rPr>
          <w:rFonts w:hint="eastAsia"/>
        </w:rPr>
        <w:t>和安装图等。</w:t>
      </w:r>
    </w:p>
    <w:p>
      <w:pPr>
        <w:pStyle w:val="4"/>
        <w:rPr>
          <w:szCs w:val="22"/>
        </w:rPr>
      </w:pPr>
      <w:bookmarkStart w:id="109" w:name="_Toc212951957"/>
      <w:bookmarkStart w:id="110" w:name="_Toc23251011"/>
      <w:bookmarkStart w:id="111" w:name="_Toc19793"/>
      <w:r>
        <w:rPr>
          <w:rFonts w:hint="eastAsia"/>
          <w:szCs w:val="22"/>
        </w:rPr>
        <w:t>注意事项</w:t>
      </w:r>
      <w:bookmarkEnd w:id="109"/>
      <w:bookmarkEnd w:id="110"/>
      <w:bookmarkEnd w:id="111"/>
    </w:p>
    <w:p>
      <w:pPr>
        <w:pStyle w:val="3"/>
      </w:pPr>
      <w:r>
        <w:rPr>
          <w:rFonts w:hint="eastAsia"/>
        </w:rPr>
        <w:t>本章介绍UPS选位和走线时所必须考虑的环境和机械方面的要求。由于每个场地都具有其特殊性，本</w:t>
      </w:r>
      <w:bookmarkStart w:id="112" w:name="_Hlt336000296"/>
      <w:bookmarkEnd w:id="112"/>
      <w:r>
        <w:rPr>
          <w:rFonts w:hint="eastAsia"/>
        </w:rPr>
        <w:t>章只为安装人员提供指导性的一般安装步骤及方法，由安装人员根据场地具体情况处理。</w:t>
      </w:r>
    </w:p>
    <w:tbl>
      <w:tblPr>
        <w:tblStyle w:val="50"/>
        <w:tblW w:w="9378"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9378" w:type="dxa"/>
            <w:vAlign w:val="center"/>
          </w:tcPr>
          <w:p>
            <w:pPr>
              <w:pStyle w:val="72"/>
              <w:spacing w:before="46" w:beforeLines="15" w:line="276" w:lineRule="auto"/>
              <w:jc w:val="both"/>
            </w:pPr>
            <w:bookmarkStart w:id="113" w:name="_Hlt322613038"/>
            <w:r>
              <w:drawing>
                <wp:inline distT="0" distB="0" distL="0" distR="0">
                  <wp:extent cx="646430" cy="283845"/>
                  <wp:effectExtent l="0" t="0" r="1270" b="1905"/>
                  <wp:docPr id="113" name="图片 113"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6430" cy="283845"/>
                          </a:xfrm>
                          <a:prstGeom prst="rect">
                            <a:avLst/>
                          </a:prstGeom>
                          <a:noFill/>
                          <a:ln>
                            <a:noFill/>
                          </a:ln>
                        </pic:spPr>
                      </pic:pic>
                    </a:graphicData>
                  </a:graphic>
                </wp:inline>
              </w:drawing>
            </w:r>
            <w:r>
              <w:rPr>
                <w:rStyle w:val="87"/>
                <w:rFonts w:hint="eastAsia"/>
              </w:rPr>
              <w:t>警告：</w:t>
            </w:r>
            <w:bookmarkStart w:id="114" w:name="_Hlt322612630"/>
            <w:bookmarkEnd w:id="114"/>
            <w:r>
              <w:rPr>
                <w:rStyle w:val="87"/>
                <w:rFonts w:hint="eastAsia"/>
              </w:rPr>
              <w:t>要求专业安装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right"/>
        </w:trPr>
        <w:tc>
          <w:tcPr>
            <w:tcW w:w="9378" w:type="dxa"/>
            <w:vAlign w:val="center"/>
          </w:tcPr>
          <w:p>
            <w:pPr>
              <w:pStyle w:val="73"/>
            </w:pPr>
            <w:r>
              <w:rPr>
                <w:rFonts w:hint="eastAsia"/>
              </w:rPr>
              <w:t>1．在授权服务工程师到达之前，请不要给UPS上电。</w:t>
            </w:r>
          </w:p>
          <w:p>
            <w:pPr>
              <w:pStyle w:val="73"/>
            </w:pPr>
            <w:r>
              <w:rPr>
                <w:rFonts w:hint="eastAsia"/>
              </w:rPr>
              <w:t>2．必须由授权工程师严格按照本章说明进行UPS的安装。</w:t>
            </w:r>
          </w:p>
        </w:tc>
      </w:tr>
      <w:bookmarkEnd w:id="113"/>
    </w:tbl>
    <w:p>
      <w:pPr>
        <w:pStyle w:val="79"/>
      </w:pPr>
    </w:p>
    <w:tbl>
      <w:tblPr>
        <w:tblStyle w:val="50"/>
        <w:tblW w:w="9392"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9392" w:type="dxa"/>
            <w:vAlign w:val="center"/>
          </w:tcPr>
          <w:p>
            <w:pPr>
              <w:pStyle w:val="72"/>
              <w:spacing w:before="46" w:beforeLines="15" w:line="276" w:lineRule="auto"/>
              <w:jc w:val="both"/>
              <w:rPr>
                <w:rStyle w:val="87"/>
              </w:rPr>
            </w:pPr>
            <w:r>
              <w:rPr>
                <w:rStyle w:val="87"/>
              </w:rPr>
              <w:drawing>
                <wp:inline distT="0" distB="0" distL="0" distR="0">
                  <wp:extent cx="646430" cy="283845"/>
                  <wp:effectExtent l="0" t="0" r="1270" b="1905"/>
                  <wp:docPr id="112" name="图片 112"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6430" cy="283845"/>
                          </a:xfrm>
                          <a:prstGeom prst="rect">
                            <a:avLst/>
                          </a:prstGeom>
                          <a:noFill/>
                          <a:ln>
                            <a:noFill/>
                          </a:ln>
                        </pic:spPr>
                      </pic:pic>
                    </a:graphicData>
                  </a:graphic>
                </wp:inline>
              </w:drawing>
            </w:r>
            <w:r>
              <w:rPr>
                <w:rStyle w:val="87"/>
                <w:rFonts w:hint="eastAsia"/>
              </w:rPr>
              <w:t>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9392" w:type="dxa"/>
            <w:vAlign w:val="center"/>
          </w:tcPr>
          <w:p>
            <w:pPr>
              <w:pStyle w:val="73"/>
            </w:pPr>
            <w:r>
              <w:rPr>
                <w:rFonts w:hint="eastAsia"/>
              </w:rPr>
              <w:t>在授权服务工程师上电调试UPS之前，请务必保留UPS顶部的防尘罩，防止安装过程中粉尘在机内堆积导致系统故障或人身危险。</w:t>
            </w:r>
          </w:p>
        </w:tc>
      </w:tr>
    </w:tbl>
    <w:p>
      <w:pPr>
        <w:pStyle w:val="79"/>
      </w:pPr>
    </w:p>
    <w:tbl>
      <w:tblPr>
        <w:tblStyle w:val="50"/>
        <w:tblW w:w="9378"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right"/>
        </w:trPr>
        <w:tc>
          <w:tcPr>
            <w:tcW w:w="9378" w:type="dxa"/>
            <w:vAlign w:val="center"/>
          </w:tcPr>
          <w:p>
            <w:pPr>
              <w:pStyle w:val="72"/>
              <w:spacing w:before="46" w:beforeLines="15" w:line="276" w:lineRule="auto"/>
              <w:jc w:val="both"/>
              <w:rPr>
                <w:rStyle w:val="87"/>
              </w:rPr>
            </w:pPr>
            <w:r>
              <w:rPr>
                <w:rStyle w:val="87"/>
              </w:rPr>
              <w:drawing>
                <wp:inline distT="0" distB="0" distL="0" distR="0">
                  <wp:extent cx="646430" cy="283845"/>
                  <wp:effectExtent l="0" t="0" r="1270" b="1905"/>
                  <wp:docPr id="111" name="图片 111"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6430" cy="283845"/>
                          </a:xfrm>
                          <a:prstGeom prst="rect">
                            <a:avLst/>
                          </a:prstGeom>
                          <a:noFill/>
                          <a:ln>
                            <a:noFill/>
                          </a:ln>
                        </pic:spPr>
                      </pic:pic>
                    </a:graphicData>
                  </a:graphic>
                </wp:inline>
              </w:drawing>
            </w:r>
            <w:r>
              <w:rPr>
                <w:rStyle w:val="87"/>
                <w:rFonts w:hint="eastAsia"/>
              </w:rPr>
              <w:t>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right"/>
        </w:trPr>
        <w:tc>
          <w:tcPr>
            <w:tcW w:w="9378" w:type="dxa"/>
            <w:vAlign w:val="center"/>
          </w:tcPr>
          <w:p>
            <w:pPr>
              <w:pStyle w:val="73"/>
            </w:pPr>
            <w:r>
              <w:t>UPS</w:t>
            </w:r>
            <w:r>
              <w:rPr>
                <w:rFonts w:hint="eastAsia"/>
              </w:rPr>
              <w:t>必须与三相五线</w:t>
            </w:r>
            <w:r>
              <w:rPr>
                <w:rFonts w:hint="eastAsia"/>
                <w:lang w:val="en-GB"/>
              </w:rPr>
              <w:t>（</w:t>
            </w:r>
            <w:r>
              <w:t>A</w:t>
            </w:r>
            <w:r>
              <w:rPr>
                <w:rFonts w:hint="eastAsia"/>
              </w:rPr>
              <w:t>、</w:t>
            </w:r>
            <w:r>
              <w:t>B</w:t>
            </w:r>
            <w:r>
              <w:rPr>
                <w:rFonts w:hint="eastAsia"/>
              </w:rPr>
              <w:t>、</w:t>
            </w:r>
            <w:r>
              <w:t>C</w:t>
            </w:r>
            <w:r>
              <w:rPr>
                <w:rFonts w:hint="eastAsia"/>
              </w:rPr>
              <w:t>、</w:t>
            </w:r>
            <w:r>
              <w:t>N</w:t>
            </w:r>
            <w:r>
              <w:rPr>
                <w:rFonts w:hint="eastAsia"/>
              </w:rPr>
              <w:t>、</w:t>
            </w:r>
            <w:r>
              <w:t>PE</w:t>
            </w:r>
            <w:r>
              <w:rPr>
                <w:rFonts w:hint="eastAsia"/>
                <w:lang w:val="en-GB"/>
              </w:rPr>
              <w:t>）</w:t>
            </w:r>
            <w:r>
              <w:rPr>
                <w:rFonts w:hint="eastAsia"/>
              </w:rPr>
              <w:t>制配电系统</w:t>
            </w:r>
            <w:r>
              <w:rPr>
                <w:rFonts w:hint="eastAsia"/>
                <w:lang w:val="en-GB"/>
              </w:rPr>
              <w:t>（</w:t>
            </w:r>
            <w:r>
              <w:t>IEC60364-3</w:t>
            </w:r>
            <w:r>
              <w:rPr>
                <w:rFonts w:hint="eastAsia"/>
                <w:lang w:val="en-GB"/>
              </w:rPr>
              <w:t>）</w:t>
            </w:r>
            <w:r>
              <w:rPr>
                <w:rFonts w:hint="eastAsia"/>
              </w:rPr>
              <w:t>连接。</w:t>
            </w:r>
          </w:p>
        </w:tc>
      </w:tr>
    </w:tbl>
    <w:p>
      <w:pPr>
        <w:pStyle w:val="79"/>
      </w:pPr>
    </w:p>
    <w:tbl>
      <w:tblPr>
        <w:tblStyle w:val="50"/>
        <w:tblW w:w="9378"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9378" w:type="dxa"/>
            <w:vAlign w:val="center"/>
          </w:tcPr>
          <w:p>
            <w:pPr>
              <w:pStyle w:val="72"/>
              <w:spacing w:before="46" w:beforeLines="15" w:line="276" w:lineRule="auto"/>
              <w:jc w:val="both"/>
            </w:pPr>
            <w:r>
              <w:drawing>
                <wp:inline distT="0" distB="0" distL="0" distR="0">
                  <wp:extent cx="646430" cy="283845"/>
                  <wp:effectExtent l="0" t="0" r="1270" b="1905"/>
                  <wp:docPr id="110" name="图片 110"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6430" cy="283845"/>
                          </a:xfrm>
                          <a:prstGeom prst="rect">
                            <a:avLst/>
                          </a:prstGeom>
                          <a:noFill/>
                          <a:ln>
                            <a:noFill/>
                          </a:ln>
                        </pic:spPr>
                      </pic:pic>
                    </a:graphicData>
                  </a:graphic>
                </wp:inline>
              </w:drawing>
            </w:r>
            <w:r>
              <w:rPr>
                <w:rStyle w:val="87"/>
                <w:rFonts w:hint="eastAsia"/>
              </w:rPr>
              <w:t>警告：电池危险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2" w:hRule="atLeast"/>
          <w:jc w:val="right"/>
        </w:trPr>
        <w:tc>
          <w:tcPr>
            <w:tcW w:w="9378" w:type="dxa"/>
            <w:vAlign w:val="center"/>
          </w:tcPr>
          <w:p>
            <w:pPr>
              <w:pStyle w:val="73"/>
            </w:pPr>
            <w:r>
              <w:rPr>
                <w:rFonts w:hint="eastAsia"/>
              </w:rPr>
              <w:t>电池的安装需要特别小心。连接电池时，电池端电压将超过430Vdc，有致命的危险。</w:t>
            </w:r>
          </w:p>
          <w:p>
            <w:pPr>
              <w:pStyle w:val="73"/>
            </w:pPr>
            <w:r>
              <w:rPr>
                <w:rFonts w:hint="eastAsia"/>
              </w:rPr>
              <w:t>1．请配戴眼睛护罩，以免意外电弧伤害眼睛。</w:t>
            </w:r>
          </w:p>
          <w:p>
            <w:pPr>
              <w:pStyle w:val="73"/>
            </w:pPr>
            <w:r>
              <w:rPr>
                <w:rFonts w:hint="eastAsia"/>
              </w:rPr>
              <w:t>2．取下戒指、手表等所有金属佩戴物。</w:t>
            </w:r>
          </w:p>
          <w:p>
            <w:pPr>
              <w:pStyle w:val="73"/>
            </w:pPr>
            <w:r>
              <w:rPr>
                <w:rFonts w:hint="eastAsia"/>
              </w:rPr>
              <w:t>3．使用具有绝缘手柄的工具。</w:t>
            </w:r>
          </w:p>
          <w:p>
            <w:pPr>
              <w:pStyle w:val="73"/>
            </w:pPr>
            <w:r>
              <w:rPr>
                <w:rFonts w:hint="eastAsia"/>
              </w:rPr>
              <w:t>4．戴上橡胶手套。</w:t>
            </w:r>
            <w:bookmarkStart w:id="115" w:name="_Hlt324239230"/>
            <w:bookmarkEnd w:id="115"/>
          </w:p>
          <w:p>
            <w:pPr>
              <w:pStyle w:val="73"/>
            </w:pPr>
            <w:r>
              <w:rPr>
                <w:rFonts w:hint="eastAsia"/>
              </w:rPr>
              <w:t>5．如电池电解液泄漏或电池损坏，必须更换此电池，将其置于抗硫酸的容器中，并根据当地规定进行报废处理。</w:t>
            </w:r>
          </w:p>
          <w:p>
            <w:pPr>
              <w:pStyle w:val="73"/>
              <w:rPr>
                <w:rFonts w:ascii="宋体"/>
                <w:sz w:val="30"/>
              </w:rPr>
            </w:pPr>
            <w:r>
              <w:t>6</w:t>
            </w:r>
            <w:r>
              <w:rPr>
                <w:rFonts w:hint="eastAsia"/>
              </w:rPr>
              <w:t>．如皮肤接触到电解液，应立即用水冲洗。</w:t>
            </w:r>
          </w:p>
        </w:tc>
      </w:tr>
    </w:tbl>
    <w:p>
      <w:pPr>
        <w:pStyle w:val="5"/>
        <w:rPr>
          <w:szCs w:val="22"/>
        </w:rPr>
      </w:pPr>
      <w:bookmarkStart w:id="116" w:name="_Toc19379"/>
      <w:bookmarkStart w:id="117" w:name="_Toc338167208"/>
      <w:bookmarkStart w:id="118" w:name="_Toc23251012"/>
      <w:bookmarkStart w:id="119" w:name="_Toc333590279"/>
      <w:r>
        <w:rPr>
          <w:rFonts w:hint="eastAsia"/>
          <w:szCs w:val="22"/>
        </w:rPr>
        <w:t>运输</w:t>
      </w:r>
      <w:bookmarkEnd w:id="116"/>
      <w:bookmarkEnd w:id="117"/>
      <w:bookmarkEnd w:id="118"/>
      <w:bookmarkEnd w:id="119"/>
    </w:p>
    <w:p>
      <w:pPr>
        <w:pStyle w:val="3"/>
      </w:pPr>
      <w:r>
        <w:rPr>
          <w:rFonts w:hint="eastAsia"/>
        </w:rPr>
        <w:t>运输时，尽量选择铁路运输和水路运输。如果选择公路运输，应选择路况较好的公路，防止过度颠簸。</w:t>
      </w:r>
    </w:p>
    <w:p>
      <w:pPr>
        <w:pStyle w:val="3"/>
      </w:pPr>
      <w:r>
        <w:rPr>
          <w:rFonts w:hint="eastAsia"/>
        </w:rPr>
        <w:t>UPS机柜较重，重量参数参见</w:t>
      </w:r>
      <w:bookmarkStart w:id="120" w:name="_Hlt243371706"/>
      <w:bookmarkEnd w:id="120"/>
      <w:r>
        <w:rPr>
          <w:rFonts w:hint="eastAsia"/>
        </w:rPr>
        <w:t>表1-3。卸货及搬运尽量用机械搬运工具，如电动叉车等将设备运到距安装地点最近的地方。用叉车卸货及运输时，应仔细注意防止倾倒。</w:t>
      </w:r>
    </w:p>
    <w:p>
      <w:pPr>
        <w:pStyle w:val="5"/>
        <w:numPr>
          <w:ilvl w:val="2"/>
          <w:numId w:val="4"/>
        </w:numPr>
      </w:pPr>
      <w:bookmarkStart w:id="121" w:name="_Toc333217157"/>
      <w:bookmarkStart w:id="122" w:name="_Toc338167209"/>
      <w:bookmarkStart w:id="123" w:name="_Toc10463"/>
      <w:bookmarkStart w:id="124" w:name="_Toc23251013"/>
      <w:r>
        <w:rPr>
          <w:rFonts w:hint="eastAsia"/>
        </w:rPr>
        <w:t>开箱</w:t>
      </w:r>
      <w:bookmarkEnd w:id="121"/>
      <w:bookmarkEnd w:id="122"/>
      <w:bookmarkEnd w:id="123"/>
      <w:bookmarkEnd w:id="124"/>
    </w:p>
    <w:p>
      <w:pPr>
        <w:pStyle w:val="3"/>
      </w:pPr>
      <w:r>
        <w:rPr>
          <w:rFonts w:hint="eastAsia"/>
        </w:rPr>
        <w:t>在授权服务工程师指导下拆开UPS，具体步骤如下：</w:t>
      </w:r>
    </w:p>
    <w:p>
      <w:pPr>
        <w:pStyle w:val="3"/>
      </w:pPr>
      <w:r>
        <w:rPr>
          <w:rFonts w:hint="eastAsia"/>
        </w:rPr>
        <w:t>1．拆除机柜的外包装。</w:t>
      </w:r>
    </w:p>
    <w:p>
      <w:pPr>
        <w:pStyle w:val="3"/>
      </w:pPr>
      <w:r>
        <w:rPr>
          <w:rFonts w:hint="eastAsia"/>
        </w:rPr>
        <w:t>2．把栈板上放置的踢脚板等散件拿出并保存好，如图拆除机柜地脚固定螺钉，按照叉入方向，用叉车将机柜移至安装位置。需要在机柜在指定位置安装好后固定两侧踢脚板，正面和背面的踢脚板需要根据实际情况，在合适的工序安装，比如如果影响走线的话就在接线完成后安装，如果不影响走线就可以提前安装。</w:t>
      </w:r>
    </w:p>
    <w:p>
      <w:pPr>
        <w:pStyle w:val="3"/>
      </w:pPr>
    </w:p>
    <w:p>
      <w:pPr>
        <w:pStyle w:val="83"/>
        <w:numPr>
          <w:ilvl w:val="0"/>
          <w:numId w:val="0"/>
        </w:numPr>
        <w:rPr>
          <w:rFonts w:cs="Arial"/>
          <w:kern w:val="0"/>
          <w:szCs w:val="16"/>
        </w:rPr>
      </w:pPr>
      <w:r>
        <w:drawing>
          <wp:inline distT="0" distB="0" distL="0" distR="0">
            <wp:extent cx="2282190" cy="2872740"/>
            <wp:effectExtent l="0" t="0" r="3810" b="381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pic:cNvPicPr>
                      <a:picLocks noChangeAspect="1"/>
                    </pic:cNvPicPr>
                  </pic:nvPicPr>
                  <pic:blipFill>
                    <a:blip r:embed="rId45"/>
                    <a:stretch>
                      <a:fillRect/>
                    </a:stretch>
                  </pic:blipFill>
                  <pic:spPr>
                    <a:xfrm>
                      <a:off x="0" y="0"/>
                      <a:ext cx="2282400" cy="2872800"/>
                    </a:xfrm>
                    <a:prstGeom prst="rect">
                      <a:avLst/>
                    </a:prstGeom>
                  </pic:spPr>
                </pic:pic>
              </a:graphicData>
            </a:graphic>
          </wp:inline>
        </w:drawing>
      </w:r>
    </w:p>
    <w:p>
      <w:pPr>
        <w:pStyle w:val="83"/>
      </w:pPr>
      <w:r>
        <w:rPr>
          <w:rFonts w:hint="eastAsia"/>
        </w:rPr>
        <w:t>UPS栈板拆卸</w:t>
      </w:r>
    </w:p>
    <w:p>
      <w:pPr>
        <w:pStyle w:val="5"/>
        <w:numPr>
          <w:ilvl w:val="2"/>
          <w:numId w:val="4"/>
        </w:numPr>
      </w:pPr>
      <w:bookmarkStart w:id="125" w:name="_Toc339307122"/>
      <w:bookmarkEnd w:id="125"/>
      <w:bookmarkStart w:id="126" w:name="_Toc212951968"/>
      <w:bookmarkStart w:id="127" w:name="_Toc181760579"/>
      <w:bookmarkStart w:id="128" w:name="_Toc43197571"/>
      <w:bookmarkStart w:id="129" w:name="_Toc43267885"/>
      <w:bookmarkStart w:id="130" w:name="_Toc101847520"/>
      <w:bookmarkStart w:id="131" w:name="_Toc23251014"/>
      <w:bookmarkStart w:id="132" w:name="_Toc181776145"/>
      <w:bookmarkStart w:id="133" w:name="_Toc21266"/>
      <w:bookmarkStart w:id="134" w:name="_Toc181760570"/>
      <w:bookmarkStart w:id="135" w:name="_Toc212951958"/>
      <w:bookmarkStart w:id="136" w:name="_Toc43197562"/>
      <w:bookmarkStart w:id="137" w:name="_Toc43267876"/>
      <w:bookmarkStart w:id="138" w:name="_Toc101847511"/>
      <w:bookmarkStart w:id="139" w:name="_Toc181776136"/>
      <w:r>
        <w:rPr>
          <w:rFonts w:hint="eastAsia"/>
        </w:rPr>
        <w:t>初检</w:t>
      </w:r>
      <w:bookmarkEnd w:id="126"/>
      <w:bookmarkEnd w:id="127"/>
      <w:bookmarkEnd w:id="128"/>
      <w:bookmarkEnd w:id="129"/>
      <w:bookmarkEnd w:id="130"/>
      <w:bookmarkEnd w:id="131"/>
      <w:bookmarkEnd w:id="132"/>
      <w:bookmarkEnd w:id="133"/>
    </w:p>
    <w:p>
      <w:pPr>
        <w:pStyle w:val="3"/>
      </w:pPr>
      <w:r>
        <w:rPr>
          <w:rFonts w:hint="eastAsia"/>
        </w:rPr>
        <w:t>在安装UPS前，首先应进行如下检查：</w:t>
      </w:r>
    </w:p>
    <w:p>
      <w:pPr>
        <w:pStyle w:val="3"/>
      </w:pPr>
      <w:r>
        <w:t>1</w:t>
      </w:r>
      <w:r>
        <w:rPr>
          <w:rFonts w:hint="eastAsia"/>
        </w:rPr>
        <w:t>．确保UPS机房环境符合产品技术指标规定的环境要求，特别是环境温度、通风条件及粉尘情况。</w:t>
      </w:r>
    </w:p>
    <w:p>
      <w:pPr>
        <w:pStyle w:val="3"/>
      </w:pPr>
      <w:r>
        <w:rPr>
          <w:rFonts w:hint="eastAsia"/>
          <w:lang w:val="en-GB"/>
        </w:rPr>
        <w:t xml:space="preserve">2. </w:t>
      </w:r>
      <w:r>
        <w:rPr>
          <w:rFonts w:hint="eastAsia"/>
        </w:rPr>
        <w:t>目检UPS是否存在外观或机械损伤。如有损伤，请联系</w:t>
      </w:r>
      <w:r>
        <w:rPr>
          <w:rFonts w:hint="eastAsia"/>
          <w:lang w:eastAsia="zh-CN"/>
        </w:rPr>
        <w:t>本</w:t>
      </w:r>
      <w:r>
        <w:rPr>
          <w:rFonts w:hint="eastAsia"/>
        </w:rPr>
        <w:t>当地用服中心寻求帮助。</w:t>
      </w:r>
    </w:p>
    <w:p>
      <w:pPr>
        <w:pStyle w:val="3"/>
      </w:pPr>
      <w:r>
        <w:rPr>
          <w:rFonts w:hint="eastAsia"/>
          <w:lang w:val="en-GB"/>
        </w:rPr>
        <w:t>3．核对产品标签，确认设备的正确性。设备</w:t>
      </w:r>
      <w:r>
        <w:rPr>
          <w:rFonts w:hint="eastAsia"/>
        </w:rPr>
        <w:t>门后贴有设备标签，标签上标明了</w:t>
      </w:r>
      <w:r>
        <w:t>UPS</w:t>
      </w:r>
      <w:r>
        <w:rPr>
          <w:rFonts w:hint="eastAsia"/>
        </w:rPr>
        <w:t>型号、容量及</w:t>
      </w:r>
      <w:r>
        <w:rPr>
          <w:rFonts w:hint="eastAsia"/>
          <w:szCs w:val="21"/>
        </w:rPr>
        <w:t>主要参数。</w:t>
      </w:r>
    </w:p>
    <w:p>
      <w:pPr>
        <w:pStyle w:val="4"/>
        <w:rPr>
          <w:szCs w:val="22"/>
        </w:rPr>
      </w:pPr>
      <w:bookmarkStart w:id="140" w:name="_Toc23251015"/>
      <w:bookmarkStart w:id="141" w:name="_Toc28484"/>
      <w:r>
        <w:rPr>
          <w:rFonts w:hint="eastAsia"/>
          <w:szCs w:val="22"/>
        </w:rPr>
        <w:t>环境要求</w:t>
      </w:r>
      <w:bookmarkEnd w:id="134"/>
      <w:bookmarkEnd w:id="135"/>
      <w:bookmarkEnd w:id="136"/>
      <w:bookmarkEnd w:id="137"/>
      <w:bookmarkEnd w:id="138"/>
      <w:bookmarkEnd w:id="139"/>
      <w:bookmarkEnd w:id="140"/>
      <w:bookmarkEnd w:id="141"/>
    </w:p>
    <w:p>
      <w:pPr>
        <w:pStyle w:val="5"/>
        <w:numPr>
          <w:ilvl w:val="2"/>
          <w:numId w:val="4"/>
        </w:numPr>
      </w:pPr>
      <w:bookmarkStart w:id="142" w:name="_Toc27263"/>
      <w:bookmarkStart w:id="143" w:name="_Toc43197563"/>
      <w:bookmarkStart w:id="144" w:name="_Toc181776137"/>
      <w:bookmarkStart w:id="145" w:name="_Toc101847512"/>
      <w:bookmarkStart w:id="146" w:name="_Toc181760571"/>
      <w:bookmarkStart w:id="147" w:name="_Toc43267877"/>
      <w:bookmarkStart w:id="148" w:name="_Toc23251016"/>
      <w:bookmarkStart w:id="149" w:name="_Toc212951959"/>
      <w:r>
        <w:t>UPS</w:t>
      </w:r>
      <w:r>
        <w:rPr>
          <w:rFonts w:hint="eastAsia"/>
        </w:rPr>
        <w:t>的选位</w:t>
      </w:r>
      <w:bookmarkEnd w:id="142"/>
      <w:bookmarkEnd w:id="143"/>
      <w:bookmarkEnd w:id="144"/>
      <w:bookmarkEnd w:id="145"/>
      <w:bookmarkEnd w:id="146"/>
      <w:bookmarkEnd w:id="147"/>
      <w:bookmarkEnd w:id="148"/>
      <w:bookmarkEnd w:id="149"/>
      <w:bookmarkStart w:id="150" w:name="_Hlt336355174"/>
      <w:bookmarkEnd w:id="150"/>
    </w:p>
    <w:p>
      <w:pPr>
        <w:pStyle w:val="3"/>
      </w:pPr>
      <w:r>
        <w:rPr>
          <w:rFonts w:hint="eastAsia"/>
        </w:rPr>
        <w:t>UPS应安装在凉爽、干燥、清洁、通风良好的室内环境中，应安装在混凝土或其它不易着燃的、平整的安装表面上。环境灰尘中不能含有带导电性质的粉屑（如金属粉、硫化物、二氧化硫、石墨、炭纤维、导电纤维等）、酸雾或其它导电介质（强电离物质）。具体环境指标需符合国家相关标准规范要求和本手册规定的指标范围之内（见</w:t>
      </w:r>
      <w:bookmarkStart w:id="151" w:name="_Hlt214941713"/>
      <w:r>
        <w:rPr>
          <w:rFonts w:hint="eastAsia"/>
        </w:rPr>
        <w:t>表1-2）</w:t>
      </w:r>
      <w:bookmarkEnd w:id="151"/>
      <w:r>
        <w:rPr>
          <w:rFonts w:hint="eastAsia"/>
        </w:rPr>
        <w:t>。</w:t>
      </w:r>
    </w:p>
    <w:p>
      <w:pPr>
        <w:pStyle w:val="3"/>
      </w:pPr>
      <w:r>
        <w:rPr>
          <w:rFonts w:hint="eastAsia"/>
        </w:rPr>
        <w:t>UPS由内部风扇提供强制风冷，冷风通过UPS机柜前面的风栅进入UPS内部，热风通过UPS后部的风栅排出，请勿阻塞通风孔（风栅）。U</w:t>
      </w:r>
      <w:r>
        <w:t>PS</w:t>
      </w:r>
      <w:r>
        <w:rPr>
          <w:rFonts w:hint="eastAsia"/>
        </w:rPr>
        <w:t>前面应保留足够空间，以</w:t>
      </w:r>
      <w:r>
        <w:t>UPS</w:t>
      </w:r>
      <w:r>
        <w:rPr>
          <w:rFonts w:hint="eastAsia"/>
        </w:rPr>
        <w:t>门完全打开后，人可以自由通过为准。同时</w:t>
      </w:r>
      <w:r>
        <w:t>UPS</w:t>
      </w:r>
      <w:r>
        <w:rPr>
          <w:rFonts w:hint="eastAsia"/>
        </w:rPr>
        <w:t>后部与墙壁或相邻设备保持至少500mm的距离，以避免阻碍UPS的通风散热，造成UPS内部温度升高，影响UPS的使用寿命。</w:t>
      </w:r>
    </w:p>
    <w:p>
      <w:pPr>
        <w:pStyle w:val="3"/>
      </w:pPr>
      <w:r>
        <w:rPr>
          <w:rFonts w:hint="eastAsia"/>
        </w:rPr>
        <w:t>如有必要，应安装室内排气扇，以加速环境空气流通，避免室温增高。在尘埃较多的环境中，应加装防尘网（选件）。</w:t>
      </w:r>
    </w:p>
    <w:p>
      <w:pPr>
        <w:pStyle w:val="3"/>
        <w:rPr>
          <w:b/>
        </w:rPr>
      </w:pPr>
      <w:r>
        <w:rPr>
          <w:rFonts w:hint="eastAsia"/>
          <w:b/>
        </w:rPr>
        <w:t>注1：当电池安装在UPS附近时，最高可允许的环境温度由电池决定，而非由UPS决定。</w:t>
      </w:r>
    </w:p>
    <w:p>
      <w:pPr>
        <w:pStyle w:val="3"/>
        <w:rPr>
          <w:b/>
        </w:rPr>
      </w:pPr>
      <w:bookmarkStart w:id="152" w:name="_Hlt15881007"/>
      <w:bookmarkEnd w:id="152"/>
      <w:bookmarkStart w:id="153" w:name="_Toc181776138"/>
      <w:bookmarkStart w:id="154" w:name="_Toc101847513"/>
      <w:bookmarkStart w:id="155" w:name="_Toc43197564"/>
      <w:bookmarkStart w:id="156" w:name="_Toc181760572"/>
      <w:bookmarkStart w:id="157" w:name="_Toc43267878"/>
      <w:bookmarkStart w:id="158" w:name="_Toc212951960"/>
      <w:r>
        <w:rPr>
          <w:rFonts w:hint="eastAsia"/>
          <w:b/>
        </w:rPr>
        <w:t>注2：UPS工作于经济运行（ECO）模式时，功耗比较小；而工作于正常模</w:t>
      </w:r>
      <w:bookmarkStart w:id="159" w:name="_Hlt324321223"/>
      <w:bookmarkEnd w:id="159"/>
      <w:r>
        <w:rPr>
          <w:rFonts w:hint="eastAsia"/>
          <w:b/>
        </w:rPr>
        <w:t>式时，功耗比较大，应按照正常模式下的功耗选择合适的空调系统。</w:t>
      </w:r>
      <w:bookmarkStart w:id="160" w:name="_Hlt323046157"/>
      <w:bookmarkEnd w:id="160"/>
      <w:bookmarkStart w:id="161" w:name="_Hlt324239290"/>
      <w:bookmarkEnd w:id="161"/>
    </w:p>
    <w:p>
      <w:pPr>
        <w:pStyle w:val="5"/>
        <w:numPr>
          <w:ilvl w:val="2"/>
          <w:numId w:val="4"/>
        </w:numPr>
      </w:pPr>
      <w:bookmarkStart w:id="162" w:name="_Toc26827"/>
      <w:bookmarkStart w:id="163" w:name="_Toc23251017"/>
      <w:r>
        <w:rPr>
          <w:rFonts w:hint="eastAsia"/>
        </w:rPr>
        <w:t>电池的选位</w:t>
      </w:r>
      <w:bookmarkEnd w:id="153"/>
      <w:bookmarkEnd w:id="154"/>
      <w:bookmarkEnd w:id="155"/>
      <w:bookmarkEnd w:id="156"/>
      <w:bookmarkEnd w:id="157"/>
      <w:bookmarkEnd w:id="158"/>
      <w:bookmarkEnd w:id="162"/>
      <w:bookmarkEnd w:id="163"/>
    </w:p>
    <w:p>
      <w:pPr>
        <w:pStyle w:val="3"/>
        <w:rPr>
          <w:lang w:val="en-GB"/>
        </w:rPr>
      </w:pPr>
      <w:r>
        <w:rPr>
          <w:rFonts w:hint="eastAsia"/>
          <w:lang w:val="en-GB"/>
        </w:rPr>
        <w:t>蓄电池在充电末期会有少量氢气和氧气产生，因此必须保证蓄电池安装环境的新风通风量满足EN50272-2001的要求。</w:t>
      </w:r>
    </w:p>
    <w:p>
      <w:pPr>
        <w:pStyle w:val="3"/>
      </w:pPr>
      <w:r>
        <w:rPr>
          <w:rFonts w:hint="eastAsia"/>
        </w:rPr>
        <w:t>环境温度是影响电池容量及寿命的主要因素。电池的标准工作温度为20</w:t>
      </w:r>
      <w:r>
        <w:rPr>
          <w:rFonts w:hint="eastAsia" w:ascii="宋体" w:hAnsi="宋体"/>
        </w:rPr>
        <w:t>℃</w:t>
      </w:r>
      <w:r>
        <w:rPr>
          <w:rFonts w:hint="eastAsia"/>
        </w:rPr>
        <w:t>，高于20</w:t>
      </w:r>
      <w:r>
        <w:rPr>
          <w:rFonts w:hint="eastAsia" w:ascii="宋体" w:hAnsi="宋体"/>
        </w:rPr>
        <w:t>℃</w:t>
      </w:r>
      <w:r>
        <w:rPr>
          <w:rFonts w:hint="eastAsia"/>
        </w:rPr>
        <w:t>的环境温度，将缩短电池的寿命，低于20</w:t>
      </w:r>
      <w:r>
        <w:rPr>
          <w:rFonts w:hint="eastAsia" w:ascii="宋体" w:hAnsi="宋体"/>
        </w:rPr>
        <w:t>℃</w:t>
      </w:r>
      <w:r>
        <w:rPr>
          <w:rFonts w:hint="eastAsia"/>
        </w:rPr>
        <w:t>将降低电池的容量。通常情况下，电池允许的环境温度为15</w:t>
      </w:r>
      <w:r>
        <w:rPr>
          <w:rFonts w:hint="eastAsia" w:ascii="宋体" w:hAnsi="宋体"/>
        </w:rPr>
        <w:t>℃～</w:t>
      </w:r>
      <w:r>
        <w:rPr>
          <w:rFonts w:hint="eastAsia"/>
        </w:rPr>
        <w:t>25</w:t>
      </w:r>
      <w:r>
        <w:rPr>
          <w:rFonts w:hint="eastAsia" w:ascii="宋体" w:hAnsi="宋体"/>
        </w:rPr>
        <w:t>℃</w:t>
      </w:r>
      <w:r>
        <w:rPr>
          <w:rFonts w:hint="eastAsia"/>
        </w:rPr>
        <w:t>之间，电池所在的环境温度应保持恒定，电池远离热源及主通风口。</w:t>
      </w:r>
    </w:p>
    <w:p>
      <w:pPr>
        <w:pStyle w:val="3"/>
      </w:pPr>
      <w:r>
        <w:rPr>
          <w:rFonts w:hint="eastAsia"/>
        </w:rPr>
        <w:t>电池可安装在专用的电池柜内，电池柜应靠近UPS。若电池放置在高架地板上，同UPS一样，也应在地板下加装支架。如电池安装在电池架上，或以别的方式安装在距离UPS较远的地方，应将电池开关尽量安装在靠近电池的地方，并尽可能保证走线距离最短。</w:t>
      </w:r>
    </w:p>
    <w:p>
      <w:pPr>
        <w:pStyle w:val="5"/>
        <w:numPr>
          <w:ilvl w:val="2"/>
          <w:numId w:val="4"/>
        </w:numPr>
      </w:pPr>
      <w:bookmarkStart w:id="164" w:name="_Toc16287"/>
      <w:bookmarkStart w:id="165" w:name="_Toc23251018"/>
      <w:r>
        <w:rPr>
          <w:rFonts w:hint="eastAsia"/>
        </w:rPr>
        <w:t>存储</w:t>
      </w:r>
      <w:bookmarkEnd w:id="164"/>
    </w:p>
    <w:p>
      <w:pPr>
        <w:pStyle w:val="3"/>
      </w:pPr>
      <w:r>
        <w:rPr>
          <w:rFonts w:hint="eastAsia"/>
          <w:lang w:val="en-GB"/>
        </w:rPr>
        <w:t>如果无需马上对UPS进行安装，必须将UPS带原包装存储于室内，以避免过湿或温度过高的环境（</w:t>
      </w:r>
      <w:r>
        <w:rPr>
          <w:rFonts w:hint="eastAsia"/>
        </w:rPr>
        <w:t>参见表1-2）。蓄电池需要在干燥低温、通风良好的地方储存，最适宜的储存温度是20℃～25℃。</w:t>
      </w:r>
    </w:p>
    <w:tbl>
      <w:tblPr>
        <w:tblStyle w:val="50"/>
        <w:tblW w:w="9378"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9378" w:type="dxa"/>
            <w:vAlign w:val="center"/>
          </w:tcPr>
          <w:p>
            <w:pPr>
              <w:pStyle w:val="72"/>
              <w:spacing w:before="46" w:beforeLines="15" w:line="276" w:lineRule="auto"/>
              <w:jc w:val="both"/>
              <w:rPr>
                <w:rStyle w:val="87"/>
              </w:rPr>
            </w:pPr>
            <w:r>
              <w:rPr>
                <w:rStyle w:val="87"/>
              </w:rPr>
              <w:drawing>
                <wp:inline distT="0" distB="0" distL="0" distR="0">
                  <wp:extent cx="646430" cy="283845"/>
                  <wp:effectExtent l="0" t="0" r="1270" b="1905"/>
                  <wp:docPr id="109" name="图片 109"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6430" cy="283845"/>
                          </a:xfrm>
                          <a:prstGeom prst="rect">
                            <a:avLst/>
                          </a:prstGeom>
                          <a:noFill/>
                          <a:ln>
                            <a:noFill/>
                          </a:ln>
                        </pic:spPr>
                      </pic:pic>
                    </a:graphicData>
                  </a:graphic>
                </wp:inline>
              </w:drawing>
            </w:r>
            <w:r>
              <w:rPr>
                <w:rStyle w:val="87"/>
                <w:rFonts w:hint="eastAsia"/>
              </w:rPr>
              <w:t>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right"/>
        </w:trPr>
        <w:tc>
          <w:tcPr>
            <w:tcW w:w="9378" w:type="dxa"/>
            <w:vAlign w:val="center"/>
          </w:tcPr>
          <w:p>
            <w:pPr>
              <w:pStyle w:val="73"/>
            </w:pPr>
            <w:r>
              <w:rPr>
                <w:rFonts w:hint="eastAsia"/>
              </w:rPr>
              <w:t>电池存储期间，必须按电池说明书对电池进行定期充电。充电时，</w:t>
            </w:r>
            <w:r>
              <w:rPr>
                <w:rFonts w:hint="eastAsia"/>
                <w:szCs w:val="21"/>
              </w:rPr>
              <w:t>可将UPS暂时接入市电，对电池充电来激活电池。</w:t>
            </w:r>
          </w:p>
        </w:tc>
      </w:tr>
    </w:tbl>
    <w:p>
      <w:pPr>
        <w:pStyle w:val="4"/>
        <w:rPr>
          <w:szCs w:val="22"/>
        </w:rPr>
      </w:pPr>
      <w:bookmarkStart w:id="166" w:name="_Toc8422"/>
      <w:r>
        <w:rPr>
          <w:rFonts w:hint="eastAsia"/>
          <w:szCs w:val="22"/>
        </w:rPr>
        <w:t>安装尺寸图</w:t>
      </w:r>
      <w:bookmarkEnd w:id="166"/>
    </w:p>
    <w:p>
      <w:pPr>
        <w:pStyle w:val="3"/>
        <w:ind w:left="420"/>
      </w:pPr>
      <w:r>
        <w:rPr>
          <w:rFonts w:hint="eastAsia"/>
        </w:rPr>
        <w:t>图2-</w:t>
      </w:r>
      <w:r>
        <w:t>2</w:t>
      </w:r>
      <w:r>
        <w:rPr>
          <w:rFonts w:hint="eastAsia"/>
        </w:rPr>
        <w:t>描述了</w:t>
      </w:r>
      <w:r>
        <w:rPr>
          <w:rFonts w:hint="eastAsia"/>
          <w:lang w:eastAsia="zh-CN"/>
        </w:rPr>
        <w:t>MX</w:t>
      </w:r>
      <w:r>
        <w:rPr>
          <w:rFonts w:hint="eastAsia"/>
        </w:rPr>
        <w:t>系列UPS的关键机械特性。</w:t>
      </w:r>
    </w:p>
    <w:p>
      <w:pPr>
        <w:pStyle w:val="3"/>
        <w:ind w:left="420"/>
        <w:jc w:val="center"/>
      </w:pPr>
      <w:r>
        <w:drawing>
          <wp:inline distT="0" distB="0" distL="0" distR="0">
            <wp:extent cx="2915920" cy="4841875"/>
            <wp:effectExtent l="0" t="0" r="0"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pic:cNvPicPr>
                      <a:picLocks noChangeAspect="1"/>
                    </pic:cNvPicPr>
                  </pic:nvPicPr>
                  <pic:blipFill>
                    <a:blip r:embed="rId46"/>
                    <a:stretch>
                      <a:fillRect/>
                    </a:stretch>
                  </pic:blipFill>
                  <pic:spPr>
                    <a:xfrm>
                      <a:off x="0" y="0"/>
                      <a:ext cx="2916000" cy="4842000"/>
                    </a:xfrm>
                    <a:prstGeom prst="rect">
                      <a:avLst/>
                    </a:prstGeom>
                  </pic:spPr>
                </pic:pic>
              </a:graphicData>
            </a:graphic>
          </wp:inline>
        </w:drawing>
      </w:r>
    </w:p>
    <w:p>
      <w:pPr>
        <w:pStyle w:val="3"/>
        <w:ind w:left="0"/>
      </w:pPr>
      <w:r>
        <w:drawing>
          <wp:inline distT="0" distB="0" distL="0" distR="0">
            <wp:extent cx="6372225" cy="4280535"/>
            <wp:effectExtent l="0" t="0" r="9525" b="5715"/>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pic:cNvPicPr>
                  </pic:nvPicPr>
                  <pic:blipFill>
                    <a:blip r:embed="rId47"/>
                    <a:stretch>
                      <a:fillRect/>
                    </a:stretch>
                  </pic:blipFill>
                  <pic:spPr>
                    <a:xfrm>
                      <a:off x="0" y="0"/>
                      <a:ext cx="6372225" cy="4280535"/>
                    </a:xfrm>
                    <a:prstGeom prst="rect">
                      <a:avLst/>
                    </a:prstGeom>
                  </pic:spPr>
                </pic:pic>
              </a:graphicData>
            </a:graphic>
          </wp:inline>
        </w:drawing>
      </w:r>
    </w:p>
    <w:p>
      <w:pPr>
        <w:pStyle w:val="3"/>
        <w:ind w:left="0"/>
        <w:jc w:val="center"/>
      </w:pPr>
      <w:r>
        <w:tab/>
      </w:r>
      <w:r>
        <w:drawing>
          <wp:inline distT="0" distB="0" distL="0" distR="0">
            <wp:extent cx="4696460" cy="4337685"/>
            <wp:effectExtent l="0" t="0" r="0" b="0"/>
            <wp:docPr id="34739556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395564" name="图片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4696691" cy="4338236"/>
                    </a:xfrm>
                    <a:prstGeom prst="rect">
                      <a:avLst/>
                    </a:prstGeom>
                    <a:noFill/>
                    <a:ln>
                      <a:noFill/>
                    </a:ln>
                  </pic:spPr>
                </pic:pic>
              </a:graphicData>
            </a:graphic>
          </wp:inline>
        </w:drawing>
      </w:r>
    </w:p>
    <w:p>
      <w:pPr>
        <w:pStyle w:val="83"/>
        <w:rPr>
          <w:lang w:val="en-GB"/>
        </w:rPr>
      </w:pPr>
      <w:r>
        <w:rPr>
          <w:rFonts w:hint="eastAsia"/>
        </w:rPr>
        <w:t>机柜安装尺寸示意图（单位：mm）</w:t>
      </w:r>
    </w:p>
    <w:p>
      <w:pPr>
        <w:pStyle w:val="4"/>
        <w:rPr>
          <w:szCs w:val="22"/>
        </w:rPr>
      </w:pPr>
      <w:bookmarkStart w:id="167" w:name="_Toc31482"/>
      <w:r>
        <w:rPr>
          <w:rFonts w:hint="eastAsia"/>
          <w:szCs w:val="22"/>
        </w:rPr>
        <w:t>机械要求</w:t>
      </w:r>
      <w:bookmarkEnd w:id="167"/>
    </w:p>
    <w:p>
      <w:pPr>
        <w:pStyle w:val="5"/>
        <w:numPr>
          <w:ilvl w:val="2"/>
          <w:numId w:val="4"/>
        </w:numPr>
      </w:pPr>
      <w:bookmarkStart w:id="168" w:name="_Toc9585"/>
      <w:r>
        <w:t>UPS系统</w:t>
      </w:r>
      <w:r>
        <w:rPr>
          <w:rFonts w:hint="eastAsia"/>
        </w:rPr>
        <w:t>组成</w:t>
      </w:r>
      <w:bookmarkEnd w:id="168"/>
    </w:p>
    <w:p>
      <w:pPr>
        <w:pStyle w:val="3"/>
        <w:rPr>
          <w:rFonts w:hint="eastAsia"/>
        </w:rPr>
      </w:pPr>
      <w:r>
        <w:rPr>
          <w:rFonts w:hint="eastAsia"/>
        </w:rPr>
        <w:tab/>
      </w:r>
      <w:r>
        <w:t>UPS</w:t>
      </w:r>
      <w:r>
        <w:rPr>
          <w:rFonts w:hint="eastAsia"/>
        </w:rPr>
        <w:t>为可拆卸面板围绕的钢材框架结构，前门通过门锁固定，自带钥匙，侧门和后门通过螺钉固定。</w:t>
      </w:r>
      <w:r>
        <w:rPr>
          <w:rFonts w:hint="eastAsia"/>
          <w:lang w:eastAsia="zh-CN"/>
        </w:rPr>
        <w:t>MX</w:t>
      </w:r>
      <w:r>
        <w:rPr>
          <w:rFonts w:hint="eastAsia"/>
        </w:rPr>
        <w:t>系列模块化UPS系统结构见图2-</w:t>
      </w:r>
      <w:r>
        <w:t>3</w:t>
      </w:r>
      <w:r>
        <w:rPr>
          <w:rFonts w:hint="eastAsia"/>
        </w:rPr>
        <w:t>。主路输入开关，旁路输入开关和输出开关为选配，标配一个维修开关。</w:t>
      </w:r>
    </w:p>
    <w:p>
      <w:pPr>
        <w:pStyle w:val="3"/>
        <w:jc w:val="center"/>
      </w:pPr>
      <w:r>
        <w:drawing>
          <wp:inline distT="0" distB="0" distL="0" distR="0">
            <wp:extent cx="3131820" cy="3027045"/>
            <wp:effectExtent l="0" t="0" r="0" b="1905"/>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49"/>
                    <a:stretch>
                      <a:fillRect/>
                    </a:stretch>
                  </pic:blipFill>
                  <pic:spPr>
                    <a:xfrm>
                      <a:off x="0" y="0"/>
                      <a:ext cx="3132000" cy="3027600"/>
                    </a:xfrm>
                    <a:prstGeom prst="rect">
                      <a:avLst/>
                    </a:prstGeom>
                  </pic:spPr>
                </pic:pic>
              </a:graphicData>
            </a:graphic>
          </wp:inline>
        </w:drawing>
      </w:r>
    </w:p>
    <w:p>
      <w:pPr>
        <w:pStyle w:val="83"/>
        <w:numPr>
          <w:ilvl w:val="0"/>
          <w:numId w:val="0"/>
        </w:numPr>
        <w:jc w:val="both"/>
        <w:rPr>
          <w:b/>
        </w:rPr>
      </w:pPr>
      <w:r>
        <w:drawing>
          <wp:inline distT="0" distB="0" distL="0" distR="0">
            <wp:extent cx="6372225" cy="3397885"/>
            <wp:effectExtent l="0" t="0" r="9525"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50"/>
                    <a:stretch>
                      <a:fillRect/>
                    </a:stretch>
                  </pic:blipFill>
                  <pic:spPr>
                    <a:xfrm>
                      <a:off x="0" y="0"/>
                      <a:ext cx="6372225" cy="3397885"/>
                    </a:xfrm>
                    <a:prstGeom prst="rect">
                      <a:avLst/>
                    </a:prstGeom>
                  </pic:spPr>
                </pic:pic>
              </a:graphicData>
            </a:graphic>
          </wp:inline>
        </w:drawing>
      </w:r>
    </w:p>
    <w:p>
      <w:pPr>
        <w:pStyle w:val="83"/>
        <w:numPr>
          <w:ilvl w:val="0"/>
          <w:numId w:val="0"/>
        </w:numPr>
        <w:rPr>
          <w:b/>
        </w:rPr>
      </w:pPr>
      <w:r>
        <w:rPr>
          <w:b/>
        </w:rPr>
        <w:drawing>
          <wp:inline distT="0" distB="0" distL="0" distR="0">
            <wp:extent cx="3567430" cy="3489325"/>
            <wp:effectExtent l="0" t="0" r="13970" b="15875"/>
            <wp:docPr id="84162916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629163" name="图片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3567430" cy="3489325"/>
                    </a:xfrm>
                    <a:prstGeom prst="rect">
                      <a:avLst/>
                    </a:prstGeom>
                    <a:noFill/>
                    <a:ln>
                      <a:noFill/>
                    </a:ln>
                  </pic:spPr>
                </pic:pic>
              </a:graphicData>
            </a:graphic>
          </wp:inline>
        </w:drawing>
      </w:r>
    </w:p>
    <w:p>
      <w:pPr>
        <w:pStyle w:val="83"/>
      </w:pPr>
      <w:r>
        <w:rPr>
          <w:rFonts w:hint="eastAsia"/>
        </w:rPr>
        <w:t>满配系统结构示意图</w:t>
      </w:r>
    </w:p>
    <w:p>
      <w:pPr>
        <w:pStyle w:val="5"/>
        <w:numPr>
          <w:ilvl w:val="2"/>
          <w:numId w:val="4"/>
        </w:numPr>
      </w:pPr>
      <w:bookmarkStart w:id="169" w:name="_Toc9381"/>
      <w:r>
        <w:rPr>
          <w:rFonts w:hint="eastAsia"/>
          <w:lang w:val="en-US" w:eastAsia="zh-CN"/>
        </w:rPr>
        <w:t>14模块机柜安装</w:t>
      </w:r>
      <w:bookmarkEnd w:id="169"/>
    </w:p>
    <w:p>
      <w:pPr>
        <w:numPr>
          <w:ilvl w:val="0"/>
          <w:numId w:val="5"/>
        </w:numPr>
        <w:ind w:left="425" w:leftChars="0" w:hanging="425" w:firstLineChars="0"/>
        <w:rPr>
          <w:rFonts w:hint="default"/>
          <w:sz w:val="18"/>
          <w:szCs w:val="18"/>
          <w:lang w:val="en-US" w:eastAsia="zh-CN"/>
        </w:rPr>
      </w:pPr>
      <w:r>
        <w:rPr>
          <w:rFonts w:hint="eastAsia"/>
          <w:sz w:val="18"/>
          <w:szCs w:val="18"/>
          <w:lang w:val="en-US" w:eastAsia="zh-CN"/>
        </w:rPr>
        <w:t>机柜固定及信号线连接</w:t>
      </w:r>
    </w:p>
    <w:p>
      <w:pPr>
        <w:jc w:val="center"/>
      </w:pPr>
      <w:r>
        <w:rPr>
          <w:rFonts w:hint="eastAsia" w:eastAsia="宋体"/>
          <w:lang w:eastAsia="zh-CN"/>
        </w:rPr>
        <w:drawing>
          <wp:inline distT="0" distB="0" distL="114300" distR="114300">
            <wp:extent cx="2952115" cy="4293870"/>
            <wp:effectExtent l="0" t="0" r="0" b="11430"/>
            <wp:docPr id="77" name="图片 7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图片1"/>
                    <pic:cNvPicPr>
                      <a:picLocks noChangeAspect="1"/>
                    </pic:cNvPicPr>
                  </pic:nvPicPr>
                  <pic:blipFill>
                    <a:blip r:embed="rId52"/>
                    <a:stretch>
                      <a:fillRect/>
                    </a:stretch>
                  </pic:blipFill>
                  <pic:spPr>
                    <a:xfrm>
                      <a:off x="0" y="0"/>
                      <a:ext cx="2952115" cy="4293870"/>
                    </a:xfrm>
                    <a:prstGeom prst="rect">
                      <a:avLst/>
                    </a:prstGeom>
                  </pic:spPr>
                </pic:pic>
              </a:graphicData>
            </a:graphic>
          </wp:inline>
        </w:drawing>
      </w:r>
    </w:p>
    <w:p>
      <w:pPr>
        <w:pStyle w:val="83"/>
        <w:rPr>
          <w:rFonts w:hint="default"/>
          <w:lang w:val="en-US" w:eastAsia="zh-CN"/>
        </w:rPr>
      </w:pPr>
      <w:r>
        <w:rPr>
          <w:rFonts w:hint="eastAsia"/>
          <w:lang w:val="en-US" w:eastAsia="zh-CN"/>
        </w:rPr>
        <w:t>并柜及信号线连接示意图</w:t>
      </w:r>
    </w:p>
    <w:p>
      <w:pPr>
        <w:numPr>
          <w:ilvl w:val="0"/>
          <w:numId w:val="5"/>
        </w:numPr>
        <w:ind w:left="425" w:leftChars="0" w:hanging="425" w:firstLineChars="0"/>
        <w:rPr>
          <w:rFonts w:hint="eastAsia"/>
          <w:sz w:val="18"/>
          <w:szCs w:val="18"/>
          <w:lang w:val="en-US" w:eastAsia="zh-CN"/>
        </w:rPr>
      </w:pPr>
      <w:r>
        <w:rPr>
          <w:rFonts w:hint="eastAsia"/>
          <w:sz w:val="18"/>
          <w:szCs w:val="18"/>
          <w:lang w:val="en-US" w:eastAsia="zh-CN"/>
        </w:rPr>
        <w:t>安装并柜铜排,共9件</w:t>
      </w:r>
    </w:p>
    <w:p>
      <w:pPr>
        <w:rPr>
          <w:sz w:val="18"/>
          <w:szCs w:val="18"/>
        </w:rPr>
      </w:pPr>
      <w:r>
        <w:rPr>
          <w:rFonts w:hint="eastAsia"/>
          <w:sz w:val="18"/>
          <w:szCs w:val="18"/>
        </w:rPr>
        <w:t>1) 安装输出和N排，共4件。使用M10X35组合螺钉，8PCS/铜排</w:t>
      </w:r>
    </w:p>
    <w:p>
      <w:pPr>
        <w:jc w:val="center"/>
      </w:pPr>
      <w:r>
        <w:rPr>
          <w:rFonts w:hint="eastAsia" w:eastAsia="宋体"/>
          <w:lang w:eastAsia="zh-CN"/>
        </w:rPr>
        <w:drawing>
          <wp:inline distT="0" distB="0" distL="114300" distR="114300">
            <wp:extent cx="1740535" cy="1263015"/>
            <wp:effectExtent l="0" t="0" r="0" b="13335"/>
            <wp:docPr id="78" name="图片 78"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2"/>
                    <pic:cNvPicPr>
                      <a:picLocks noChangeAspect="1"/>
                    </pic:cNvPicPr>
                  </pic:nvPicPr>
                  <pic:blipFill>
                    <a:blip r:embed="rId53"/>
                    <a:stretch>
                      <a:fillRect/>
                    </a:stretch>
                  </pic:blipFill>
                  <pic:spPr>
                    <a:xfrm>
                      <a:off x="0" y="0"/>
                      <a:ext cx="1740535" cy="1263015"/>
                    </a:xfrm>
                    <a:prstGeom prst="rect">
                      <a:avLst/>
                    </a:prstGeom>
                  </pic:spPr>
                </pic:pic>
              </a:graphicData>
            </a:graphic>
          </wp:inline>
        </w:drawing>
      </w:r>
    </w:p>
    <w:p>
      <w:pPr>
        <w:pStyle w:val="83"/>
        <w:rPr>
          <w:rFonts w:hint="default"/>
          <w:lang w:val="en-US" w:eastAsia="zh-CN"/>
        </w:rPr>
      </w:pPr>
      <w:r>
        <w:rPr>
          <w:rFonts w:hint="eastAsia"/>
          <w:lang w:val="en-US" w:eastAsia="zh-CN"/>
        </w:rPr>
        <w:t>输出和N铜排示意图</w:t>
      </w:r>
    </w:p>
    <w:p>
      <w:pPr>
        <w:pStyle w:val="83"/>
        <w:numPr>
          <w:ilvl w:val="6"/>
          <w:numId w:val="0"/>
        </w:numPr>
        <w:ind w:leftChars="0"/>
        <w:jc w:val="both"/>
        <w:rPr>
          <w:rFonts w:hint="eastAsia"/>
          <w:lang w:val="en-US" w:eastAsia="zh-CN"/>
        </w:rPr>
      </w:pPr>
    </w:p>
    <w:p>
      <w:pPr>
        <w:pStyle w:val="83"/>
        <w:numPr>
          <w:ilvl w:val="6"/>
          <w:numId w:val="0"/>
        </w:numPr>
        <w:ind w:leftChars="0"/>
        <w:jc w:val="both"/>
        <w:rPr>
          <w:rFonts w:hint="default"/>
          <w:lang w:val="en-US" w:eastAsia="zh-CN"/>
        </w:rPr>
      </w:pPr>
    </w:p>
    <w:p>
      <w:pPr>
        <w:pStyle w:val="83"/>
        <w:numPr>
          <w:ilvl w:val="6"/>
          <w:numId w:val="0"/>
        </w:numPr>
        <w:ind w:leftChars="0"/>
        <w:jc w:val="both"/>
        <w:rPr>
          <w:rFonts w:hint="eastAsia"/>
          <w:lang w:val="en-US" w:eastAsia="zh-CN"/>
        </w:rPr>
      </w:pPr>
    </w:p>
    <w:p>
      <w:pPr>
        <w:pStyle w:val="83"/>
        <w:numPr>
          <w:ilvl w:val="6"/>
          <w:numId w:val="0"/>
        </w:numPr>
        <w:ind w:leftChars="0"/>
        <w:jc w:val="center"/>
        <w:rPr>
          <w:rFonts w:hint="eastAsia"/>
          <w:lang w:val="en-US" w:eastAsia="zh-CN"/>
        </w:rPr>
      </w:pPr>
      <w:r>
        <w:rPr>
          <w:rFonts w:hint="eastAsia"/>
          <w:lang w:val="en-US" w:eastAsia="zh-CN"/>
        </w:rPr>
        <w:drawing>
          <wp:inline distT="0" distB="0" distL="114300" distR="114300">
            <wp:extent cx="3382010" cy="5130800"/>
            <wp:effectExtent l="0" t="0" r="8890" b="12700"/>
            <wp:docPr id="80" name="图片 80"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图片3"/>
                    <pic:cNvPicPr>
                      <a:picLocks noChangeAspect="1"/>
                    </pic:cNvPicPr>
                  </pic:nvPicPr>
                  <pic:blipFill>
                    <a:blip r:embed="rId54"/>
                    <a:stretch>
                      <a:fillRect/>
                    </a:stretch>
                  </pic:blipFill>
                  <pic:spPr>
                    <a:xfrm>
                      <a:off x="0" y="0"/>
                      <a:ext cx="3382010" cy="5130800"/>
                    </a:xfrm>
                    <a:prstGeom prst="rect">
                      <a:avLst/>
                    </a:prstGeom>
                  </pic:spPr>
                </pic:pic>
              </a:graphicData>
            </a:graphic>
          </wp:inline>
        </w:drawing>
      </w:r>
    </w:p>
    <w:p>
      <w:pPr>
        <w:jc w:val="both"/>
      </w:pPr>
    </w:p>
    <w:p>
      <w:pPr>
        <w:pStyle w:val="83"/>
        <w:rPr>
          <w:rFonts w:hint="default" w:eastAsia="宋体"/>
          <w:lang w:val="en-US" w:eastAsia="zh-CN"/>
        </w:rPr>
      </w:pPr>
      <w:r>
        <w:rPr>
          <w:rFonts w:hint="eastAsia"/>
          <w:lang w:val="en-US" w:eastAsia="zh-CN"/>
        </w:rPr>
        <w:t>输出和N排安装示意图</w:t>
      </w:r>
    </w:p>
    <w:p>
      <w:pPr>
        <w:widowControl/>
        <w:jc w:val="left"/>
        <w:rPr>
          <w:rFonts w:hint="eastAsia"/>
        </w:rPr>
      </w:pPr>
    </w:p>
    <w:p>
      <w:pPr>
        <w:widowControl/>
        <w:jc w:val="left"/>
        <w:rPr>
          <w:rFonts w:hint="eastAsia"/>
        </w:rPr>
      </w:pPr>
    </w:p>
    <w:p>
      <w:pPr>
        <w:widowControl/>
        <w:jc w:val="left"/>
        <w:rPr>
          <w:rFonts w:hint="eastAsia"/>
          <w:sz w:val="18"/>
          <w:szCs w:val="18"/>
        </w:rPr>
      </w:pPr>
    </w:p>
    <w:p>
      <w:pPr>
        <w:widowControl/>
        <w:jc w:val="left"/>
        <w:rPr>
          <w:sz w:val="18"/>
          <w:szCs w:val="18"/>
        </w:rPr>
      </w:pPr>
      <w:r>
        <w:rPr>
          <w:rFonts w:hint="eastAsia"/>
          <w:sz w:val="18"/>
          <w:szCs w:val="18"/>
        </w:rPr>
        <w:t>2) 安装输入铜排，共3件。使用M10X35组合螺钉，8PCS/铜排</w:t>
      </w:r>
    </w:p>
    <w:p>
      <w:pPr>
        <w:jc w:val="center"/>
      </w:pPr>
      <w:r>
        <w:drawing>
          <wp:inline distT="0" distB="0" distL="114300" distR="114300">
            <wp:extent cx="1762125" cy="1571625"/>
            <wp:effectExtent l="0" t="0" r="0" b="9525"/>
            <wp:docPr id="83" name="图片 83"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图片4"/>
                    <pic:cNvPicPr>
                      <a:picLocks noChangeAspect="1"/>
                    </pic:cNvPicPr>
                  </pic:nvPicPr>
                  <pic:blipFill>
                    <a:blip r:embed="rId55"/>
                    <a:stretch>
                      <a:fillRect/>
                    </a:stretch>
                  </pic:blipFill>
                  <pic:spPr>
                    <a:xfrm>
                      <a:off x="0" y="0"/>
                      <a:ext cx="1762125" cy="1571625"/>
                    </a:xfrm>
                    <a:prstGeom prst="rect">
                      <a:avLst/>
                    </a:prstGeom>
                  </pic:spPr>
                </pic:pic>
              </a:graphicData>
            </a:graphic>
          </wp:inline>
        </w:drawing>
      </w:r>
    </w:p>
    <w:p>
      <w:pPr>
        <w:pStyle w:val="83"/>
        <w:rPr>
          <w:rFonts w:hint="default"/>
          <w:lang w:val="en-US" w:eastAsia="zh-CN"/>
        </w:rPr>
      </w:pPr>
      <w:r>
        <w:rPr>
          <w:rFonts w:hint="eastAsia"/>
          <w:lang w:val="en-US" w:eastAsia="zh-CN"/>
        </w:rPr>
        <w:t>输入铜排示意图</w:t>
      </w:r>
    </w:p>
    <w:p>
      <w:pPr>
        <w:pStyle w:val="83"/>
        <w:numPr>
          <w:ilvl w:val="6"/>
          <w:numId w:val="0"/>
        </w:numPr>
        <w:ind w:leftChars="0"/>
        <w:jc w:val="both"/>
        <w:rPr>
          <w:rFonts w:hint="default"/>
          <w:lang w:val="en-US" w:eastAsia="zh-CN"/>
        </w:rPr>
      </w:pPr>
    </w:p>
    <w:p>
      <w:pPr>
        <w:jc w:val="center"/>
      </w:pPr>
      <w:r>
        <w:drawing>
          <wp:inline distT="0" distB="0" distL="114300" distR="114300">
            <wp:extent cx="5206365" cy="3928110"/>
            <wp:effectExtent l="0" t="0" r="0" b="15240"/>
            <wp:docPr id="85" name="图片 85"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5"/>
                    <pic:cNvPicPr>
                      <a:picLocks noChangeAspect="1"/>
                    </pic:cNvPicPr>
                  </pic:nvPicPr>
                  <pic:blipFill>
                    <a:blip r:embed="rId56"/>
                    <a:stretch>
                      <a:fillRect/>
                    </a:stretch>
                  </pic:blipFill>
                  <pic:spPr>
                    <a:xfrm>
                      <a:off x="0" y="0"/>
                      <a:ext cx="5206365" cy="3928110"/>
                    </a:xfrm>
                    <a:prstGeom prst="rect">
                      <a:avLst/>
                    </a:prstGeom>
                  </pic:spPr>
                </pic:pic>
              </a:graphicData>
            </a:graphic>
          </wp:inline>
        </w:drawing>
      </w:r>
    </w:p>
    <w:p>
      <w:pPr>
        <w:pStyle w:val="83"/>
      </w:pPr>
      <w:r>
        <w:rPr>
          <w:rFonts w:hint="eastAsia"/>
          <w:lang w:val="en-US" w:eastAsia="zh-CN"/>
        </w:rPr>
        <w:t>输入铜排安装示意图</w:t>
      </w:r>
    </w:p>
    <w:p>
      <w:pPr>
        <w:jc w:val="center"/>
        <w:rPr>
          <w:sz w:val="18"/>
          <w:szCs w:val="18"/>
        </w:rPr>
      </w:pPr>
    </w:p>
    <w:p>
      <w:pPr>
        <w:widowControl/>
        <w:jc w:val="left"/>
        <w:rPr>
          <w:sz w:val="18"/>
          <w:szCs w:val="18"/>
        </w:rPr>
      </w:pPr>
      <w:r>
        <w:rPr>
          <w:rFonts w:hint="eastAsia"/>
          <w:sz w:val="18"/>
          <w:szCs w:val="18"/>
        </w:rPr>
        <w:t>3) 安装电池铜排，共2件。使用M10X35组合螺钉，8PCS/铜排</w:t>
      </w:r>
    </w:p>
    <w:p>
      <w:pPr>
        <w:jc w:val="center"/>
      </w:pPr>
      <w:r>
        <w:drawing>
          <wp:inline distT="0" distB="0" distL="114300" distR="114300">
            <wp:extent cx="1783715" cy="1678940"/>
            <wp:effectExtent l="0" t="0" r="6985" b="16510"/>
            <wp:docPr id="86" name="图片 86"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图片7"/>
                    <pic:cNvPicPr>
                      <a:picLocks noChangeAspect="1"/>
                    </pic:cNvPicPr>
                  </pic:nvPicPr>
                  <pic:blipFill>
                    <a:blip r:embed="rId57"/>
                    <a:stretch>
                      <a:fillRect/>
                    </a:stretch>
                  </pic:blipFill>
                  <pic:spPr>
                    <a:xfrm>
                      <a:off x="0" y="0"/>
                      <a:ext cx="1783715" cy="1678940"/>
                    </a:xfrm>
                    <a:prstGeom prst="rect">
                      <a:avLst/>
                    </a:prstGeom>
                  </pic:spPr>
                </pic:pic>
              </a:graphicData>
            </a:graphic>
          </wp:inline>
        </w:drawing>
      </w:r>
    </w:p>
    <w:p>
      <w:pPr>
        <w:pStyle w:val="83"/>
        <w:rPr>
          <w:rFonts w:hint="default"/>
          <w:lang w:val="en-US" w:eastAsia="zh-CN"/>
        </w:rPr>
      </w:pPr>
      <w:r>
        <w:rPr>
          <w:rFonts w:hint="eastAsia"/>
          <w:lang w:val="en-US" w:eastAsia="zh-CN"/>
        </w:rPr>
        <w:t>电池铜排示意图</w:t>
      </w:r>
    </w:p>
    <w:p>
      <w:pPr>
        <w:jc w:val="both"/>
      </w:pPr>
    </w:p>
    <w:p>
      <w:pPr>
        <w:jc w:val="center"/>
      </w:pPr>
    </w:p>
    <w:p>
      <w:pPr>
        <w:jc w:val="center"/>
      </w:pPr>
      <w:r>
        <w:drawing>
          <wp:inline distT="0" distB="0" distL="114300" distR="114300">
            <wp:extent cx="4762500" cy="3752850"/>
            <wp:effectExtent l="0" t="0" r="0" b="0"/>
            <wp:docPr id="108" name="图片 108"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图片8"/>
                    <pic:cNvPicPr>
                      <a:picLocks noChangeAspect="1"/>
                    </pic:cNvPicPr>
                  </pic:nvPicPr>
                  <pic:blipFill>
                    <a:blip r:embed="rId58"/>
                    <a:stretch>
                      <a:fillRect/>
                    </a:stretch>
                  </pic:blipFill>
                  <pic:spPr>
                    <a:xfrm>
                      <a:off x="0" y="0"/>
                      <a:ext cx="4762500" cy="3752850"/>
                    </a:xfrm>
                    <a:prstGeom prst="rect">
                      <a:avLst/>
                    </a:prstGeom>
                  </pic:spPr>
                </pic:pic>
              </a:graphicData>
            </a:graphic>
          </wp:inline>
        </w:drawing>
      </w:r>
    </w:p>
    <w:p>
      <w:pPr>
        <w:pStyle w:val="83"/>
        <w:rPr>
          <w:rFonts w:hint="default"/>
          <w:lang w:val="en-US" w:eastAsia="zh-CN"/>
        </w:rPr>
      </w:pPr>
      <w:r>
        <w:rPr>
          <w:rFonts w:hint="eastAsia"/>
          <w:lang w:val="en-US" w:eastAsia="zh-CN"/>
        </w:rPr>
        <w:t>电池铜排安装示意图</w:t>
      </w:r>
    </w:p>
    <w:p/>
    <w:p>
      <w:pPr>
        <w:numPr>
          <w:ilvl w:val="0"/>
          <w:numId w:val="5"/>
        </w:numPr>
        <w:ind w:left="425" w:leftChars="0" w:hanging="425" w:firstLineChars="0"/>
        <w:rPr>
          <w:rFonts w:hint="eastAsia"/>
          <w:sz w:val="18"/>
          <w:szCs w:val="18"/>
          <w:lang w:val="en-US" w:eastAsia="zh-CN"/>
        </w:rPr>
      </w:pPr>
      <w:r>
        <w:rPr>
          <w:rFonts w:hint="eastAsia"/>
          <w:sz w:val="18"/>
          <w:szCs w:val="18"/>
          <w:lang w:val="en-US" w:eastAsia="zh-CN"/>
        </w:rPr>
        <w:t>主旁同源组件安装说明</w:t>
      </w:r>
    </w:p>
    <w:p>
      <w:pPr>
        <w:rPr>
          <w:sz w:val="18"/>
          <w:szCs w:val="18"/>
        </w:rPr>
      </w:pPr>
      <w:r>
        <w:rPr>
          <w:rFonts w:hint="eastAsia"/>
          <w:sz w:val="18"/>
          <w:szCs w:val="18"/>
        </w:rPr>
        <w:t>1) 铜排-3PCS</w:t>
      </w:r>
    </w:p>
    <w:p>
      <w:pPr>
        <w:rPr>
          <w:sz w:val="18"/>
          <w:szCs w:val="18"/>
        </w:rPr>
      </w:pPr>
      <w:r>
        <w:rPr>
          <w:rFonts w:hint="eastAsia"/>
          <w:sz w:val="18"/>
          <w:szCs w:val="18"/>
        </w:rPr>
        <w:t>2) 环氧板-2PCS</w:t>
      </w:r>
    </w:p>
    <w:p>
      <w:pPr>
        <w:rPr>
          <w:sz w:val="18"/>
          <w:szCs w:val="18"/>
        </w:rPr>
      </w:pPr>
      <w:r>
        <w:rPr>
          <w:rFonts w:hint="eastAsia"/>
          <w:sz w:val="18"/>
          <w:szCs w:val="18"/>
        </w:rPr>
        <w:t>3) 绝缘柱-4PCS</w:t>
      </w:r>
    </w:p>
    <w:p>
      <w:pPr>
        <w:rPr>
          <w:sz w:val="18"/>
          <w:szCs w:val="18"/>
        </w:rPr>
      </w:pPr>
      <w:r>
        <w:rPr>
          <w:rFonts w:hint="eastAsia"/>
          <w:sz w:val="18"/>
          <w:szCs w:val="18"/>
        </w:rPr>
        <w:t>4) M6X25组合螺钉-4PCS</w:t>
      </w:r>
    </w:p>
    <w:p>
      <w:pPr>
        <w:rPr>
          <w:sz w:val="18"/>
          <w:szCs w:val="18"/>
        </w:rPr>
      </w:pPr>
      <w:r>
        <w:rPr>
          <w:rFonts w:hint="eastAsia"/>
          <w:sz w:val="18"/>
          <w:szCs w:val="18"/>
        </w:rPr>
        <w:t>5) M10X35组合螺钉-24PCS</w:t>
      </w:r>
    </w:p>
    <w:p>
      <w:pPr>
        <w:rPr>
          <w:sz w:val="18"/>
          <w:szCs w:val="18"/>
        </w:rPr>
      </w:pPr>
    </w:p>
    <w:p>
      <w:pPr>
        <w:rPr>
          <w:sz w:val="18"/>
          <w:szCs w:val="18"/>
        </w:rPr>
      </w:pPr>
      <w:r>
        <w:rPr>
          <w:rFonts w:hint="eastAsia"/>
          <w:sz w:val="18"/>
          <w:szCs w:val="18"/>
        </w:rPr>
        <w:t>主旁同源组件安装在Q1主路开关和Q2旁路开关上侧</w:t>
      </w:r>
    </w:p>
    <w:p>
      <w:pPr>
        <w:rPr>
          <w:sz w:val="18"/>
          <w:szCs w:val="18"/>
        </w:rPr>
      </w:pPr>
      <w:r>
        <w:rPr>
          <w:rFonts w:hint="eastAsia"/>
          <w:sz w:val="18"/>
          <w:szCs w:val="18"/>
        </w:rPr>
        <w:t>1） 先安装两个铜排组件，每个组件包含1PCS铜排，2PCS绝缘柱，2PCS-M6X25组合螺钉。</w:t>
      </w:r>
    </w:p>
    <w:p>
      <w:pPr>
        <w:jc w:val="center"/>
      </w:pPr>
      <w:r>
        <w:drawing>
          <wp:inline distT="0" distB="0" distL="114300" distR="114300">
            <wp:extent cx="3085465" cy="1428115"/>
            <wp:effectExtent l="0" t="0" r="635" b="0"/>
            <wp:docPr id="125" name="图片 125" descr="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图片9"/>
                    <pic:cNvPicPr>
                      <a:picLocks noChangeAspect="1"/>
                    </pic:cNvPicPr>
                  </pic:nvPicPr>
                  <pic:blipFill>
                    <a:blip r:embed="rId59"/>
                    <a:stretch>
                      <a:fillRect/>
                    </a:stretch>
                  </pic:blipFill>
                  <pic:spPr>
                    <a:xfrm>
                      <a:off x="0" y="0"/>
                      <a:ext cx="3085465" cy="1428115"/>
                    </a:xfrm>
                    <a:prstGeom prst="rect">
                      <a:avLst/>
                    </a:prstGeom>
                  </pic:spPr>
                </pic:pic>
              </a:graphicData>
            </a:graphic>
          </wp:inline>
        </w:drawing>
      </w:r>
    </w:p>
    <w:p>
      <w:pPr>
        <w:pStyle w:val="83"/>
        <w:rPr>
          <w:rFonts w:hint="default"/>
          <w:lang w:val="en-US" w:eastAsia="zh-CN"/>
        </w:rPr>
      </w:pPr>
      <w:r>
        <w:rPr>
          <w:rFonts w:hint="eastAsia"/>
          <w:lang w:val="en-US" w:eastAsia="zh-CN"/>
        </w:rPr>
        <w:t>铜排组件安装示意图</w:t>
      </w:r>
    </w:p>
    <w:p>
      <w:pPr>
        <w:rPr>
          <w:sz w:val="18"/>
          <w:szCs w:val="18"/>
        </w:rPr>
      </w:pPr>
      <w:r>
        <w:rPr>
          <w:rFonts w:hint="eastAsia"/>
          <w:sz w:val="18"/>
          <w:szCs w:val="18"/>
        </w:rPr>
        <w:t>2）安装A相输入铜排，1PCS铜排，8PCS-M10X35组合螺钉。</w:t>
      </w:r>
    </w:p>
    <w:p>
      <w:pPr>
        <w:rPr>
          <w:sz w:val="18"/>
          <w:szCs w:val="18"/>
        </w:rPr>
      </w:pPr>
      <w:r>
        <w:rPr>
          <w:rFonts w:hint="eastAsia"/>
          <w:sz w:val="18"/>
          <w:szCs w:val="18"/>
        </w:rPr>
        <w:t>3）安装B相输入铜排，1个铜排组件，8PCS-M10X35组合螺钉。</w:t>
      </w:r>
    </w:p>
    <w:p>
      <w:pPr>
        <w:rPr>
          <w:sz w:val="18"/>
          <w:szCs w:val="18"/>
        </w:rPr>
      </w:pPr>
      <w:r>
        <w:rPr>
          <w:rFonts w:hint="eastAsia"/>
          <w:sz w:val="18"/>
          <w:szCs w:val="18"/>
        </w:rPr>
        <w:t>3）安装C相输入铜排，1个铜排组件，8PCS-M10X35组合螺钉。</w:t>
      </w:r>
    </w:p>
    <w:p/>
    <w:p>
      <w:pPr>
        <w:jc w:val="center"/>
      </w:pPr>
      <w:r>
        <w:drawing>
          <wp:inline distT="0" distB="0" distL="114300" distR="114300">
            <wp:extent cx="5031105" cy="2579370"/>
            <wp:effectExtent l="0" t="0" r="0" b="0"/>
            <wp:docPr id="127" name="图片 127" descr="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图片10"/>
                    <pic:cNvPicPr>
                      <a:picLocks noChangeAspect="1"/>
                    </pic:cNvPicPr>
                  </pic:nvPicPr>
                  <pic:blipFill>
                    <a:blip r:embed="rId60"/>
                    <a:srcRect b="9993"/>
                    <a:stretch>
                      <a:fillRect/>
                    </a:stretch>
                  </pic:blipFill>
                  <pic:spPr>
                    <a:xfrm>
                      <a:off x="0" y="0"/>
                      <a:ext cx="5031105" cy="2579370"/>
                    </a:xfrm>
                    <a:prstGeom prst="rect">
                      <a:avLst/>
                    </a:prstGeom>
                  </pic:spPr>
                </pic:pic>
              </a:graphicData>
            </a:graphic>
          </wp:inline>
        </w:drawing>
      </w:r>
    </w:p>
    <w:p>
      <w:pPr>
        <w:pStyle w:val="83"/>
        <w:rPr>
          <w:rFonts w:hint="default"/>
          <w:lang w:val="en-US" w:eastAsia="zh-CN"/>
        </w:rPr>
      </w:pPr>
      <w:r>
        <w:rPr>
          <w:rFonts w:hint="eastAsia"/>
          <w:lang w:val="en-US" w:eastAsia="zh-CN"/>
        </w:rPr>
        <w:t>主旁同源组件安装示意图</w:t>
      </w:r>
    </w:p>
    <w:p>
      <w:pPr>
        <w:pStyle w:val="5"/>
        <w:numPr>
          <w:ilvl w:val="2"/>
          <w:numId w:val="4"/>
        </w:numPr>
      </w:pPr>
      <w:bookmarkStart w:id="170" w:name="_Toc28975"/>
      <w:r>
        <w:rPr>
          <w:rFonts w:hint="eastAsia"/>
        </w:rPr>
        <w:t>功率模块组成</w:t>
      </w:r>
      <w:bookmarkEnd w:id="170"/>
    </w:p>
    <w:p>
      <w:pPr>
        <w:pStyle w:val="3"/>
        <w:ind w:left="0"/>
        <w:jc w:val="center"/>
      </w:pPr>
      <w:r>
        <w:drawing>
          <wp:inline distT="0" distB="0" distL="0" distR="0">
            <wp:extent cx="3282950" cy="3585210"/>
            <wp:effectExtent l="0" t="0" r="12700" b="1524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pic:cNvPicPr>
                      <a:picLocks noChangeAspect="1"/>
                    </pic:cNvPicPr>
                  </pic:nvPicPr>
                  <pic:blipFill>
                    <a:blip r:embed="rId61"/>
                    <a:stretch>
                      <a:fillRect/>
                    </a:stretch>
                  </pic:blipFill>
                  <pic:spPr>
                    <a:xfrm>
                      <a:off x="0" y="0"/>
                      <a:ext cx="3283200" cy="3585600"/>
                    </a:xfrm>
                    <a:prstGeom prst="rect">
                      <a:avLst/>
                    </a:prstGeom>
                  </pic:spPr>
                </pic:pic>
              </a:graphicData>
            </a:graphic>
          </wp:inline>
        </w:drawing>
      </w:r>
    </w:p>
    <w:p>
      <w:pPr>
        <w:pStyle w:val="83"/>
      </w:pPr>
      <w:r>
        <w:rPr>
          <w:rFonts w:hint="eastAsia"/>
        </w:rPr>
        <w:t>功率模块结构图</w:t>
      </w:r>
    </w:p>
    <w:tbl>
      <w:tblPr>
        <w:tblStyle w:val="50"/>
        <w:tblW w:w="9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3399"/>
        <w:gridCol w:w="1806"/>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shd w:val="clear" w:color="auto" w:fill="auto"/>
            <w:vAlign w:val="center"/>
          </w:tcPr>
          <w:p>
            <w:pPr>
              <w:pStyle w:val="3"/>
              <w:ind w:left="0"/>
              <w:jc w:val="center"/>
            </w:pPr>
            <w:r>
              <w:rPr>
                <w:rFonts w:hint="eastAsia"/>
              </w:rPr>
              <w:t>序号</w:t>
            </w:r>
          </w:p>
        </w:tc>
        <w:tc>
          <w:tcPr>
            <w:tcW w:w="3399" w:type="dxa"/>
            <w:shd w:val="clear" w:color="auto" w:fill="auto"/>
            <w:vAlign w:val="center"/>
          </w:tcPr>
          <w:p>
            <w:pPr>
              <w:pStyle w:val="3"/>
              <w:ind w:left="0"/>
              <w:jc w:val="center"/>
            </w:pPr>
            <w:r>
              <w:rPr>
                <w:rFonts w:hint="eastAsia"/>
              </w:rPr>
              <w:t>功能</w:t>
            </w:r>
          </w:p>
        </w:tc>
        <w:tc>
          <w:tcPr>
            <w:tcW w:w="1806" w:type="dxa"/>
            <w:shd w:val="clear" w:color="auto" w:fill="auto"/>
            <w:vAlign w:val="center"/>
          </w:tcPr>
          <w:p>
            <w:pPr>
              <w:pStyle w:val="3"/>
              <w:ind w:left="0"/>
              <w:jc w:val="center"/>
            </w:pPr>
            <w:r>
              <w:rPr>
                <w:rFonts w:hint="eastAsia"/>
              </w:rPr>
              <w:t>序号</w:t>
            </w:r>
          </w:p>
        </w:tc>
        <w:tc>
          <w:tcPr>
            <w:tcW w:w="2552" w:type="dxa"/>
            <w:shd w:val="clear" w:color="auto" w:fill="auto"/>
            <w:vAlign w:val="center"/>
          </w:tcPr>
          <w:p>
            <w:pPr>
              <w:pStyle w:val="3"/>
              <w:ind w:left="0"/>
              <w:jc w:val="center"/>
            </w:pPr>
            <w:r>
              <w:t>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shd w:val="clear" w:color="auto" w:fill="auto"/>
            <w:vAlign w:val="center"/>
          </w:tcPr>
          <w:p>
            <w:pPr>
              <w:pStyle w:val="3"/>
              <w:ind w:left="0"/>
              <w:jc w:val="left"/>
            </w:pPr>
            <w:r>
              <w:rPr>
                <w:rFonts w:hint="eastAsia"/>
              </w:rPr>
              <w:t>（1）就绪开关</w:t>
            </w:r>
          </w:p>
        </w:tc>
        <w:tc>
          <w:tcPr>
            <w:tcW w:w="3399" w:type="dxa"/>
            <w:shd w:val="clear" w:color="auto" w:fill="auto"/>
            <w:vAlign w:val="center"/>
          </w:tcPr>
          <w:p>
            <w:pPr>
              <w:pStyle w:val="3"/>
              <w:ind w:left="0"/>
              <w:jc w:val="left"/>
            </w:pPr>
            <w:r>
              <w:rPr>
                <w:rFonts w:hint="eastAsia"/>
              </w:rPr>
              <w:t>闭合开关才可以开启逆变器</w:t>
            </w:r>
          </w:p>
        </w:tc>
        <w:tc>
          <w:tcPr>
            <w:tcW w:w="1806" w:type="dxa"/>
            <w:shd w:val="clear" w:color="auto" w:fill="auto"/>
            <w:vAlign w:val="center"/>
          </w:tcPr>
          <w:p>
            <w:pPr>
              <w:pStyle w:val="3"/>
              <w:ind w:left="0"/>
              <w:jc w:val="left"/>
            </w:pPr>
            <w:r>
              <w:rPr>
                <w:rFonts w:hint="eastAsia"/>
              </w:rPr>
              <w:t>（3）输入功率端子</w:t>
            </w:r>
          </w:p>
        </w:tc>
        <w:tc>
          <w:tcPr>
            <w:tcW w:w="2552" w:type="dxa"/>
            <w:shd w:val="clear" w:color="auto" w:fill="auto"/>
            <w:vAlign w:val="center"/>
          </w:tcPr>
          <w:p>
            <w:pPr>
              <w:pStyle w:val="3"/>
              <w:ind w:left="0"/>
              <w:jc w:val="left"/>
            </w:pPr>
            <w:r>
              <w:rPr>
                <w:rFonts w:hint="eastAsia"/>
              </w:rPr>
              <w:t>交流及直流输入功率端子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shd w:val="clear" w:color="auto" w:fill="auto"/>
            <w:vAlign w:val="center"/>
          </w:tcPr>
          <w:p>
            <w:pPr>
              <w:pStyle w:val="3"/>
              <w:ind w:left="0"/>
              <w:jc w:val="left"/>
            </w:pPr>
            <w:r>
              <w:rPr>
                <w:rFonts w:hint="eastAsia"/>
              </w:rPr>
              <w:t>（2）L</w:t>
            </w:r>
            <w:r>
              <w:t>ED指示灯</w:t>
            </w:r>
          </w:p>
        </w:tc>
        <w:tc>
          <w:tcPr>
            <w:tcW w:w="3399" w:type="dxa"/>
            <w:shd w:val="clear" w:color="auto" w:fill="auto"/>
            <w:vAlign w:val="center"/>
          </w:tcPr>
          <w:p>
            <w:pPr>
              <w:pStyle w:val="3"/>
              <w:ind w:left="0"/>
              <w:jc w:val="left"/>
            </w:pPr>
            <w:r>
              <w:rPr>
                <w:rFonts w:hint="eastAsia"/>
              </w:rPr>
              <w:t>整流器，充放电器，逆变器指示灯</w:t>
            </w:r>
          </w:p>
        </w:tc>
        <w:tc>
          <w:tcPr>
            <w:tcW w:w="1806" w:type="dxa"/>
            <w:shd w:val="clear" w:color="auto" w:fill="auto"/>
            <w:vAlign w:val="center"/>
          </w:tcPr>
          <w:p>
            <w:pPr>
              <w:pStyle w:val="3"/>
              <w:ind w:left="0"/>
              <w:jc w:val="left"/>
            </w:pPr>
            <w:r>
              <w:rPr>
                <w:rFonts w:hint="eastAsia"/>
              </w:rPr>
              <w:t>（4）输出功率端子</w:t>
            </w:r>
          </w:p>
        </w:tc>
        <w:tc>
          <w:tcPr>
            <w:tcW w:w="2552" w:type="dxa"/>
            <w:shd w:val="clear" w:color="auto" w:fill="auto"/>
            <w:vAlign w:val="center"/>
          </w:tcPr>
          <w:p>
            <w:pPr>
              <w:pStyle w:val="3"/>
              <w:ind w:left="0"/>
              <w:jc w:val="left"/>
            </w:pPr>
            <w:r>
              <w:rPr>
                <w:rFonts w:hint="eastAsia"/>
              </w:rPr>
              <w:t>交流输出，P</w:t>
            </w:r>
            <w:r>
              <w:t>E</w:t>
            </w:r>
            <w:r>
              <w:rPr>
                <w:rFonts w:hint="eastAsia"/>
              </w:rPr>
              <w:t>，及信号端子</w:t>
            </w:r>
          </w:p>
        </w:tc>
      </w:tr>
    </w:tbl>
    <w:p>
      <w:pPr>
        <w:pStyle w:val="5"/>
        <w:numPr>
          <w:ilvl w:val="2"/>
          <w:numId w:val="4"/>
        </w:numPr>
      </w:pPr>
      <w:bookmarkStart w:id="171" w:name="_Toc6991"/>
      <w:r>
        <w:rPr>
          <w:rFonts w:hint="eastAsia"/>
        </w:rPr>
        <w:t>旁路模块组成</w:t>
      </w:r>
      <w:bookmarkEnd w:id="171"/>
    </w:p>
    <w:p>
      <w:pPr>
        <w:pStyle w:val="3"/>
        <w:ind w:left="0"/>
        <w:jc w:val="center"/>
        <w:rPr>
          <w:rFonts w:hint="eastAsia"/>
        </w:rPr>
      </w:pPr>
      <w:r>
        <w:drawing>
          <wp:inline distT="0" distB="0" distL="114300" distR="114300">
            <wp:extent cx="4098925" cy="2023745"/>
            <wp:effectExtent l="0" t="0" r="15875"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2"/>
                    <a:srcRect l="15347" t="21582" r="10476" b="24894"/>
                    <a:stretch>
                      <a:fillRect/>
                    </a:stretch>
                  </pic:blipFill>
                  <pic:spPr>
                    <a:xfrm>
                      <a:off x="0" y="0"/>
                      <a:ext cx="4098925" cy="2023745"/>
                    </a:xfrm>
                    <a:prstGeom prst="rect">
                      <a:avLst/>
                    </a:prstGeom>
                    <a:noFill/>
                    <a:ln>
                      <a:noFill/>
                    </a:ln>
                  </pic:spPr>
                </pic:pic>
              </a:graphicData>
            </a:graphic>
          </wp:inline>
        </w:drawing>
      </w:r>
    </w:p>
    <w:p>
      <w:pPr>
        <w:pStyle w:val="83"/>
      </w:pPr>
      <w:r>
        <w:rPr>
          <w:rFonts w:hint="eastAsia"/>
        </w:rPr>
        <w:t>1</w:t>
      </w:r>
      <w:r>
        <w:t>80</w:t>
      </w:r>
      <w:r>
        <w:rPr>
          <w:rFonts w:hint="eastAsia"/>
        </w:rPr>
        <w:t>k</w:t>
      </w:r>
      <w:r>
        <w:t>VA</w:t>
      </w:r>
      <w:r>
        <w:rPr>
          <w:rFonts w:hint="eastAsia"/>
        </w:rPr>
        <w:t>—</w:t>
      </w:r>
      <w:r>
        <w:rPr>
          <w:rFonts w:hint="eastAsia"/>
          <w:lang w:val="en-US" w:eastAsia="zh-CN"/>
        </w:rPr>
        <w:t>3</w:t>
      </w:r>
      <w:r>
        <w:t>00</w:t>
      </w:r>
      <w:r>
        <w:rPr>
          <w:rFonts w:hint="eastAsia"/>
        </w:rPr>
        <w:t>k</w:t>
      </w:r>
      <w:r>
        <w:t>VA</w:t>
      </w:r>
      <w:r>
        <w:rPr>
          <w:rFonts w:hint="eastAsia"/>
        </w:rPr>
        <w:t>旁路模块结构图</w:t>
      </w:r>
    </w:p>
    <w:p>
      <w:pPr>
        <w:pStyle w:val="83"/>
        <w:numPr>
          <w:ilvl w:val="6"/>
          <w:numId w:val="0"/>
        </w:numPr>
        <w:ind w:leftChars="0"/>
        <w:jc w:val="center"/>
      </w:pPr>
      <w:r>
        <w:rPr>
          <w:rFonts w:hint="eastAsia"/>
          <w:lang w:eastAsia="zh-CN"/>
        </w:rPr>
        <w:drawing>
          <wp:inline distT="0" distB="0" distL="114300" distR="114300">
            <wp:extent cx="4277360" cy="2369185"/>
            <wp:effectExtent l="0" t="0" r="8890" b="12065"/>
            <wp:docPr id="107" name="图片 107" descr="1690266950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1690266950786"/>
                    <pic:cNvPicPr>
                      <a:picLocks noChangeAspect="1"/>
                    </pic:cNvPicPr>
                  </pic:nvPicPr>
                  <pic:blipFill>
                    <a:blip r:embed="rId63"/>
                    <a:srcRect l="13418" t="16103" r="9030" b="21124"/>
                    <a:stretch>
                      <a:fillRect/>
                    </a:stretch>
                  </pic:blipFill>
                  <pic:spPr>
                    <a:xfrm>
                      <a:off x="0" y="0"/>
                      <a:ext cx="4277360" cy="2369185"/>
                    </a:xfrm>
                    <a:prstGeom prst="rect">
                      <a:avLst/>
                    </a:prstGeom>
                  </pic:spPr>
                </pic:pic>
              </a:graphicData>
            </a:graphic>
          </wp:inline>
        </w:drawing>
      </w:r>
    </w:p>
    <w:p>
      <w:pPr>
        <w:pStyle w:val="83"/>
      </w:pPr>
      <w:r>
        <w:rPr>
          <w:rFonts w:hint="eastAsia"/>
          <w:lang w:val="en-US" w:eastAsia="zh-CN"/>
        </w:rPr>
        <w:t>40</w:t>
      </w:r>
      <w:r>
        <w:t>0</w:t>
      </w:r>
      <w:r>
        <w:rPr>
          <w:rFonts w:hint="eastAsia"/>
        </w:rPr>
        <w:t>k</w:t>
      </w:r>
      <w:r>
        <w:t>VA</w:t>
      </w:r>
      <w:r>
        <w:rPr>
          <w:rFonts w:hint="eastAsia"/>
        </w:rPr>
        <w:t>—</w:t>
      </w:r>
      <w:r>
        <w:rPr>
          <w:rFonts w:hint="eastAsia"/>
          <w:lang w:val="en-US" w:eastAsia="zh-CN"/>
        </w:rPr>
        <w:t>6</w:t>
      </w:r>
      <w:r>
        <w:t>00</w:t>
      </w:r>
      <w:r>
        <w:rPr>
          <w:rFonts w:hint="eastAsia"/>
        </w:rPr>
        <w:t>k</w:t>
      </w:r>
      <w:r>
        <w:t>VA</w:t>
      </w:r>
      <w:r>
        <w:rPr>
          <w:rFonts w:hint="eastAsia"/>
        </w:rPr>
        <w:t>旁路模块结构图</w:t>
      </w:r>
    </w:p>
    <w:p>
      <w:pPr>
        <w:pStyle w:val="83"/>
        <w:numPr>
          <w:ilvl w:val="6"/>
          <w:numId w:val="0"/>
        </w:numPr>
        <w:ind w:leftChars="0"/>
        <w:jc w:val="center"/>
        <w:rPr>
          <w:rFonts w:hint="eastAsia" w:eastAsia="黑体"/>
          <w:lang w:eastAsia="zh-CN"/>
        </w:rPr>
      </w:pPr>
      <w:r>
        <w:drawing>
          <wp:inline distT="0" distB="0" distL="114300" distR="114300">
            <wp:extent cx="2369820" cy="3455035"/>
            <wp:effectExtent l="0" t="0" r="11430" b="12065"/>
            <wp:docPr id="13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21"/>
                    <pic:cNvPicPr>
                      <a:picLocks noChangeAspect="1"/>
                    </pic:cNvPicPr>
                  </pic:nvPicPr>
                  <pic:blipFill>
                    <a:blip r:embed="rId64"/>
                    <a:srcRect l="31079" t="16880" r="29902"/>
                    <a:stretch>
                      <a:fillRect/>
                    </a:stretch>
                  </pic:blipFill>
                  <pic:spPr>
                    <a:xfrm>
                      <a:off x="0" y="0"/>
                      <a:ext cx="2369820" cy="3455035"/>
                    </a:xfrm>
                    <a:prstGeom prst="rect">
                      <a:avLst/>
                    </a:prstGeom>
                    <a:noFill/>
                    <a:ln>
                      <a:noFill/>
                    </a:ln>
                  </pic:spPr>
                </pic:pic>
              </a:graphicData>
            </a:graphic>
          </wp:inline>
        </w:drawing>
      </w:r>
    </w:p>
    <w:p>
      <w:pPr>
        <w:pStyle w:val="83"/>
      </w:pPr>
      <w:r>
        <w:rPr>
          <w:rFonts w:hint="eastAsia"/>
        </w:rPr>
        <w:t>6</w:t>
      </w:r>
      <w:r>
        <w:t>00</w:t>
      </w:r>
      <w:r>
        <w:rPr>
          <w:rFonts w:hint="eastAsia"/>
        </w:rPr>
        <w:t>k</w:t>
      </w:r>
      <w:r>
        <w:t>VA</w:t>
      </w:r>
      <w:r>
        <w:rPr>
          <w:rFonts w:hint="eastAsia"/>
        </w:rPr>
        <w:t>—8</w:t>
      </w:r>
      <w:r>
        <w:t>00</w:t>
      </w:r>
      <w:r>
        <w:rPr>
          <w:rFonts w:hint="eastAsia"/>
        </w:rPr>
        <w:t>k</w:t>
      </w:r>
      <w:r>
        <w:t>VA</w:t>
      </w:r>
      <w:r>
        <w:rPr>
          <w:rFonts w:hint="eastAsia"/>
        </w:rPr>
        <w:t>旁路模块</w:t>
      </w:r>
      <w:r>
        <w:rPr>
          <w:rFonts w:hint="eastAsia"/>
          <w:lang w:val="en-US" w:eastAsia="zh-CN"/>
        </w:rPr>
        <w:t>结构</w:t>
      </w:r>
      <w:r>
        <w:rPr>
          <w:rFonts w:hint="eastAsia"/>
        </w:rPr>
        <w:t>图</w:t>
      </w:r>
    </w:p>
    <w:tbl>
      <w:tblPr>
        <w:tblStyle w:val="51"/>
        <w:tblW w:w="0" w:type="auto"/>
        <w:tblInd w:w="7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3"/>
        <w:gridCol w:w="6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3" w:type="dxa"/>
          </w:tcPr>
          <w:p>
            <w:pPr>
              <w:pStyle w:val="3"/>
              <w:widowControl w:val="0"/>
              <w:ind w:left="0"/>
              <w:jc w:val="center"/>
              <w:rPr>
                <w:rFonts w:hint="default"/>
                <w:lang w:val="en-US" w:eastAsia="zh-CN"/>
              </w:rPr>
            </w:pPr>
            <w:r>
              <w:rPr>
                <w:rFonts w:hint="eastAsia"/>
                <w:lang w:val="en-US" w:eastAsia="zh-CN"/>
              </w:rPr>
              <w:t>序号</w:t>
            </w:r>
          </w:p>
        </w:tc>
        <w:tc>
          <w:tcPr>
            <w:tcW w:w="6686" w:type="dxa"/>
          </w:tcPr>
          <w:p>
            <w:pPr>
              <w:pStyle w:val="3"/>
              <w:widowControl w:val="0"/>
              <w:ind w:left="0"/>
              <w:jc w:val="center"/>
              <w:rPr>
                <w:rFonts w:hint="eastAsia"/>
                <w:lang w:val="en-US" w:eastAsia="zh-CN"/>
              </w:rPr>
            </w:pPr>
            <w:r>
              <w:rPr>
                <w:rFonts w:hint="eastAsia"/>
                <w:lang w:val="en-US" w:eastAsia="zh-CN"/>
              </w:rPr>
              <w:t>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3" w:type="dxa"/>
          </w:tcPr>
          <w:p>
            <w:pPr>
              <w:pStyle w:val="3"/>
              <w:widowControl w:val="0"/>
              <w:ind w:left="0" w:firstLine="180" w:firstLineChars="100"/>
              <w:jc w:val="left"/>
              <w:rPr>
                <w:rFonts w:hint="default"/>
                <w:lang w:val="en-US" w:eastAsia="zh-CN"/>
              </w:rPr>
            </w:pPr>
            <w:r>
              <w:rPr>
                <w:rFonts w:hint="eastAsia"/>
                <w:lang w:val="en-US" w:eastAsia="zh-CN"/>
              </w:rPr>
              <w:t>（1）旁路控制模块</w:t>
            </w:r>
          </w:p>
        </w:tc>
        <w:tc>
          <w:tcPr>
            <w:tcW w:w="6686" w:type="dxa"/>
          </w:tcPr>
          <w:p>
            <w:pPr>
              <w:pStyle w:val="3"/>
              <w:widowControl w:val="0"/>
              <w:ind w:left="0" w:firstLine="1800" w:firstLineChars="1000"/>
              <w:jc w:val="both"/>
              <w:rPr>
                <w:rFonts w:hint="default"/>
                <w:lang w:val="en-US" w:eastAsia="zh-CN"/>
              </w:rPr>
            </w:pPr>
            <w:r>
              <w:rPr>
                <w:rFonts w:hint="eastAsia"/>
                <w:lang w:val="en-US" w:eastAsia="zh-CN"/>
              </w:rPr>
              <w:t>旁路模块的控制核心并提供选件接口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3" w:type="dxa"/>
          </w:tcPr>
          <w:p>
            <w:pPr>
              <w:pStyle w:val="3"/>
              <w:widowControl w:val="0"/>
              <w:ind w:left="0" w:firstLine="180" w:firstLineChars="100"/>
              <w:jc w:val="left"/>
              <w:rPr>
                <w:rFonts w:hint="default"/>
                <w:lang w:val="en-US" w:eastAsia="zh-CN"/>
              </w:rPr>
            </w:pPr>
            <w:r>
              <w:rPr>
                <w:rFonts w:hint="eastAsia"/>
                <w:lang w:val="en-US" w:eastAsia="zh-CN"/>
              </w:rPr>
              <w:t>（2）旁路功率模块正</w:t>
            </w:r>
          </w:p>
        </w:tc>
        <w:tc>
          <w:tcPr>
            <w:tcW w:w="6686" w:type="dxa"/>
          </w:tcPr>
          <w:p>
            <w:pPr>
              <w:pStyle w:val="3"/>
              <w:widowControl w:val="0"/>
              <w:ind w:left="0" w:firstLine="1800" w:firstLineChars="1000"/>
              <w:jc w:val="both"/>
              <w:rPr>
                <w:rFonts w:hint="default"/>
                <w:lang w:val="en-US" w:eastAsia="zh-CN"/>
              </w:rPr>
            </w:pPr>
            <w:r>
              <w:rPr>
                <w:rFonts w:hint="eastAsia"/>
                <w:lang w:val="en-US" w:eastAsia="zh-CN"/>
              </w:rPr>
              <w:t>旁路模块提供负载正半周电流供电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3" w:type="dxa"/>
          </w:tcPr>
          <w:p>
            <w:pPr>
              <w:pStyle w:val="3"/>
              <w:widowControl w:val="0"/>
              <w:ind w:left="0" w:firstLine="180" w:firstLineChars="100"/>
              <w:jc w:val="left"/>
              <w:rPr>
                <w:rFonts w:hint="default"/>
                <w:lang w:val="en-US" w:eastAsia="zh-CN"/>
              </w:rPr>
            </w:pPr>
            <w:r>
              <w:rPr>
                <w:rFonts w:hint="eastAsia"/>
                <w:lang w:val="en-US" w:eastAsia="zh-CN"/>
              </w:rPr>
              <w:t>（3）旁路功率模块负</w:t>
            </w:r>
          </w:p>
        </w:tc>
        <w:tc>
          <w:tcPr>
            <w:tcW w:w="6686" w:type="dxa"/>
          </w:tcPr>
          <w:p>
            <w:pPr>
              <w:pStyle w:val="3"/>
              <w:widowControl w:val="0"/>
              <w:ind w:left="0" w:firstLine="1800" w:firstLineChars="1000"/>
              <w:jc w:val="both"/>
              <w:rPr>
                <w:rFonts w:hint="eastAsia"/>
                <w:lang w:val="en-US" w:eastAsia="zh-CN"/>
              </w:rPr>
            </w:pPr>
            <w:r>
              <w:rPr>
                <w:rFonts w:hint="eastAsia"/>
                <w:lang w:val="en-US" w:eastAsia="zh-CN"/>
              </w:rPr>
              <w:t>旁路模块提供负载负半周电流供电</w:t>
            </w:r>
          </w:p>
        </w:tc>
      </w:tr>
    </w:tbl>
    <w:p>
      <w:pPr>
        <w:pStyle w:val="83"/>
        <w:numPr>
          <w:ilvl w:val="6"/>
          <w:numId w:val="0"/>
        </w:numPr>
        <w:ind w:leftChars="0"/>
        <w:jc w:val="both"/>
      </w:pPr>
    </w:p>
    <w:p>
      <w:pPr>
        <w:pStyle w:val="3"/>
        <w:ind w:left="0"/>
        <w:jc w:val="center"/>
      </w:pPr>
    </w:p>
    <w:p>
      <w:pPr>
        <w:pStyle w:val="3"/>
        <w:ind w:left="0"/>
        <w:jc w:val="center"/>
      </w:pPr>
      <w:r>
        <w:drawing>
          <wp:inline distT="0" distB="0" distL="0" distR="0">
            <wp:extent cx="5000625" cy="1488440"/>
            <wp:effectExtent l="0" t="0" r="0" b="0"/>
            <wp:docPr id="13420167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016778" name="图片 2"/>
                    <pic:cNvPicPr>
                      <a:picLocks noChangeAspect="1" noChangeArrowheads="1"/>
                    </pic:cNvPicPr>
                  </pic:nvPicPr>
                  <pic:blipFill>
                    <a:blip r:embed="rId65" cstate="print">
                      <a:extLst>
                        <a:ext uri="{28A0092B-C50C-407E-A947-70E740481C1C}">
                          <a14:useLocalDpi xmlns:a14="http://schemas.microsoft.com/office/drawing/2010/main" val="0"/>
                        </a:ext>
                      </a:extLst>
                    </a:blip>
                    <a:srcRect b="8042"/>
                    <a:stretch>
                      <a:fillRect/>
                    </a:stretch>
                  </pic:blipFill>
                  <pic:spPr>
                    <a:xfrm>
                      <a:off x="0" y="0"/>
                      <a:ext cx="5003288" cy="1488440"/>
                    </a:xfrm>
                    <a:prstGeom prst="rect">
                      <a:avLst/>
                    </a:prstGeom>
                    <a:noFill/>
                    <a:ln>
                      <a:noFill/>
                    </a:ln>
                  </pic:spPr>
                </pic:pic>
              </a:graphicData>
            </a:graphic>
          </wp:inline>
        </w:drawing>
      </w:r>
    </w:p>
    <w:p>
      <w:pPr>
        <w:pStyle w:val="83"/>
      </w:pPr>
      <w:r>
        <w:rPr>
          <w:rFonts w:hint="eastAsia"/>
        </w:rPr>
        <w:t>6</w:t>
      </w:r>
      <w:r>
        <w:t>00</w:t>
      </w:r>
      <w:r>
        <w:rPr>
          <w:rFonts w:hint="eastAsia"/>
        </w:rPr>
        <w:t>k</w:t>
      </w:r>
      <w:r>
        <w:t>VA</w:t>
      </w:r>
      <w:r>
        <w:rPr>
          <w:rFonts w:hint="eastAsia"/>
        </w:rPr>
        <w:t>—8</w:t>
      </w:r>
      <w:r>
        <w:t>00</w:t>
      </w:r>
      <w:r>
        <w:rPr>
          <w:rFonts w:hint="eastAsia"/>
        </w:rPr>
        <w:t>k</w:t>
      </w:r>
      <w:r>
        <w:t>VA</w:t>
      </w:r>
      <w:r>
        <w:rPr>
          <w:rFonts w:hint="eastAsia"/>
        </w:rPr>
        <w:t>旁路</w:t>
      </w:r>
      <w:r>
        <w:rPr>
          <w:rFonts w:hint="eastAsia"/>
          <w:lang w:val="en-US" w:eastAsia="zh-CN"/>
        </w:rPr>
        <w:t>控制</w:t>
      </w:r>
      <w:r>
        <w:rPr>
          <w:rFonts w:hint="eastAsia"/>
        </w:rPr>
        <w:t>模块结构图</w:t>
      </w:r>
    </w:p>
    <w:tbl>
      <w:tblPr>
        <w:tblStyle w:val="50"/>
        <w:tblW w:w="9493"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1354"/>
        <w:gridCol w:w="2693"/>
        <w:gridCol w:w="1843"/>
        <w:gridCol w:w="2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980" w:type="dxa"/>
            <w:gridSpan w:val="2"/>
            <w:shd w:val="clear" w:color="auto" w:fill="auto"/>
            <w:vAlign w:val="bottom"/>
          </w:tcPr>
          <w:p>
            <w:pPr>
              <w:pStyle w:val="3"/>
              <w:ind w:left="0"/>
              <w:jc w:val="center"/>
            </w:pPr>
            <w:r>
              <w:rPr>
                <w:rFonts w:hint="eastAsia"/>
              </w:rPr>
              <w:t>序号</w:t>
            </w:r>
          </w:p>
        </w:tc>
        <w:tc>
          <w:tcPr>
            <w:tcW w:w="2693" w:type="dxa"/>
            <w:shd w:val="clear" w:color="auto" w:fill="auto"/>
            <w:vAlign w:val="bottom"/>
          </w:tcPr>
          <w:p>
            <w:pPr>
              <w:pStyle w:val="3"/>
              <w:ind w:left="0"/>
              <w:jc w:val="center"/>
            </w:pPr>
            <w:r>
              <w:rPr>
                <w:rFonts w:hint="eastAsia"/>
              </w:rPr>
              <w:t>功能</w:t>
            </w:r>
          </w:p>
        </w:tc>
        <w:tc>
          <w:tcPr>
            <w:tcW w:w="1843" w:type="dxa"/>
            <w:shd w:val="clear" w:color="auto" w:fill="auto"/>
            <w:vAlign w:val="bottom"/>
          </w:tcPr>
          <w:p>
            <w:pPr>
              <w:pStyle w:val="3"/>
              <w:ind w:left="0"/>
              <w:jc w:val="center"/>
            </w:pPr>
            <w:r>
              <w:rPr>
                <w:rFonts w:hint="eastAsia"/>
              </w:rPr>
              <w:t>序号</w:t>
            </w:r>
          </w:p>
        </w:tc>
        <w:tc>
          <w:tcPr>
            <w:tcW w:w="2977" w:type="dxa"/>
            <w:shd w:val="clear" w:color="auto" w:fill="auto"/>
            <w:vAlign w:val="bottom"/>
          </w:tcPr>
          <w:p>
            <w:pPr>
              <w:pStyle w:val="3"/>
              <w:ind w:left="0"/>
              <w:jc w:val="center"/>
            </w:pPr>
            <w:r>
              <w:t>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980" w:type="dxa"/>
            <w:gridSpan w:val="2"/>
            <w:shd w:val="clear" w:color="auto" w:fill="auto"/>
            <w:vAlign w:val="center"/>
          </w:tcPr>
          <w:p>
            <w:pPr>
              <w:pStyle w:val="3"/>
              <w:ind w:left="0"/>
              <w:jc w:val="left"/>
            </w:pPr>
            <w:r>
              <w:rPr>
                <w:rFonts w:hint="eastAsia"/>
              </w:rPr>
              <w:t>（1）监控模块接口</w:t>
            </w:r>
          </w:p>
        </w:tc>
        <w:tc>
          <w:tcPr>
            <w:tcW w:w="2693" w:type="dxa"/>
            <w:shd w:val="clear" w:color="auto" w:fill="auto"/>
            <w:vAlign w:val="center"/>
          </w:tcPr>
          <w:p>
            <w:pPr>
              <w:pStyle w:val="3"/>
              <w:ind w:left="0"/>
              <w:jc w:val="left"/>
            </w:pPr>
            <w:r>
              <w:rPr>
                <w:rFonts w:hint="eastAsia"/>
              </w:rPr>
              <w:t>用于连接监控模块</w:t>
            </w:r>
          </w:p>
        </w:tc>
        <w:tc>
          <w:tcPr>
            <w:tcW w:w="1843" w:type="dxa"/>
            <w:shd w:val="clear" w:color="auto" w:fill="auto"/>
            <w:vAlign w:val="center"/>
          </w:tcPr>
          <w:p>
            <w:pPr>
              <w:pStyle w:val="3"/>
              <w:ind w:left="0"/>
              <w:jc w:val="left"/>
            </w:pPr>
            <w:r>
              <w:rPr>
                <w:rFonts w:hint="eastAsia"/>
              </w:rPr>
              <w:t>（</w:t>
            </w:r>
            <w:r>
              <w:t>2</w:t>
            </w:r>
            <w:r>
              <w:rPr>
                <w:rFonts w:hint="eastAsia"/>
              </w:rPr>
              <w:t>）2</w:t>
            </w:r>
            <w:r>
              <w:t>32通信口</w:t>
            </w:r>
          </w:p>
        </w:tc>
        <w:tc>
          <w:tcPr>
            <w:tcW w:w="2977" w:type="dxa"/>
            <w:shd w:val="clear" w:color="auto" w:fill="auto"/>
            <w:vAlign w:val="center"/>
          </w:tcPr>
          <w:p>
            <w:pPr>
              <w:pStyle w:val="3"/>
              <w:ind w:left="0"/>
              <w:jc w:val="left"/>
            </w:pPr>
            <w:r>
              <w:rPr>
                <w:rFonts w:hint="eastAsia"/>
              </w:rPr>
              <w:t>服务后台或2</w:t>
            </w:r>
            <w:r>
              <w:t>33通信端子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980" w:type="dxa"/>
            <w:gridSpan w:val="2"/>
            <w:shd w:val="clear" w:color="auto" w:fill="auto"/>
            <w:vAlign w:val="center"/>
          </w:tcPr>
          <w:p>
            <w:pPr>
              <w:pStyle w:val="3"/>
              <w:ind w:left="0"/>
              <w:jc w:val="left"/>
            </w:pPr>
            <w:r>
              <w:rPr>
                <w:rFonts w:hint="eastAsia"/>
              </w:rPr>
              <w:t>（3）4</w:t>
            </w:r>
            <w:r>
              <w:t>85通信端子</w:t>
            </w:r>
          </w:p>
        </w:tc>
        <w:tc>
          <w:tcPr>
            <w:tcW w:w="2693" w:type="dxa"/>
            <w:shd w:val="clear" w:color="auto" w:fill="auto"/>
            <w:vAlign w:val="center"/>
          </w:tcPr>
          <w:p>
            <w:pPr>
              <w:pStyle w:val="3"/>
              <w:ind w:left="0"/>
              <w:jc w:val="left"/>
            </w:pPr>
            <w:r>
              <w:rPr>
                <w:rFonts w:hint="eastAsia"/>
              </w:rPr>
              <w:t>两路4</w:t>
            </w:r>
            <w:r>
              <w:t>85通信接口</w:t>
            </w:r>
          </w:p>
        </w:tc>
        <w:tc>
          <w:tcPr>
            <w:tcW w:w="1843" w:type="dxa"/>
            <w:shd w:val="clear" w:color="auto" w:fill="auto"/>
            <w:vAlign w:val="center"/>
          </w:tcPr>
          <w:p>
            <w:pPr>
              <w:pStyle w:val="3"/>
              <w:ind w:left="0"/>
              <w:jc w:val="left"/>
            </w:pPr>
            <w:r>
              <w:rPr>
                <w:rFonts w:hint="eastAsia"/>
              </w:rPr>
              <w:t>（4）R</w:t>
            </w:r>
            <w:r>
              <w:t>EPO端子</w:t>
            </w:r>
          </w:p>
        </w:tc>
        <w:tc>
          <w:tcPr>
            <w:tcW w:w="2977" w:type="dxa"/>
            <w:shd w:val="clear" w:color="auto" w:fill="auto"/>
            <w:vAlign w:val="center"/>
          </w:tcPr>
          <w:p>
            <w:pPr>
              <w:pStyle w:val="3"/>
              <w:ind w:left="0"/>
              <w:jc w:val="left"/>
            </w:pPr>
            <w:r>
              <w:t>远程</w:t>
            </w:r>
            <w:r>
              <w:rPr>
                <w:rFonts w:hint="eastAsia"/>
              </w:rPr>
              <w:t>E</w:t>
            </w:r>
            <w:r>
              <w:t>PO端子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jc w:val="right"/>
        </w:trPr>
        <w:tc>
          <w:tcPr>
            <w:tcW w:w="626" w:type="dxa"/>
            <w:vMerge w:val="restart"/>
            <w:shd w:val="clear" w:color="auto" w:fill="auto"/>
            <w:vAlign w:val="center"/>
          </w:tcPr>
          <w:p>
            <w:pPr>
              <w:pStyle w:val="3"/>
              <w:ind w:left="0"/>
              <w:jc w:val="left"/>
            </w:pPr>
            <w:r>
              <w:rPr>
                <w:rFonts w:hint="eastAsia"/>
              </w:rPr>
              <w:t>（5）</w:t>
            </w:r>
          </w:p>
        </w:tc>
        <w:tc>
          <w:tcPr>
            <w:tcW w:w="1354" w:type="dxa"/>
            <w:shd w:val="clear" w:color="auto" w:fill="auto"/>
            <w:vAlign w:val="center"/>
          </w:tcPr>
          <w:p>
            <w:pPr>
              <w:pStyle w:val="3"/>
              <w:ind w:left="0"/>
              <w:jc w:val="left"/>
            </w:pPr>
            <w:r>
              <w:rPr>
                <w:rFonts w:hint="eastAsia"/>
              </w:rPr>
              <w:t>输出干接点1</w:t>
            </w:r>
          </w:p>
        </w:tc>
        <w:tc>
          <w:tcPr>
            <w:tcW w:w="2693" w:type="dxa"/>
            <w:shd w:val="clear" w:color="auto" w:fill="auto"/>
            <w:vAlign w:val="center"/>
          </w:tcPr>
          <w:p>
            <w:pPr>
              <w:pStyle w:val="3"/>
              <w:ind w:left="0"/>
              <w:jc w:val="left"/>
            </w:pPr>
            <w:r>
              <w:rPr>
                <w:rFonts w:hint="eastAsia"/>
              </w:rPr>
              <w:t>1#输出干接点端子</w:t>
            </w:r>
          </w:p>
        </w:tc>
        <w:tc>
          <w:tcPr>
            <w:tcW w:w="1843" w:type="dxa"/>
            <w:vMerge w:val="restart"/>
            <w:shd w:val="clear" w:color="auto" w:fill="auto"/>
            <w:vAlign w:val="center"/>
          </w:tcPr>
          <w:p>
            <w:pPr>
              <w:pStyle w:val="3"/>
              <w:ind w:left="0"/>
              <w:jc w:val="left"/>
              <w:rPr>
                <w:rFonts w:hint="eastAsia"/>
              </w:rPr>
            </w:pPr>
            <w:r>
              <w:rPr>
                <w:rFonts w:hint="eastAsia"/>
              </w:rPr>
              <w:t>（6）输出干接点</w:t>
            </w:r>
            <w:r>
              <w:t>2/3</w:t>
            </w:r>
          </w:p>
        </w:tc>
        <w:tc>
          <w:tcPr>
            <w:tcW w:w="2977" w:type="dxa"/>
            <w:vMerge w:val="restart"/>
            <w:shd w:val="clear" w:color="auto" w:fill="auto"/>
            <w:vAlign w:val="center"/>
          </w:tcPr>
          <w:p>
            <w:pPr>
              <w:pStyle w:val="3"/>
              <w:ind w:left="0"/>
              <w:jc w:val="left"/>
            </w:pPr>
            <w:r>
              <w:t>2</w:t>
            </w:r>
            <w:r>
              <w:rPr>
                <w:rFonts w:hint="eastAsia"/>
              </w:rPr>
              <w:t>#</w:t>
            </w:r>
            <w:r>
              <w:t>/3#</w:t>
            </w:r>
            <w:r>
              <w:rPr>
                <w:rFonts w:hint="eastAsia"/>
              </w:rPr>
              <w:t>输出干接点端子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right"/>
        </w:trPr>
        <w:tc>
          <w:tcPr>
            <w:tcW w:w="626" w:type="dxa"/>
            <w:vMerge w:val="continue"/>
            <w:shd w:val="clear" w:color="auto" w:fill="auto"/>
            <w:vAlign w:val="center"/>
          </w:tcPr>
          <w:p>
            <w:pPr>
              <w:pStyle w:val="3"/>
              <w:ind w:left="0"/>
              <w:jc w:val="left"/>
              <w:rPr>
                <w:rFonts w:hint="eastAsia"/>
              </w:rPr>
            </w:pPr>
          </w:p>
        </w:tc>
        <w:tc>
          <w:tcPr>
            <w:tcW w:w="1354" w:type="dxa"/>
            <w:shd w:val="clear" w:color="auto" w:fill="auto"/>
            <w:vAlign w:val="center"/>
          </w:tcPr>
          <w:p>
            <w:pPr>
              <w:pStyle w:val="3"/>
              <w:ind w:left="0"/>
              <w:jc w:val="left"/>
              <w:rPr>
                <w:rFonts w:hint="eastAsia"/>
              </w:rPr>
            </w:pPr>
            <w:r>
              <w:rPr>
                <w:rFonts w:hint="eastAsia"/>
              </w:rPr>
              <w:t>B</w:t>
            </w:r>
            <w:r>
              <w:t>FP</w:t>
            </w:r>
          </w:p>
        </w:tc>
        <w:tc>
          <w:tcPr>
            <w:tcW w:w="2693" w:type="dxa"/>
            <w:shd w:val="clear" w:color="auto" w:fill="auto"/>
            <w:vAlign w:val="center"/>
          </w:tcPr>
          <w:p>
            <w:pPr>
              <w:pStyle w:val="3"/>
              <w:ind w:left="0"/>
              <w:jc w:val="left"/>
              <w:rPr>
                <w:rFonts w:hint="eastAsia"/>
              </w:rPr>
            </w:pPr>
            <w:r>
              <w:rPr>
                <w:rFonts w:hint="eastAsia"/>
              </w:rPr>
              <w:t>旁路反灌保护端子</w:t>
            </w:r>
          </w:p>
        </w:tc>
        <w:tc>
          <w:tcPr>
            <w:tcW w:w="1843" w:type="dxa"/>
            <w:vMerge w:val="continue"/>
            <w:shd w:val="clear" w:color="auto" w:fill="auto"/>
            <w:vAlign w:val="center"/>
          </w:tcPr>
          <w:p>
            <w:pPr>
              <w:pStyle w:val="3"/>
              <w:ind w:left="0"/>
              <w:jc w:val="left"/>
              <w:rPr>
                <w:rFonts w:hint="eastAsia"/>
              </w:rPr>
            </w:pPr>
          </w:p>
        </w:tc>
        <w:tc>
          <w:tcPr>
            <w:tcW w:w="2977" w:type="dxa"/>
            <w:vMerge w:val="continue"/>
            <w:shd w:val="clear" w:color="auto" w:fill="auto"/>
            <w:vAlign w:val="center"/>
          </w:tcPr>
          <w:p>
            <w:pPr>
              <w:pStyle w:val="3"/>
              <w:ind w:left="0"/>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jc w:val="right"/>
        </w:trPr>
        <w:tc>
          <w:tcPr>
            <w:tcW w:w="626" w:type="dxa"/>
            <w:vMerge w:val="restart"/>
            <w:shd w:val="clear" w:color="auto" w:fill="auto"/>
            <w:vAlign w:val="center"/>
          </w:tcPr>
          <w:p>
            <w:pPr>
              <w:pStyle w:val="3"/>
              <w:ind w:left="0"/>
              <w:jc w:val="left"/>
              <w:rPr>
                <w:rFonts w:hint="eastAsia"/>
              </w:rPr>
            </w:pPr>
            <w:r>
              <w:rPr>
                <w:rFonts w:hint="eastAsia"/>
              </w:rPr>
              <w:t>（7）</w:t>
            </w:r>
          </w:p>
        </w:tc>
        <w:tc>
          <w:tcPr>
            <w:tcW w:w="1354" w:type="dxa"/>
            <w:shd w:val="clear" w:color="auto" w:fill="auto"/>
            <w:vAlign w:val="center"/>
          </w:tcPr>
          <w:p>
            <w:pPr>
              <w:pStyle w:val="3"/>
              <w:ind w:left="0"/>
              <w:jc w:val="left"/>
              <w:rPr>
                <w:rFonts w:hint="eastAsia"/>
              </w:rPr>
            </w:pPr>
            <w:r>
              <w:rPr>
                <w:rFonts w:hint="eastAsia"/>
              </w:rPr>
              <w:t>B</w:t>
            </w:r>
            <w:r>
              <w:t>CB端子</w:t>
            </w:r>
          </w:p>
        </w:tc>
        <w:tc>
          <w:tcPr>
            <w:tcW w:w="2693" w:type="dxa"/>
            <w:shd w:val="clear" w:color="auto" w:fill="auto"/>
            <w:vAlign w:val="center"/>
          </w:tcPr>
          <w:p>
            <w:pPr>
              <w:pStyle w:val="3"/>
              <w:ind w:left="0"/>
              <w:jc w:val="left"/>
            </w:pPr>
            <w:r>
              <w:rPr>
                <w:rFonts w:hint="eastAsia"/>
              </w:rPr>
              <w:t>智能电池配电盒端子</w:t>
            </w:r>
          </w:p>
        </w:tc>
        <w:tc>
          <w:tcPr>
            <w:tcW w:w="1843" w:type="dxa"/>
            <w:vMerge w:val="restart"/>
            <w:shd w:val="clear" w:color="auto" w:fill="auto"/>
            <w:vAlign w:val="center"/>
          </w:tcPr>
          <w:p>
            <w:pPr>
              <w:pStyle w:val="3"/>
              <w:ind w:left="0"/>
              <w:jc w:val="left"/>
            </w:pPr>
            <w:r>
              <w:rPr>
                <w:rFonts w:hint="eastAsia"/>
              </w:rPr>
              <w:t>（8）输入干接点1</w:t>
            </w:r>
            <w:r>
              <w:t>/2</w:t>
            </w:r>
          </w:p>
        </w:tc>
        <w:tc>
          <w:tcPr>
            <w:tcW w:w="2977" w:type="dxa"/>
            <w:vMerge w:val="restart"/>
            <w:shd w:val="clear" w:color="auto" w:fill="auto"/>
            <w:vAlign w:val="center"/>
          </w:tcPr>
          <w:p>
            <w:pPr>
              <w:pStyle w:val="3"/>
              <w:ind w:left="0"/>
              <w:jc w:val="left"/>
            </w:pPr>
            <w:r>
              <w:t>1</w:t>
            </w:r>
            <w:r>
              <w:rPr>
                <w:rFonts w:hint="eastAsia"/>
              </w:rPr>
              <w:t>#</w:t>
            </w:r>
            <w:r>
              <w:t>/2#</w:t>
            </w:r>
            <w:r>
              <w:rPr>
                <w:rFonts w:hint="eastAsia"/>
              </w:rPr>
              <w:t>输入干接点端子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right"/>
        </w:trPr>
        <w:tc>
          <w:tcPr>
            <w:tcW w:w="626" w:type="dxa"/>
            <w:vMerge w:val="continue"/>
            <w:shd w:val="clear" w:color="auto" w:fill="auto"/>
            <w:vAlign w:val="center"/>
          </w:tcPr>
          <w:p>
            <w:pPr>
              <w:pStyle w:val="3"/>
              <w:ind w:left="0"/>
              <w:jc w:val="left"/>
              <w:rPr>
                <w:rFonts w:hint="eastAsia"/>
              </w:rPr>
            </w:pPr>
          </w:p>
        </w:tc>
        <w:tc>
          <w:tcPr>
            <w:tcW w:w="1354" w:type="dxa"/>
            <w:shd w:val="clear" w:color="auto" w:fill="auto"/>
            <w:vAlign w:val="center"/>
          </w:tcPr>
          <w:p>
            <w:pPr>
              <w:pStyle w:val="3"/>
              <w:ind w:left="0"/>
              <w:jc w:val="left"/>
              <w:rPr>
                <w:rFonts w:hint="eastAsia"/>
              </w:rPr>
            </w:pPr>
            <w:r>
              <w:rPr>
                <w:rFonts w:hint="eastAsia"/>
              </w:rPr>
              <w:t>温度检测端子</w:t>
            </w:r>
          </w:p>
        </w:tc>
        <w:tc>
          <w:tcPr>
            <w:tcW w:w="2693" w:type="dxa"/>
            <w:shd w:val="clear" w:color="auto" w:fill="auto"/>
            <w:vAlign w:val="center"/>
          </w:tcPr>
          <w:p>
            <w:pPr>
              <w:pStyle w:val="3"/>
              <w:ind w:left="0"/>
              <w:jc w:val="left"/>
              <w:rPr>
                <w:rFonts w:hint="eastAsia"/>
              </w:rPr>
            </w:pPr>
            <w:r>
              <w:rPr>
                <w:rFonts w:hint="eastAsia"/>
              </w:rPr>
              <w:t>电池温度传感器端子</w:t>
            </w:r>
          </w:p>
        </w:tc>
        <w:tc>
          <w:tcPr>
            <w:tcW w:w="1843" w:type="dxa"/>
            <w:vMerge w:val="continue"/>
            <w:shd w:val="clear" w:color="auto" w:fill="auto"/>
            <w:vAlign w:val="center"/>
          </w:tcPr>
          <w:p>
            <w:pPr>
              <w:pStyle w:val="3"/>
              <w:ind w:left="0"/>
              <w:jc w:val="left"/>
              <w:rPr>
                <w:rFonts w:hint="eastAsia"/>
              </w:rPr>
            </w:pPr>
          </w:p>
        </w:tc>
        <w:tc>
          <w:tcPr>
            <w:tcW w:w="2977" w:type="dxa"/>
            <w:vMerge w:val="continue"/>
            <w:shd w:val="clear" w:color="auto" w:fill="auto"/>
            <w:vAlign w:val="center"/>
          </w:tcPr>
          <w:p>
            <w:pPr>
              <w:pStyle w:val="3"/>
              <w:ind w:left="0"/>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980" w:type="dxa"/>
            <w:gridSpan w:val="2"/>
            <w:shd w:val="clear" w:color="auto" w:fill="auto"/>
            <w:vAlign w:val="center"/>
          </w:tcPr>
          <w:p>
            <w:pPr>
              <w:pStyle w:val="3"/>
              <w:ind w:left="0"/>
              <w:jc w:val="left"/>
            </w:pPr>
            <w:r>
              <w:rPr>
                <w:rFonts w:hint="eastAsia"/>
              </w:rPr>
              <w:t>（9）并机匹配端子</w:t>
            </w:r>
          </w:p>
        </w:tc>
        <w:tc>
          <w:tcPr>
            <w:tcW w:w="2693" w:type="dxa"/>
            <w:shd w:val="clear" w:color="auto" w:fill="auto"/>
            <w:vAlign w:val="center"/>
          </w:tcPr>
          <w:p>
            <w:pPr>
              <w:pStyle w:val="3"/>
              <w:ind w:left="0"/>
              <w:jc w:val="left"/>
            </w:pPr>
            <w:r>
              <w:rPr>
                <w:rFonts w:hint="eastAsia"/>
              </w:rPr>
              <w:t>3并机</w:t>
            </w:r>
            <w:r>
              <w:t>/</w:t>
            </w:r>
            <w:r>
              <w:rPr>
                <w:rFonts w:hint="eastAsia"/>
              </w:rPr>
              <w:t>4并机需要调整匹配端子</w:t>
            </w:r>
          </w:p>
        </w:tc>
        <w:tc>
          <w:tcPr>
            <w:tcW w:w="1843" w:type="dxa"/>
            <w:shd w:val="clear" w:color="auto" w:fill="auto"/>
            <w:vAlign w:val="center"/>
          </w:tcPr>
          <w:p>
            <w:pPr>
              <w:pStyle w:val="3"/>
              <w:ind w:left="0"/>
              <w:jc w:val="left"/>
            </w:pPr>
            <w:r>
              <w:rPr>
                <w:rFonts w:hint="eastAsia"/>
              </w:rPr>
              <w:t>（10）L</w:t>
            </w:r>
            <w:r>
              <w:t>BS信号端子</w:t>
            </w:r>
          </w:p>
        </w:tc>
        <w:tc>
          <w:tcPr>
            <w:tcW w:w="2977" w:type="dxa"/>
            <w:shd w:val="clear" w:color="auto" w:fill="auto"/>
            <w:vAlign w:val="center"/>
          </w:tcPr>
          <w:p>
            <w:pPr>
              <w:pStyle w:val="3"/>
              <w:ind w:left="0"/>
              <w:jc w:val="left"/>
            </w:pPr>
            <w:r>
              <w:rPr>
                <w:rFonts w:hint="eastAsia"/>
              </w:rPr>
              <w:t>双母线系统通信端子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980" w:type="dxa"/>
            <w:gridSpan w:val="2"/>
            <w:shd w:val="clear" w:color="auto" w:fill="auto"/>
            <w:vAlign w:val="center"/>
          </w:tcPr>
          <w:p>
            <w:pPr>
              <w:pStyle w:val="3"/>
              <w:ind w:left="0"/>
              <w:jc w:val="left"/>
              <w:rPr>
                <w:rFonts w:hint="eastAsia"/>
              </w:rPr>
            </w:pPr>
            <w:r>
              <w:rPr>
                <w:rFonts w:hint="eastAsia"/>
              </w:rPr>
              <w:t>（11）并机信号端子</w:t>
            </w:r>
          </w:p>
        </w:tc>
        <w:tc>
          <w:tcPr>
            <w:tcW w:w="2693" w:type="dxa"/>
            <w:shd w:val="clear" w:color="auto" w:fill="auto"/>
            <w:vAlign w:val="center"/>
          </w:tcPr>
          <w:p>
            <w:pPr>
              <w:pStyle w:val="3"/>
              <w:ind w:left="0"/>
              <w:jc w:val="left"/>
            </w:pPr>
            <w:r>
              <w:rPr>
                <w:rFonts w:hint="eastAsia"/>
              </w:rPr>
              <w:t>并机系统通信端子</w:t>
            </w:r>
          </w:p>
        </w:tc>
        <w:tc>
          <w:tcPr>
            <w:tcW w:w="1843" w:type="dxa"/>
            <w:shd w:val="clear" w:color="auto" w:fill="auto"/>
            <w:vAlign w:val="center"/>
          </w:tcPr>
          <w:p>
            <w:pPr>
              <w:pStyle w:val="3"/>
              <w:ind w:left="0"/>
              <w:jc w:val="left"/>
            </w:pPr>
            <w:r>
              <w:rPr>
                <w:rFonts w:hint="eastAsia"/>
              </w:rPr>
              <w:t>（1</w:t>
            </w:r>
            <w:r>
              <w:t>2</w:t>
            </w:r>
            <w:r>
              <w:rPr>
                <w:rFonts w:hint="eastAsia"/>
              </w:rPr>
              <w:t>）智能卡槽1</w:t>
            </w:r>
          </w:p>
        </w:tc>
        <w:tc>
          <w:tcPr>
            <w:tcW w:w="2977" w:type="dxa"/>
            <w:shd w:val="clear" w:color="auto" w:fill="auto"/>
            <w:vAlign w:val="center"/>
          </w:tcPr>
          <w:p>
            <w:pPr>
              <w:pStyle w:val="3"/>
              <w:ind w:left="0"/>
              <w:jc w:val="left"/>
            </w:pPr>
            <w:r>
              <w:rPr>
                <w:rFonts w:hint="eastAsia"/>
              </w:rPr>
              <w:t>可选配S</w:t>
            </w:r>
            <w:r>
              <w:t>NMP卡或干接点卡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980" w:type="dxa"/>
            <w:gridSpan w:val="2"/>
            <w:shd w:val="clear" w:color="auto" w:fill="auto"/>
            <w:vAlign w:val="center"/>
          </w:tcPr>
          <w:p>
            <w:pPr>
              <w:pStyle w:val="3"/>
              <w:ind w:left="0"/>
              <w:jc w:val="left"/>
              <w:rPr>
                <w:rFonts w:hint="eastAsia"/>
              </w:rPr>
            </w:pPr>
            <w:r>
              <w:rPr>
                <w:rFonts w:hint="eastAsia"/>
              </w:rPr>
              <w:t>（1</w:t>
            </w:r>
            <w:r>
              <w:t>3</w:t>
            </w:r>
            <w:r>
              <w:rPr>
                <w:rFonts w:hint="eastAsia"/>
              </w:rPr>
              <w:t>）智能卡槽2</w:t>
            </w:r>
          </w:p>
        </w:tc>
        <w:tc>
          <w:tcPr>
            <w:tcW w:w="2693" w:type="dxa"/>
            <w:shd w:val="clear" w:color="auto" w:fill="auto"/>
            <w:vAlign w:val="center"/>
          </w:tcPr>
          <w:p>
            <w:pPr>
              <w:pStyle w:val="3"/>
              <w:ind w:left="0"/>
              <w:jc w:val="left"/>
            </w:pPr>
            <w:r>
              <w:rPr>
                <w:rFonts w:hint="eastAsia"/>
              </w:rPr>
              <w:t>可选配S</w:t>
            </w:r>
            <w:r>
              <w:t>NMP卡或干接点卡</w:t>
            </w:r>
          </w:p>
        </w:tc>
        <w:tc>
          <w:tcPr>
            <w:tcW w:w="1843" w:type="dxa"/>
            <w:shd w:val="clear" w:color="auto" w:fill="auto"/>
            <w:vAlign w:val="center"/>
          </w:tcPr>
          <w:p>
            <w:pPr>
              <w:pStyle w:val="3"/>
              <w:ind w:left="0"/>
              <w:jc w:val="left"/>
              <w:rPr>
                <w:rFonts w:hint="eastAsia"/>
              </w:rPr>
            </w:pPr>
            <w:r>
              <w:rPr>
                <w:rFonts w:hint="eastAsia"/>
              </w:rPr>
              <w:t>（14）旁路指示灯</w:t>
            </w:r>
          </w:p>
        </w:tc>
        <w:tc>
          <w:tcPr>
            <w:tcW w:w="2977" w:type="dxa"/>
            <w:shd w:val="clear" w:color="auto" w:fill="auto"/>
            <w:vAlign w:val="center"/>
          </w:tcPr>
          <w:p>
            <w:pPr>
              <w:pStyle w:val="3"/>
              <w:ind w:left="0"/>
              <w:jc w:val="left"/>
            </w:pPr>
            <w:r>
              <w:t>旁路正常绿灯常亮</w:t>
            </w:r>
            <w:r>
              <w:rPr>
                <w:rFonts w:hint="eastAsia"/>
              </w:rPr>
              <w:t>，</w:t>
            </w:r>
            <w:r>
              <w:t>否则不亮灯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980" w:type="dxa"/>
            <w:gridSpan w:val="2"/>
            <w:shd w:val="clear" w:color="auto" w:fill="auto"/>
            <w:vAlign w:val="center"/>
          </w:tcPr>
          <w:p>
            <w:pPr>
              <w:pStyle w:val="3"/>
              <w:ind w:left="0"/>
              <w:jc w:val="left"/>
            </w:pPr>
            <w:r>
              <w:rPr>
                <w:rFonts w:hint="eastAsia"/>
              </w:rPr>
              <w:t>（15）就绪开关</w:t>
            </w:r>
          </w:p>
        </w:tc>
        <w:tc>
          <w:tcPr>
            <w:tcW w:w="2693" w:type="dxa"/>
            <w:shd w:val="clear" w:color="auto" w:fill="auto"/>
            <w:vAlign w:val="center"/>
          </w:tcPr>
          <w:p>
            <w:pPr>
              <w:pStyle w:val="3"/>
              <w:ind w:left="0"/>
              <w:jc w:val="left"/>
            </w:pPr>
            <w:r>
              <w:rPr>
                <w:rFonts w:hint="eastAsia"/>
              </w:rPr>
              <w:t>闭合开关才可以开启旁路供电</w:t>
            </w:r>
          </w:p>
        </w:tc>
        <w:tc>
          <w:tcPr>
            <w:tcW w:w="1843" w:type="dxa"/>
            <w:shd w:val="clear" w:color="auto" w:fill="auto"/>
            <w:vAlign w:val="center"/>
          </w:tcPr>
          <w:p>
            <w:pPr>
              <w:pStyle w:val="3"/>
              <w:ind w:left="0"/>
              <w:jc w:val="left"/>
            </w:pPr>
            <w:r>
              <w:rPr>
                <w:rFonts w:hint="eastAsia"/>
              </w:rPr>
              <w:t>（1</w:t>
            </w:r>
            <w:r>
              <w:t>6</w:t>
            </w:r>
            <w:r>
              <w:rPr>
                <w:rFonts w:hint="eastAsia"/>
              </w:rPr>
              <w:t>）冷启动按钮</w:t>
            </w:r>
          </w:p>
        </w:tc>
        <w:tc>
          <w:tcPr>
            <w:tcW w:w="2977" w:type="dxa"/>
            <w:shd w:val="clear" w:color="auto" w:fill="auto"/>
            <w:vAlign w:val="center"/>
          </w:tcPr>
          <w:p>
            <w:pPr>
              <w:pStyle w:val="3"/>
              <w:ind w:left="0"/>
              <w:jc w:val="left"/>
            </w:pPr>
            <w:r>
              <w:rPr>
                <w:rFonts w:hint="eastAsia"/>
              </w:rPr>
              <w:t>从电池启动U</w:t>
            </w:r>
            <w:r>
              <w:t>PS的按钮</w:t>
            </w:r>
          </w:p>
        </w:tc>
      </w:tr>
    </w:tbl>
    <w:p>
      <w:pPr>
        <w:pStyle w:val="3"/>
        <w:ind w:left="0"/>
        <w:jc w:val="both"/>
        <w:rPr>
          <w:rFonts w:hint="eastAsia" w:eastAsia="宋体"/>
          <w:lang w:eastAsia="zh-CN"/>
        </w:rPr>
      </w:pPr>
    </w:p>
    <w:p>
      <w:pPr>
        <w:pStyle w:val="83"/>
        <w:numPr>
          <w:ilvl w:val="6"/>
          <w:numId w:val="0"/>
        </w:numPr>
        <w:ind w:leftChars="0"/>
        <w:jc w:val="both"/>
      </w:pPr>
    </w:p>
    <w:p>
      <w:pPr>
        <w:pStyle w:val="83"/>
        <w:numPr>
          <w:ilvl w:val="6"/>
          <w:numId w:val="0"/>
        </w:numPr>
        <w:ind w:leftChars="0"/>
        <w:jc w:val="both"/>
      </w:pPr>
    </w:p>
    <w:p>
      <w:pPr>
        <w:pStyle w:val="3"/>
        <w:ind w:left="0"/>
        <w:jc w:val="center"/>
        <w:rPr>
          <w:rFonts w:hint="eastAsia"/>
        </w:rPr>
      </w:pPr>
    </w:p>
    <w:p>
      <w:pPr>
        <w:pStyle w:val="5"/>
        <w:numPr>
          <w:ilvl w:val="2"/>
          <w:numId w:val="4"/>
        </w:numPr>
      </w:pPr>
      <w:bookmarkStart w:id="172" w:name="_Toc25380"/>
      <w:r>
        <w:rPr>
          <w:rFonts w:hint="eastAsia"/>
        </w:rPr>
        <w:t>搬运机柜</w:t>
      </w:r>
      <w:bookmarkEnd w:id="172"/>
    </w:p>
    <w:tbl>
      <w:tblPr>
        <w:tblStyle w:val="50"/>
        <w:tblW w:w="9374"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right"/>
        </w:trPr>
        <w:tc>
          <w:tcPr>
            <w:tcW w:w="9374" w:type="dxa"/>
            <w:vAlign w:val="center"/>
          </w:tcPr>
          <w:p>
            <w:pPr>
              <w:pStyle w:val="72"/>
              <w:spacing w:before="46" w:beforeLines="15" w:line="276" w:lineRule="auto"/>
              <w:jc w:val="both"/>
              <w:rPr>
                <w:rStyle w:val="87"/>
              </w:rPr>
            </w:pPr>
            <w:r>
              <w:rPr>
                <w:rStyle w:val="87"/>
              </w:rPr>
              <w:drawing>
                <wp:inline distT="0" distB="0" distL="0" distR="0">
                  <wp:extent cx="646430" cy="283845"/>
                  <wp:effectExtent l="0" t="0" r="1270" b="1905"/>
                  <wp:docPr id="104" name="图片 104"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6430" cy="283845"/>
                          </a:xfrm>
                          <a:prstGeom prst="rect">
                            <a:avLst/>
                          </a:prstGeom>
                          <a:noFill/>
                          <a:ln>
                            <a:noFill/>
                          </a:ln>
                        </pic:spPr>
                      </pic:pic>
                    </a:graphicData>
                  </a:graphic>
                </wp:inline>
              </w:drawing>
            </w:r>
            <w:r>
              <w:rPr>
                <w:rStyle w:val="87"/>
                <w:rFonts w:hint="eastAsia"/>
              </w:rPr>
              <w:t>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right"/>
        </w:trPr>
        <w:tc>
          <w:tcPr>
            <w:tcW w:w="9374" w:type="dxa"/>
            <w:vAlign w:val="center"/>
          </w:tcPr>
          <w:p>
            <w:pPr>
              <w:pStyle w:val="73"/>
            </w:pPr>
            <w:r>
              <w:rPr>
                <w:rFonts w:hint="eastAsia"/>
              </w:rPr>
              <w:t>1．用于搬运UPS机柜的起重设备必须有足够的起重能力。</w:t>
            </w:r>
          </w:p>
          <w:p>
            <w:pPr>
              <w:pStyle w:val="73"/>
            </w:pPr>
            <w:r>
              <w:rPr>
                <w:rFonts w:hint="eastAsia"/>
              </w:rPr>
              <w:t>2．移开载货托盘时，应保证有足够的人力和起重设备。</w:t>
            </w:r>
          </w:p>
          <w:p>
            <w:pPr>
              <w:pStyle w:val="73"/>
            </w:pPr>
            <w:r>
              <w:rPr>
                <w:rFonts w:hint="eastAsia"/>
              </w:rPr>
              <w:t>3．不允许吊装机柜。</w:t>
            </w:r>
          </w:p>
        </w:tc>
      </w:tr>
    </w:tbl>
    <w:p>
      <w:pPr>
        <w:pStyle w:val="3"/>
      </w:pPr>
      <w:r>
        <w:rPr>
          <w:rFonts w:hint="eastAsia"/>
        </w:rPr>
        <w:t>确保UPS的重量在起重设备的载重能力范围之内。UPS重量参见表1-3。</w:t>
      </w:r>
    </w:p>
    <w:p>
      <w:pPr>
        <w:pStyle w:val="3"/>
      </w:pPr>
      <w:r>
        <w:rPr>
          <w:rFonts w:hint="eastAsia"/>
        </w:rPr>
        <w:t>可使用叉车或其它类似的起重设备搬运UPS机柜。搬运前，应拆除机柜底部的栅板。</w:t>
      </w:r>
    </w:p>
    <w:p>
      <w:pPr>
        <w:pStyle w:val="5"/>
        <w:numPr>
          <w:ilvl w:val="2"/>
          <w:numId w:val="4"/>
        </w:numPr>
      </w:pPr>
      <w:bookmarkStart w:id="173" w:name="_Toc6329"/>
      <w:r>
        <w:rPr>
          <w:rFonts w:hint="eastAsia"/>
        </w:rPr>
        <w:t>操作空间</w:t>
      </w:r>
      <w:bookmarkEnd w:id="173"/>
    </w:p>
    <w:p>
      <w:pPr>
        <w:pStyle w:val="3"/>
      </w:pPr>
      <w:r>
        <w:rPr>
          <w:rFonts w:hint="eastAsia"/>
        </w:rPr>
        <w:t>UPS两侧没有风栅，因此对其侧面没有特殊的空间要求。</w:t>
      </w:r>
    </w:p>
    <w:p>
      <w:pPr>
        <w:pStyle w:val="3"/>
      </w:pPr>
      <w:r>
        <w:rPr>
          <w:rFonts w:hint="eastAsia"/>
        </w:rPr>
        <w:t>为了方便日常运行时对UPS内的电源端子进行坚固，除满足当地规定外，UPS前面应保留足够的操作空间，以UPS门完全打开后，人能自由通过为准。同时</w:t>
      </w:r>
      <w:r>
        <w:t>UPS</w:t>
      </w:r>
      <w:r>
        <w:rPr>
          <w:rFonts w:hint="eastAsia"/>
        </w:rPr>
        <w:t>后部至少应保留50</w:t>
      </w:r>
      <w:r>
        <w:t>0mm</w:t>
      </w:r>
      <w:r>
        <w:rPr>
          <w:rFonts w:hint="eastAsia"/>
        </w:rPr>
        <w:t>空间，以保证</w:t>
      </w:r>
      <w:r>
        <w:t>UPS</w:t>
      </w:r>
      <w:r>
        <w:rPr>
          <w:rFonts w:hint="eastAsia"/>
        </w:rPr>
        <w:t>排气畅通。</w:t>
      </w:r>
    </w:p>
    <w:p>
      <w:pPr>
        <w:pStyle w:val="5"/>
        <w:numPr>
          <w:ilvl w:val="2"/>
          <w:numId w:val="4"/>
        </w:numPr>
      </w:pPr>
      <w:bookmarkStart w:id="174" w:name="_Toc29103"/>
      <w:r>
        <w:rPr>
          <w:rFonts w:hint="eastAsia"/>
        </w:rPr>
        <w:t>进线方式</w:t>
      </w:r>
      <w:bookmarkEnd w:id="174"/>
    </w:p>
    <w:p>
      <w:pPr>
        <w:pStyle w:val="3"/>
        <w:rPr>
          <w:b/>
          <w:bCs/>
        </w:rPr>
      </w:pPr>
      <w:r>
        <w:rPr>
          <w:rFonts w:hint="eastAsia"/>
        </w:rPr>
        <w:t>5</w:t>
      </w:r>
      <w:r>
        <w:t>模块系统</w:t>
      </w:r>
      <w:r>
        <w:rPr>
          <w:rFonts w:hint="eastAsia"/>
        </w:rPr>
        <w:t>可采用上进线方式和下进线方式，</w:t>
      </w:r>
      <w:r>
        <w:t>7模块系统只</w:t>
      </w:r>
      <w:r>
        <w:rPr>
          <w:rFonts w:hint="eastAsia"/>
        </w:rPr>
        <w:t>可</w:t>
      </w:r>
      <w:r>
        <w:t>采用上进线方式</w:t>
      </w:r>
      <w:r>
        <w:rPr>
          <w:rFonts w:hint="eastAsia"/>
        </w:rPr>
        <w:t>，1</w:t>
      </w:r>
      <w:r>
        <w:t>2模块系统</w:t>
      </w:r>
      <w:r>
        <w:rPr>
          <w:rFonts w:hint="eastAsia"/>
        </w:rPr>
        <w:t>可采用上进线方式和下进线方式，1</w:t>
      </w:r>
      <w:r>
        <w:t>4模块系统只</w:t>
      </w:r>
      <w:r>
        <w:rPr>
          <w:rFonts w:hint="eastAsia"/>
        </w:rPr>
        <w:t>可</w:t>
      </w:r>
      <w:r>
        <w:t>采用上进线方式</w:t>
      </w:r>
      <w:r>
        <w:rPr>
          <w:rFonts w:hint="eastAsia"/>
        </w:rPr>
        <w:t>。具体接线方式描述请参见</w:t>
      </w:r>
      <w:r>
        <w:rPr>
          <w:rFonts w:hint="eastAsia"/>
          <w:b/>
          <w:bCs/>
        </w:rPr>
        <w:t>3.1.</w:t>
      </w:r>
      <w:r>
        <w:rPr>
          <w:b/>
          <w:bCs/>
        </w:rPr>
        <w:t>9</w:t>
      </w:r>
      <w:r>
        <w:rPr>
          <w:rFonts w:hint="eastAsia"/>
          <w:b/>
          <w:bCs/>
        </w:rPr>
        <w:t>功率电缆接线步骤</w:t>
      </w:r>
    </w:p>
    <w:p>
      <w:pPr>
        <w:pStyle w:val="5"/>
        <w:numPr>
          <w:ilvl w:val="2"/>
          <w:numId w:val="4"/>
        </w:numPr>
      </w:pPr>
      <w:bookmarkStart w:id="175" w:name="_Toc22235"/>
      <w:r>
        <w:rPr>
          <w:rFonts w:hint="eastAsia"/>
        </w:rPr>
        <w:t>定位与固定</w:t>
      </w:r>
      <w:bookmarkEnd w:id="175"/>
    </w:p>
    <w:p>
      <w:pPr>
        <w:pStyle w:val="3"/>
        <w:rPr>
          <w:snapToGrid w:val="0"/>
          <w:lang w:val="en-GB"/>
        </w:rPr>
      </w:pPr>
      <w:r>
        <w:rPr>
          <w:rFonts w:hint="eastAsia"/>
          <w:snapToGrid w:val="0"/>
          <w:lang w:val="en-GB"/>
        </w:rPr>
        <w:t>UPS最终定位后，</w:t>
      </w:r>
      <w:r>
        <w:rPr>
          <w:rFonts w:hint="eastAsia"/>
        </w:rPr>
        <w:t>通过UPS底部的安装孔直接将机柜固定于安装表面。</w:t>
      </w:r>
      <w:r>
        <w:rPr>
          <w:rFonts w:hint="eastAsia"/>
          <w:snapToGrid w:val="0"/>
          <w:lang w:val="en-GB"/>
        </w:rPr>
        <w:t>若</w:t>
      </w:r>
      <w:r>
        <w:rPr>
          <w:snapToGrid w:val="0"/>
          <w:lang w:val="en-GB"/>
        </w:rPr>
        <w:t>UPS</w:t>
      </w:r>
      <w:r>
        <w:rPr>
          <w:rFonts w:hint="eastAsia"/>
          <w:snapToGrid w:val="0"/>
          <w:lang w:val="en-GB"/>
        </w:rPr>
        <w:t>安装在架空地板上，则应为其设计一个适当的支撑架，该支撑架应可承受</w:t>
      </w:r>
      <w:r>
        <w:rPr>
          <w:snapToGrid w:val="0"/>
          <w:lang w:val="en-GB"/>
        </w:rPr>
        <w:t>UPS</w:t>
      </w:r>
      <w:r>
        <w:rPr>
          <w:rFonts w:hint="eastAsia"/>
          <w:snapToGrid w:val="0"/>
          <w:lang w:val="en-GB"/>
        </w:rPr>
        <w:t>的重量。</w:t>
      </w:r>
    </w:p>
    <w:tbl>
      <w:tblPr>
        <w:tblStyle w:val="50"/>
        <w:tblW w:w="935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9356" w:type="dxa"/>
            <w:vAlign w:val="center"/>
          </w:tcPr>
          <w:p>
            <w:pPr>
              <w:pStyle w:val="72"/>
              <w:spacing w:before="46" w:beforeLines="15" w:line="276" w:lineRule="auto"/>
              <w:jc w:val="both"/>
              <w:rPr>
                <w:lang w:val="en-GB"/>
              </w:rPr>
            </w:pPr>
            <w:r>
              <w:rPr>
                <w:rFonts w:ascii="黑体" w:eastAsia="黑体"/>
              </w:rPr>
              <w:drawing>
                <wp:inline distT="0" distB="0" distL="0" distR="0">
                  <wp:extent cx="315595" cy="267970"/>
                  <wp:effectExtent l="0" t="0" r="8255" b="0"/>
                  <wp:docPr id="103" name="图片 103" descr="图形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形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315595" cy="267970"/>
                          </a:xfrm>
                          <a:prstGeom prst="rect">
                            <a:avLst/>
                          </a:prstGeom>
                          <a:noFill/>
                          <a:ln>
                            <a:noFill/>
                          </a:ln>
                        </pic:spPr>
                      </pic:pic>
                    </a:graphicData>
                  </a:graphic>
                </wp:inline>
              </w:drawing>
            </w:r>
            <w:r>
              <w:rPr>
                <w:rFonts w:hint="eastAsia" w:ascii="黑体" w:eastAsia="黑体"/>
              </w:rPr>
              <w:t>重要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9356" w:type="dxa"/>
            <w:tcMar>
              <w:top w:w="85" w:type="dxa"/>
            </w:tcMar>
            <w:vAlign w:val="center"/>
          </w:tcPr>
          <w:p>
            <w:pPr>
              <w:pStyle w:val="73"/>
            </w:pPr>
            <w:r>
              <w:rPr>
                <w:rFonts w:hint="eastAsia"/>
                <w:lang w:val="en-GB"/>
              </w:rPr>
              <w:t>必须</w:t>
            </w:r>
            <w:r>
              <w:rPr>
                <w:rFonts w:hint="eastAsia"/>
              </w:rPr>
              <w:t>通过UPS底部的安装孔将机柜固定于安装表面。</w:t>
            </w:r>
          </w:p>
        </w:tc>
      </w:tr>
    </w:tbl>
    <w:p>
      <w:pPr>
        <w:pStyle w:val="5"/>
        <w:numPr>
          <w:ilvl w:val="2"/>
          <w:numId w:val="4"/>
        </w:numPr>
      </w:pPr>
      <w:bookmarkStart w:id="176" w:name="_Toc32667"/>
      <w:r>
        <w:rPr>
          <w:rFonts w:hint="eastAsia"/>
        </w:rPr>
        <w:t>安装模块</w:t>
      </w:r>
      <w:bookmarkEnd w:id="176"/>
    </w:p>
    <w:p>
      <w:pPr>
        <w:pStyle w:val="3"/>
      </w:pPr>
      <w:r>
        <w:rPr>
          <w:rFonts w:hint="eastAsia"/>
        </w:rPr>
        <w:t>功率模块的安装位置见图2-</w:t>
      </w:r>
      <w:r>
        <w:rPr>
          <w:rFonts w:hint="eastAsia"/>
          <w:lang w:val="en-US" w:eastAsia="zh-CN"/>
        </w:rPr>
        <w:t>8</w:t>
      </w:r>
      <w:r>
        <w:rPr>
          <w:rFonts w:hint="eastAsia"/>
        </w:rPr>
        <w:t>。安装功率模块的原则是自下而上进行安装，以防止机柜因重心太高而倾倒。</w:t>
      </w:r>
    </w:p>
    <w:p>
      <w:pPr>
        <w:pStyle w:val="3"/>
        <w:rPr>
          <w:lang w:val="en-GB"/>
        </w:rPr>
      </w:pPr>
      <w:r>
        <w:rPr>
          <w:rFonts w:hint="eastAsia"/>
          <w:lang w:val="en-GB"/>
        </w:rPr>
        <w:t>功率模块安装步骤如下：</w:t>
      </w:r>
    </w:p>
    <w:p>
      <w:pPr>
        <w:pStyle w:val="3"/>
        <w:ind w:left="0"/>
        <w:jc w:val="center"/>
      </w:pPr>
      <w:r>
        <w:drawing>
          <wp:inline distT="0" distB="0" distL="0" distR="0">
            <wp:extent cx="2506980" cy="2412365"/>
            <wp:effectExtent l="0" t="0" r="7620" b="698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2506980" cy="2412365"/>
                    </a:xfrm>
                    <a:prstGeom prst="rect">
                      <a:avLst/>
                    </a:prstGeom>
                    <a:noFill/>
                    <a:ln>
                      <a:noFill/>
                    </a:ln>
                  </pic:spPr>
                </pic:pic>
              </a:graphicData>
            </a:graphic>
          </wp:inline>
        </w:drawing>
      </w:r>
    </w:p>
    <w:p>
      <w:pPr>
        <w:pStyle w:val="83"/>
      </w:pPr>
      <w:r>
        <w:rPr>
          <w:rFonts w:hint="eastAsia"/>
        </w:rPr>
        <w:t>功率模块从下往上安装</w:t>
      </w:r>
    </w:p>
    <w:p>
      <w:pPr>
        <w:pStyle w:val="3"/>
        <w:rPr>
          <w:lang w:val="en-GB"/>
        </w:rPr>
      </w:pPr>
      <w:r>
        <w:rPr>
          <w:rFonts w:hint="eastAsia"/>
          <w:lang w:val="en-GB"/>
        </w:rPr>
        <w:t>1．将模块前面板的就绪开关拨到未锁位置。</w:t>
      </w:r>
    </w:p>
    <w:p>
      <w:pPr>
        <w:pStyle w:val="3"/>
        <w:rPr>
          <w:lang w:val="en-GB"/>
        </w:rPr>
      </w:pPr>
      <w:r>
        <w:rPr>
          <w:rFonts w:hint="eastAsia"/>
          <w:lang w:val="en-GB"/>
        </w:rPr>
        <w:t>2．去掉模块安装位置的假面板，将模块插入安装位置，推入机柜。</w:t>
      </w:r>
    </w:p>
    <w:p>
      <w:pPr>
        <w:pStyle w:val="3"/>
        <w:rPr>
          <w:lang w:val="en-GB"/>
        </w:rPr>
      </w:pPr>
      <w:r>
        <w:rPr>
          <w:rFonts w:hint="eastAsia"/>
          <w:lang w:val="en-GB"/>
        </w:rPr>
        <w:t>3．通过模块前面板两侧的固定孔将模块固定于主功率柜上。</w:t>
      </w:r>
    </w:p>
    <w:p>
      <w:pPr>
        <w:pStyle w:val="3"/>
        <w:rPr>
          <w:lang w:val="en-GB"/>
        </w:rPr>
      </w:pPr>
      <w:r>
        <w:rPr>
          <w:rFonts w:hint="eastAsia"/>
          <w:lang w:val="en-GB"/>
        </w:rPr>
        <w:t>4．将模块前面板的就绪开关拨到锁死位置。</w:t>
      </w:r>
    </w:p>
    <w:tbl>
      <w:tblPr>
        <w:tblStyle w:val="50"/>
        <w:tblW w:w="935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9356" w:type="dxa"/>
            <w:vAlign w:val="center"/>
          </w:tcPr>
          <w:p>
            <w:pPr>
              <w:pStyle w:val="72"/>
              <w:spacing w:before="46" w:beforeLines="15" w:line="276" w:lineRule="auto"/>
              <w:jc w:val="both"/>
              <w:rPr>
                <w:rStyle w:val="87"/>
              </w:rPr>
            </w:pPr>
            <w:r>
              <w:rPr>
                <w:rStyle w:val="87"/>
              </w:rPr>
              <w:drawing>
                <wp:inline distT="0" distB="0" distL="0" distR="0">
                  <wp:extent cx="315595" cy="267970"/>
                  <wp:effectExtent l="0" t="0" r="8255" b="0"/>
                  <wp:docPr id="101" name="图片 101" descr="图形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形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315595" cy="267970"/>
                          </a:xfrm>
                          <a:prstGeom prst="rect">
                            <a:avLst/>
                          </a:prstGeom>
                          <a:noFill/>
                          <a:ln>
                            <a:noFill/>
                          </a:ln>
                        </pic:spPr>
                      </pic:pic>
                    </a:graphicData>
                  </a:graphic>
                </wp:inline>
              </w:drawing>
            </w:r>
            <w:r>
              <w:rPr>
                <w:rStyle w:val="87"/>
                <w:rFonts w:hint="eastAsia"/>
              </w:rPr>
              <w:t>注意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9356" w:type="dxa"/>
            <w:tcMar>
              <w:top w:w="85" w:type="dxa"/>
            </w:tcMar>
            <w:vAlign w:val="center"/>
          </w:tcPr>
          <w:p>
            <w:pPr>
              <w:pStyle w:val="73"/>
            </w:pPr>
            <w:r>
              <w:rPr>
                <w:rFonts w:hint="eastAsia"/>
                <w:lang w:val="en-GB"/>
              </w:rPr>
              <w:t>拆卸功率模块的原则是自上而下进行拆卸，以防止机柜因重心太高而倾倒。</w:t>
            </w:r>
          </w:p>
        </w:tc>
      </w:tr>
    </w:tbl>
    <w:p>
      <w:pPr>
        <w:pStyle w:val="5"/>
        <w:sectPr>
          <w:headerReference r:id="rId19" w:type="default"/>
          <w:pgSz w:w="11906" w:h="16838"/>
          <w:pgMar w:top="1304" w:right="737" w:bottom="1134" w:left="1134" w:header="851" w:footer="737" w:gutter="0"/>
          <w:cols w:space="720" w:num="1"/>
          <w:docGrid w:type="lines" w:linePitch="312" w:charSpace="0"/>
        </w:sectPr>
      </w:pPr>
    </w:p>
    <w:bookmarkEnd w:id="165"/>
    <w:p>
      <w:pPr>
        <w:pStyle w:val="2"/>
        <w:numPr>
          <w:ilvl w:val="0"/>
          <w:numId w:val="4"/>
        </w:numPr>
      </w:pPr>
      <w:bookmarkStart w:id="177" w:name="_Hlt322595809"/>
      <w:bookmarkEnd w:id="177"/>
      <w:bookmarkStart w:id="178" w:name="_Hlt322605736"/>
      <w:bookmarkEnd w:id="178"/>
      <w:bookmarkStart w:id="179" w:name="_Hlt322612504"/>
      <w:bookmarkEnd w:id="179"/>
      <w:bookmarkStart w:id="180" w:name="_Hlt322612683"/>
      <w:bookmarkEnd w:id="180"/>
      <w:bookmarkStart w:id="181" w:name="_Hlt322613019"/>
      <w:bookmarkEnd w:id="181"/>
      <w:bookmarkStart w:id="182" w:name="_Hlt229537081"/>
      <w:bookmarkEnd w:id="182"/>
      <w:bookmarkStart w:id="183" w:name="_Hlt322605749"/>
      <w:bookmarkEnd w:id="183"/>
      <w:bookmarkStart w:id="184" w:name="_Toc181776147"/>
      <w:bookmarkStart w:id="185" w:name="_Toc181760581"/>
      <w:bookmarkStart w:id="186" w:name="_Ref227549269"/>
      <w:bookmarkStart w:id="187" w:name="_Ref227551964"/>
      <w:bookmarkStart w:id="188" w:name="_Ref227549266"/>
      <w:bookmarkStart w:id="189" w:name="_Toc23251027"/>
      <w:bookmarkStart w:id="190" w:name="_Toc212951970"/>
      <w:bookmarkStart w:id="191" w:name="_Toc10869"/>
      <w:bookmarkStart w:id="192" w:name="_Ref227551960"/>
      <w:bookmarkStart w:id="193" w:name="_Toc43267887"/>
      <w:r>
        <w:rPr>
          <w:rFonts w:hint="eastAsia"/>
        </w:rPr>
        <w:t>电气安装</w:t>
      </w:r>
      <w:bookmarkEnd w:id="184"/>
      <w:bookmarkEnd w:id="185"/>
      <w:bookmarkEnd w:id="186"/>
      <w:bookmarkEnd w:id="187"/>
      <w:bookmarkEnd w:id="188"/>
      <w:bookmarkEnd w:id="189"/>
      <w:bookmarkEnd w:id="190"/>
      <w:bookmarkEnd w:id="191"/>
      <w:bookmarkEnd w:id="192"/>
      <w:bookmarkEnd w:id="193"/>
    </w:p>
    <w:p>
      <w:pPr>
        <w:pStyle w:val="3"/>
      </w:pPr>
      <w:r>
        <w:rPr>
          <w:rFonts w:hint="eastAsia"/>
        </w:rPr>
        <w:t>本章主要介绍UPS的电气安装，包括功率电缆布线、信号电缆布线</w:t>
      </w:r>
      <w:bookmarkStart w:id="194" w:name="_Hlt322605958"/>
      <w:bookmarkEnd w:id="194"/>
      <w:r>
        <w:rPr>
          <w:rFonts w:hint="eastAsia"/>
        </w:rPr>
        <w:t>。所有信号电缆（无论屏蔽与否）都应与功率电缆分开走线。</w:t>
      </w:r>
    </w:p>
    <w:tbl>
      <w:tblPr>
        <w:tblStyle w:val="50"/>
        <w:tblW w:w="9378"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9378" w:type="dxa"/>
            <w:vAlign w:val="center"/>
          </w:tcPr>
          <w:p>
            <w:pPr>
              <w:pStyle w:val="72"/>
              <w:spacing w:before="36" w:beforeLines="15" w:line="276" w:lineRule="auto"/>
              <w:jc w:val="both"/>
              <w:rPr>
                <w:rStyle w:val="87"/>
              </w:rPr>
            </w:pPr>
            <w:r>
              <w:rPr>
                <w:rStyle w:val="87"/>
              </w:rPr>
              <w:drawing>
                <wp:inline distT="0" distB="0" distL="0" distR="0">
                  <wp:extent cx="646430" cy="283845"/>
                  <wp:effectExtent l="0" t="0" r="1270" b="1905"/>
                  <wp:docPr id="100" name="图片 100"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6430" cy="283845"/>
                          </a:xfrm>
                          <a:prstGeom prst="rect">
                            <a:avLst/>
                          </a:prstGeom>
                          <a:noFill/>
                          <a:ln>
                            <a:noFill/>
                          </a:ln>
                        </pic:spPr>
                      </pic:pic>
                    </a:graphicData>
                  </a:graphic>
                </wp:inline>
              </w:drawing>
            </w:r>
            <w:r>
              <w:rPr>
                <w:rStyle w:val="87"/>
                <w:rFonts w:hint="eastAsia"/>
              </w:rPr>
              <w:t>警告：要求专业安装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right"/>
        </w:trPr>
        <w:tc>
          <w:tcPr>
            <w:tcW w:w="9378" w:type="dxa"/>
            <w:vAlign w:val="center"/>
          </w:tcPr>
          <w:p>
            <w:pPr>
              <w:pStyle w:val="73"/>
              <w:numPr>
                <w:ilvl w:val="0"/>
                <w:numId w:val="6"/>
              </w:numPr>
            </w:pPr>
            <w:r>
              <w:rPr>
                <w:rFonts w:hint="eastAsia"/>
              </w:rPr>
              <w:t>在授权服务工程师到达之前，请不要给UPS上电。</w:t>
            </w:r>
          </w:p>
          <w:p>
            <w:pPr>
              <w:pStyle w:val="73"/>
              <w:numPr>
                <w:ilvl w:val="0"/>
                <w:numId w:val="6"/>
              </w:numPr>
            </w:pPr>
            <w:r>
              <w:rPr>
                <w:rFonts w:hint="eastAsia"/>
              </w:rPr>
              <w:t>必须由授权工程师严格按照本章说明进行UPS的安装。</w:t>
            </w:r>
          </w:p>
        </w:tc>
      </w:tr>
    </w:tbl>
    <w:p>
      <w:pPr>
        <w:pStyle w:val="4"/>
        <w:numPr>
          <w:ilvl w:val="1"/>
          <w:numId w:val="4"/>
        </w:numPr>
      </w:pPr>
      <w:bookmarkStart w:id="195" w:name="_Hlt227549396"/>
      <w:bookmarkEnd w:id="195"/>
      <w:bookmarkStart w:id="196" w:name="_Hlt227750529"/>
      <w:bookmarkEnd w:id="196"/>
      <w:bookmarkStart w:id="197" w:name="_Hlt227552215"/>
      <w:bookmarkEnd w:id="197"/>
      <w:bookmarkStart w:id="198" w:name="_Hlt229537095"/>
      <w:bookmarkEnd w:id="198"/>
      <w:bookmarkStart w:id="199" w:name="_Hlt227750542"/>
      <w:bookmarkEnd w:id="199"/>
      <w:bookmarkStart w:id="200" w:name="_Hlt227750506"/>
      <w:bookmarkEnd w:id="200"/>
      <w:bookmarkStart w:id="201" w:name="_Hlt229537878"/>
      <w:bookmarkEnd w:id="201"/>
      <w:bookmarkStart w:id="202" w:name="_Toc181760582"/>
      <w:bookmarkStart w:id="203" w:name="_Toc43267888"/>
      <w:bookmarkStart w:id="204" w:name="_Toc43197573"/>
      <w:bookmarkStart w:id="205" w:name="_Toc212951971"/>
      <w:bookmarkStart w:id="206" w:name="_Ref227552198"/>
      <w:bookmarkStart w:id="207" w:name="_Ref227135275"/>
      <w:bookmarkStart w:id="208" w:name="_Ref227552195"/>
      <w:bookmarkStart w:id="209" w:name="_Toc23251028"/>
      <w:bookmarkStart w:id="210" w:name="_Toc181776148"/>
      <w:bookmarkStart w:id="211" w:name="_Toc101847522"/>
      <w:bookmarkStart w:id="212" w:name="_Toc23172"/>
      <w:bookmarkStart w:id="213" w:name="_Ref227135279"/>
      <w:r>
        <w:rPr>
          <w:rFonts w:hint="eastAsia"/>
        </w:rPr>
        <w:t>功率电缆布线</w:t>
      </w:r>
      <w:bookmarkEnd w:id="202"/>
      <w:bookmarkEnd w:id="203"/>
      <w:bookmarkEnd w:id="204"/>
      <w:bookmarkEnd w:id="205"/>
      <w:bookmarkEnd w:id="206"/>
      <w:bookmarkEnd w:id="207"/>
      <w:bookmarkEnd w:id="208"/>
      <w:bookmarkEnd w:id="209"/>
      <w:bookmarkEnd w:id="210"/>
      <w:bookmarkEnd w:id="211"/>
      <w:bookmarkEnd w:id="212"/>
      <w:bookmarkEnd w:id="213"/>
    </w:p>
    <w:p>
      <w:pPr>
        <w:pStyle w:val="5"/>
        <w:numPr>
          <w:ilvl w:val="2"/>
          <w:numId w:val="4"/>
        </w:numPr>
      </w:pPr>
      <w:bookmarkStart w:id="214" w:name="_Hlt133297604"/>
      <w:bookmarkEnd w:id="214"/>
      <w:bookmarkStart w:id="215" w:name="_Toc212951972"/>
      <w:bookmarkStart w:id="216" w:name="_Toc181776149"/>
      <w:bookmarkStart w:id="217" w:name="_Toc43197574"/>
      <w:bookmarkStart w:id="218" w:name="_Toc43267889"/>
      <w:bookmarkStart w:id="219" w:name="_Toc181760583"/>
      <w:bookmarkStart w:id="220" w:name="_Toc25843"/>
      <w:bookmarkStart w:id="221" w:name="_Toc101847523"/>
      <w:bookmarkStart w:id="222" w:name="_Toc23251029"/>
      <w:r>
        <w:rPr>
          <w:rFonts w:hint="eastAsia"/>
        </w:rPr>
        <w:t>系统配置</w:t>
      </w:r>
      <w:bookmarkEnd w:id="215"/>
      <w:bookmarkEnd w:id="216"/>
      <w:bookmarkEnd w:id="217"/>
      <w:bookmarkEnd w:id="218"/>
      <w:bookmarkEnd w:id="219"/>
      <w:bookmarkEnd w:id="220"/>
      <w:bookmarkEnd w:id="221"/>
      <w:bookmarkEnd w:id="222"/>
      <w:bookmarkStart w:id="223" w:name="_Hlt322606324"/>
      <w:bookmarkEnd w:id="223"/>
    </w:p>
    <w:p>
      <w:pPr>
        <w:pStyle w:val="3"/>
      </w:pPr>
      <w:r>
        <w:rPr>
          <w:rFonts w:hint="eastAsia"/>
        </w:rPr>
        <w:t>系统功率电缆的线径应满足以下要</w:t>
      </w:r>
      <w:bookmarkStart w:id="224" w:name="_Hlt322612876"/>
      <w:bookmarkEnd w:id="224"/>
      <w:r>
        <w:rPr>
          <w:rFonts w:hint="eastAsia"/>
        </w:rPr>
        <w:t>求：</w:t>
      </w:r>
    </w:p>
    <w:p>
      <w:pPr>
        <w:pStyle w:val="6"/>
        <w:numPr>
          <w:ilvl w:val="3"/>
          <w:numId w:val="4"/>
        </w:numPr>
        <w:spacing w:before="0"/>
        <w:ind w:left="680"/>
      </w:pPr>
      <w:r>
        <w:rPr>
          <w:rFonts w:hint="eastAsia"/>
        </w:rPr>
        <w:t>UPS输入电缆</w:t>
      </w:r>
    </w:p>
    <w:p>
      <w:pPr>
        <w:pStyle w:val="3"/>
      </w:pPr>
      <w:r>
        <w:rPr>
          <w:rFonts w:hint="eastAsia"/>
        </w:rPr>
        <w:t>UPS的输入电缆的线径由UPS的功率及输入交流电压而定，应满足最大输入电流和最大充电电流的要求，参见表3-1。</w:t>
      </w:r>
    </w:p>
    <w:p>
      <w:pPr>
        <w:pStyle w:val="6"/>
        <w:numPr>
          <w:ilvl w:val="3"/>
          <w:numId w:val="4"/>
        </w:numPr>
        <w:spacing w:before="0"/>
        <w:ind w:left="680"/>
        <w:rPr>
          <w:szCs w:val="22"/>
        </w:rPr>
      </w:pPr>
      <w:r>
        <w:rPr>
          <w:rFonts w:hint="eastAsia"/>
          <w:szCs w:val="22"/>
        </w:rPr>
        <w:t>UPS输出电缆</w:t>
      </w:r>
    </w:p>
    <w:p>
      <w:pPr>
        <w:pStyle w:val="3"/>
      </w:pPr>
      <w:r>
        <w:rPr>
          <w:rFonts w:hint="eastAsia"/>
        </w:rPr>
        <w:t>UPS输出电缆的线径随UPS的功率及输出交流电压不同而不同，应满足标称输出电流的要求，参见表3-1。</w:t>
      </w:r>
    </w:p>
    <w:p>
      <w:pPr>
        <w:pStyle w:val="6"/>
        <w:numPr>
          <w:ilvl w:val="3"/>
          <w:numId w:val="4"/>
        </w:numPr>
        <w:spacing w:before="0"/>
        <w:ind w:left="680"/>
        <w:rPr>
          <w:szCs w:val="22"/>
        </w:rPr>
      </w:pPr>
      <w:r>
        <w:rPr>
          <w:rFonts w:hint="eastAsia"/>
          <w:szCs w:val="22"/>
        </w:rPr>
        <w:t>电池电缆</w:t>
      </w:r>
    </w:p>
    <w:p>
      <w:pPr>
        <w:pStyle w:val="3"/>
      </w:pPr>
      <w:r>
        <w:rPr>
          <w:rFonts w:hint="eastAsia"/>
        </w:rPr>
        <w:t>每个UPS都通过正负极和N线的三根电缆与其电池相连接。电池电缆的线径随UPS的功率不同而不同，都应满足电池接近放电终止电压时的电池放电电流要求，参见表3-1。</w:t>
      </w:r>
    </w:p>
    <w:p>
      <w:pPr>
        <w:pStyle w:val="5"/>
        <w:numPr>
          <w:ilvl w:val="2"/>
          <w:numId w:val="4"/>
        </w:numPr>
      </w:pPr>
      <w:bookmarkStart w:id="225" w:name="_Toc23251030"/>
      <w:bookmarkStart w:id="226" w:name="_Toc21378"/>
      <w:bookmarkStart w:id="227" w:name="_Toc289151219"/>
      <w:bookmarkStart w:id="228" w:name="_Toc267572953"/>
      <w:bookmarkStart w:id="229" w:name="_Toc232477147"/>
      <w:r>
        <w:rPr>
          <w:rFonts w:hint="eastAsia"/>
        </w:rPr>
        <w:t>最大稳态交流和直流电流</w:t>
      </w:r>
      <w:bookmarkEnd w:id="225"/>
      <w:bookmarkEnd w:id="226"/>
      <w:bookmarkEnd w:id="227"/>
      <w:bookmarkEnd w:id="228"/>
      <w:bookmarkEnd w:id="229"/>
    </w:p>
    <w:p>
      <w:pPr>
        <w:pStyle w:val="3"/>
      </w:pPr>
      <w:r>
        <w:rPr>
          <w:rFonts w:hint="eastAsia"/>
        </w:rPr>
        <w:t>功率电缆选取必须符合</w:t>
      </w:r>
      <w:bookmarkStart w:id="230" w:name="_Hlt210101374"/>
      <w:bookmarkStart w:id="231" w:name="_Hlt211928314"/>
      <w:r>
        <w:rPr>
          <w:rFonts w:hint="eastAsia"/>
        </w:rPr>
        <w:t>表3-1</w:t>
      </w:r>
      <w:bookmarkEnd w:id="230"/>
      <w:bookmarkEnd w:id="231"/>
      <w:r>
        <w:rPr>
          <w:rFonts w:hint="eastAsia"/>
        </w:rPr>
        <w:t>中给出的电流和电压值，并参考当地配线法规、具体应用环境（温度和物理支持媒介）和IEC60950-1表格3B中的要求。</w:t>
      </w:r>
    </w:p>
    <w:p>
      <w:pPr>
        <w:pStyle w:val="194"/>
        <w:numPr>
          <w:ilvl w:val="5"/>
          <w:numId w:val="4"/>
        </w:numPr>
        <w:rPr>
          <w:szCs w:val="22"/>
        </w:rPr>
      </w:pPr>
      <w:bookmarkStart w:id="232" w:name="_Ref210098917"/>
      <w:bookmarkEnd w:id="232"/>
      <w:r>
        <w:rPr>
          <w:rFonts w:hint="eastAsia"/>
          <w:szCs w:val="22"/>
          <w:lang w:val="en-GB"/>
        </w:rPr>
        <w:t>最大稳态交流和直流</w:t>
      </w:r>
      <w:r>
        <w:rPr>
          <w:rFonts w:hint="eastAsia"/>
          <w:szCs w:val="22"/>
        </w:rPr>
        <w:t>电流</w:t>
      </w:r>
    </w:p>
    <w:tbl>
      <w:tblPr>
        <w:tblStyle w:val="50"/>
        <w:tblW w:w="9213"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656"/>
        <w:gridCol w:w="615"/>
        <w:gridCol w:w="855"/>
        <w:gridCol w:w="709"/>
        <w:gridCol w:w="709"/>
        <w:gridCol w:w="708"/>
        <w:gridCol w:w="1134"/>
        <w:gridCol w:w="1134"/>
        <w:gridCol w:w="851"/>
        <w:gridCol w:w="991"/>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187" w:hRule="atLeast"/>
          <w:jc w:val="right"/>
        </w:trPr>
        <w:tc>
          <w:tcPr>
            <w:tcW w:w="1271" w:type="dxa"/>
            <w:gridSpan w:val="2"/>
            <w:vMerge w:val="restart"/>
            <w:shd w:val="clear" w:color="auto" w:fill="D9D9D9"/>
            <w:vAlign w:val="center"/>
          </w:tcPr>
          <w:p>
            <w:pPr>
              <w:pStyle w:val="88"/>
              <w:rPr>
                <w:rFonts w:hAnsi="黑体"/>
              </w:rPr>
            </w:pPr>
            <w:bookmarkStart w:id="233" w:name="_Toc101847525"/>
            <w:bookmarkStart w:id="234" w:name="_Toc43267891"/>
            <w:bookmarkStart w:id="235" w:name="_Toc43197576"/>
            <w:r>
              <w:t>UPS</w:t>
            </w:r>
            <w:r>
              <w:rPr>
                <w:rFonts w:hAnsi="黑体"/>
              </w:rPr>
              <w:t>功率</w:t>
            </w:r>
          </w:p>
          <w:p>
            <w:pPr>
              <w:pStyle w:val="88"/>
            </w:pPr>
            <w:r>
              <w:rPr>
                <w:rFonts w:hAnsi="黑体"/>
              </w:rPr>
              <w:t>（</w:t>
            </w:r>
            <w:r>
              <w:rPr>
                <w:rFonts w:hint="eastAsia"/>
              </w:rPr>
              <w:t>kVA</w:t>
            </w:r>
            <w:r>
              <w:rPr>
                <w:rFonts w:hAnsi="黑体"/>
              </w:rPr>
              <w:t>）</w:t>
            </w:r>
          </w:p>
        </w:tc>
        <w:tc>
          <w:tcPr>
            <w:tcW w:w="4115" w:type="dxa"/>
            <w:gridSpan w:val="5"/>
            <w:shd w:val="clear" w:color="auto" w:fill="D9D9D9"/>
            <w:vAlign w:val="center"/>
          </w:tcPr>
          <w:p>
            <w:pPr>
              <w:pStyle w:val="88"/>
            </w:pPr>
            <w:r>
              <w:rPr>
                <w:rFonts w:hint="eastAsia"/>
              </w:rPr>
              <w:t>额定电流（</w:t>
            </w:r>
            <w:r>
              <w:t>A</w:t>
            </w:r>
            <w:r>
              <w:rPr>
                <w:rFonts w:hint="eastAsia"/>
              </w:rPr>
              <w:t>）</w:t>
            </w:r>
          </w:p>
        </w:tc>
        <w:tc>
          <w:tcPr>
            <w:tcW w:w="3827" w:type="dxa"/>
            <w:gridSpan w:val="4"/>
            <w:shd w:val="clear" w:color="auto" w:fill="D9D9D9"/>
            <w:vAlign w:val="center"/>
          </w:tcPr>
          <w:p>
            <w:pPr>
              <w:pStyle w:val="88"/>
            </w:pPr>
            <w:r>
              <w:rPr>
                <w:rFonts w:hint="eastAsia"/>
              </w:rPr>
              <w:t>母线柱头螺栓</w:t>
            </w:r>
            <w:r>
              <w:rPr>
                <w:rFonts w:hint="eastAsia" w:ascii="宋体"/>
              </w:rPr>
              <w:t>/螺母</w:t>
            </w:r>
            <w:r>
              <w:rPr>
                <w:rFonts w:hint="eastAsia"/>
              </w:rPr>
              <w:t>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187" w:hRule="atLeast"/>
          <w:jc w:val="right"/>
        </w:trPr>
        <w:tc>
          <w:tcPr>
            <w:tcW w:w="1271" w:type="dxa"/>
            <w:gridSpan w:val="2"/>
            <w:vMerge w:val="continue"/>
            <w:shd w:val="clear" w:color="auto" w:fill="D9D9D9"/>
            <w:vAlign w:val="center"/>
          </w:tcPr>
          <w:p>
            <w:pPr>
              <w:pStyle w:val="88"/>
            </w:pPr>
          </w:p>
        </w:tc>
        <w:tc>
          <w:tcPr>
            <w:tcW w:w="855" w:type="dxa"/>
            <w:vMerge w:val="restart"/>
            <w:shd w:val="clear" w:color="auto" w:fill="D9D9D9"/>
            <w:vAlign w:val="center"/>
          </w:tcPr>
          <w:p>
            <w:pPr>
              <w:pStyle w:val="88"/>
            </w:pPr>
            <w:r>
              <w:rPr>
                <w:rFonts w:hint="eastAsia"/>
              </w:rPr>
              <w:t>最大输入电流</w:t>
            </w:r>
            <w:r>
              <w:rPr>
                <w:rFonts w:hint="eastAsia"/>
                <w:vertAlign w:val="superscript"/>
              </w:rPr>
              <w:t>1</w:t>
            </w:r>
          </w:p>
        </w:tc>
        <w:tc>
          <w:tcPr>
            <w:tcW w:w="2126" w:type="dxa"/>
            <w:gridSpan w:val="3"/>
            <w:tcBorders>
              <w:bottom w:val="single" w:color="auto" w:sz="4" w:space="0"/>
            </w:tcBorders>
            <w:shd w:val="clear" w:color="auto" w:fill="D9D9D9"/>
            <w:vAlign w:val="center"/>
          </w:tcPr>
          <w:p>
            <w:pPr>
              <w:pStyle w:val="88"/>
            </w:pPr>
            <w:r>
              <w:rPr>
                <w:rFonts w:hint="eastAsia"/>
              </w:rPr>
              <w:t>满载时输出电流</w:t>
            </w:r>
            <w:r>
              <w:rPr>
                <w:rFonts w:hint="eastAsia"/>
                <w:vertAlign w:val="superscript"/>
              </w:rPr>
              <w:t>2</w:t>
            </w:r>
          </w:p>
        </w:tc>
        <w:tc>
          <w:tcPr>
            <w:tcW w:w="1134" w:type="dxa"/>
            <w:vMerge w:val="restart"/>
            <w:tcBorders>
              <w:bottom w:val="single" w:color="auto" w:sz="4" w:space="0"/>
            </w:tcBorders>
            <w:shd w:val="clear" w:color="auto" w:fill="D9D9D9"/>
            <w:vAlign w:val="center"/>
          </w:tcPr>
          <w:p>
            <w:pPr>
              <w:pStyle w:val="88"/>
              <w:rPr>
                <w:vertAlign w:val="superscript"/>
              </w:rPr>
            </w:pPr>
            <w:r>
              <w:rPr>
                <w:rFonts w:hint="eastAsia"/>
              </w:rPr>
              <w:t>最低电池电压时的正/负/中线电池放电电流</w:t>
            </w:r>
            <w:r>
              <w:rPr>
                <w:vertAlign w:val="superscript"/>
              </w:rPr>
              <w:t>3</w:t>
            </w:r>
          </w:p>
        </w:tc>
        <w:tc>
          <w:tcPr>
            <w:tcW w:w="1134" w:type="dxa"/>
            <w:vMerge w:val="restart"/>
            <w:shd w:val="clear" w:color="auto" w:fill="D9D9D9"/>
            <w:vAlign w:val="center"/>
          </w:tcPr>
          <w:p>
            <w:pPr>
              <w:pStyle w:val="88"/>
            </w:pPr>
            <w:r>
              <w:rPr>
                <w:rFonts w:hint="eastAsia"/>
              </w:rPr>
              <w:t>输入/输出/电池</w:t>
            </w:r>
          </w:p>
          <w:p>
            <w:pPr>
              <w:pStyle w:val="88"/>
            </w:pPr>
            <w:r>
              <w:rPr>
                <w:rFonts w:hint="eastAsia"/>
              </w:rPr>
              <w:t>/旁路线缆</w:t>
            </w:r>
          </w:p>
        </w:tc>
        <w:tc>
          <w:tcPr>
            <w:tcW w:w="851" w:type="dxa"/>
            <w:vMerge w:val="restart"/>
            <w:shd w:val="clear" w:color="auto" w:fill="D9D9D9"/>
            <w:tcMar>
              <w:top w:w="0" w:type="dxa"/>
              <w:left w:w="57" w:type="dxa"/>
              <w:bottom w:w="0" w:type="dxa"/>
              <w:right w:w="57" w:type="dxa"/>
            </w:tcMar>
            <w:vAlign w:val="center"/>
          </w:tcPr>
          <w:p>
            <w:pPr>
              <w:pStyle w:val="88"/>
            </w:pPr>
            <w:r>
              <w:rPr>
                <w:rFonts w:hint="eastAsia"/>
              </w:rPr>
              <w:t>推荐力矩</w:t>
            </w:r>
          </w:p>
          <w:p>
            <w:pPr>
              <w:pStyle w:val="88"/>
            </w:pPr>
            <w:r>
              <w:t>（N</w:t>
            </w:r>
            <w:r>
              <w:rPr>
                <w:rFonts w:hint="eastAsia"/>
              </w:rPr>
              <w:t>.</w:t>
            </w:r>
            <w:r>
              <w:t>m）</w:t>
            </w:r>
          </w:p>
        </w:tc>
        <w:tc>
          <w:tcPr>
            <w:tcW w:w="991" w:type="dxa"/>
            <w:vMerge w:val="restart"/>
            <w:shd w:val="clear" w:color="auto" w:fill="D9D9D9"/>
            <w:vAlign w:val="center"/>
          </w:tcPr>
          <w:p>
            <w:pPr>
              <w:pStyle w:val="88"/>
            </w:pPr>
            <w:r>
              <w:rPr>
                <w:rFonts w:hint="eastAsia"/>
              </w:rPr>
              <w:t>PE电缆</w:t>
            </w:r>
          </w:p>
        </w:tc>
        <w:tc>
          <w:tcPr>
            <w:tcW w:w="851" w:type="dxa"/>
            <w:vMerge w:val="restart"/>
            <w:shd w:val="clear" w:color="auto" w:fill="D9D9D9"/>
            <w:vAlign w:val="center"/>
          </w:tcPr>
          <w:p>
            <w:pPr>
              <w:pStyle w:val="88"/>
            </w:pPr>
            <w:r>
              <w:rPr>
                <w:rFonts w:hint="eastAsia"/>
              </w:rPr>
              <w:t>推荐力矩</w:t>
            </w:r>
          </w:p>
          <w:p>
            <w:pPr>
              <w:pStyle w:val="88"/>
            </w:pPr>
            <w:r>
              <w:rPr>
                <w:rFonts w:hint="eastAsia"/>
              </w:rPr>
              <w:t>（Nm）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187" w:hRule="atLeast"/>
          <w:jc w:val="right"/>
        </w:trPr>
        <w:tc>
          <w:tcPr>
            <w:tcW w:w="1271" w:type="dxa"/>
            <w:gridSpan w:val="2"/>
            <w:vMerge w:val="continue"/>
            <w:shd w:val="clear" w:color="auto" w:fill="auto"/>
            <w:vAlign w:val="center"/>
          </w:tcPr>
          <w:p>
            <w:pPr>
              <w:pStyle w:val="88"/>
              <w:rPr>
                <w:rFonts w:ascii="宋体"/>
                <w:sz w:val="24"/>
              </w:rPr>
            </w:pPr>
          </w:p>
        </w:tc>
        <w:tc>
          <w:tcPr>
            <w:tcW w:w="855" w:type="dxa"/>
            <w:vMerge w:val="continue"/>
            <w:shd w:val="clear" w:color="auto" w:fill="D9D9D9"/>
            <w:vAlign w:val="center"/>
          </w:tcPr>
          <w:p>
            <w:pPr>
              <w:pStyle w:val="88"/>
              <w:jc w:val="both"/>
            </w:pPr>
          </w:p>
        </w:tc>
        <w:tc>
          <w:tcPr>
            <w:tcW w:w="709" w:type="dxa"/>
            <w:shd w:val="clear" w:color="auto" w:fill="D9D9D9"/>
            <w:vAlign w:val="center"/>
          </w:tcPr>
          <w:p>
            <w:pPr>
              <w:pStyle w:val="88"/>
            </w:pPr>
            <w:r>
              <w:rPr>
                <w:rFonts w:hint="eastAsia"/>
              </w:rPr>
              <w:t>380V</w:t>
            </w:r>
          </w:p>
        </w:tc>
        <w:tc>
          <w:tcPr>
            <w:tcW w:w="709" w:type="dxa"/>
            <w:shd w:val="clear" w:color="auto" w:fill="D9D9D9"/>
            <w:vAlign w:val="center"/>
          </w:tcPr>
          <w:p>
            <w:pPr>
              <w:pStyle w:val="88"/>
            </w:pPr>
            <w:r>
              <w:rPr>
                <w:rFonts w:hint="eastAsia"/>
              </w:rPr>
              <w:t>400V</w:t>
            </w:r>
          </w:p>
        </w:tc>
        <w:tc>
          <w:tcPr>
            <w:tcW w:w="708" w:type="dxa"/>
            <w:shd w:val="clear" w:color="auto" w:fill="D9D9D9"/>
            <w:vAlign w:val="center"/>
          </w:tcPr>
          <w:p>
            <w:pPr>
              <w:pStyle w:val="88"/>
            </w:pPr>
            <w:r>
              <w:rPr>
                <w:rFonts w:hint="eastAsia"/>
              </w:rPr>
              <w:t>415V</w:t>
            </w:r>
          </w:p>
        </w:tc>
        <w:tc>
          <w:tcPr>
            <w:tcW w:w="1134" w:type="dxa"/>
            <w:vMerge w:val="continue"/>
            <w:vAlign w:val="center"/>
          </w:tcPr>
          <w:p>
            <w:pPr>
              <w:pStyle w:val="88"/>
            </w:pPr>
          </w:p>
        </w:tc>
        <w:tc>
          <w:tcPr>
            <w:tcW w:w="1134" w:type="dxa"/>
            <w:vMerge w:val="continue"/>
            <w:vAlign w:val="center"/>
          </w:tcPr>
          <w:p>
            <w:pPr>
              <w:pStyle w:val="88"/>
              <w:rPr>
                <w:rFonts w:ascii="宋体"/>
                <w:sz w:val="24"/>
              </w:rPr>
            </w:pPr>
          </w:p>
        </w:tc>
        <w:tc>
          <w:tcPr>
            <w:tcW w:w="851" w:type="dxa"/>
            <w:vMerge w:val="continue"/>
            <w:tcMar>
              <w:top w:w="0" w:type="dxa"/>
              <w:left w:w="57" w:type="dxa"/>
              <w:bottom w:w="0" w:type="dxa"/>
              <w:right w:w="57" w:type="dxa"/>
            </w:tcMar>
            <w:vAlign w:val="center"/>
          </w:tcPr>
          <w:p>
            <w:pPr>
              <w:pStyle w:val="88"/>
              <w:rPr>
                <w:rFonts w:ascii="宋体"/>
                <w:sz w:val="24"/>
              </w:rPr>
            </w:pPr>
          </w:p>
        </w:tc>
        <w:tc>
          <w:tcPr>
            <w:tcW w:w="991" w:type="dxa"/>
            <w:vMerge w:val="continue"/>
            <w:vAlign w:val="center"/>
          </w:tcPr>
          <w:p>
            <w:pPr>
              <w:pStyle w:val="88"/>
              <w:rPr>
                <w:rFonts w:ascii="宋体"/>
                <w:sz w:val="24"/>
              </w:rPr>
            </w:pPr>
          </w:p>
        </w:tc>
        <w:tc>
          <w:tcPr>
            <w:tcW w:w="851" w:type="dxa"/>
            <w:vMerge w:val="continue"/>
            <w:vAlign w:val="center"/>
          </w:tcPr>
          <w:p>
            <w:pPr>
              <w:pStyle w:val="88"/>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79" w:hRule="atLeast"/>
          <w:jc w:val="right"/>
        </w:trPr>
        <w:tc>
          <w:tcPr>
            <w:tcW w:w="656" w:type="dxa"/>
            <w:vAlign w:val="center"/>
          </w:tcPr>
          <w:p>
            <w:pPr>
              <w:pStyle w:val="72"/>
              <w:rPr>
                <w:rFonts w:ascii="Calibri" w:hAnsi="Calibri" w:cs="Calibri"/>
                <w:color w:val="000000"/>
                <w:szCs w:val="16"/>
              </w:rPr>
            </w:pPr>
            <w:r>
              <w:rPr>
                <w:rFonts w:hint="eastAsia" w:ascii="Calibri" w:hAnsi="Calibri" w:cs="Calibri"/>
                <w:color w:val="000000"/>
                <w:szCs w:val="16"/>
              </w:rPr>
              <w:t>1</w:t>
            </w:r>
            <w:r>
              <w:rPr>
                <w:rFonts w:ascii="Calibri" w:hAnsi="Calibri" w:cs="Calibri"/>
                <w:color w:val="000000"/>
                <w:szCs w:val="16"/>
              </w:rPr>
              <w:t>80</w:t>
            </w:r>
          </w:p>
        </w:tc>
        <w:tc>
          <w:tcPr>
            <w:tcW w:w="615" w:type="dxa"/>
            <w:vAlign w:val="center"/>
          </w:tcPr>
          <w:p>
            <w:pPr>
              <w:pStyle w:val="72"/>
              <w:rPr>
                <w:rFonts w:ascii="Calibri" w:hAnsi="Calibri" w:cs="Calibri"/>
                <w:color w:val="000000"/>
                <w:szCs w:val="16"/>
              </w:rPr>
            </w:pPr>
            <w:r>
              <w:rPr>
                <w:rFonts w:ascii="Calibri" w:hAnsi="Calibri" w:cs="Calibri"/>
                <w:color w:val="000000"/>
                <w:szCs w:val="16"/>
              </w:rPr>
              <w:t>5</w:t>
            </w:r>
            <w:r>
              <w:rPr>
                <w:rFonts w:hint="eastAsia" w:ascii="Calibri" w:hAnsi="Calibri" w:cs="Calibri"/>
                <w:color w:val="000000"/>
                <w:szCs w:val="16"/>
              </w:rPr>
              <w:t>模块</w:t>
            </w:r>
            <w:r>
              <w:rPr>
                <w:rFonts w:ascii="Calibri" w:hAnsi="Calibri" w:cs="Calibri"/>
                <w:color w:val="000000"/>
                <w:szCs w:val="16"/>
              </w:rPr>
              <w:t>系统</w:t>
            </w:r>
          </w:p>
        </w:tc>
        <w:tc>
          <w:tcPr>
            <w:tcW w:w="855" w:type="dxa"/>
            <w:vAlign w:val="center"/>
          </w:tcPr>
          <w:p>
            <w:pPr>
              <w:keepNext w:val="0"/>
              <w:keepLines w:val="0"/>
              <w:widowControl/>
              <w:suppressLineNumbers w:val="0"/>
              <w:jc w:val="center"/>
              <w:textAlignment w:val="center"/>
              <w:rPr>
                <w:rFonts w:ascii="Calibri" w:hAnsi="Calibri" w:cs="Calibri"/>
                <w:color w:val="000000"/>
                <w:szCs w:val="16"/>
              </w:rPr>
            </w:pPr>
            <w:r>
              <w:rPr>
                <w:rFonts w:hint="default" w:ascii="Arial" w:hAnsi="Arial" w:eastAsia="宋体" w:cs="Arial"/>
                <w:i w:val="0"/>
                <w:iCs w:val="0"/>
                <w:color w:val="000000"/>
                <w:kern w:val="0"/>
                <w:sz w:val="16"/>
                <w:szCs w:val="16"/>
                <w:u w:val="none"/>
                <w:lang w:val="en-US" w:eastAsia="zh-CN" w:bidi="ar"/>
              </w:rPr>
              <w:t xml:space="preserve">359 </w:t>
            </w:r>
          </w:p>
        </w:tc>
        <w:tc>
          <w:tcPr>
            <w:tcW w:w="709" w:type="dxa"/>
            <w:vAlign w:val="center"/>
          </w:tcPr>
          <w:p>
            <w:pPr>
              <w:keepNext w:val="0"/>
              <w:keepLines w:val="0"/>
              <w:widowControl/>
              <w:suppressLineNumbers w:val="0"/>
              <w:jc w:val="center"/>
              <w:textAlignment w:val="center"/>
              <w:rPr>
                <w:rFonts w:ascii="Calibri" w:hAnsi="Calibri" w:cs="Calibri"/>
                <w:color w:val="000000"/>
                <w:szCs w:val="16"/>
              </w:rPr>
            </w:pPr>
            <w:r>
              <w:rPr>
                <w:rFonts w:hint="default" w:ascii="Calibri" w:hAnsi="Calibri" w:eastAsia="宋体" w:cs="Calibri"/>
                <w:i w:val="0"/>
                <w:iCs w:val="0"/>
                <w:color w:val="000000"/>
                <w:kern w:val="0"/>
                <w:sz w:val="16"/>
                <w:szCs w:val="16"/>
                <w:u w:val="none"/>
                <w:lang w:val="en-US" w:eastAsia="zh-CN" w:bidi="ar"/>
              </w:rPr>
              <w:t xml:space="preserve">273 </w:t>
            </w:r>
          </w:p>
        </w:tc>
        <w:tc>
          <w:tcPr>
            <w:tcW w:w="709" w:type="dxa"/>
            <w:vAlign w:val="center"/>
          </w:tcPr>
          <w:p>
            <w:pPr>
              <w:keepNext w:val="0"/>
              <w:keepLines w:val="0"/>
              <w:widowControl/>
              <w:suppressLineNumbers w:val="0"/>
              <w:jc w:val="center"/>
              <w:textAlignment w:val="center"/>
              <w:rPr>
                <w:rFonts w:ascii="Calibri" w:hAnsi="Calibri" w:cs="Calibri"/>
                <w:color w:val="000000"/>
                <w:szCs w:val="16"/>
              </w:rPr>
            </w:pPr>
            <w:r>
              <w:rPr>
                <w:rFonts w:hint="default" w:ascii="Arial" w:hAnsi="Arial" w:eastAsia="宋体" w:cs="Arial"/>
                <w:i w:val="0"/>
                <w:iCs w:val="0"/>
                <w:color w:val="000000"/>
                <w:kern w:val="0"/>
                <w:sz w:val="16"/>
                <w:szCs w:val="16"/>
                <w:u w:val="none"/>
                <w:lang w:val="en-US" w:eastAsia="zh-CN" w:bidi="ar"/>
              </w:rPr>
              <w:t xml:space="preserve">260 </w:t>
            </w:r>
          </w:p>
        </w:tc>
        <w:tc>
          <w:tcPr>
            <w:tcW w:w="708" w:type="dxa"/>
            <w:vAlign w:val="center"/>
          </w:tcPr>
          <w:p>
            <w:pPr>
              <w:keepNext w:val="0"/>
              <w:keepLines w:val="0"/>
              <w:widowControl/>
              <w:suppressLineNumbers w:val="0"/>
              <w:jc w:val="center"/>
              <w:textAlignment w:val="center"/>
              <w:rPr>
                <w:rFonts w:ascii="Calibri" w:hAnsi="Calibri" w:cs="Calibri"/>
                <w:color w:val="000000"/>
                <w:szCs w:val="16"/>
              </w:rPr>
            </w:pPr>
            <w:r>
              <w:rPr>
                <w:rFonts w:hint="default" w:ascii="Calibri" w:hAnsi="Calibri" w:eastAsia="宋体" w:cs="Calibri"/>
                <w:i w:val="0"/>
                <w:iCs w:val="0"/>
                <w:color w:val="000000"/>
                <w:kern w:val="0"/>
                <w:sz w:val="16"/>
                <w:szCs w:val="16"/>
                <w:u w:val="none"/>
                <w:lang w:val="en-US" w:eastAsia="zh-CN" w:bidi="ar"/>
              </w:rPr>
              <w:t xml:space="preserve">250 </w:t>
            </w:r>
          </w:p>
        </w:tc>
        <w:tc>
          <w:tcPr>
            <w:tcW w:w="1134" w:type="dxa"/>
            <w:vAlign w:val="center"/>
          </w:tcPr>
          <w:p>
            <w:pPr>
              <w:pStyle w:val="72"/>
              <w:rPr>
                <w:rFonts w:ascii="Calibri" w:hAnsi="Calibri" w:cs="Calibri"/>
                <w:color w:val="000000"/>
                <w:szCs w:val="16"/>
              </w:rPr>
            </w:pPr>
            <w:r>
              <w:rPr>
                <w:rFonts w:ascii="Calibri" w:hAnsi="Calibri" w:cs="Calibri"/>
                <w:color w:val="000000"/>
                <w:szCs w:val="16"/>
              </w:rPr>
              <w:t xml:space="preserve">464 </w:t>
            </w:r>
          </w:p>
        </w:tc>
        <w:tc>
          <w:tcPr>
            <w:tcW w:w="1134" w:type="dxa"/>
            <w:vAlign w:val="center"/>
          </w:tcPr>
          <w:p>
            <w:pPr>
              <w:pStyle w:val="72"/>
            </w:pPr>
            <w:r>
              <w:rPr>
                <w:rFonts w:ascii="Calibri" w:hAnsi="Calibri" w:cs="Calibri"/>
                <w:color w:val="000000"/>
                <w:szCs w:val="16"/>
              </w:rPr>
              <w:t>M1</w:t>
            </w:r>
            <w:r>
              <w:rPr>
                <w:rFonts w:hint="eastAsia" w:ascii="Calibri" w:hAnsi="Calibri" w:cs="Calibri"/>
                <w:color w:val="000000"/>
                <w:szCs w:val="16"/>
              </w:rPr>
              <w:t>0</w:t>
            </w:r>
          </w:p>
        </w:tc>
        <w:tc>
          <w:tcPr>
            <w:tcW w:w="851" w:type="dxa"/>
            <w:tcMar>
              <w:top w:w="0" w:type="dxa"/>
              <w:left w:w="57" w:type="dxa"/>
              <w:bottom w:w="0" w:type="dxa"/>
              <w:right w:w="57" w:type="dxa"/>
            </w:tcMar>
            <w:vAlign w:val="center"/>
          </w:tcPr>
          <w:p>
            <w:pPr>
              <w:pStyle w:val="72"/>
            </w:pPr>
            <w:r>
              <w:rPr>
                <w:rFonts w:ascii="Calibri" w:hAnsi="Calibri" w:cs="Calibri"/>
                <w:color w:val="000000"/>
                <w:szCs w:val="16"/>
              </w:rPr>
              <w:t>24</w:t>
            </w:r>
          </w:p>
        </w:tc>
        <w:tc>
          <w:tcPr>
            <w:tcW w:w="991" w:type="dxa"/>
            <w:vAlign w:val="center"/>
          </w:tcPr>
          <w:p>
            <w:pPr>
              <w:pStyle w:val="72"/>
            </w:pPr>
            <w:r>
              <w:rPr>
                <w:rFonts w:ascii="Calibri" w:hAnsi="Calibri" w:cs="Calibri"/>
                <w:color w:val="000000"/>
                <w:szCs w:val="16"/>
              </w:rPr>
              <w:t>M10</w:t>
            </w:r>
          </w:p>
        </w:tc>
        <w:tc>
          <w:tcPr>
            <w:tcW w:w="851" w:type="dxa"/>
            <w:vAlign w:val="center"/>
          </w:tcPr>
          <w:p>
            <w:pPr>
              <w:pStyle w:val="72"/>
            </w:pPr>
            <w:r>
              <w:rPr>
                <w:rFonts w:ascii="Calibri" w:hAnsi="Calibri" w:cs="Calibri"/>
                <w:color w:val="000000"/>
                <w:szCs w:val="16"/>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79" w:hRule="atLeast"/>
          <w:jc w:val="right"/>
        </w:trPr>
        <w:tc>
          <w:tcPr>
            <w:tcW w:w="656" w:type="dxa"/>
            <w:vAlign w:val="center"/>
          </w:tcPr>
          <w:p>
            <w:pPr>
              <w:pStyle w:val="72"/>
            </w:pPr>
            <w:r>
              <w:rPr>
                <w:rFonts w:ascii="Calibri" w:hAnsi="Calibri" w:cs="Calibri"/>
                <w:color w:val="000000"/>
                <w:szCs w:val="16"/>
              </w:rPr>
              <w:t>240</w:t>
            </w:r>
          </w:p>
        </w:tc>
        <w:tc>
          <w:tcPr>
            <w:tcW w:w="615" w:type="dxa"/>
            <w:vMerge w:val="restart"/>
            <w:vAlign w:val="center"/>
          </w:tcPr>
          <w:p>
            <w:pPr>
              <w:pStyle w:val="72"/>
            </w:pPr>
            <w:r>
              <w:rPr>
                <w:rFonts w:ascii="Calibri" w:hAnsi="Calibri" w:cs="Calibri"/>
                <w:color w:val="000000"/>
                <w:szCs w:val="16"/>
              </w:rPr>
              <w:t>7</w:t>
            </w:r>
            <w:r>
              <w:rPr>
                <w:rFonts w:hint="eastAsia" w:ascii="Calibri" w:hAnsi="Calibri" w:cs="Calibri"/>
                <w:color w:val="000000"/>
                <w:szCs w:val="16"/>
              </w:rPr>
              <w:t>模块系统</w:t>
            </w:r>
          </w:p>
        </w:tc>
        <w:tc>
          <w:tcPr>
            <w:tcW w:w="855" w:type="dxa"/>
            <w:vAlign w:val="center"/>
          </w:tcPr>
          <w:p>
            <w:pPr>
              <w:keepNext w:val="0"/>
              <w:keepLines w:val="0"/>
              <w:widowControl/>
              <w:suppressLineNumbers w:val="0"/>
              <w:jc w:val="center"/>
              <w:textAlignment w:val="center"/>
              <w:rPr>
                <w:rFonts w:hint="eastAsia"/>
              </w:rPr>
            </w:pPr>
            <w:r>
              <w:rPr>
                <w:rFonts w:hint="default" w:ascii="Arial" w:hAnsi="Arial" w:eastAsia="宋体" w:cs="Arial"/>
                <w:i w:val="0"/>
                <w:iCs w:val="0"/>
                <w:color w:val="000000"/>
                <w:kern w:val="0"/>
                <w:sz w:val="16"/>
                <w:szCs w:val="16"/>
                <w:u w:val="none"/>
                <w:lang w:val="en-US" w:eastAsia="zh-CN" w:bidi="ar"/>
              </w:rPr>
              <w:t xml:space="preserve">478 </w:t>
            </w:r>
          </w:p>
        </w:tc>
        <w:tc>
          <w:tcPr>
            <w:tcW w:w="709" w:type="dxa"/>
            <w:vAlign w:val="center"/>
          </w:tcPr>
          <w:p>
            <w:pPr>
              <w:keepNext w:val="0"/>
              <w:keepLines w:val="0"/>
              <w:widowControl/>
              <w:suppressLineNumbers w:val="0"/>
              <w:jc w:val="center"/>
              <w:textAlignment w:val="center"/>
            </w:pPr>
            <w:r>
              <w:rPr>
                <w:rFonts w:hint="default" w:ascii="Calibri" w:hAnsi="Calibri" w:eastAsia="宋体" w:cs="Calibri"/>
                <w:i w:val="0"/>
                <w:iCs w:val="0"/>
                <w:color w:val="000000"/>
                <w:kern w:val="0"/>
                <w:sz w:val="16"/>
                <w:szCs w:val="16"/>
                <w:u w:val="none"/>
                <w:lang w:val="en-US" w:eastAsia="zh-CN" w:bidi="ar"/>
              </w:rPr>
              <w:t xml:space="preserve">365 </w:t>
            </w:r>
          </w:p>
        </w:tc>
        <w:tc>
          <w:tcPr>
            <w:tcW w:w="709" w:type="dxa"/>
            <w:vAlign w:val="center"/>
          </w:tcPr>
          <w:p>
            <w:pPr>
              <w:keepNext w:val="0"/>
              <w:keepLines w:val="0"/>
              <w:widowControl/>
              <w:suppressLineNumbers w:val="0"/>
              <w:jc w:val="center"/>
              <w:textAlignment w:val="center"/>
            </w:pPr>
            <w:r>
              <w:rPr>
                <w:rFonts w:hint="default" w:ascii="Arial" w:hAnsi="Arial" w:eastAsia="宋体" w:cs="Arial"/>
                <w:i w:val="0"/>
                <w:iCs w:val="0"/>
                <w:color w:val="000000"/>
                <w:kern w:val="0"/>
                <w:sz w:val="16"/>
                <w:szCs w:val="16"/>
                <w:u w:val="none"/>
                <w:lang w:val="en-US" w:eastAsia="zh-CN" w:bidi="ar"/>
              </w:rPr>
              <w:t xml:space="preserve">346 </w:t>
            </w:r>
          </w:p>
        </w:tc>
        <w:tc>
          <w:tcPr>
            <w:tcW w:w="708" w:type="dxa"/>
            <w:vAlign w:val="center"/>
          </w:tcPr>
          <w:p>
            <w:pPr>
              <w:keepNext w:val="0"/>
              <w:keepLines w:val="0"/>
              <w:widowControl/>
              <w:suppressLineNumbers w:val="0"/>
              <w:jc w:val="center"/>
              <w:textAlignment w:val="center"/>
            </w:pPr>
            <w:r>
              <w:rPr>
                <w:rFonts w:hint="default" w:ascii="Calibri" w:hAnsi="Calibri" w:eastAsia="宋体" w:cs="Calibri"/>
                <w:i w:val="0"/>
                <w:iCs w:val="0"/>
                <w:color w:val="000000"/>
                <w:kern w:val="0"/>
                <w:sz w:val="16"/>
                <w:szCs w:val="16"/>
                <w:u w:val="none"/>
                <w:lang w:val="en-US" w:eastAsia="zh-CN" w:bidi="ar"/>
              </w:rPr>
              <w:t xml:space="preserve">334 </w:t>
            </w:r>
          </w:p>
        </w:tc>
        <w:tc>
          <w:tcPr>
            <w:tcW w:w="1134" w:type="dxa"/>
            <w:vAlign w:val="center"/>
          </w:tcPr>
          <w:p>
            <w:pPr>
              <w:pStyle w:val="72"/>
            </w:pPr>
            <w:r>
              <w:rPr>
                <w:rFonts w:ascii="Calibri" w:hAnsi="Calibri" w:cs="Calibri"/>
                <w:color w:val="000000"/>
                <w:szCs w:val="16"/>
              </w:rPr>
              <w:t>619</w:t>
            </w:r>
          </w:p>
        </w:tc>
        <w:tc>
          <w:tcPr>
            <w:tcW w:w="1134" w:type="dxa"/>
            <w:vAlign w:val="center"/>
          </w:tcPr>
          <w:p>
            <w:pPr>
              <w:pStyle w:val="72"/>
            </w:pPr>
            <w:r>
              <w:rPr>
                <w:rFonts w:ascii="Calibri" w:hAnsi="Calibri" w:cs="Calibri"/>
                <w:color w:val="000000"/>
                <w:szCs w:val="16"/>
              </w:rPr>
              <w:t>M1</w:t>
            </w:r>
            <w:r>
              <w:rPr>
                <w:rFonts w:hint="eastAsia" w:ascii="Calibri" w:hAnsi="Calibri" w:cs="Calibri"/>
                <w:color w:val="000000"/>
                <w:szCs w:val="16"/>
              </w:rPr>
              <w:t>0</w:t>
            </w:r>
          </w:p>
        </w:tc>
        <w:tc>
          <w:tcPr>
            <w:tcW w:w="851" w:type="dxa"/>
            <w:tcMar>
              <w:top w:w="0" w:type="dxa"/>
              <w:left w:w="57" w:type="dxa"/>
              <w:bottom w:w="0" w:type="dxa"/>
              <w:right w:w="57" w:type="dxa"/>
            </w:tcMar>
            <w:vAlign w:val="center"/>
          </w:tcPr>
          <w:p>
            <w:pPr>
              <w:pStyle w:val="72"/>
            </w:pPr>
            <w:r>
              <w:rPr>
                <w:rFonts w:ascii="Calibri" w:hAnsi="Calibri" w:cs="Calibri"/>
                <w:color w:val="000000"/>
                <w:szCs w:val="16"/>
              </w:rPr>
              <w:t>24</w:t>
            </w:r>
          </w:p>
        </w:tc>
        <w:tc>
          <w:tcPr>
            <w:tcW w:w="991" w:type="dxa"/>
            <w:vAlign w:val="center"/>
          </w:tcPr>
          <w:p>
            <w:pPr>
              <w:pStyle w:val="72"/>
            </w:pPr>
            <w:r>
              <w:rPr>
                <w:rFonts w:ascii="Calibri" w:hAnsi="Calibri" w:cs="Calibri"/>
                <w:color w:val="000000"/>
                <w:szCs w:val="16"/>
              </w:rPr>
              <w:t>M10</w:t>
            </w:r>
          </w:p>
        </w:tc>
        <w:tc>
          <w:tcPr>
            <w:tcW w:w="851" w:type="dxa"/>
            <w:vAlign w:val="center"/>
          </w:tcPr>
          <w:p>
            <w:pPr>
              <w:pStyle w:val="72"/>
            </w:pPr>
            <w:r>
              <w:rPr>
                <w:rFonts w:ascii="Calibri" w:hAnsi="Calibri" w:cs="Calibri"/>
                <w:color w:val="000000"/>
                <w:szCs w:val="16"/>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79" w:hRule="atLeast"/>
          <w:jc w:val="right"/>
        </w:trPr>
        <w:tc>
          <w:tcPr>
            <w:tcW w:w="656" w:type="dxa"/>
            <w:vAlign w:val="center"/>
          </w:tcPr>
          <w:p>
            <w:pPr>
              <w:pStyle w:val="72"/>
            </w:pPr>
            <w:r>
              <w:rPr>
                <w:rFonts w:ascii="Calibri" w:hAnsi="Calibri" w:cs="Calibri"/>
                <w:color w:val="000000"/>
                <w:szCs w:val="16"/>
              </w:rPr>
              <w:t>300</w:t>
            </w:r>
          </w:p>
        </w:tc>
        <w:tc>
          <w:tcPr>
            <w:tcW w:w="615" w:type="dxa"/>
            <w:vMerge w:val="continue"/>
            <w:vAlign w:val="center"/>
          </w:tcPr>
          <w:p>
            <w:pPr>
              <w:pStyle w:val="72"/>
            </w:pPr>
          </w:p>
        </w:tc>
        <w:tc>
          <w:tcPr>
            <w:tcW w:w="855" w:type="dxa"/>
            <w:vAlign w:val="center"/>
          </w:tcPr>
          <w:p>
            <w:pPr>
              <w:keepNext w:val="0"/>
              <w:keepLines w:val="0"/>
              <w:widowControl/>
              <w:suppressLineNumbers w:val="0"/>
              <w:jc w:val="center"/>
              <w:textAlignment w:val="center"/>
            </w:pPr>
            <w:r>
              <w:rPr>
                <w:rFonts w:hint="default" w:ascii="Arial" w:hAnsi="Arial" w:eastAsia="宋体" w:cs="Arial"/>
                <w:i w:val="0"/>
                <w:iCs w:val="0"/>
                <w:color w:val="000000"/>
                <w:kern w:val="0"/>
                <w:sz w:val="16"/>
                <w:szCs w:val="16"/>
                <w:u w:val="none"/>
                <w:lang w:val="en-US" w:eastAsia="zh-CN" w:bidi="ar"/>
              </w:rPr>
              <w:t xml:space="preserve">598 </w:t>
            </w:r>
          </w:p>
        </w:tc>
        <w:tc>
          <w:tcPr>
            <w:tcW w:w="709" w:type="dxa"/>
            <w:vAlign w:val="center"/>
          </w:tcPr>
          <w:p>
            <w:pPr>
              <w:keepNext w:val="0"/>
              <w:keepLines w:val="0"/>
              <w:widowControl/>
              <w:suppressLineNumbers w:val="0"/>
              <w:jc w:val="center"/>
              <w:textAlignment w:val="center"/>
            </w:pPr>
            <w:r>
              <w:rPr>
                <w:rFonts w:hint="default" w:ascii="Calibri" w:hAnsi="Calibri" w:eastAsia="宋体" w:cs="Calibri"/>
                <w:i w:val="0"/>
                <w:iCs w:val="0"/>
                <w:color w:val="000000"/>
                <w:kern w:val="0"/>
                <w:sz w:val="16"/>
                <w:szCs w:val="16"/>
                <w:u w:val="none"/>
                <w:lang w:val="en-US" w:eastAsia="zh-CN" w:bidi="ar"/>
              </w:rPr>
              <w:t xml:space="preserve">456 </w:t>
            </w:r>
          </w:p>
        </w:tc>
        <w:tc>
          <w:tcPr>
            <w:tcW w:w="709" w:type="dxa"/>
            <w:vAlign w:val="center"/>
          </w:tcPr>
          <w:p>
            <w:pPr>
              <w:keepNext w:val="0"/>
              <w:keepLines w:val="0"/>
              <w:widowControl/>
              <w:suppressLineNumbers w:val="0"/>
              <w:jc w:val="center"/>
              <w:textAlignment w:val="center"/>
            </w:pPr>
            <w:r>
              <w:rPr>
                <w:rFonts w:hint="default" w:ascii="Arial" w:hAnsi="Arial" w:eastAsia="宋体" w:cs="Arial"/>
                <w:i w:val="0"/>
                <w:iCs w:val="0"/>
                <w:color w:val="000000"/>
                <w:kern w:val="0"/>
                <w:sz w:val="16"/>
                <w:szCs w:val="16"/>
                <w:u w:val="none"/>
                <w:lang w:val="en-US" w:eastAsia="zh-CN" w:bidi="ar"/>
              </w:rPr>
              <w:t xml:space="preserve">433 </w:t>
            </w:r>
          </w:p>
        </w:tc>
        <w:tc>
          <w:tcPr>
            <w:tcW w:w="708" w:type="dxa"/>
            <w:vAlign w:val="center"/>
          </w:tcPr>
          <w:p>
            <w:pPr>
              <w:keepNext w:val="0"/>
              <w:keepLines w:val="0"/>
              <w:widowControl/>
              <w:suppressLineNumbers w:val="0"/>
              <w:jc w:val="center"/>
              <w:textAlignment w:val="center"/>
            </w:pPr>
            <w:r>
              <w:rPr>
                <w:rFonts w:hint="default" w:ascii="Calibri" w:hAnsi="Calibri" w:eastAsia="宋体" w:cs="Calibri"/>
                <w:i w:val="0"/>
                <w:iCs w:val="0"/>
                <w:color w:val="000000"/>
                <w:kern w:val="0"/>
                <w:sz w:val="16"/>
                <w:szCs w:val="16"/>
                <w:u w:val="none"/>
                <w:lang w:val="en-US" w:eastAsia="zh-CN" w:bidi="ar"/>
              </w:rPr>
              <w:t xml:space="preserve">417 </w:t>
            </w:r>
          </w:p>
        </w:tc>
        <w:tc>
          <w:tcPr>
            <w:tcW w:w="1134" w:type="dxa"/>
            <w:vAlign w:val="center"/>
          </w:tcPr>
          <w:p>
            <w:pPr>
              <w:pStyle w:val="72"/>
            </w:pPr>
            <w:r>
              <w:rPr>
                <w:rFonts w:ascii="Calibri" w:hAnsi="Calibri" w:cs="Calibri"/>
                <w:color w:val="000000"/>
                <w:szCs w:val="16"/>
              </w:rPr>
              <w:t xml:space="preserve">774 </w:t>
            </w:r>
          </w:p>
        </w:tc>
        <w:tc>
          <w:tcPr>
            <w:tcW w:w="1134" w:type="dxa"/>
            <w:vAlign w:val="center"/>
          </w:tcPr>
          <w:p>
            <w:pPr>
              <w:pStyle w:val="72"/>
            </w:pPr>
            <w:r>
              <w:rPr>
                <w:rFonts w:ascii="Calibri" w:hAnsi="Calibri" w:cs="Calibri"/>
                <w:color w:val="000000"/>
                <w:szCs w:val="16"/>
              </w:rPr>
              <w:t>M10</w:t>
            </w:r>
          </w:p>
        </w:tc>
        <w:tc>
          <w:tcPr>
            <w:tcW w:w="851" w:type="dxa"/>
            <w:tcMar>
              <w:top w:w="0" w:type="dxa"/>
              <w:left w:w="57" w:type="dxa"/>
              <w:bottom w:w="0" w:type="dxa"/>
              <w:right w:w="57" w:type="dxa"/>
            </w:tcMar>
            <w:vAlign w:val="center"/>
          </w:tcPr>
          <w:p>
            <w:pPr>
              <w:pStyle w:val="72"/>
            </w:pPr>
            <w:r>
              <w:rPr>
                <w:rFonts w:ascii="Calibri" w:hAnsi="Calibri" w:cs="Calibri"/>
                <w:color w:val="000000"/>
                <w:szCs w:val="16"/>
              </w:rPr>
              <w:t>24</w:t>
            </w:r>
          </w:p>
        </w:tc>
        <w:tc>
          <w:tcPr>
            <w:tcW w:w="991" w:type="dxa"/>
            <w:vAlign w:val="center"/>
          </w:tcPr>
          <w:p>
            <w:pPr>
              <w:pStyle w:val="72"/>
            </w:pPr>
            <w:r>
              <w:rPr>
                <w:rFonts w:ascii="Calibri" w:hAnsi="Calibri" w:cs="Calibri"/>
                <w:color w:val="000000"/>
                <w:szCs w:val="16"/>
              </w:rPr>
              <w:t>M10</w:t>
            </w:r>
          </w:p>
        </w:tc>
        <w:tc>
          <w:tcPr>
            <w:tcW w:w="851" w:type="dxa"/>
            <w:vAlign w:val="center"/>
          </w:tcPr>
          <w:p>
            <w:pPr>
              <w:pStyle w:val="72"/>
            </w:pPr>
            <w:r>
              <w:rPr>
                <w:rFonts w:ascii="Calibri" w:hAnsi="Calibri" w:cs="Calibri"/>
                <w:color w:val="000000"/>
                <w:szCs w:val="16"/>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79" w:hRule="atLeast"/>
          <w:jc w:val="right"/>
        </w:trPr>
        <w:tc>
          <w:tcPr>
            <w:tcW w:w="656" w:type="dxa"/>
            <w:vAlign w:val="center"/>
          </w:tcPr>
          <w:p>
            <w:pPr>
              <w:pStyle w:val="72"/>
            </w:pPr>
            <w:r>
              <w:rPr>
                <w:rFonts w:ascii="Calibri" w:hAnsi="Calibri" w:cs="Calibri"/>
                <w:color w:val="000000"/>
                <w:szCs w:val="16"/>
              </w:rPr>
              <w:t>360</w:t>
            </w:r>
          </w:p>
        </w:tc>
        <w:tc>
          <w:tcPr>
            <w:tcW w:w="615" w:type="dxa"/>
            <w:vMerge w:val="restart"/>
            <w:vAlign w:val="center"/>
          </w:tcPr>
          <w:p>
            <w:pPr>
              <w:pStyle w:val="72"/>
            </w:pPr>
            <w:r>
              <w:rPr>
                <w:rFonts w:hint="eastAsia" w:ascii="Calibri" w:hAnsi="Calibri" w:cs="Calibri"/>
                <w:color w:val="000000"/>
                <w:szCs w:val="16"/>
              </w:rPr>
              <w:t>12模块系统</w:t>
            </w:r>
          </w:p>
        </w:tc>
        <w:tc>
          <w:tcPr>
            <w:tcW w:w="855" w:type="dxa"/>
            <w:vAlign w:val="center"/>
          </w:tcPr>
          <w:p>
            <w:pPr>
              <w:keepNext w:val="0"/>
              <w:keepLines w:val="0"/>
              <w:widowControl/>
              <w:suppressLineNumbers w:val="0"/>
              <w:jc w:val="center"/>
              <w:textAlignment w:val="center"/>
            </w:pPr>
            <w:r>
              <w:rPr>
                <w:rFonts w:hint="default" w:ascii="Arial" w:hAnsi="Arial" w:eastAsia="宋体" w:cs="Arial"/>
                <w:i w:val="0"/>
                <w:iCs w:val="0"/>
                <w:color w:val="000000"/>
                <w:kern w:val="0"/>
                <w:sz w:val="16"/>
                <w:szCs w:val="16"/>
                <w:u w:val="none"/>
                <w:lang w:val="en-US" w:eastAsia="zh-CN" w:bidi="ar"/>
              </w:rPr>
              <w:t xml:space="preserve">718 </w:t>
            </w:r>
          </w:p>
        </w:tc>
        <w:tc>
          <w:tcPr>
            <w:tcW w:w="709" w:type="dxa"/>
            <w:vAlign w:val="center"/>
          </w:tcPr>
          <w:p>
            <w:pPr>
              <w:keepNext w:val="0"/>
              <w:keepLines w:val="0"/>
              <w:widowControl/>
              <w:suppressLineNumbers w:val="0"/>
              <w:jc w:val="center"/>
              <w:textAlignment w:val="center"/>
            </w:pPr>
            <w:r>
              <w:rPr>
                <w:rFonts w:hint="default" w:ascii="Calibri" w:hAnsi="Calibri" w:eastAsia="宋体" w:cs="Calibri"/>
                <w:i w:val="0"/>
                <w:iCs w:val="0"/>
                <w:color w:val="000000"/>
                <w:kern w:val="0"/>
                <w:sz w:val="16"/>
                <w:szCs w:val="16"/>
                <w:u w:val="none"/>
                <w:lang w:val="en-US" w:eastAsia="zh-CN" w:bidi="ar"/>
              </w:rPr>
              <w:t xml:space="preserve">547 </w:t>
            </w:r>
          </w:p>
        </w:tc>
        <w:tc>
          <w:tcPr>
            <w:tcW w:w="709" w:type="dxa"/>
            <w:vAlign w:val="center"/>
          </w:tcPr>
          <w:p>
            <w:pPr>
              <w:keepNext w:val="0"/>
              <w:keepLines w:val="0"/>
              <w:widowControl/>
              <w:suppressLineNumbers w:val="0"/>
              <w:jc w:val="center"/>
              <w:textAlignment w:val="center"/>
            </w:pPr>
            <w:r>
              <w:rPr>
                <w:rFonts w:hint="default" w:ascii="Arial" w:hAnsi="Arial" w:eastAsia="宋体" w:cs="Arial"/>
                <w:i w:val="0"/>
                <w:iCs w:val="0"/>
                <w:color w:val="000000"/>
                <w:kern w:val="0"/>
                <w:sz w:val="16"/>
                <w:szCs w:val="16"/>
                <w:u w:val="none"/>
                <w:lang w:val="en-US" w:eastAsia="zh-CN" w:bidi="ar"/>
              </w:rPr>
              <w:t xml:space="preserve">520 </w:t>
            </w:r>
          </w:p>
        </w:tc>
        <w:tc>
          <w:tcPr>
            <w:tcW w:w="708" w:type="dxa"/>
            <w:vAlign w:val="center"/>
          </w:tcPr>
          <w:p>
            <w:pPr>
              <w:keepNext w:val="0"/>
              <w:keepLines w:val="0"/>
              <w:widowControl/>
              <w:suppressLineNumbers w:val="0"/>
              <w:jc w:val="center"/>
              <w:textAlignment w:val="center"/>
            </w:pPr>
            <w:r>
              <w:rPr>
                <w:rFonts w:hint="default" w:ascii="Calibri" w:hAnsi="Calibri" w:eastAsia="宋体" w:cs="Calibri"/>
                <w:i w:val="0"/>
                <w:iCs w:val="0"/>
                <w:color w:val="000000"/>
                <w:kern w:val="0"/>
                <w:sz w:val="16"/>
                <w:szCs w:val="16"/>
                <w:u w:val="none"/>
                <w:lang w:val="en-US" w:eastAsia="zh-CN" w:bidi="ar"/>
              </w:rPr>
              <w:t xml:space="preserve">501 </w:t>
            </w:r>
          </w:p>
        </w:tc>
        <w:tc>
          <w:tcPr>
            <w:tcW w:w="1134" w:type="dxa"/>
            <w:vAlign w:val="center"/>
          </w:tcPr>
          <w:p>
            <w:pPr>
              <w:pStyle w:val="72"/>
            </w:pPr>
            <w:r>
              <w:rPr>
                <w:rFonts w:ascii="Calibri" w:hAnsi="Calibri" w:cs="Calibri"/>
                <w:color w:val="000000"/>
                <w:szCs w:val="16"/>
              </w:rPr>
              <w:t xml:space="preserve">929 </w:t>
            </w:r>
          </w:p>
        </w:tc>
        <w:tc>
          <w:tcPr>
            <w:tcW w:w="1134" w:type="dxa"/>
            <w:vAlign w:val="center"/>
          </w:tcPr>
          <w:p>
            <w:pPr>
              <w:pStyle w:val="72"/>
            </w:pPr>
            <w:r>
              <w:rPr>
                <w:rFonts w:ascii="Calibri" w:hAnsi="Calibri" w:cs="Calibri"/>
                <w:color w:val="000000"/>
                <w:szCs w:val="16"/>
              </w:rPr>
              <w:t>M16</w:t>
            </w:r>
          </w:p>
        </w:tc>
        <w:tc>
          <w:tcPr>
            <w:tcW w:w="851" w:type="dxa"/>
            <w:tcMar>
              <w:top w:w="0" w:type="dxa"/>
              <w:left w:w="57" w:type="dxa"/>
              <w:bottom w:w="0" w:type="dxa"/>
              <w:right w:w="57" w:type="dxa"/>
            </w:tcMar>
            <w:vAlign w:val="center"/>
          </w:tcPr>
          <w:p>
            <w:pPr>
              <w:pStyle w:val="72"/>
            </w:pPr>
            <w:r>
              <w:rPr>
                <w:rFonts w:hint="eastAsia" w:ascii="Calibri" w:hAnsi="Calibri" w:cs="Calibri"/>
                <w:color w:val="000000"/>
                <w:szCs w:val="16"/>
              </w:rPr>
              <w:t>90</w:t>
            </w:r>
          </w:p>
        </w:tc>
        <w:tc>
          <w:tcPr>
            <w:tcW w:w="991" w:type="dxa"/>
            <w:vAlign w:val="center"/>
          </w:tcPr>
          <w:p>
            <w:pPr>
              <w:pStyle w:val="72"/>
            </w:pPr>
            <w:r>
              <w:rPr>
                <w:rFonts w:ascii="Calibri" w:hAnsi="Calibri" w:cs="Calibri"/>
                <w:color w:val="000000"/>
                <w:szCs w:val="16"/>
              </w:rPr>
              <w:t>M12</w:t>
            </w:r>
          </w:p>
        </w:tc>
        <w:tc>
          <w:tcPr>
            <w:tcW w:w="851" w:type="dxa"/>
            <w:vAlign w:val="center"/>
          </w:tcPr>
          <w:p>
            <w:pPr>
              <w:pStyle w:val="72"/>
            </w:pPr>
            <w:r>
              <w:rPr>
                <w:rFonts w:hint="eastAsia" w:ascii="Calibri" w:hAnsi="Calibri" w:cs="Calibri"/>
                <w:color w:val="000000"/>
                <w:szCs w:val="16"/>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79" w:hRule="atLeast"/>
          <w:jc w:val="right"/>
        </w:trPr>
        <w:tc>
          <w:tcPr>
            <w:tcW w:w="656" w:type="dxa"/>
            <w:vAlign w:val="center"/>
          </w:tcPr>
          <w:p>
            <w:pPr>
              <w:pStyle w:val="72"/>
            </w:pPr>
            <w:r>
              <w:rPr>
                <w:rFonts w:ascii="Calibri" w:hAnsi="Calibri" w:cs="Calibri"/>
                <w:color w:val="000000"/>
                <w:szCs w:val="16"/>
              </w:rPr>
              <w:t>420</w:t>
            </w:r>
          </w:p>
        </w:tc>
        <w:tc>
          <w:tcPr>
            <w:tcW w:w="615" w:type="dxa"/>
            <w:vMerge w:val="continue"/>
            <w:vAlign w:val="center"/>
          </w:tcPr>
          <w:p>
            <w:pPr>
              <w:pStyle w:val="72"/>
            </w:pPr>
          </w:p>
        </w:tc>
        <w:tc>
          <w:tcPr>
            <w:tcW w:w="855" w:type="dxa"/>
            <w:vAlign w:val="center"/>
          </w:tcPr>
          <w:p>
            <w:pPr>
              <w:keepNext w:val="0"/>
              <w:keepLines w:val="0"/>
              <w:widowControl/>
              <w:suppressLineNumbers w:val="0"/>
              <w:jc w:val="center"/>
              <w:textAlignment w:val="center"/>
            </w:pPr>
            <w:r>
              <w:rPr>
                <w:rFonts w:hint="default" w:ascii="Arial" w:hAnsi="Arial" w:eastAsia="宋体" w:cs="Arial"/>
                <w:i w:val="0"/>
                <w:iCs w:val="0"/>
                <w:color w:val="000000"/>
                <w:kern w:val="0"/>
                <w:sz w:val="16"/>
                <w:szCs w:val="16"/>
                <w:u w:val="none"/>
                <w:lang w:val="en-US" w:eastAsia="zh-CN" w:bidi="ar"/>
              </w:rPr>
              <w:t xml:space="preserve">837 </w:t>
            </w:r>
          </w:p>
        </w:tc>
        <w:tc>
          <w:tcPr>
            <w:tcW w:w="709" w:type="dxa"/>
            <w:vAlign w:val="center"/>
          </w:tcPr>
          <w:p>
            <w:pPr>
              <w:keepNext w:val="0"/>
              <w:keepLines w:val="0"/>
              <w:widowControl/>
              <w:suppressLineNumbers w:val="0"/>
              <w:jc w:val="center"/>
              <w:textAlignment w:val="center"/>
            </w:pPr>
            <w:r>
              <w:rPr>
                <w:rFonts w:hint="default" w:ascii="Calibri" w:hAnsi="Calibri" w:eastAsia="宋体" w:cs="Calibri"/>
                <w:i w:val="0"/>
                <w:iCs w:val="0"/>
                <w:color w:val="000000"/>
                <w:kern w:val="0"/>
                <w:sz w:val="16"/>
                <w:szCs w:val="16"/>
                <w:u w:val="none"/>
                <w:lang w:val="en-US" w:eastAsia="zh-CN" w:bidi="ar"/>
              </w:rPr>
              <w:t xml:space="preserve">638 </w:t>
            </w:r>
          </w:p>
        </w:tc>
        <w:tc>
          <w:tcPr>
            <w:tcW w:w="709" w:type="dxa"/>
            <w:vAlign w:val="center"/>
          </w:tcPr>
          <w:p>
            <w:pPr>
              <w:keepNext w:val="0"/>
              <w:keepLines w:val="0"/>
              <w:widowControl/>
              <w:suppressLineNumbers w:val="0"/>
              <w:jc w:val="center"/>
              <w:textAlignment w:val="center"/>
            </w:pPr>
            <w:r>
              <w:rPr>
                <w:rFonts w:hint="default" w:ascii="Arial" w:hAnsi="Arial" w:eastAsia="宋体" w:cs="Arial"/>
                <w:i w:val="0"/>
                <w:iCs w:val="0"/>
                <w:color w:val="000000"/>
                <w:kern w:val="0"/>
                <w:sz w:val="16"/>
                <w:szCs w:val="16"/>
                <w:u w:val="none"/>
                <w:lang w:val="en-US" w:eastAsia="zh-CN" w:bidi="ar"/>
              </w:rPr>
              <w:t xml:space="preserve">606 </w:t>
            </w:r>
          </w:p>
        </w:tc>
        <w:tc>
          <w:tcPr>
            <w:tcW w:w="708" w:type="dxa"/>
            <w:vAlign w:val="center"/>
          </w:tcPr>
          <w:p>
            <w:pPr>
              <w:keepNext w:val="0"/>
              <w:keepLines w:val="0"/>
              <w:widowControl/>
              <w:suppressLineNumbers w:val="0"/>
              <w:jc w:val="center"/>
              <w:textAlignment w:val="center"/>
            </w:pPr>
            <w:r>
              <w:rPr>
                <w:rFonts w:hint="default" w:ascii="Calibri" w:hAnsi="Calibri" w:eastAsia="宋体" w:cs="Calibri"/>
                <w:i w:val="0"/>
                <w:iCs w:val="0"/>
                <w:color w:val="000000"/>
                <w:kern w:val="0"/>
                <w:sz w:val="16"/>
                <w:szCs w:val="16"/>
                <w:u w:val="none"/>
                <w:lang w:val="en-US" w:eastAsia="zh-CN" w:bidi="ar"/>
              </w:rPr>
              <w:t xml:space="preserve">584 </w:t>
            </w:r>
          </w:p>
        </w:tc>
        <w:tc>
          <w:tcPr>
            <w:tcW w:w="1134" w:type="dxa"/>
            <w:vAlign w:val="center"/>
          </w:tcPr>
          <w:p>
            <w:pPr>
              <w:pStyle w:val="72"/>
            </w:pPr>
            <w:r>
              <w:rPr>
                <w:rFonts w:ascii="Calibri" w:hAnsi="Calibri" w:cs="Calibri"/>
                <w:color w:val="000000"/>
                <w:szCs w:val="16"/>
              </w:rPr>
              <w:t xml:space="preserve">1084 </w:t>
            </w:r>
          </w:p>
        </w:tc>
        <w:tc>
          <w:tcPr>
            <w:tcW w:w="1134" w:type="dxa"/>
            <w:vAlign w:val="center"/>
          </w:tcPr>
          <w:p>
            <w:pPr>
              <w:pStyle w:val="72"/>
            </w:pPr>
            <w:r>
              <w:rPr>
                <w:rFonts w:ascii="Calibri" w:hAnsi="Calibri" w:cs="Calibri"/>
                <w:color w:val="000000"/>
                <w:szCs w:val="16"/>
              </w:rPr>
              <w:t>M16</w:t>
            </w:r>
          </w:p>
        </w:tc>
        <w:tc>
          <w:tcPr>
            <w:tcW w:w="851" w:type="dxa"/>
            <w:tcMar>
              <w:top w:w="0" w:type="dxa"/>
              <w:left w:w="57" w:type="dxa"/>
              <w:bottom w:w="0" w:type="dxa"/>
              <w:right w:w="57" w:type="dxa"/>
            </w:tcMar>
            <w:vAlign w:val="center"/>
          </w:tcPr>
          <w:p>
            <w:pPr>
              <w:pStyle w:val="72"/>
            </w:pPr>
            <w:r>
              <w:rPr>
                <w:rFonts w:hint="eastAsia" w:ascii="Calibri" w:hAnsi="Calibri" w:cs="Calibri"/>
                <w:color w:val="000000"/>
                <w:szCs w:val="16"/>
              </w:rPr>
              <w:t>90</w:t>
            </w:r>
          </w:p>
        </w:tc>
        <w:tc>
          <w:tcPr>
            <w:tcW w:w="991" w:type="dxa"/>
            <w:vAlign w:val="center"/>
          </w:tcPr>
          <w:p>
            <w:pPr>
              <w:pStyle w:val="72"/>
            </w:pPr>
            <w:r>
              <w:rPr>
                <w:rFonts w:ascii="Calibri" w:hAnsi="Calibri" w:cs="Calibri"/>
                <w:color w:val="000000"/>
                <w:szCs w:val="16"/>
              </w:rPr>
              <w:t>M12</w:t>
            </w:r>
          </w:p>
        </w:tc>
        <w:tc>
          <w:tcPr>
            <w:tcW w:w="851" w:type="dxa"/>
            <w:vAlign w:val="center"/>
          </w:tcPr>
          <w:p>
            <w:pPr>
              <w:pStyle w:val="72"/>
            </w:pPr>
            <w:r>
              <w:rPr>
                <w:rFonts w:hint="eastAsia" w:ascii="Calibri" w:hAnsi="Calibri" w:cs="Calibri"/>
                <w:color w:val="000000"/>
                <w:szCs w:val="16"/>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79" w:hRule="atLeast"/>
          <w:jc w:val="right"/>
        </w:trPr>
        <w:tc>
          <w:tcPr>
            <w:tcW w:w="656" w:type="dxa"/>
            <w:vAlign w:val="center"/>
          </w:tcPr>
          <w:p>
            <w:pPr>
              <w:pStyle w:val="72"/>
            </w:pPr>
            <w:r>
              <w:rPr>
                <w:rFonts w:ascii="Calibri" w:hAnsi="Calibri" w:cs="Calibri"/>
                <w:color w:val="000000"/>
                <w:szCs w:val="16"/>
              </w:rPr>
              <w:t>480</w:t>
            </w:r>
          </w:p>
        </w:tc>
        <w:tc>
          <w:tcPr>
            <w:tcW w:w="615" w:type="dxa"/>
            <w:vMerge w:val="continue"/>
            <w:vAlign w:val="center"/>
          </w:tcPr>
          <w:p>
            <w:pPr>
              <w:pStyle w:val="72"/>
            </w:pPr>
          </w:p>
        </w:tc>
        <w:tc>
          <w:tcPr>
            <w:tcW w:w="855" w:type="dxa"/>
            <w:vAlign w:val="center"/>
          </w:tcPr>
          <w:p>
            <w:pPr>
              <w:keepNext w:val="0"/>
              <w:keepLines w:val="0"/>
              <w:widowControl/>
              <w:suppressLineNumbers w:val="0"/>
              <w:jc w:val="center"/>
              <w:textAlignment w:val="center"/>
            </w:pPr>
            <w:r>
              <w:rPr>
                <w:rFonts w:hint="default" w:ascii="Arial" w:hAnsi="Arial" w:eastAsia="宋体" w:cs="Arial"/>
                <w:i w:val="0"/>
                <w:iCs w:val="0"/>
                <w:color w:val="000000"/>
                <w:kern w:val="0"/>
                <w:sz w:val="16"/>
                <w:szCs w:val="16"/>
                <w:u w:val="none"/>
                <w:lang w:val="en-US" w:eastAsia="zh-CN" w:bidi="ar"/>
              </w:rPr>
              <w:t xml:space="preserve">957 </w:t>
            </w:r>
          </w:p>
        </w:tc>
        <w:tc>
          <w:tcPr>
            <w:tcW w:w="709" w:type="dxa"/>
            <w:vAlign w:val="center"/>
          </w:tcPr>
          <w:p>
            <w:pPr>
              <w:keepNext w:val="0"/>
              <w:keepLines w:val="0"/>
              <w:widowControl/>
              <w:suppressLineNumbers w:val="0"/>
              <w:jc w:val="center"/>
              <w:textAlignment w:val="center"/>
            </w:pPr>
            <w:r>
              <w:rPr>
                <w:rFonts w:hint="default" w:ascii="Calibri" w:hAnsi="Calibri" w:eastAsia="宋体" w:cs="Calibri"/>
                <w:i w:val="0"/>
                <w:iCs w:val="0"/>
                <w:color w:val="000000"/>
                <w:kern w:val="0"/>
                <w:sz w:val="16"/>
                <w:szCs w:val="16"/>
                <w:u w:val="none"/>
                <w:lang w:val="en-US" w:eastAsia="zh-CN" w:bidi="ar"/>
              </w:rPr>
              <w:t xml:space="preserve">729 </w:t>
            </w:r>
          </w:p>
        </w:tc>
        <w:tc>
          <w:tcPr>
            <w:tcW w:w="709" w:type="dxa"/>
            <w:vAlign w:val="center"/>
          </w:tcPr>
          <w:p>
            <w:pPr>
              <w:keepNext w:val="0"/>
              <w:keepLines w:val="0"/>
              <w:widowControl/>
              <w:suppressLineNumbers w:val="0"/>
              <w:jc w:val="center"/>
              <w:textAlignment w:val="center"/>
            </w:pPr>
            <w:r>
              <w:rPr>
                <w:rFonts w:hint="default" w:ascii="Arial" w:hAnsi="Arial" w:eastAsia="宋体" w:cs="Arial"/>
                <w:i w:val="0"/>
                <w:iCs w:val="0"/>
                <w:color w:val="000000"/>
                <w:kern w:val="0"/>
                <w:sz w:val="16"/>
                <w:szCs w:val="16"/>
                <w:u w:val="none"/>
                <w:lang w:val="en-US" w:eastAsia="zh-CN" w:bidi="ar"/>
              </w:rPr>
              <w:t xml:space="preserve">693 </w:t>
            </w:r>
          </w:p>
        </w:tc>
        <w:tc>
          <w:tcPr>
            <w:tcW w:w="708" w:type="dxa"/>
            <w:vAlign w:val="center"/>
          </w:tcPr>
          <w:p>
            <w:pPr>
              <w:keepNext w:val="0"/>
              <w:keepLines w:val="0"/>
              <w:widowControl/>
              <w:suppressLineNumbers w:val="0"/>
              <w:jc w:val="center"/>
              <w:textAlignment w:val="center"/>
            </w:pPr>
            <w:r>
              <w:rPr>
                <w:rFonts w:hint="default" w:ascii="Calibri" w:hAnsi="Calibri" w:eastAsia="宋体" w:cs="Calibri"/>
                <w:i w:val="0"/>
                <w:iCs w:val="0"/>
                <w:color w:val="000000"/>
                <w:kern w:val="0"/>
                <w:sz w:val="16"/>
                <w:szCs w:val="16"/>
                <w:u w:val="none"/>
                <w:lang w:val="en-US" w:eastAsia="zh-CN" w:bidi="ar"/>
              </w:rPr>
              <w:t xml:space="preserve">668 </w:t>
            </w:r>
          </w:p>
        </w:tc>
        <w:tc>
          <w:tcPr>
            <w:tcW w:w="1134" w:type="dxa"/>
            <w:vAlign w:val="center"/>
          </w:tcPr>
          <w:p>
            <w:pPr>
              <w:pStyle w:val="72"/>
            </w:pPr>
            <w:r>
              <w:rPr>
                <w:rFonts w:ascii="Calibri" w:hAnsi="Calibri" w:cs="Calibri"/>
                <w:color w:val="000000"/>
                <w:szCs w:val="16"/>
              </w:rPr>
              <w:t xml:space="preserve">1238 </w:t>
            </w:r>
          </w:p>
        </w:tc>
        <w:tc>
          <w:tcPr>
            <w:tcW w:w="1134" w:type="dxa"/>
            <w:vAlign w:val="center"/>
          </w:tcPr>
          <w:p>
            <w:pPr>
              <w:pStyle w:val="72"/>
            </w:pPr>
            <w:r>
              <w:rPr>
                <w:rFonts w:ascii="Calibri" w:hAnsi="Calibri" w:cs="Calibri"/>
                <w:color w:val="000000"/>
                <w:szCs w:val="16"/>
              </w:rPr>
              <w:t>M16</w:t>
            </w:r>
          </w:p>
        </w:tc>
        <w:tc>
          <w:tcPr>
            <w:tcW w:w="851" w:type="dxa"/>
            <w:tcMar>
              <w:top w:w="0" w:type="dxa"/>
              <w:left w:w="57" w:type="dxa"/>
              <w:bottom w:w="0" w:type="dxa"/>
              <w:right w:w="57" w:type="dxa"/>
            </w:tcMar>
            <w:vAlign w:val="center"/>
          </w:tcPr>
          <w:p>
            <w:pPr>
              <w:pStyle w:val="72"/>
            </w:pPr>
            <w:r>
              <w:rPr>
                <w:rFonts w:ascii="Calibri" w:hAnsi="Calibri" w:cs="Calibri"/>
                <w:color w:val="000000"/>
                <w:szCs w:val="16"/>
              </w:rPr>
              <w:t>90</w:t>
            </w:r>
          </w:p>
        </w:tc>
        <w:tc>
          <w:tcPr>
            <w:tcW w:w="991" w:type="dxa"/>
            <w:vAlign w:val="center"/>
          </w:tcPr>
          <w:p>
            <w:pPr>
              <w:pStyle w:val="72"/>
            </w:pPr>
            <w:r>
              <w:rPr>
                <w:rFonts w:ascii="Calibri" w:hAnsi="Calibri" w:cs="Calibri"/>
                <w:color w:val="000000"/>
                <w:szCs w:val="16"/>
              </w:rPr>
              <w:t>M12</w:t>
            </w:r>
          </w:p>
        </w:tc>
        <w:tc>
          <w:tcPr>
            <w:tcW w:w="851" w:type="dxa"/>
            <w:vAlign w:val="center"/>
          </w:tcPr>
          <w:p>
            <w:pPr>
              <w:pStyle w:val="72"/>
            </w:pPr>
            <w:r>
              <w:rPr>
                <w:rFonts w:ascii="Calibri" w:hAnsi="Calibri" w:cs="Calibri"/>
                <w:color w:val="000000"/>
                <w:szCs w:val="16"/>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79" w:hRule="atLeast"/>
          <w:jc w:val="right"/>
        </w:trPr>
        <w:tc>
          <w:tcPr>
            <w:tcW w:w="656" w:type="dxa"/>
            <w:vAlign w:val="center"/>
          </w:tcPr>
          <w:p>
            <w:pPr>
              <w:pStyle w:val="72"/>
            </w:pPr>
            <w:r>
              <w:rPr>
                <w:rFonts w:ascii="Calibri" w:hAnsi="Calibri" w:cs="Calibri"/>
                <w:color w:val="000000"/>
                <w:szCs w:val="16"/>
              </w:rPr>
              <w:t>540</w:t>
            </w:r>
          </w:p>
        </w:tc>
        <w:tc>
          <w:tcPr>
            <w:tcW w:w="615" w:type="dxa"/>
            <w:vMerge w:val="continue"/>
            <w:vAlign w:val="center"/>
          </w:tcPr>
          <w:p>
            <w:pPr>
              <w:pStyle w:val="72"/>
            </w:pPr>
          </w:p>
        </w:tc>
        <w:tc>
          <w:tcPr>
            <w:tcW w:w="855" w:type="dxa"/>
            <w:vAlign w:val="center"/>
          </w:tcPr>
          <w:p>
            <w:pPr>
              <w:keepNext w:val="0"/>
              <w:keepLines w:val="0"/>
              <w:widowControl/>
              <w:suppressLineNumbers w:val="0"/>
              <w:jc w:val="center"/>
              <w:textAlignment w:val="center"/>
            </w:pPr>
            <w:r>
              <w:rPr>
                <w:rFonts w:hint="default" w:ascii="Arial" w:hAnsi="Arial" w:eastAsia="宋体" w:cs="Arial"/>
                <w:i w:val="0"/>
                <w:iCs w:val="0"/>
                <w:color w:val="000000"/>
                <w:kern w:val="0"/>
                <w:sz w:val="16"/>
                <w:szCs w:val="16"/>
                <w:u w:val="none"/>
                <w:lang w:val="en-US" w:eastAsia="zh-CN" w:bidi="ar"/>
              </w:rPr>
              <w:t xml:space="preserve">1077 </w:t>
            </w:r>
          </w:p>
        </w:tc>
        <w:tc>
          <w:tcPr>
            <w:tcW w:w="709" w:type="dxa"/>
            <w:vAlign w:val="center"/>
          </w:tcPr>
          <w:p>
            <w:pPr>
              <w:keepNext w:val="0"/>
              <w:keepLines w:val="0"/>
              <w:widowControl/>
              <w:suppressLineNumbers w:val="0"/>
              <w:jc w:val="center"/>
              <w:textAlignment w:val="center"/>
            </w:pPr>
            <w:r>
              <w:rPr>
                <w:rFonts w:hint="default" w:ascii="Calibri" w:hAnsi="Calibri" w:eastAsia="宋体" w:cs="Calibri"/>
                <w:i w:val="0"/>
                <w:iCs w:val="0"/>
                <w:color w:val="000000"/>
                <w:kern w:val="0"/>
                <w:sz w:val="16"/>
                <w:szCs w:val="16"/>
                <w:u w:val="none"/>
                <w:lang w:val="en-US" w:eastAsia="zh-CN" w:bidi="ar"/>
              </w:rPr>
              <w:t xml:space="preserve">820 </w:t>
            </w:r>
          </w:p>
        </w:tc>
        <w:tc>
          <w:tcPr>
            <w:tcW w:w="709" w:type="dxa"/>
            <w:vAlign w:val="center"/>
          </w:tcPr>
          <w:p>
            <w:pPr>
              <w:keepNext w:val="0"/>
              <w:keepLines w:val="0"/>
              <w:widowControl/>
              <w:suppressLineNumbers w:val="0"/>
              <w:jc w:val="center"/>
              <w:textAlignment w:val="center"/>
            </w:pPr>
            <w:r>
              <w:rPr>
                <w:rFonts w:hint="default" w:ascii="Arial" w:hAnsi="Arial" w:eastAsia="宋体" w:cs="Arial"/>
                <w:i w:val="0"/>
                <w:iCs w:val="0"/>
                <w:color w:val="000000"/>
                <w:kern w:val="0"/>
                <w:sz w:val="16"/>
                <w:szCs w:val="16"/>
                <w:u w:val="none"/>
                <w:lang w:val="en-US" w:eastAsia="zh-CN" w:bidi="ar"/>
              </w:rPr>
              <w:t xml:space="preserve">779 </w:t>
            </w:r>
          </w:p>
        </w:tc>
        <w:tc>
          <w:tcPr>
            <w:tcW w:w="708" w:type="dxa"/>
            <w:vAlign w:val="center"/>
          </w:tcPr>
          <w:p>
            <w:pPr>
              <w:keepNext w:val="0"/>
              <w:keepLines w:val="0"/>
              <w:widowControl/>
              <w:suppressLineNumbers w:val="0"/>
              <w:jc w:val="center"/>
              <w:textAlignment w:val="center"/>
            </w:pPr>
            <w:r>
              <w:rPr>
                <w:rFonts w:hint="default" w:ascii="Calibri" w:hAnsi="Calibri" w:eastAsia="宋体" w:cs="Calibri"/>
                <w:i w:val="0"/>
                <w:iCs w:val="0"/>
                <w:color w:val="000000"/>
                <w:kern w:val="0"/>
                <w:sz w:val="16"/>
                <w:szCs w:val="16"/>
                <w:u w:val="none"/>
                <w:lang w:val="en-US" w:eastAsia="zh-CN" w:bidi="ar"/>
              </w:rPr>
              <w:t xml:space="preserve">751 </w:t>
            </w:r>
          </w:p>
        </w:tc>
        <w:tc>
          <w:tcPr>
            <w:tcW w:w="1134" w:type="dxa"/>
            <w:vAlign w:val="center"/>
          </w:tcPr>
          <w:p>
            <w:pPr>
              <w:pStyle w:val="72"/>
            </w:pPr>
            <w:r>
              <w:rPr>
                <w:rFonts w:ascii="Calibri" w:hAnsi="Calibri" w:cs="Calibri"/>
                <w:color w:val="000000"/>
                <w:szCs w:val="16"/>
              </w:rPr>
              <w:t xml:space="preserve">1393 </w:t>
            </w:r>
          </w:p>
        </w:tc>
        <w:tc>
          <w:tcPr>
            <w:tcW w:w="1134" w:type="dxa"/>
            <w:vAlign w:val="center"/>
          </w:tcPr>
          <w:p>
            <w:pPr>
              <w:pStyle w:val="72"/>
            </w:pPr>
            <w:r>
              <w:rPr>
                <w:rFonts w:ascii="Calibri" w:hAnsi="Calibri" w:cs="Calibri"/>
                <w:color w:val="000000"/>
                <w:szCs w:val="16"/>
              </w:rPr>
              <w:t>M16</w:t>
            </w:r>
          </w:p>
        </w:tc>
        <w:tc>
          <w:tcPr>
            <w:tcW w:w="851" w:type="dxa"/>
            <w:tcMar>
              <w:top w:w="0" w:type="dxa"/>
              <w:left w:w="57" w:type="dxa"/>
              <w:bottom w:w="0" w:type="dxa"/>
              <w:right w:w="57" w:type="dxa"/>
            </w:tcMar>
            <w:vAlign w:val="center"/>
          </w:tcPr>
          <w:p>
            <w:pPr>
              <w:pStyle w:val="72"/>
            </w:pPr>
            <w:r>
              <w:rPr>
                <w:rFonts w:ascii="Calibri" w:hAnsi="Calibri" w:cs="Calibri"/>
                <w:color w:val="000000"/>
                <w:szCs w:val="16"/>
              </w:rPr>
              <w:t>90</w:t>
            </w:r>
          </w:p>
        </w:tc>
        <w:tc>
          <w:tcPr>
            <w:tcW w:w="991" w:type="dxa"/>
            <w:vAlign w:val="center"/>
          </w:tcPr>
          <w:p>
            <w:pPr>
              <w:pStyle w:val="72"/>
            </w:pPr>
            <w:r>
              <w:rPr>
                <w:rFonts w:ascii="Calibri" w:hAnsi="Calibri" w:cs="Calibri"/>
                <w:color w:val="000000"/>
                <w:szCs w:val="16"/>
              </w:rPr>
              <w:t>M12</w:t>
            </w:r>
          </w:p>
        </w:tc>
        <w:tc>
          <w:tcPr>
            <w:tcW w:w="851" w:type="dxa"/>
            <w:vAlign w:val="center"/>
          </w:tcPr>
          <w:p>
            <w:pPr>
              <w:pStyle w:val="72"/>
            </w:pPr>
            <w:r>
              <w:rPr>
                <w:rFonts w:ascii="Calibri" w:hAnsi="Calibri" w:cs="Calibri"/>
                <w:color w:val="000000"/>
                <w:szCs w:val="16"/>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79" w:hRule="atLeast"/>
          <w:jc w:val="right"/>
        </w:trPr>
        <w:tc>
          <w:tcPr>
            <w:tcW w:w="656" w:type="dxa"/>
            <w:vAlign w:val="center"/>
          </w:tcPr>
          <w:p>
            <w:pPr>
              <w:pStyle w:val="72"/>
            </w:pPr>
            <w:r>
              <w:rPr>
                <w:rFonts w:ascii="Calibri" w:hAnsi="Calibri" w:cs="Calibri"/>
                <w:color w:val="000000"/>
                <w:szCs w:val="16"/>
              </w:rPr>
              <w:t>600</w:t>
            </w:r>
          </w:p>
        </w:tc>
        <w:tc>
          <w:tcPr>
            <w:tcW w:w="615" w:type="dxa"/>
            <w:vMerge w:val="continue"/>
            <w:vAlign w:val="center"/>
          </w:tcPr>
          <w:p>
            <w:pPr>
              <w:pStyle w:val="72"/>
            </w:pPr>
          </w:p>
        </w:tc>
        <w:tc>
          <w:tcPr>
            <w:tcW w:w="855" w:type="dxa"/>
            <w:vAlign w:val="center"/>
          </w:tcPr>
          <w:p>
            <w:pPr>
              <w:keepNext w:val="0"/>
              <w:keepLines w:val="0"/>
              <w:widowControl/>
              <w:suppressLineNumbers w:val="0"/>
              <w:jc w:val="center"/>
              <w:textAlignment w:val="center"/>
            </w:pPr>
            <w:r>
              <w:rPr>
                <w:rFonts w:hint="default" w:ascii="Arial" w:hAnsi="Arial" w:eastAsia="宋体" w:cs="Arial"/>
                <w:i w:val="0"/>
                <w:iCs w:val="0"/>
                <w:color w:val="000000"/>
                <w:kern w:val="0"/>
                <w:sz w:val="16"/>
                <w:szCs w:val="16"/>
                <w:u w:val="none"/>
                <w:lang w:val="en-US" w:eastAsia="zh-CN" w:bidi="ar"/>
              </w:rPr>
              <w:t xml:space="preserve">1196 </w:t>
            </w:r>
          </w:p>
        </w:tc>
        <w:tc>
          <w:tcPr>
            <w:tcW w:w="709" w:type="dxa"/>
            <w:vAlign w:val="center"/>
          </w:tcPr>
          <w:p>
            <w:pPr>
              <w:keepNext w:val="0"/>
              <w:keepLines w:val="0"/>
              <w:widowControl/>
              <w:suppressLineNumbers w:val="0"/>
              <w:jc w:val="center"/>
              <w:textAlignment w:val="center"/>
            </w:pPr>
            <w:r>
              <w:rPr>
                <w:rFonts w:hint="default" w:ascii="Calibri" w:hAnsi="Calibri" w:eastAsia="宋体" w:cs="Calibri"/>
                <w:i w:val="0"/>
                <w:iCs w:val="0"/>
                <w:color w:val="000000"/>
                <w:kern w:val="0"/>
                <w:sz w:val="16"/>
                <w:szCs w:val="16"/>
                <w:u w:val="none"/>
                <w:lang w:val="en-US" w:eastAsia="zh-CN" w:bidi="ar"/>
              </w:rPr>
              <w:t xml:space="preserve">912 </w:t>
            </w:r>
          </w:p>
        </w:tc>
        <w:tc>
          <w:tcPr>
            <w:tcW w:w="709" w:type="dxa"/>
            <w:vAlign w:val="center"/>
          </w:tcPr>
          <w:p>
            <w:pPr>
              <w:keepNext w:val="0"/>
              <w:keepLines w:val="0"/>
              <w:widowControl/>
              <w:suppressLineNumbers w:val="0"/>
              <w:jc w:val="center"/>
              <w:textAlignment w:val="center"/>
            </w:pPr>
            <w:r>
              <w:rPr>
                <w:rFonts w:hint="default" w:ascii="Arial" w:hAnsi="Arial" w:eastAsia="宋体" w:cs="Arial"/>
                <w:i w:val="0"/>
                <w:iCs w:val="0"/>
                <w:color w:val="000000"/>
                <w:kern w:val="0"/>
                <w:sz w:val="16"/>
                <w:szCs w:val="16"/>
                <w:u w:val="none"/>
                <w:lang w:val="en-US" w:eastAsia="zh-CN" w:bidi="ar"/>
              </w:rPr>
              <w:t xml:space="preserve">866 </w:t>
            </w:r>
          </w:p>
        </w:tc>
        <w:tc>
          <w:tcPr>
            <w:tcW w:w="708" w:type="dxa"/>
            <w:vAlign w:val="center"/>
          </w:tcPr>
          <w:p>
            <w:pPr>
              <w:keepNext w:val="0"/>
              <w:keepLines w:val="0"/>
              <w:widowControl/>
              <w:suppressLineNumbers w:val="0"/>
              <w:jc w:val="center"/>
              <w:textAlignment w:val="center"/>
            </w:pPr>
            <w:r>
              <w:rPr>
                <w:rFonts w:hint="default" w:ascii="Calibri" w:hAnsi="Calibri" w:eastAsia="宋体" w:cs="Calibri"/>
                <w:i w:val="0"/>
                <w:iCs w:val="0"/>
                <w:color w:val="000000"/>
                <w:kern w:val="0"/>
                <w:sz w:val="16"/>
                <w:szCs w:val="16"/>
                <w:u w:val="none"/>
                <w:lang w:val="en-US" w:eastAsia="zh-CN" w:bidi="ar"/>
              </w:rPr>
              <w:t xml:space="preserve">835 </w:t>
            </w:r>
          </w:p>
        </w:tc>
        <w:tc>
          <w:tcPr>
            <w:tcW w:w="1134" w:type="dxa"/>
            <w:vAlign w:val="center"/>
          </w:tcPr>
          <w:p>
            <w:pPr>
              <w:pStyle w:val="72"/>
            </w:pPr>
            <w:r>
              <w:rPr>
                <w:rFonts w:ascii="Calibri" w:hAnsi="Calibri" w:cs="Calibri"/>
                <w:color w:val="000000"/>
                <w:szCs w:val="16"/>
              </w:rPr>
              <w:t xml:space="preserve">1548 </w:t>
            </w:r>
          </w:p>
        </w:tc>
        <w:tc>
          <w:tcPr>
            <w:tcW w:w="1134" w:type="dxa"/>
            <w:vAlign w:val="center"/>
          </w:tcPr>
          <w:p>
            <w:pPr>
              <w:pStyle w:val="72"/>
            </w:pPr>
            <w:r>
              <w:rPr>
                <w:rFonts w:ascii="Calibri" w:hAnsi="Calibri" w:cs="Calibri"/>
                <w:color w:val="000000"/>
                <w:szCs w:val="16"/>
              </w:rPr>
              <w:t>M16</w:t>
            </w:r>
          </w:p>
        </w:tc>
        <w:tc>
          <w:tcPr>
            <w:tcW w:w="851" w:type="dxa"/>
            <w:tcMar>
              <w:top w:w="0" w:type="dxa"/>
              <w:left w:w="57" w:type="dxa"/>
              <w:bottom w:w="0" w:type="dxa"/>
              <w:right w:w="57" w:type="dxa"/>
            </w:tcMar>
            <w:vAlign w:val="center"/>
          </w:tcPr>
          <w:p>
            <w:pPr>
              <w:pStyle w:val="72"/>
            </w:pPr>
            <w:r>
              <w:rPr>
                <w:rFonts w:ascii="Calibri" w:hAnsi="Calibri" w:cs="Calibri"/>
                <w:color w:val="000000"/>
                <w:szCs w:val="16"/>
              </w:rPr>
              <w:t>90</w:t>
            </w:r>
          </w:p>
        </w:tc>
        <w:tc>
          <w:tcPr>
            <w:tcW w:w="991" w:type="dxa"/>
            <w:vAlign w:val="center"/>
          </w:tcPr>
          <w:p>
            <w:pPr>
              <w:pStyle w:val="72"/>
            </w:pPr>
            <w:r>
              <w:rPr>
                <w:rFonts w:ascii="Calibri" w:hAnsi="Calibri" w:cs="Calibri"/>
                <w:color w:val="000000"/>
                <w:szCs w:val="16"/>
              </w:rPr>
              <w:t>M12</w:t>
            </w:r>
          </w:p>
        </w:tc>
        <w:tc>
          <w:tcPr>
            <w:tcW w:w="851" w:type="dxa"/>
            <w:vAlign w:val="center"/>
          </w:tcPr>
          <w:p>
            <w:pPr>
              <w:pStyle w:val="72"/>
            </w:pPr>
            <w:r>
              <w:rPr>
                <w:rFonts w:ascii="Calibri" w:hAnsi="Calibri" w:cs="Calibri"/>
                <w:color w:val="000000"/>
                <w:szCs w:val="16"/>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79" w:hRule="atLeast"/>
          <w:jc w:val="right"/>
        </w:trPr>
        <w:tc>
          <w:tcPr>
            <w:tcW w:w="656" w:type="dxa"/>
            <w:vAlign w:val="center"/>
          </w:tcPr>
          <w:p>
            <w:pPr>
              <w:pStyle w:val="72"/>
              <w:rPr>
                <w:rFonts w:ascii="Calibri" w:hAnsi="Calibri" w:cs="Calibri"/>
                <w:color w:val="000000"/>
                <w:szCs w:val="16"/>
              </w:rPr>
            </w:pPr>
            <w:r>
              <w:rPr>
                <w:rFonts w:hint="eastAsia" w:ascii="Calibri" w:hAnsi="Calibri" w:cs="Calibri"/>
                <w:color w:val="000000"/>
                <w:szCs w:val="16"/>
              </w:rPr>
              <w:t>660</w:t>
            </w:r>
          </w:p>
        </w:tc>
        <w:tc>
          <w:tcPr>
            <w:tcW w:w="615" w:type="dxa"/>
            <w:vMerge w:val="restart"/>
            <w:vAlign w:val="center"/>
          </w:tcPr>
          <w:p>
            <w:pPr>
              <w:pStyle w:val="72"/>
            </w:pPr>
            <w:r>
              <w:rPr>
                <w:rFonts w:hint="eastAsia"/>
              </w:rPr>
              <w:t>14模块系统</w:t>
            </w:r>
          </w:p>
        </w:tc>
        <w:tc>
          <w:tcPr>
            <w:tcW w:w="855" w:type="dxa"/>
            <w:vAlign w:val="center"/>
          </w:tcPr>
          <w:p>
            <w:pPr>
              <w:keepNext w:val="0"/>
              <w:keepLines w:val="0"/>
              <w:widowControl/>
              <w:suppressLineNumbers w:val="0"/>
              <w:jc w:val="center"/>
              <w:textAlignment w:val="center"/>
              <w:rPr>
                <w:rFonts w:ascii="Calibri" w:hAnsi="Calibri" w:cs="Calibri"/>
                <w:color w:val="000000"/>
                <w:szCs w:val="16"/>
              </w:rPr>
            </w:pPr>
            <w:r>
              <w:rPr>
                <w:rFonts w:hint="default" w:ascii="Arial" w:hAnsi="Arial" w:eastAsia="宋体" w:cs="Arial"/>
                <w:i w:val="0"/>
                <w:iCs w:val="0"/>
                <w:color w:val="000000"/>
                <w:kern w:val="0"/>
                <w:sz w:val="16"/>
                <w:szCs w:val="16"/>
                <w:u w:val="none"/>
                <w:lang w:val="en-US" w:eastAsia="zh-CN" w:bidi="ar"/>
              </w:rPr>
              <w:t xml:space="preserve">1316 </w:t>
            </w:r>
          </w:p>
        </w:tc>
        <w:tc>
          <w:tcPr>
            <w:tcW w:w="709" w:type="dxa"/>
            <w:vAlign w:val="center"/>
          </w:tcPr>
          <w:p>
            <w:pPr>
              <w:keepNext w:val="0"/>
              <w:keepLines w:val="0"/>
              <w:widowControl/>
              <w:suppressLineNumbers w:val="0"/>
              <w:jc w:val="center"/>
              <w:textAlignment w:val="center"/>
              <w:rPr>
                <w:rFonts w:ascii="Calibri" w:hAnsi="Calibri" w:cs="Calibri"/>
                <w:color w:val="000000"/>
                <w:szCs w:val="16"/>
              </w:rPr>
            </w:pPr>
            <w:r>
              <w:rPr>
                <w:rFonts w:hint="default" w:ascii="Calibri" w:hAnsi="Calibri" w:eastAsia="宋体" w:cs="Calibri"/>
                <w:i w:val="0"/>
                <w:iCs w:val="0"/>
                <w:color w:val="000000"/>
                <w:kern w:val="0"/>
                <w:sz w:val="16"/>
                <w:szCs w:val="16"/>
                <w:u w:val="none"/>
                <w:lang w:val="en-US" w:eastAsia="zh-CN" w:bidi="ar"/>
              </w:rPr>
              <w:t xml:space="preserve">1003 </w:t>
            </w:r>
          </w:p>
        </w:tc>
        <w:tc>
          <w:tcPr>
            <w:tcW w:w="709" w:type="dxa"/>
            <w:vAlign w:val="center"/>
          </w:tcPr>
          <w:p>
            <w:pPr>
              <w:keepNext w:val="0"/>
              <w:keepLines w:val="0"/>
              <w:widowControl/>
              <w:suppressLineNumbers w:val="0"/>
              <w:jc w:val="center"/>
              <w:textAlignment w:val="center"/>
              <w:rPr>
                <w:rFonts w:ascii="Calibri" w:hAnsi="Calibri" w:cs="Calibri"/>
                <w:color w:val="000000"/>
                <w:szCs w:val="16"/>
              </w:rPr>
            </w:pPr>
            <w:r>
              <w:rPr>
                <w:rFonts w:hint="default" w:ascii="Arial" w:hAnsi="Arial" w:eastAsia="宋体" w:cs="Arial"/>
                <w:i w:val="0"/>
                <w:iCs w:val="0"/>
                <w:color w:val="000000"/>
                <w:kern w:val="0"/>
                <w:sz w:val="16"/>
                <w:szCs w:val="16"/>
                <w:u w:val="none"/>
                <w:lang w:val="en-US" w:eastAsia="zh-CN" w:bidi="ar"/>
              </w:rPr>
              <w:t xml:space="preserve">953 </w:t>
            </w:r>
          </w:p>
        </w:tc>
        <w:tc>
          <w:tcPr>
            <w:tcW w:w="708" w:type="dxa"/>
            <w:vAlign w:val="center"/>
          </w:tcPr>
          <w:p>
            <w:pPr>
              <w:keepNext w:val="0"/>
              <w:keepLines w:val="0"/>
              <w:widowControl/>
              <w:suppressLineNumbers w:val="0"/>
              <w:jc w:val="center"/>
              <w:textAlignment w:val="center"/>
              <w:rPr>
                <w:rFonts w:ascii="Calibri" w:hAnsi="Calibri" w:cs="Calibri"/>
                <w:color w:val="000000"/>
                <w:szCs w:val="16"/>
              </w:rPr>
            </w:pPr>
            <w:r>
              <w:rPr>
                <w:rFonts w:hint="default" w:ascii="Calibri" w:hAnsi="Calibri" w:eastAsia="宋体" w:cs="Calibri"/>
                <w:i w:val="0"/>
                <w:iCs w:val="0"/>
                <w:color w:val="000000"/>
                <w:kern w:val="0"/>
                <w:sz w:val="16"/>
                <w:szCs w:val="16"/>
                <w:u w:val="none"/>
                <w:lang w:val="en-US" w:eastAsia="zh-CN" w:bidi="ar"/>
              </w:rPr>
              <w:t xml:space="preserve">918 </w:t>
            </w:r>
          </w:p>
        </w:tc>
        <w:tc>
          <w:tcPr>
            <w:tcW w:w="1134" w:type="dxa"/>
            <w:vAlign w:val="center"/>
          </w:tcPr>
          <w:p>
            <w:pPr>
              <w:pStyle w:val="72"/>
              <w:rPr>
                <w:rFonts w:ascii="Calibri" w:hAnsi="Calibri" w:cs="Calibri"/>
                <w:color w:val="000000"/>
                <w:szCs w:val="16"/>
              </w:rPr>
            </w:pPr>
            <w:r>
              <w:rPr>
                <w:rFonts w:hint="eastAsia" w:ascii="Calibri" w:hAnsi="Calibri" w:cs="Calibri"/>
                <w:color w:val="000000"/>
                <w:szCs w:val="16"/>
              </w:rPr>
              <w:t>1</w:t>
            </w:r>
            <w:r>
              <w:rPr>
                <w:rFonts w:ascii="Calibri" w:hAnsi="Calibri" w:cs="Calibri"/>
                <w:color w:val="000000"/>
                <w:szCs w:val="16"/>
              </w:rPr>
              <w:t>703</w:t>
            </w:r>
          </w:p>
        </w:tc>
        <w:tc>
          <w:tcPr>
            <w:tcW w:w="1134" w:type="dxa"/>
            <w:vAlign w:val="center"/>
          </w:tcPr>
          <w:p>
            <w:pPr>
              <w:pStyle w:val="72"/>
              <w:rPr>
                <w:rFonts w:ascii="Calibri" w:hAnsi="Calibri" w:cs="Calibri"/>
                <w:color w:val="000000"/>
                <w:szCs w:val="16"/>
              </w:rPr>
            </w:pPr>
            <w:r>
              <w:rPr>
                <w:rFonts w:ascii="Calibri" w:hAnsi="Calibri" w:cs="Calibri"/>
                <w:color w:val="000000"/>
                <w:szCs w:val="16"/>
              </w:rPr>
              <w:t>M16</w:t>
            </w:r>
          </w:p>
        </w:tc>
        <w:tc>
          <w:tcPr>
            <w:tcW w:w="851" w:type="dxa"/>
            <w:tcMar>
              <w:top w:w="0" w:type="dxa"/>
              <w:left w:w="57" w:type="dxa"/>
              <w:bottom w:w="0" w:type="dxa"/>
              <w:right w:w="57" w:type="dxa"/>
            </w:tcMar>
            <w:vAlign w:val="center"/>
          </w:tcPr>
          <w:p>
            <w:pPr>
              <w:pStyle w:val="72"/>
              <w:rPr>
                <w:rFonts w:ascii="Calibri" w:hAnsi="Calibri" w:cs="Calibri"/>
                <w:color w:val="000000"/>
                <w:szCs w:val="16"/>
              </w:rPr>
            </w:pPr>
            <w:r>
              <w:rPr>
                <w:rFonts w:ascii="Calibri" w:hAnsi="Calibri" w:cs="Calibri"/>
                <w:color w:val="000000"/>
                <w:szCs w:val="16"/>
              </w:rPr>
              <w:t>90</w:t>
            </w:r>
          </w:p>
        </w:tc>
        <w:tc>
          <w:tcPr>
            <w:tcW w:w="991" w:type="dxa"/>
            <w:vAlign w:val="center"/>
          </w:tcPr>
          <w:p>
            <w:pPr>
              <w:pStyle w:val="72"/>
              <w:rPr>
                <w:rFonts w:ascii="Calibri" w:hAnsi="Calibri" w:cs="Calibri"/>
                <w:color w:val="000000"/>
                <w:szCs w:val="16"/>
              </w:rPr>
            </w:pPr>
            <w:r>
              <w:rPr>
                <w:rFonts w:ascii="Calibri" w:hAnsi="Calibri" w:cs="Calibri"/>
                <w:color w:val="000000"/>
                <w:szCs w:val="16"/>
              </w:rPr>
              <w:t>M12</w:t>
            </w:r>
          </w:p>
        </w:tc>
        <w:tc>
          <w:tcPr>
            <w:tcW w:w="851" w:type="dxa"/>
            <w:vAlign w:val="center"/>
          </w:tcPr>
          <w:p>
            <w:pPr>
              <w:pStyle w:val="72"/>
              <w:rPr>
                <w:rFonts w:ascii="Calibri" w:hAnsi="Calibri" w:cs="Calibri"/>
                <w:color w:val="000000"/>
                <w:szCs w:val="16"/>
              </w:rPr>
            </w:pPr>
            <w:r>
              <w:rPr>
                <w:rFonts w:ascii="Calibri" w:hAnsi="Calibri" w:cs="Calibri"/>
                <w:color w:val="000000"/>
                <w:szCs w:val="16"/>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79" w:hRule="atLeast"/>
          <w:jc w:val="right"/>
        </w:trPr>
        <w:tc>
          <w:tcPr>
            <w:tcW w:w="656" w:type="dxa"/>
            <w:vAlign w:val="center"/>
          </w:tcPr>
          <w:p>
            <w:pPr>
              <w:pStyle w:val="72"/>
              <w:rPr>
                <w:rFonts w:ascii="Calibri" w:hAnsi="Calibri" w:cs="Calibri"/>
                <w:color w:val="000000"/>
                <w:szCs w:val="16"/>
              </w:rPr>
            </w:pPr>
            <w:r>
              <w:rPr>
                <w:rFonts w:hint="eastAsia" w:ascii="Calibri" w:hAnsi="Calibri" w:cs="Calibri"/>
                <w:color w:val="000000"/>
                <w:szCs w:val="16"/>
              </w:rPr>
              <w:t>720</w:t>
            </w:r>
          </w:p>
        </w:tc>
        <w:tc>
          <w:tcPr>
            <w:tcW w:w="615" w:type="dxa"/>
            <w:vMerge w:val="continue"/>
            <w:vAlign w:val="center"/>
          </w:tcPr>
          <w:p>
            <w:pPr>
              <w:pStyle w:val="72"/>
            </w:pPr>
          </w:p>
        </w:tc>
        <w:tc>
          <w:tcPr>
            <w:tcW w:w="855" w:type="dxa"/>
            <w:vAlign w:val="center"/>
          </w:tcPr>
          <w:p>
            <w:pPr>
              <w:keepNext w:val="0"/>
              <w:keepLines w:val="0"/>
              <w:widowControl/>
              <w:suppressLineNumbers w:val="0"/>
              <w:jc w:val="center"/>
              <w:textAlignment w:val="center"/>
              <w:rPr>
                <w:rFonts w:ascii="Calibri" w:hAnsi="Calibri" w:cs="Calibri"/>
                <w:color w:val="000000"/>
                <w:szCs w:val="16"/>
              </w:rPr>
            </w:pPr>
            <w:r>
              <w:rPr>
                <w:rFonts w:hint="default" w:ascii="Arial" w:hAnsi="Arial" w:eastAsia="宋体" w:cs="Arial"/>
                <w:i w:val="0"/>
                <w:iCs w:val="0"/>
                <w:color w:val="000000"/>
                <w:kern w:val="0"/>
                <w:sz w:val="16"/>
                <w:szCs w:val="16"/>
                <w:u w:val="none"/>
                <w:lang w:val="en-US" w:eastAsia="zh-CN" w:bidi="ar"/>
              </w:rPr>
              <w:t xml:space="preserve">1435 </w:t>
            </w:r>
          </w:p>
        </w:tc>
        <w:tc>
          <w:tcPr>
            <w:tcW w:w="709" w:type="dxa"/>
            <w:vAlign w:val="center"/>
          </w:tcPr>
          <w:p>
            <w:pPr>
              <w:keepNext w:val="0"/>
              <w:keepLines w:val="0"/>
              <w:widowControl/>
              <w:suppressLineNumbers w:val="0"/>
              <w:jc w:val="center"/>
              <w:textAlignment w:val="center"/>
              <w:rPr>
                <w:rFonts w:ascii="Calibri" w:hAnsi="Calibri" w:cs="Calibri"/>
                <w:color w:val="000000"/>
                <w:szCs w:val="16"/>
              </w:rPr>
            </w:pPr>
            <w:r>
              <w:rPr>
                <w:rFonts w:hint="default" w:ascii="Calibri" w:hAnsi="Calibri" w:eastAsia="宋体" w:cs="Calibri"/>
                <w:i w:val="0"/>
                <w:iCs w:val="0"/>
                <w:color w:val="000000"/>
                <w:kern w:val="0"/>
                <w:sz w:val="16"/>
                <w:szCs w:val="16"/>
                <w:u w:val="none"/>
                <w:lang w:val="en-US" w:eastAsia="zh-CN" w:bidi="ar"/>
              </w:rPr>
              <w:t xml:space="preserve">1094 </w:t>
            </w:r>
          </w:p>
        </w:tc>
        <w:tc>
          <w:tcPr>
            <w:tcW w:w="709" w:type="dxa"/>
            <w:vAlign w:val="center"/>
          </w:tcPr>
          <w:p>
            <w:pPr>
              <w:keepNext w:val="0"/>
              <w:keepLines w:val="0"/>
              <w:widowControl/>
              <w:suppressLineNumbers w:val="0"/>
              <w:jc w:val="center"/>
              <w:textAlignment w:val="center"/>
              <w:rPr>
                <w:rFonts w:ascii="Calibri" w:hAnsi="Calibri" w:cs="Calibri"/>
                <w:color w:val="000000"/>
                <w:szCs w:val="16"/>
              </w:rPr>
            </w:pPr>
            <w:r>
              <w:rPr>
                <w:rFonts w:hint="default" w:ascii="Arial" w:hAnsi="Arial" w:eastAsia="宋体" w:cs="Arial"/>
                <w:i w:val="0"/>
                <w:iCs w:val="0"/>
                <w:color w:val="000000"/>
                <w:kern w:val="0"/>
                <w:sz w:val="16"/>
                <w:szCs w:val="16"/>
                <w:u w:val="none"/>
                <w:lang w:val="en-US" w:eastAsia="zh-CN" w:bidi="ar"/>
              </w:rPr>
              <w:t xml:space="preserve">1039 </w:t>
            </w:r>
          </w:p>
        </w:tc>
        <w:tc>
          <w:tcPr>
            <w:tcW w:w="708" w:type="dxa"/>
            <w:vAlign w:val="center"/>
          </w:tcPr>
          <w:p>
            <w:pPr>
              <w:keepNext w:val="0"/>
              <w:keepLines w:val="0"/>
              <w:widowControl/>
              <w:suppressLineNumbers w:val="0"/>
              <w:jc w:val="center"/>
              <w:textAlignment w:val="center"/>
              <w:rPr>
                <w:rFonts w:ascii="Calibri" w:hAnsi="Calibri" w:cs="Calibri"/>
                <w:color w:val="000000"/>
                <w:szCs w:val="16"/>
              </w:rPr>
            </w:pPr>
            <w:r>
              <w:rPr>
                <w:rFonts w:hint="default" w:ascii="Calibri" w:hAnsi="Calibri" w:eastAsia="宋体" w:cs="Calibri"/>
                <w:i w:val="0"/>
                <w:iCs w:val="0"/>
                <w:color w:val="000000"/>
                <w:kern w:val="0"/>
                <w:sz w:val="16"/>
                <w:szCs w:val="16"/>
                <w:u w:val="none"/>
                <w:lang w:val="en-US" w:eastAsia="zh-CN" w:bidi="ar"/>
              </w:rPr>
              <w:t xml:space="preserve">1002 </w:t>
            </w:r>
          </w:p>
        </w:tc>
        <w:tc>
          <w:tcPr>
            <w:tcW w:w="1134" w:type="dxa"/>
            <w:vAlign w:val="center"/>
          </w:tcPr>
          <w:p>
            <w:pPr>
              <w:pStyle w:val="72"/>
              <w:rPr>
                <w:rFonts w:ascii="Calibri" w:hAnsi="Calibri" w:cs="Calibri"/>
                <w:color w:val="000000"/>
                <w:szCs w:val="16"/>
              </w:rPr>
            </w:pPr>
            <w:r>
              <w:rPr>
                <w:rFonts w:hint="eastAsia" w:ascii="Calibri" w:hAnsi="Calibri" w:cs="Calibri"/>
                <w:color w:val="000000"/>
                <w:szCs w:val="16"/>
              </w:rPr>
              <w:t>1</w:t>
            </w:r>
            <w:r>
              <w:rPr>
                <w:rFonts w:ascii="Calibri" w:hAnsi="Calibri" w:cs="Calibri"/>
                <w:color w:val="000000"/>
                <w:szCs w:val="16"/>
              </w:rPr>
              <w:t>858</w:t>
            </w:r>
          </w:p>
        </w:tc>
        <w:tc>
          <w:tcPr>
            <w:tcW w:w="1134" w:type="dxa"/>
            <w:vAlign w:val="center"/>
          </w:tcPr>
          <w:p>
            <w:pPr>
              <w:pStyle w:val="72"/>
              <w:rPr>
                <w:rFonts w:ascii="Calibri" w:hAnsi="Calibri" w:cs="Calibri"/>
                <w:color w:val="000000"/>
                <w:szCs w:val="16"/>
              </w:rPr>
            </w:pPr>
            <w:r>
              <w:rPr>
                <w:rFonts w:ascii="Calibri" w:hAnsi="Calibri" w:cs="Calibri"/>
                <w:color w:val="000000"/>
                <w:szCs w:val="16"/>
              </w:rPr>
              <w:t>M16</w:t>
            </w:r>
          </w:p>
        </w:tc>
        <w:tc>
          <w:tcPr>
            <w:tcW w:w="851" w:type="dxa"/>
            <w:tcMar>
              <w:top w:w="0" w:type="dxa"/>
              <w:left w:w="57" w:type="dxa"/>
              <w:bottom w:w="0" w:type="dxa"/>
              <w:right w:w="57" w:type="dxa"/>
            </w:tcMar>
            <w:vAlign w:val="center"/>
          </w:tcPr>
          <w:p>
            <w:pPr>
              <w:pStyle w:val="72"/>
              <w:rPr>
                <w:rFonts w:ascii="Calibri" w:hAnsi="Calibri" w:cs="Calibri"/>
                <w:color w:val="000000"/>
                <w:szCs w:val="16"/>
              </w:rPr>
            </w:pPr>
            <w:r>
              <w:rPr>
                <w:rFonts w:ascii="Calibri" w:hAnsi="Calibri" w:cs="Calibri"/>
                <w:color w:val="000000"/>
                <w:szCs w:val="16"/>
              </w:rPr>
              <w:t>90</w:t>
            </w:r>
          </w:p>
        </w:tc>
        <w:tc>
          <w:tcPr>
            <w:tcW w:w="991" w:type="dxa"/>
            <w:vAlign w:val="center"/>
          </w:tcPr>
          <w:p>
            <w:pPr>
              <w:pStyle w:val="72"/>
              <w:rPr>
                <w:rFonts w:ascii="Calibri" w:hAnsi="Calibri" w:cs="Calibri"/>
                <w:color w:val="000000"/>
                <w:szCs w:val="16"/>
              </w:rPr>
            </w:pPr>
            <w:r>
              <w:rPr>
                <w:rFonts w:ascii="Calibri" w:hAnsi="Calibri" w:cs="Calibri"/>
                <w:color w:val="000000"/>
                <w:szCs w:val="16"/>
              </w:rPr>
              <w:t>M12</w:t>
            </w:r>
          </w:p>
        </w:tc>
        <w:tc>
          <w:tcPr>
            <w:tcW w:w="851" w:type="dxa"/>
            <w:vAlign w:val="center"/>
          </w:tcPr>
          <w:p>
            <w:pPr>
              <w:pStyle w:val="72"/>
              <w:rPr>
                <w:rFonts w:ascii="Calibri" w:hAnsi="Calibri" w:cs="Calibri"/>
                <w:color w:val="000000"/>
                <w:szCs w:val="16"/>
              </w:rPr>
            </w:pPr>
            <w:r>
              <w:rPr>
                <w:rFonts w:ascii="Calibri" w:hAnsi="Calibri" w:cs="Calibri"/>
                <w:color w:val="000000"/>
                <w:szCs w:val="16"/>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279" w:hRule="atLeast"/>
          <w:jc w:val="right"/>
        </w:trPr>
        <w:tc>
          <w:tcPr>
            <w:tcW w:w="656" w:type="dxa"/>
            <w:vAlign w:val="center"/>
          </w:tcPr>
          <w:p>
            <w:pPr>
              <w:pStyle w:val="72"/>
              <w:rPr>
                <w:rFonts w:hint="eastAsia" w:ascii="Calibri" w:hAnsi="Calibri" w:cs="Calibri"/>
                <w:color w:val="000000"/>
                <w:szCs w:val="16"/>
              </w:rPr>
            </w:pPr>
            <w:r>
              <w:rPr>
                <w:rFonts w:hint="eastAsia" w:ascii="Calibri" w:hAnsi="Calibri" w:cs="Calibri"/>
                <w:color w:val="000000"/>
                <w:szCs w:val="16"/>
              </w:rPr>
              <w:t>8</w:t>
            </w:r>
            <w:r>
              <w:rPr>
                <w:rFonts w:ascii="Calibri" w:hAnsi="Calibri" w:cs="Calibri"/>
                <w:color w:val="000000"/>
                <w:szCs w:val="16"/>
              </w:rPr>
              <w:t>00</w:t>
            </w:r>
          </w:p>
        </w:tc>
        <w:tc>
          <w:tcPr>
            <w:tcW w:w="615" w:type="dxa"/>
            <w:vMerge w:val="continue"/>
            <w:vAlign w:val="center"/>
          </w:tcPr>
          <w:p>
            <w:pPr>
              <w:pStyle w:val="72"/>
            </w:pPr>
          </w:p>
        </w:tc>
        <w:tc>
          <w:tcPr>
            <w:tcW w:w="855" w:type="dxa"/>
            <w:vAlign w:val="center"/>
          </w:tcPr>
          <w:p>
            <w:pPr>
              <w:keepNext w:val="0"/>
              <w:keepLines w:val="0"/>
              <w:widowControl/>
              <w:suppressLineNumbers w:val="0"/>
              <w:jc w:val="center"/>
              <w:textAlignment w:val="center"/>
              <w:rPr>
                <w:rFonts w:hint="eastAsia" w:ascii="Calibri" w:hAnsi="Calibri" w:cs="Calibri"/>
                <w:color w:val="000000"/>
                <w:szCs w:val="16"/>
              </w:rPr>
            </w:pPr>
            <w:r>
              <w:rPr>
                <w:rFonts w:hint="default" w:ascii="Arial" w:hAnsi="Arial" w:eastAsia="宋体" w:cs="Arial"/>
                <w:i w:val="0"/>
                <w:iCs w:val="0"/>
                <w:color w:val="000000"/>
                <w:kern w:val="0"/>
                <w:sz w:val="16"/>
                <w:szCs w:val="16"/>
                <w:u w:val="none"/>
                <w:lang w:val="en-US" w:eastAsia="zh-CN" w:bidi="ar"/>
              </w:rPr>
              <w:t xml:space="preserve">1555 </w:t>
            </w:r>
          </w:p>
        </w:tc>
        <w:tc>
          <w:tcPr>
            <w:tcW w:w="709" w:type="dxa"/>
            <w:vAlign w:val="center"/>
          </w:tcPr>
          <w:p>
            <w:pPr>
              <w:keepNext w:val="0"/>
              <w:keepLines w:val="0"/>
              <w:widowControl/>
              <w:suppressLineNumbers w:val="0"/>
              <w:jc w:val="center"/>
              <w:textAlignment w:val="center"/>
              <w:rPr>
                <w:rFonts w:ascii="Calibri" w:hAnsi="Calibri" w:cs="Calibri"/>
                <w:color w:val="000000"/>
                <w:szCs w:val="16"/>
              </w:rPr>
            </w:pPr>
            <w:r>
              <w:rPr>
                <w:rFonts w:hint="default" w:ascii="Calibri" w:hAnsi="Calibri" w:eastAsia="宋体" w:cs="Calibri"/>
                <w:i w:val="0"/>
                <w:iCs w:val="0"/>
                <w:color w:val="000000"/>
                <w:kern w:val="0"/>
                <w:sz w:val="16"/>
                <w:szCs w:val="16"/>
                <w:u w:val="none"/>
                <w:lang w:val="en-US" w:eastAsia="zh-CN" w:bidi="ar"/>
              </w:rPr>
              <w:t xml:space="preserve">1185 </w:t>
            </w:r>
          </w:p>
        </w:tc>
        <w:tc>
          <w:tcPr>
            <w:tcW w:w="709" w:type="dxa"/>
            <w:vAlign w:val="center"/>
          </w:tcPr>
          <w:p>
            <w:pPr>
              <w:keepNext w:val="0"/>
              <w:keepLines w:val="0"/>
              <w:widowControl/>
              <w:suppressLineNumbers w:val="0"/>
              <w:jc w:val="center"/>
              <w:textAlignment w:val="center"/>
              <w:rPr>
                <w:rFonts w:ascii="Calibri" w:hAnsi="Calibri" w:cs="Calibri"/>
                <w:color w:val="000000"/>
                <w:szCs w:val="16"/>
              </w:rPr>
            </w:pPr>
            <w:r>
              <w:rPr>
                <w:rFonts w:hint="default" w:ascii="Arial" w:hAnsi="Arial" w:eastAsia="宋体" w:cs="Arial"/>
                <w:i w:val="0"/>
                <w:iCs w:val="0"/>
                <w:color w:val="000000"/>
                <w:kern w:val="0"/>
                <w:sz w:val="16"/>
                <w:szCs w:val="16"/>
                <w:u w:val="none"/>
                <w:lang w:val="en-US" w:eastAsia="zh-CN" w:bidi="ar"/>
              </w:rPr>
              <w:t xml:space="preserve">1126 </w:t>
            </w:r>
          </w:p>
        </w:tc>
        <w:tc>
          <w:tcPr>
            <w:tcW w:w="708" w:type="dxa"/>
            <w:vAlign w:val="center"/>
          </w:tcPr>
          <w:p>
            <w:pPr>
              <w:keepNext w:val="0"/>
              <w:keepLines w:val="0"/>
              <w:widowControl/>
              <w:suppressLineNumbers w:val="0"/>
              <w:jc w:val="center"/>
              <w:textAlignment w:val="center"/>
              <w:rPr>
                <w:rFonts w:ascii="Calibri" w:hAnsi="Calibri" w:cs="Calibri"/>
                <w:color w:val="000000"/>
                <w:szCs w:val="16"/>
              </w:rPr>
            </w:pPr>
            <w:r>
              <w:rPr>
                <w:rFonts w:hint="default" w:ascii="Calibri" w:hAnsi="Calibri" w:eastAsia="宋体" w:cs="Calibri"/>
                <w:i w:val="0"/>
                <w:iCs w:val="0"/>
                <w:color w:val="000000"/>
                <w:kern w:val="0"/>
                <w:sz w:val="16"/>
                <w:szCs w:val="16"/>
                <w:u w:val="none"/>
                <w:lang w:val="en-US" w:eastAsia="zh-CN" w:bidi="ar"/>
              </w:rPr>
              <w:t xml:space="preserve">1085 </w:t>
            </w:r>
          </w:p>
        </w:tc>
        <w:tc>
          <w:tcPr>
            <w:tcW w:w="1134" w:type="dxa"/>
            <w:vAlign w:val="center"/>
          </w:tcPr>
          <w:p>
            <w:pPr>
              <w:pStyle w:val="72"/>
              <w:rPr>
                <w:rFonts w:ascii="Calibri" w:hAnsi="Calibri" w:cs="Calibri"/>
                <w:color w:val="000000"/>
                <w:szCs w:val="16"/>
              </w:rPr>
            </w:pPr>
            <w:r>
              <w:rPr>
                <w:rFonts w:hint="eastAsia" w:ascii="Calibri" w:hAnsi="Calibri" w:cs="Calibri"/>
                <w:color w:val="000000"/>
                <w:szCs w:val="16"/>
              </w:rPr>
              <w:t>2</w:t>
            </w:r>
            <w:r>
              <w:rPr>
                <w:rFonts w:ascii="Calibri" w:hAnsi="Calibri" w:cs="Calibri"/>
                <w:color w:val="000000"/>
                <w:szCs w:val="16"/>
              </w:rPr>
              <w:t>064</w:t>
            </w:r>
          </w:p>
        </w:tc>
        <w:tc>
          <w:tcPr>
            <w:tcW w:w="1134" w:type="dxa"/>
            <w:vAlign w:val="center"/>
          </w:tcPr>
          <w:p>
            <w:pPr>
              <w:pStyle w:val="72"/>
              <w:rPr>
                <w:rFonts w:ascii="Calibri" w:hAnsi="Calibri" w:cs="Calibri"/>
                <w:color w:val="000000"/>
                <w:szCs w:val="16"/>
              </w:rPr>
            </w:pPr>
            <w:r>
              <w:rPr>
                <w:rFonts w:ascii="Calibri" w:hAnsi="Calibri" w:cs="Calibri"/>
                <w:color w:val="000000"/>
                <w:szCs w:val="16"/>
              </w:rPr>
              <w:t>M16</w:t>
            </w:r>
          </w:p>
        </w:tc>
        <w:tc>
          <w:tcPr>
            <w:tcW w:w="851" w:type="dxa"/>
            <w:tcMar>
              <w:top w:w="0" w:type="dxa"/>
              <w:left w:w="57" w:type="dxa"/>
              <w:bottom w:w="0" w:type="dxa"/>
              <w:right w:w="57" w:type="dxa"/>
            </w:tcMar>
            <w:vAlign w:val="center"/>
          </w:tcPr>
          <w:p>
            <w:pPr>
              <w:pStyle w:val="72"/>
              <w:rPr>
                <w:rFonts w:ascii="Calibri" w:hAnsi="Calibri" w:cs="Calibri"/>
                <w:color w:val="000000"/>
                <w:szCs w:val="16"/>
              </w:rPr>
            </w:pPr>
            <w:r>
              <w:rPr>
                <w:rFonts w:ascii="Calibri" w:hAnsi="Calibri" w:cs="Calibri"/>
                <w:color w:val="000000"/>
                <w:szCs w:val="16"/>
              </w:rPr>
              <w:t>90</w:t>
            </w:r>
          </w:p>
        </w:tc>
        <w:tc>
          <w:tcPr>
            <w:tcW w:w="991" w:type="dxa"/>
            <w:vAlign w:val="center"/>
          </w:tcPr>
          <w:p>
            <w:pPr>
              <w:pStyle w:val="72"/>
              <w:rPr>
                <w:rFonts w:ascii="Calibri" w:hAnsi="Calibri" w:cs="Calibri"/>
                <w:color w:val="000000"/>
                <w:szCs w:val="16"/>
              </w:rPr>
            </w:pPr>
            <w:r>
              <w:rPr>
                <w:rFonts w:ascii="Calibri" w:hAnsi="Calibri" w:cs="Calibri"/>
                <w:color w:val="000000"/>
                <w:szCs w:val="16"/>
              </w:rPr>
              <w:t>M12</w:t>
            </w:r>
          </w:p>
        </w:tc>
        <w:tc>
          <w:tcPr>
            <w:tcW w:w="851" w:type="dxa"/>
            <w:vAlign w:val="center"/>
          </w:tcPr>
          <w:p>
            <w:pPr>
              <w:pStyle w:val="72"/>
              <w:rPr>
                <w:rFonts w:ascii="Calibri" w:hAnsi="Calibri" w:cs="Calibri"/>
                <w:color w:val="000000"/>
                <w:szCs w:val="16"/>
              </w:rPr>
            </w:pPr>
            <w:r>
              <w:rPr>
                <w:rFonts w:ascii="Calibri" w:hAnsi="Calibri" w:cs="Calibri"/>
                <w:color w:val="000000"/>
                <w:szCs w:val="16"/>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187" w:hRule="atLeast"/>
          <w:jc w:val="right"/>
        </w:trPr>
        <w:tc>
          <w:tcPr>
            <w:tcW w:w="9213" w:type="dxa"/>
            <w:gridSpan w:val="11"/>
            <w:vAlign w:val="center"/>
          </w:tcPr>
          <w:p>
            <w:pPr>
              <w:pStyle w:val="73"/>
            </w:pPr>
            <w:r>
              <w:rPr>
                <w:rFonts w:hint="eastAsia"/>
              </w:rPr>
              <w:t>注：</w:t>
            </w:r>
          </w:p>
          <w:p>
            <w:pPr>
              <w:pStyle w:val="73"/>
            </w:pPr>
            <w:r>
              <w:rPr>
                <w:rFonts w:hint="eastAsia"/>
              </w:rPr>
              <w:t>1．主路输入低压满载的最大电流；</w:t>
            </w:r>
          </w:p>
          <w:p>
            <w:pPr>
              <w:pStyle w:val="73"/>
            </w:pPr>
            <w:r>
              <w:rPr>
                <w:rFonts w:hint="eastAsia"/>
              </w:rPr>
              <w:t>2．</w:t>
            </w:r>
            <w:r>
              <w:rPr>
                <w:rFonts w:hint="eastAsia" w:ascii="宋体" w:cs="宋体"/>
                <w:szCs w:val="21"/>
              </w:rPr>
              <w:t>主要负载为非线性负载时，输出</w:t>
            </w:r>
            <w:r>
              <w:rPr>
                <w:rFonts w:ascii="Times New Roman" w:hAnsi="Times New Roman"/>
                <w:szCs w:val="21"/>
              </w:rPr>
              <w:t>N</w:t>
            </w:r>
            <w:r>
              <w:rPr>
                <w:rFonts w:hint="eastAsia" w:ascii="宋体" w:cs="宋体"/>
                <w:szCs w:val="21"/>
              </w:rPr>
              <w:t>线截面需要增大到1.5～1.7倍</w:t>
            </w:r>
            <w:r>
              <w:rPr>
                <w:rFonts w:hint="eastAsia"/>
              </w:rPr>
              <w:t>；</w:t>
            </w:r>
          </w:p>
          <w:p>
            <w:pPr>
              <w:pStyle w:val="73"/>
            </w:pPr>
            <w:r>
              <w:t>3</w:t>
            </w:r>
            <w:r>
              <w:rPr>
                <w:rFonts w:hint="eastAsia"/>
              </w:rPr>
              <w:t>．</w:t>
            </w:r>
            <w:r>
              <w:t>计算值为</w:t>
            </w:r>
            <w:r>
              <w:rPr>
                <w:rFonts w:hint="eastAsia"/>
              </w:rPr>
              <w:t>标称</w:t>
            </w:r>
            <w:r>
              <w:t>的电池节数</w:t>
            </w:r>
            <w:r>
              <w:rPr>
                <w:rFonts w:hint="eastAsia"/>
              </w:rPr>
              <w:t>4</w:t>
            </w:r>
            <w:r>
              <w:t>0节</w:t>
            </w:r>
            <w:r>
              <w:rPr>
                <w:rFonts w:hint="eastAsia"/>
              </w:rPr>
              <w:t>，</w:t>
            </w:r>
            <w:r>
              <w:t>电池放电到单体</w:t>
            </w:r>
            <w:r>
              <w:rPr>
                <w:rFonts w:hint="eastAsia"/>
              </w:rPr>
              <w:t>1.7</w:t>
            </w:r>
            <w:r>
              <w:t>V时的最大电流</w:t>
            </w:r>
          </w:p>
        </w:tc>
      </w:tr>
    </w:tbl>
    <w:p>
      <w:pPr>
        <w:pStyle w:val="5"/>
        <w:numPr>
          <w:ilvl w:val="2"/>
          <w:numId w:val="4"/>
        </w:numPr>
      </w:pPr>
      <w:bookmarkStart w:id="236" w:name="_Toc23251031"/>
      <w:bookmarkStart w:id="237" w:name="_Toc1327"/>
      <w:bookmarkStart w:id="238" w:name="_Toc212951974"/>
      <w:bookmarkStart w:id="239" w:name="_Toc181776151"/>
      <w:bookmarkStart w:id="240" w:name="_Toc181760585"/>
      <w:r>
        <w:rPr>
          <w:rFonts w:hint="eastAsia"/>
        </w:rPr>
        <w:t>线缆距离机柜的最小距离</w:t>
      </w:r>
      <w:bookmarkEnd w:id="236"/>
      <w:bookmarkEnd w:id="237"/>
    </w:p>
    <w:p>
      <w:pPr>
        <w:pStyle w:val="3"/>
      </w:pPr>
      <w:r>
        <w:rPr>
          <w:rFonts w:hint="eastAsia"/>
        </w:rPr>
        <w:t>UPS连接点距机柜底部位置及距机柜顶部位置的最小距离见表3</w:t>
      </w:r>
      <w:r>
        <w:t>-</w:t>
      </w:r>
      <w:r>
        <w:rPr>
          <w:rFonts w:hint="eastAsia"/>
        </w:rPr>
        <w:t>2。</w:t>
      </w:r>
    </w:p>
    <w:p>
      <w:pPr>
        <w:pStyle w:val="194"/>
        <w:numPr>
          <w:ilvl w:val="5"/>
          <w:numId w:val="4"/>
        </w:numPr>
        <w:rPr>
          <w:szCs w:val="22"/>
        </w:rPr>
      </w:pPr>
      <w:r>
        <w:rPr>
          <w:rFonts w:hint="eastAsia"/>
          <w:szCs w:val="22"/>
        </w:rPr>
        <w:t>UPS连接点距机柜顶部及底部的最小距离</w:t>
      </w:r>
    </w:p>
    <w:tbl>
      <w:tblPr>
        <w:tblStyle w:val="50"/>
        <w:tblW w:w="9219" w:type="dxa"/>
        <w:jc w:val="right"/>
        <w:tblLayout w:type="fixed"/>
        <w:tblCellMar>
          <w:top w:w="0" w:type="dxa"/>
          <w:left w:w="108" w:type="dxa"/>
          <w:bottom w:w="0" w:type="dxa"/>
          <w:right w:w="108" w:type="dxa"/>
        </w:tblCellMar>
      </w:tblPr>
      <w:tblGrid>
        <w:gridCol w:w="2019"/>
        <w:gridCol w:w="1199"/>
        <w:gridCol w:w="1199"/>
        <w:gridCol w:w="1134"/>
        <w:gridCol w:w="1134"/>
        <w:gridCol w:w="1134"/>
        <w:gridCol w:w="1400"/>
      </w:tblGrid>
      <w:tr>
        <w:tblPrEx>
          <w:tblCellMar>
            <w:top w:w="0" w:type="dxa"/>
            <w:left w:w="108" w:type="dxa"/>
            <w:bottom w:w="0" w:type="dxa"/>
            <w:right w:w="108" w:type="dxa"/>
          </w:tblCellMar>
        </w:tblPrEx>
        <w:trPr>
          <w:trHeight w:val="285" w:hRule="atLeast"/>
          <w:jc w:val="right"/>
        </w:trPr>
        <w:tc>
          <w:tcPr>
            <w:tcW w:w="2019" w:type="dxa"/>
            <w:vMerge w:val="restart"/>
            <w:tcBorders>
              <w:top w:val="single" w:color="auto" w:sz="8" w:space="0"/>
              <w:left w:val="single" w:color="auto" w:sz="8" w:space="0"/>
              <w:right w:val="single" w:color="auto" w:sz="8" w:space="0"/>
            </w:tcBorders>
            <w:shd w:val="clear" w:color="000000" w:fill="D9D9D9"/>
            <w:vAlign w:val="center"/>
          </w:tcPr>
          <w:p>
            <w:pPr>
              <w:ind w:firstLine="320" w:firstLineChars="200"/>
              <w:jc w:val="center"/>
              <w:rPr>
                <w:rFonts w:ascii="Arial" w:hAnsi="Arial" w:cs="Arial"/>
                <w:kern w:val="0"/>
                <w:sz w:val="16"/>
                <w:szCs w:val="16"/>
              </w:rPr>
            </w:pPr>
            <w:r>
              <w:rPr>
                <w:rFonts w:ascii="Arial" w:hAnsi="Arial" w:cs="Arial"/>
                <w:kern w:val="0"/>
                <w:sz w:val="16"/>
                <w:szCs w:val="16"/>
              </w:rPr>
              <w:t>UPS</w:t>
            </w:r>
            <w:r>
              <w:rPr>
                <w:rFonts w:hint="eastAsia" w:ascii="Arial" w:hAnsi="Arial" w:cs="Arial"/>
                <w:kern w:val="0"/>
                <w:sz w:val="16"/>
                <w:szCs w:val="16"/>
              </w:rPr>
              <w:t>连接点</w:t>
            </w:r>
          </w:p>
        </w:tc>
        <w:tc>
          <w:tcPr>
            <w:tcW w:w="7200" w:type="dxa"/>
            <w:gridSpan w:val="6"/>
            <w:tcBorders>
              <w:top w:val="single" w:color="auto" w:sz="8" w:space="0"/>
              <w:left w:val="nil"/>
              <w:bottom w:val="single" w:color="auto" w:sz="8" w:space="0"/>
              <w:right w:val="single" w:color="000000" w:sz="8" w:space="0"/>
            </w:tcBorders>
            <w:shd w:val="clear" w:color="000000" w:fill="D9D9D9"/>
            <w:vAlign w:val="center"/>
          </w:tcPr>
          <w:p>
            <w:pPr>
              <w:jc w:val="center"/>
              <w:rPr>
                <w:rFonts w:ascii="黑体" w:hAnsi="黑体" w:eastAsia="黑体" w:cs="宋体"/>
                <w:kern w:val="0"/>
                <w:sz w:val="16"/>
                <w:szCs w:val="16"/>
              </w:rPr>
            </w:pPr>
            <w:r>
              <w:rPr>
                <w:rFonts w:hint="eastAsia" w:ascii="黑体" w:hAnsi="黑体" w:eastAsia="黑体" w:cs="宋体"/>
                <w:kern w:val="0"/>
                <w:sz w:val="16"/>
                <w:szCs w:val="16"/>
              </w:rPr>
              <w:t>最小距离（</w:t>
            </w:r>
            <w:r>
              <w:rPr>
                <w:rFonts w:ascii="黑体" w:hAnsi="黑体" w:eastAsia="黑体" w:cs="宋体"/>
                <w:kern w:val="0"/>
                <w:sz w:val="16"/>
                <w:szCs w:val="16"/>
              </w:rPr>
              <w:t>mm</w:t>
            </w:r>
            <w:r>
              <w:rPr>
                <w:rFonts w:hint="eastAsia" w:ascii="黑体" w:hAnsi="黑体" w:eastAsia="黑体" w:cs="宋体"/>
                <w:kern w:val="0"/>
                <w:sz w:val="16"/>
                <w:szCs w:val="16"/>
              </w:rPr>
              <w:t>）</w:t>
            </w:r>
          </w:p>
        </w:tc>
      </w:tr>
      <w:tr>
        <w:tblPrEx>
          <w:tblCellMar>
            <w:top w:w="0" w:type="dxa"/>
            <w:left w:w="108" w:type="dxa"/>
            <w:bottom w:w="0" w:type="dxa"/>
            <w:right w:w="108" w:type="dxa"/>
          </w:tblCellMar>
        </w:tblPrEx>
        <w:trPr>
          <w:trHeight w:val="285" w:hRule="atLeast"/>
          <w:jc w:val="right"/>
        </w:trPr>
        <w:tc>
          <w:tcPr>
            <w:tcW w:w="2019" w:type="dxa"/>
            <w:vMerge w:val="continue"/>
            <w:tcBorders>
              <w:left w:val="single" w:color="auto" w:sz="8" w:space="0"/>
              <w:right w:val="single" w:color="auto" w:sz="8" w:space="0"/>
            </w:tcBorders>
            <w:shd w:val="clear" w:color="auto" w:fill="auto"/>
            <w:vAlign w:val="center"/>
          </w:tcPr>
          <w:p>
            <w:pPr>
              <w:jc w:val="center"/>
              <w:rPr>
                <w:rFonts w:ascii="Arial" w:hAnsi="Arial" w:cs="Arial"/>
                <w:kern w:val="0"/>
                <w:sz w:val="16"/>
                <w:szCs w:val="16"/>
              </w:rPr>
            </w:pPr>
          </w:p>
        </w:tc>
        <w:tc>
          <w:tcPr>
            <w:tcW w:w="2398" w:type="dxa"/>
            <w:gridSpan w:val="2"/>
            <w:tcBorders>
              <w:top w:val="single" w:color="auto" w:sz="8" w:space="0"/>
              <w:left w:val="nil"/>
              <w:bottom w:val="single" w:color="auto" w:sz="8" w:space="0"/>
              <w:right w:val="single" w:color="000000" w:sz="8" w:space="0"/>
            </w:tcBorders>
            <w:shd w:val="clear" w:color="000000" w:fill="D9D9D9"/>
            <w:vAlign w:val="center"/>
          </w:tcPr>
          <w:p>
            <w:pPr>
              <w:jc w:val="center"/>
              <w:rPr>
                <w:rFonts w:ascii="黑体" w:hAnsi="黑体" w:eastAsia="黑体" w:cs="黑体"/>
                <w:kern w:val="0"/>
                <w:sz w:val="18"/>
                <w:szCs w:val="18"/>
              </w:rPr>
            </w:pPr>
            <w:r>
              <w:rPr>
                <w:rFonts w:ascii="黑体" w:hAnsi="黑体" w:eastAsia="黑体" w:cs="黑体"/>
                <w:sz w:val="18"/>
                <w:szCs w:val="18"/>
              </w:rPr>
              <w:t>5</w:t>
            </w:r>
            <w:r>
              <w:rPr>
                <w:rFonts w:hint="eastAsia" w:ascii="黑体" w:hAnsi="黑体" w:eastAsia="黑体" w:cs="黑体"/>
                <w:sz w:val="18"/>
                <w:szCs w:val="18"/>
              </w:rPr>
              <w:t>模块机柜</w:t>
            </w:r>
          </w:p>
        </w:tc>
        <w:tc>
          <w:tcPr>
            <w:tcW w:w="1134" w:type="dxa"/>
            <w:tcBorders>
              <w:top w:val="single" w:color="auto" w:sz="8" w:space="0"/>
              <w:left w:val="nil"/>
              <w:bottom w:val="single" w:color="auto" w:sz="8" w:space="0"/>
              <w:right w:val="single" w:color="000000" w:sz="8" w:space="0"/>
            </w:tcBorders>
            <w:shd w:val="clear" w:color="000000" w:fill="D9D9D9"/>
            <w:vAlign w:val="center"/>
          </w:tcPr>
          <w:p>
            <w:pPr>
              <w:jc w:val="center"/>
              <w:rPr>
                <w:rFonts w:ascii="黑体" w:hAnsi="黑体" w:eastAsia="黑体" w:cs="黑体"/>
                <w:kern w:val="0"/>
                <w:sz w:val="18"/>
                <w:szCs w:val="18"/>
              </w:rPr>
            </w:pPr>
            <w:r>
              <w:rPr>
                <w:rFonts w:hint="eastAsia" w:ascii="黑体" w:hAnsi="黑体" w:eastAsia="黑体" w:cs="黑体"/>
                <w:sz w:val="18"/>
                <w:szCs w:val="18"/>
              </w:rPr>
              <w:t>7模块机柜</w:t>
            </w:r>
          </w:p>
        </w:tc>
        <w:tc>
          <w:tcPr>
            <w:tcW w:w="2268" w:type="dxa"/>
            <w:gridSpan w:val="2"/>
            <w:tcBorders>
              <w:top w:val="single" w:color="auto" w:sz="8" w:space="0"/>
              <w:left w:val="nil"/>
              <w:bottom w:val="single" w:color="auto" w:sz="8" w:space="0"/>
              <w:right w:val="single" w:color="000000" w:sz="8" w:space="0"/>
            </w:tcBorders>
            <w:shd w:val="clear" w:color="000000" w:fill="D9D9D9"/>
            <w:vAlign w:val="center"/>
          </w:tcPr>
          <w:p>
            <w:pPr>
              <w:jc w:val="center"/>
              <w:rPr>
                <w:rFonts w:ascii="黑体" w:hAnsi="黑体" w:eastAsia="黑体" w:cs="黑体"/>
                <w:kern w:val="0"/>
                <w:sz w:val="18"/>
                <w:szCs w:val="18"/>
              </w:rPr>
            </w:pPr>
            <w:r>
              <w:rPr>
                <w:rFonts w:hint="eastAsia" w:ascii="黑体" w:hAnsi="黑体" w:eastAsia="黑体" w:cs="黑体"/>
                <w:sz w:val="18"/>
                <w:szCs w:val="18"/>
              </w:rPr>
              <w:t>12模块机柜</w:t>
            </w:r>
          </w:p>
        </w:tc>
        <w:tc>
          <w:tcPr>
            <w:tcW w:w="1400" w:type="dxa"/>
            <w:tcBorders>
              <w:top w:val="single" w:color="auto" w:sz="8" w:space="0"/>
              <w:left w:val="nil"/>
              <w:bottom w:val="single" w:color="auto" w:sz="8" w:space="0"/>
              <w:right w:val="single" w:color="000000" w:sz="8" w:space="0"/>
            </w:tcBorders>
            <w:shd w:val="clear" w:color="000000" w:fill="D9D9D9"/>
          </w:tcPr>
          <w:p>
            <w:pPr>
              <w:jc w:val="center"/>
              <w:rPr>
                <w:rFonts w:ascii="黑体" w:hAnsi="黑体" w:eastAsia="黑体" w:cs="黑体"/>
                <w:sz w:val="18"/>
                <w:szCs w:val="18"/>
              </w:rPr>
            </w:pPr>
            <w:r>
              <w:rPr>
                <w:rFonts w:hint="eastAsia" w:ascii="黑体" w:hAnsi="黑体" w:eastAsia="黑体" w:cs="黑体"/>
                <w:sz w:val="18"/>
                <w:szCs w:val="18"/>
              </w:rPr>
              <w:t>1</w:t>
            </w:r>
            <w:r>
              <w:rPr>
                <w:rFonts w:ascii="黑体" w:hAnsi="黑体" w:eastAsia="黑体" w:cs="黑体"/>
                <w:sz w:val="18"/>
                <w:szCs w:val="18"/>
              </w:rPr>
              <w:t>4</w:t>
            </w:r>
            <w:r>
              <w:rPr>
                <w:rFonts w:hint="eastAsia" w:ascii="黑体" w:hAnsi="黑体" w:eastAsia="黑体" w:cs="黑体"/>
                <w:sz w:val="18"/>
                <w:szCs w:val="18"/>
              </w:rPr>
              <w:t>模块机柜</w:t>
            </w:r>
          </w:p>
        </w:tc>
      </w:tr>
      <w:tr>
        <w:tblPrEx>
          <w:tblCellMar>
            <w:top w:w="0" w:type="dxa"/>
            <w:left w:w="108" w:type="dxa"/>
            <w:bottom w:w="0" w:type="dxa"/>
            <w:right w:w="108" w:type="dxa"/>
          </w:tblCellMar>
        </w:tblPrEx>
        <w:trPr>
          <w:trHeight w:val="285" w:hRule="atLeast"/>
          <w:jc w:val="right"/>
        </w:trPr>
        <w:tc>
          <w:tcPr>
            <w:tcW w:w="2019" w:type="dxa"/>
            <w:vMerge w:val="continue"/>
            <w:tcBorders>
              <w:left w:val="single" w:color="auto" w:sz="8" w:space="0"/>
              <w:bottom w:val="single" w:color="auto" w:sz="8" w:space="0"/>
              <w:right w:val="single" w:color="auto" w:sz="8" w:space="0"/>
            </w:tcBorders>
            <w:shd w:val="clear" w:color="000000" w:fill="D9D9D9"/>
            <w:vAlign w:val="center"/>
          </w:tcPr>
          <w:p>
            <w:pPr>
              <w:jc w:val="center"/>
              <w:rPr>
                <w:rFonts w:ascii="Arial" w:hAnsi="Arial" w:cs="Arial"/>
                <w:kern w:val="0"/>
                <w:sz w:val="16"/>
                <w:szCs w:val="16"/>
              </w:rPr>
            </w:pPr>
          </w:p>
        </w:tc>
        <w:tc>
          <w:tcPr>
            <w:tcW w:w="1199" w:type="dxa"/>
            <w:tcBorders>
              <w:top w:val="nil"/>
              <w:left w:val="nil"/>
              <w:bottom w:val="single" w:color="auto" w:sz="8" w:space="0"/>
              <w:right w:val="single" w:color="auto" w:sz="8" w:space="0"/>
            </w:tcBorders>
            <w:shd w:val="clear" w:color="000000" w:fill="D9D9D9"/>
            <w:vAlign w:val="center"/>
          </w:tcPr>
          <w:p>
            <w:pPr>
              <w:jc w:val="center"/>
              <w:rPr>
                <w:rFonts w:ascii="黑体" w:hAnsi="黑体" w:eastAsia="黑体" w:cs="宋体"/>
                <w:kern w:val="0"/>
                <w:sz w:val="16"/>
                <w:szCs w:val="16"/>
              </w:rPr>
            </w:pPr>
            <w:r>
              <w:rPr>
                <w:rFonts w:hint="eastAsia" w:ascii="黑体" w:hAnsi="黑体" w:eastAsia="黑体" w:cs="宋体"/>
                <w:kern w:val="0"/>
                <w:sz w:val="16"/>
                <w:szCs w:val="16"/>
              </w:rPr>
              <w:t>距顶部</w:t>
            </w:r>
          </w:p>
        </w:tc>
        <w:tc>
          <w:tcPr>
            <w:tcW w:w="1199" w:type="dxa"/>
            <w:tcBorders>
              <w:top w:val="nil"/>
              <w:left w:val="nil"/>
              <w:bottom w:val="single" w:color="auto" w:sz="8" w:space="0"/>
              <w:right w:val="single" w:color="auto" w:sz="8" w:space="0"/>
            </w:tcBorders>
            <w:shd w:val="clear" w:color="000000" w:fill="D9D9D9"/>
            <w:vAlign w:val="center"/>
          </w:tcPr>
          <w:p>
            <w:pPr>
              <w:jc w:val="center"/>
              <w:rPr>
                <w:rFonts w:ascii="黑体" w:hAnsi="黑体" w:eastAsia="黑体" w:cs="宋体"/>
                <w:kern w:val="0"/>
                <w:sz w:val="16"/>
                <w:szCs w:val="16"/>
              </w:rPr>
            </w:pPr>
            <w:r>
              <w:rPr>
                <w:rFonts w:hint="eastAsia" w:ascii="黑体" w:hAnsi="黑体" w:eastAsia="黑体" w:cs="宋体"/>
                <w:kern w:val="0"/>
                <w:sz w:val="16"/>
                <w:szCs w:val="16"/>
              </w:rPr>
              <w:t>距底部</w:t>
            </w:r>
          </w:p>
        </w:tc>
        <w:tc>
          <w:tcPr>
            <w:tcW w:w="1134" w:type="dxa"/>
            <w:tcBorders>
              <w:top w:val="nil"/>
              <w:left w:val="nil"/>
              <w:bottom w:val="single" w:color="auto" w:sz="8" w:space="0"/>
              <w:right w:val="single" w:color="auto" w:sz="8" w:space="0"/>
            </w:tcBorders>
            <w:shd w:val="clear" w:color="000000" w:fill="D9D9D9"/>
            <w:vAlign w:val="center"/>
          </w:tcPr>
          <w:p>
            <w:pPr>
              <w:jc w:val="center"/>
              <w:rPr>
                <w:rFonts w:ascii="黑体" w:hAnsi="黑体" w:eastAsia="黑体" w:cs="宋体"/>
                <w:kern w:val="0"/>
                <w:sz w:val="16"/>
                <w:szCs w:val="16"/>
              </w:rPr>
            </w:pPr>
            <w:r>
              <w:rPr>
                <w:rFonts w:hint="eastAsia" w:ascii="黑体" w:hAnsi="黑体" w:eastAsia="黑体" w:cs="宋体"/>
                <w:kern w:val="0"/>
                <w:sz w:val="16"/>
                <w:szCs w:val="16"/>
              </w:rPr>
              <w:t>距顶部</w:t>
            </w:r>
          </w:p>
        </w:tc>
        <w:tc>
          <w:tcPr>
            <w:tcW w:w="1134" w:type="dxa"/>
            <w:tcBorders>
              <w:top w:val="nil"/>
              <w:left w:val="nil"/>
              <w:bottom w:val="single" w:color="auto" w:sz="8" w:space="0"/>
              <w:right w:val="single" w:color="auto" w:sz="8" w:space="0"/>
            </w:tcBorders>
            <w:shd w:val="clear" w:color="000000" w:fill="D9D9D9"/>
            <w:vAlign w:val="center"/>
          </w:tcPr>
          <w:p>
            <w:pPr>
              <w:jc w:val="center"/>
              <w:rPr>
                <w:rFonts w:ascii="黑体" w:hAnsi="黑体" w:eastAsia="黑体" w:cs="宋体"/>
                <w:kern w:val="0"/>
                <w:sz w:val="16"/>
                <w:szCs w:val="16"/>
              </w:rPr>
            </w:pPr>
            <w:r>
              <w:rPr>
                <w:rFonts w:hint="eastAsia" w:ascii="黑体" w:hAnsi="黑体" w:eastAsia="黑体" w:cs="宋体"/>
                <w:kern w:val="0"/>
                <w:sz w:val="16"/>
                <w:szCs w:val="16"/>
              </w:rPr>
              <w:t>距顶部</w:t>
            </w:r>
          </w:p>
        </w:tc>
        <w:tc>
          <w:tcPr>
            <w:tcW w:w="1134" w:type="dxa"/>
            <w:tcBorders>
              <w:top w:val="nil"/>
              <w:left w:val="nil"/>
              <w:bottom w:val="single" w:color="auto" w:sz="8" w:space="0"/>
              <w:right w:val="single" w:color="auto" w:sz="8" w:space="0"/>
            </w:tcBorders>
            <w:shd w:val="clear" w:color="000000" w:fill="D9D9D9"/>
            <w:vAlign w:val="center"/>
          </w:tcPr>
          <w:p>
            <w:pPr>
              <w:jc w:val="center"/>
              <w:rPr>
                <w:rFonts w:ascii="黑体" w:hAnsi="黑体" w:eastAsia="黑体" w:cs="宋体"/>
                <w:kern w:val="0"/>
                <w:sz w:val="16"/>
                <w:szCs w:val="16"/>
              </w:rPr>
            </w:pPr>
            <w:r>
              <w:rPr>
                <w:rFonts w:hint="eastAsia" w:ascii="黑体" w:hAnsi="黑体" w:eastAsia="黑体" w:cs="宋体"/>
                <w:kern w:val="0"/>
                <w:sz w:val="16"/>
                <w:szCs w:val="16"/>
              </w:rPr>
              <w:t>距底部</w:t>
            </w:r>
          </w:p>
        </w:tc>
        <w:tc>
          <w:tcPr>
            <w:tcW w:w="1400" w:type="dxa"/>
            <w:tcBorders>
              <w:top w:val="nil"/>
              <w:left w:val="nil"/>
              <w:bottom w:val="single" w:color="auto" w:sz="8" w:space="0"/>
              <w:right w:val="single" w:color="auto" w:sz="8" w:space="0"/>
            </w:tcBorders>
            <w:shd w:val="clear" w:color="000000" w:fill="D9D9D9"/>
          </w:tcPr>
          <w:p>
            <w:pPr>
              <w:jc w:val="center"/>
              <w:rPr>
                <w:rFonts w:ascii="黑体" w:hAnsi="黑体" w:eastAsia="黑体" w:cs="宋体"/>
                <w:kern w:val="0"/>
                <w:sz w:val="16"/>
                <w:szCs w:val="16"/>
              </w:rPr>
            </w:pPr>
            <w:r>
              <w:rPr>
                <w:rFonts w:hint="eastAsia" w:ascii="黑体" w:hAnsi="黑体" w:eastAsia="黑体" w:cs="宋体"/>
                <w:kern w:val="0"/>
                <w:sz w:val="16"/>
                <w:szCs w:val="16"/>
              </w:rPr>
              <w:t>距顶部</w:t>
            </w:r>
          </w:p>
        </w:tc>
      </w:tr>
      <w:tr>
        <w:tblPrEx>
          <w:tblCellMar>
            <w:top w:w="0" w:type="dxa"/>
            <w:left w:w="108" w:type="dxa"/>
            <w:bottom w:w="0" w:type="dxa"/>
            <w:right w:w="108" w:type="dxa"/>
          </w:tblCellMar>
        </w:tblPrEx>
        <w:trPr>
          <w:trHeight w:val="211" w:hRule="atLeast"/>
          <w:jc w:val="right"/>
        </w:trPr>
        <w:tc>
          <w:tcPr>
            <w:tcW w:w="2019" w:type="dxa"/>
            <w:tcBorders>
              <w:top w:val="nil"/>
              <w:left w:val="single" w:color="auto" w:sz="8" w:space="0"/>
              <w:bottom w:val="single" w:color="auto" w:sz="8" w:space="0"/>
              <w:right w:val="single" w:color="auto" w:sz="8" w:space="0"/>
            </w:tcBorders>
            <w:vAlign w:val="center"/>
          </w:tcPr>
          <w:p>
            <w:pPr>
              <w:jc w:val="center"/>
              <w:rPr>
                <w:rFonts w:ascii="宋体" w:hAnsi="宋体" w:cs="宋体"/>
                <w:kern w:val="0"/>
                <w:sz w:val="16"/>
                <w:szCs w:val="16"/>
              </w:rPr>
            </w:pPr>
            <w:r>
              <w:rPr>
                <w:rFonts w:hint="eastAsia" w:ascii="宋体" w:hAnsi="宋体" w:cs="宋体"/>
                <w:kern w:val="0"/>
                <w:sz w:val="16"/>
                <w:szCs w:val="16"/>
              </w:rPr>
              <w:t>主路输入</w:t>
            </w:r>
          </w:p>
        </w:tc>
        <w:tc>
          <w:tcPr>
            <w:tcW w:w="1199"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1570</w:t>
            </w:r>
          </w:p>
        </w:tc>
        <w:tc>
          <w:tcPr>
            <w:tcW w:w="1199"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430</w:t>
            </w:r>
          </w:p>
        </w:tc>
        <w:tc>
          <w:tcPr>
            <w:tcW w:w="1134"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270</w:t>
            </w:r>
          </w:p>
        </w:tc>
        <w:tc>
          <w:tcPr>
            <w:tcW w:w="1134"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lang w:val="en-GB"/>
              </w:rPr>
              <w:t>570</w:t>
            </w:r>
          </w:p>
        </w:tc>
        <w:tc>
          <w:tcPr>
            <w:tcW w:w="1134"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lang w:val="en-GB"/>
              </w:rPr>
              <w:t>1430</w:t>
            </w:r>
          </w:p>
        </w:tc>
        <w:tc>
          <w:tcPr>
            <w:tcW w:w="1400" w:type="dxa"/>
            <w:tcBorders>
              <w:left w:val="nil"/>
              <w:bottom w:val="single" w:color="auto" w:sz="8" w:space="0"/>
              <w:right w:val="single" w:color="auto" w:sz="8" w:space="0"/>
            </w:tcBorders>
          </w:tcPr>
          <w:p>
            <w:pPr>
              <w:jc w:val="center"/>
              <w:rPr>
                <w:kern w:val="0"/>
                <w:sz w:val="16"/>
                <w:szCs w:val="16"/>
                <w:lang w:val="en-GB"/>
              </w:rPr>
            </w:pPr>
            <w:r>
              <w:rPr>
                <w:rFonts w:hint="eastAsia"/>
                <w:kern w:val="0"/>
                <w:sz w:val="16"/>
                <w:szCs w:val="16"/>
                <w:lang w:val="en-GB"/>
              </w:rPr>
              <w:t>3</w:t>
            </w:r>
            <w:r>
              <w:rPr>
                <w:kern w:val="0"/>
                <w:sz w:val="16"/>
                <w:szCs w:val="16"/>
                <w:lang w:val="en-GB"/>
              </w:rPr>
              <w:t>40</w:t>
            </w:r>
          </w:p>
        </w:tc>
      </w:tr>
      <w:tr>
        <w:tblPrEx>
          <w:tblCellMar>
            <w:top w:w="0" w:type="dxa"/>
            <w:left w:w="108" w:type="dxa"/>
            <w:bottom w:w="0" w:type="dxa"/>
            <w:right w:w="108" w:type="dxa"/>
          </w:tblCellMar>
        </w:tblPrEx>
        <w:trPr>
          <w:trHeight w:val="211" w:hRule="atLeast"/>
          <w:jc w:val="right"/>
        </w:trPr>
        <w:tc>
          <w:tcPr>
            <w:tcW w:w="2019" w:type="dxa"/>
            <w:tcBorders>
              <w:top w:val="nil"/>
              <w:left w:val="single" w:color="auto" w:sz="8" w:space="0"/>
              <w:bottom w:val="single" w:color="auto" w:sz="8" w:space="0"/>
              <w:right w:val="single" w:color="auto" w:sz="8" w:space="0"/>
            </w:tcBorders>
            <w:vAlign w:val="center"/>
          </w:tcPr>
          <w:p>
            <w:pPr>
              <w:jc w:val="center"/>
              <w:rPr>
                <w:rFonts w:ascii="宋体" w:hAnsi="宋体" w:cs="宋体"/>
                <w:kern w:val="0"/>
                <w:sz w:val="16"/>
                <w:szCs w:val="16"/>
              </w:rPr>
            </w:pPr>
            <w:r>
              <w:rPr>
                <w:rFonts w:hint="eastAsia" w:ascii="宋体" w:hAnsi="宋体" w:cs="宋体"/>
                <w:kern w:val="0"/>
                <w:sz w:val="16"/>
                <w:szCs w:val="16"/>
              </w:rPr>
              <w:t>旁路输入</w:t>
            </w:r>
          </w:p>
        </w:tc>
        <w:tc>
          <w:tcPr>
            <w:tcW w:w="1199"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1650</w:t>
            </w:r>
          </w:p>
        </w:tc>
        <w:tc>
          <w:tcPr>
            <w:tcW w:w="1199"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350</w:t>
            </w:r>
          </w:p>
        </w:tc>
        <w:tc>
          <w:tcPr>
            <w:tcW w:w="1134"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480</w:t>
            </w:r>
          </w:p>
        </w:tc>
        <w:tc>
          <w:tcPr>
            <w:tcW w:w="1134" w:type="dxa"/>
            <w:tcBorders>
              <w:left w:val="nil"/>
              <w:bottom w:val="single" w:color="auto" w:sz="8" w:space="0"/>
              <w:right w:val="single" w:color="auto" w:sz="8" w:space="0"/>
            </w:tcBorders>
            <w:vAlign w:val="center"/>
          </w:tcPr>
          <w:p>
            <w:pPr>
              <w:jc w:val="center"/>
              <w:rPr>
                <w:kern w:val="0"/>
                <w:sz w:val="16"/>
                <w:szCs w:val="16"/>
                <w:lang w:val="en-GB"/>
              </w:rPr>
            </w:pPr>
            <w:r>
              <w:rPr>
                <w:rFonts w:hint="eastAsia"/>
                <w:kern w:val="0"/>
                <w:sz w:val="16"/>
                <w:szCs w:val="16"/>
                <w:lang w:val="en-GB"/>
              </w:rPr>
              <w:t>1050</w:t>
            </w:r>
          </w:p>
        </w:tc>
        <w:tc>
          <w:tcPr>
            <w:tcW w:w="1134" w:type="dxa"/>
            <w:tcBorders>
              <w:left w:val="nil"/>
              <w:bottom w:val="single" w:color="auto" w:sz="8" w:space="0"/>
              <w:right w:val="single" w:color="auto" w:sz="8" w:space="0"/>
            </w:tcBorders>
            <w:vAlign w:val="center"/>
          </w:tcPr>
          <w:p>
            <w:pPr>
              <w:jc w:val="center"/>
              <w:rPr>
                <w:kern w:val="0"/>
                <w:sz w:val="16"/>
                <w:szCs w:val="16"/>
                <w:lang w:val="en-GB"/>
              </w:rPr>
            </w:pPr>
            <w:r>
              <w:rPr>
                <w:rFonts w:hint="eastAsia"/>
                <w:kern w:val="0"/>
                <w:sz w:val="16"/>
                <w:szCs w:val="16"/>
                <w:lang w:val="en-GB"/>
              </w:rPr>
              <w:t>950</w:t>
            </w:r>
          </w:p>
        </w:tc>
        <w:tc>
          <w:tcPr>
            <w:tcW w:w="1400" w:type="dxa"/>
            <w:tcBorders>
              <w:left w:val="nil"/>
              <w:bottom w:val="single" w:color="auto" w:sz="8" w:space="0"/>
              <w:right w:val="single" w:color="auto" w:sz="8" w:space="0"/>
            </w:tcBorders>
          </w:tcPr>
          <w:p>
            <w:pPr>
              <w:jc w:val="center"/>
              <w:rPr>
                <w:kern w:val="0"/>
                <w:sz w:val="16"/>
                <w:szCs w:val="16"/>
                <w:lang w:val="en-GB"/>
              </w:rPr>
            </w:pPr>
            <w:r>
              <w:rPr>
                <w:rFonts w:hint="eastAsia"/>
                <w:kern w:val="0"/>
                <w:sz w:val="16"/>
                <w:szCs w:val="16"/>
                <w:lang w:val="en-GB"/>
              </w:rPr>
              <w:t>3</w:t>
            </w:r>
            <w:r>
              <w:rPr>
                <w:kern w:val="0"/>
                <w:sz w:val="16"/>
                <w:szCs w:val="16"/>
                <w:lang w:val="en-GB"/>
              </w:rPr>
              <w:t>40</w:t>
            </w:r>
          </w:p>
        </w:tc>
      </w:tr>
      <w:tr>
        <w:tblPrEx>
          <w:tblCellMar>
            <w:top w:w="0" w:type="dxa"/>
            <w:left w:w="108" w:type="dxa"/>
            <w:bottom w:w="0" w:type="dxa"/>
            <w:right w:w="108" w:type="dxa"/>
          </w:tblCellMar>
        </w:tblPrEx>
        <w:trPr>
          <w:trHeight w:val="211" w:hRule="atLeast"/>
          <w:jc w:val="right"/>
        </w:trPr>
        <w:tc>
          <w:tcPr>
            <w:tcW w:w="2019" w:type="dxa"/>
            <w:tcBorders>
              <w:top w:val="nil"/>
              <w:left w:val="single" w:color="auto" w:sz="8" w:space="0"/>
              <w:bottom w:val="single" w:color="auto" w:sz="8" w:space="0"/>
              <w:right w:val="single" w:color="auto" w:sz="8" w:space="0"/>
            </w:tcBorders>
            <w:vAlign w:val="center"/>
          </w:tcPr>
          <w:p>
            <w:pPr>
              <w:jc w:val="center"/>
              <w:rPr>
                <w:rFonts w:ascii="宋体" w:hAnsi="宋体" w:cs="宋体"/>
                <w:kern w:val="0"/>
                <w:sz w:val="16"/>
                <w:szCs w:val="16"/>
              </w:rPr>
            </w:pPr>
            <w:r>
              <w:rPr>
                <w:rFonts w:hint="eastAsia" w:ascii="宋体" w:hAnsi="宋体" w:cs="宋体"/>
                <w:kern w:val="0"/>
                <w:sz w:val="16"/>
                <w:szCs w:val="16"/>
              </w:rPr>
              <w:t>交流输出</w:t>
            </w:r>
          </w:p>
        </w:tc>
        <w:tc>
          <w:tcPr>
            <w:tcW w:w="1199"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1570</w:t>
            </w:r>
          </w:p>
        </w:tc>
        <w:tc>
          <w:tcPr>
            <w:tcW w:w="1199"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430</w:t>
            </w:r>
          </w:p>
        </w:tc>
        <w:tc>
          <w:tcPr>
            <w:tcW w:w="1134"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270</w:t>
            </w:r>
          </w:p>
        </w:tc>
        <w:tc>
          <w:tcPr>
            <w:tcW w:w="1134"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lang w:val="en-GB"/>
              </w:rPr>
              <w:t>1370</w:t>
            </w:r>
          </w:p>
        </w:tc>
        <w:tc>
          <w:tcPr>
            <w:tcW w:w="1134"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lang w:val="en-GB"/>
              </w:rPr>
              <w:t>630</w:t>
            </w:r>
          </w:p>
        </w:tc>
        <w:tc>
          <w:tcPr>
            <w:tcW w:w="1400" w:type="dxa"/>
            <w:tcBorders>
              <w:left w:val="nil"/>
              <w:bottom w:val="single" w:color="auto" w:sz="8" w:space="0"/>
              <w:right w:val="single" w:color="auto" w:sz="8" w:space="0"/>
            </w:tcBorders>
          </w:tcPr>
          <w:p>
            <w:pPr>
              <w:jc w:val="center"/>
              <w:rPr>
                <w:kern w:val="0"/>
                <w:sz w:val="16"/>
                <w:szCs w:val="16"/>
                <w:lang w:val="en-GB"/>
              </w:rPr>
            </w:pPr>
            <w:r>
              <w:rPr>
                <w:rFonts w:hint="eastAsia"/>
                <w:kern w:val="0"/>
                <w:sz w:val="16"/>
                <w:szCs w:val="16"/>
                <w:lang w:val="en-GB"/>
              </w:rPr>
              <w:t>3</w:t>
            </w:r>
            <w:r>
              <w:rPr>
                <w:kern w:val="0"/>
                <w:sz w:val="16"/>
                <w:szCs w:val="16"/>
                <w:lang w:val="en-GB"/>
              </w:rPr>
              <w:t>40</w:t>
            </w:r>
          </w:p>
        </w:tc>
      </w:tr>
      <w:tr>
        <w:tblPrEx>
          <w:tblCellMar>
            <w:top w:w="0" w:type="dxa"/>
            <w:left w:w="108" w:type="dxa"/>
            <w:bottom w:w="0" w:type="dxa"/>
            <w:right w:w="108" w:type="dxa"/>
          </w:tblCellMar>
        </w:tblPrEx>
        <w:trPr>
          <w:trHeight w:val="211" w:hRule="atLeast"/>
          <w:jc w:val="right"/>
        </w:trPr>
        <w:tc>
          <w:tcPr>
            <w:tcW w:w="2019" w:type="dxa"/>
            <w:tcBorders>
              <w:top w:val="nil"/>
              <w:left w:val="single" w:color="auto" w:sz="8" w:space="0"/>
              <w:bottom w:val="single" w:color="auto" w:sz="8" w:space="0"/>
              <w:right w:val="single" w:color="auto" w:sz="8" w:space="0"/>
            </w:tcBorders>
            <w:vAlign w:val="center"/>
          </w:tcPr>
          <w:p>
            <w:pPr>
              <w:jc w:val="center"/>
              <w:rPr>
                <w:rFonts w:ascii="宋体" w:hAnsi="宋体" w:cs="宋体"/>
                <w:kern w:val="0"/>
                <w:sz w:val="16"/>
                <w:szCs w:val="16"/>
              </w:rPr>
            </w:pPr>
            <w:r>
              <w:rPr>
                <w:rFonts w:hint="eastAsia" w:ascii="宋体" w:hAnsi="宋体" w:cs="宋体"/>
                <w:kern w:val="0"/>
                <w:sz w:val="16"/>
                <w:szCs w:val="16"/>
              </w:rPr>
              <w:t>电池电源正</w:t>
            </w:r>
          </w:p>
        </w:tc>
        <w:tc>
          <w:tcPr>
            <w:tcW w:w="1199"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1630</w:t>
            </w:r>
          </w:p>
        </w:tc>
        <w:tc>
          <w:tcPr>
            <w:tcW w:w="1199"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370</w:t>
            </w:r>
          </w:p>
        </w:tc>
        <w:tc>
          <w:tcPr>
            <w:tcW w:w="1134"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470</w:t>
            </w:r>
          </w:p>
        </w:tc>
        <w:tc>
          <w:tcPr>
            <w:tcW w:w="1134"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lang w:val="en-GB"/>
              </w:rPr>
              <w:t>1190</w:t>
            </w:r>
          </w:p>
        </w:tc>
        <w:tc>
          <w:tcPr>
            <w:tcW w:w="1134"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lang w:val="en-GB"/>
              </w:rPr>
              <w:t>810</w:t>
            </w:r>
          </w:p>
        </w:tc>
        <w:tc>
          <w:tcPr>
            <w:tcW w:w="1400" w:type="dxa"/>
            <w:tcBorders>
              <w:left w:val="nil"/>
              <w:bottom w:val="single" w:color="auto" w:sz="8" w:space="0"/>
              <w:right w:val="single" w:color="auto" w:sz="8" w:space="0"/>
            </w:tcBorders>
          </w:tcPr>
          <w:p>
            <w:pPr>
              <w:jc w:val="center"/>
              <w:rPr>
                <w:kern w:val="0"/>
                <w:sz w:val="16"/>
                <w:szCs w:val="16"/>
                <w:lang w:val="en-GB"/>
              </w:rPr>
            </w:pPr>
            <w:r>
              <w:rPr>
                <w:rFonts w:hint="eastAsia"/>
                <w:kern w:val="0"/>
                <w:sz w:val="16"/>
                <w:szCs w:val="16"/>
                <w:lang w:val="en-GB"/>
              </w:rPr>
              <w:t>8</w:t>
            </w:r>
            <w:r>
              <w:rPr>
                <w:kern w:val="0"/>
                <w:sz w:val="16"/>
                <w:szCs w:val="16"/>
                <w:lang w:val="en-GB"/>
              </w:rPr>
              <w:t>00</w:t>
            </w:r>
          </w:p>
        </w:tc>
      </w:tr>
      <w:tr>
        <w:tblPrEx>
          <w:tblCellMar>
            <w:top w:w="0" w:type="dxa"/>
            <w:left w:w="108" w:type="dxa"/>
            <w:bottom w:w="0" w:type="dxa"/>
            <w:right w:w="108" w:type="dxa"/>
          </w:tblCellMar>
        </w:tblPrEx>
        <w:trPr>
          <w:trHeight w:val="211" w:hRule="atLeast"/>
          <w:jc w:val="right"/>
        </w:trPr>
        <w:tc>
          <w:tcPr>
            <w:tcW w:w="2019" w:type="dxa"/>
            <w:tcBorders>
              <w:top w:val="nil"/>
              <w:left w:val="single" w:color="auto" w:sz="8" w:space="0"/>
              <w:bottom w:val="single" w:color="auto" w:sz="8" w:space="0"/>
              <w:right w:val="single" w:color="auto" w:sz="8" w:space="0"/>
            </w:tcBorders>
            <w:vAlign w:val="center"/>
          </w:tcPr>
          <w:p>
            <w:pPr>
              <w:jc w:val="center"/>
              <w:rPr>
                <w:rFonts w:ascii="宋体" w:hAnsi="宋体" w:cs="宋体"/>
                <w:kern w:val="0"/>
                <w:sz w:val="16"/>
                <w:szCs w:val="16"/>
              </w:rPr>
            </w:pPr>
            <w:r>
              <w:rPr>
                <w:rFonts w:hint="eastAsia" w:ascii="宋体" w:hAnsi="宋体" w:cs="宋体"/>
                <w:kern w:val="0"/>
                <w:sz w:val="16"/>
                <w:szCs w:val="16"/>
              </w:rPr>
              <w:t>电池电源负</w:t>
            </w:r>
          </w:p>
        </w:tc>
        <w:tc>
          <w:tcPr>
            <w:tcW w:w="1199"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1630</w:t>
            </w:r>
          </w:p>
        </w:tc>
        <w:tc>
          <w:tcPr>
            <w:tcW w:w="1199"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370</w:t>
            </w:r>
          </w:p>
        </w:tc>
        <w:tc>
          <w:tcPr>
            <w:tcW w:w="1134"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470</w:t>
            </w:r>
          </w:p>
        </w:tc>
        <w:tc>
          <w:tcPr>
            <w:tcW w:w="1134" w:type="dxa"/>
            <w:tcBorders>
              <w:left w:val="nil"/>
              <w:bottom w:val="single" w:color="auto" w:sz="8" w:space="0"/>
              <w:right w:val="single" w:color="auto" w:sz="8" w:space="0"/>
            </w:tcBorders>
            <w:vAlign w:val="center"/>
          </w:tcPr>
          <w:p>
            <w:pPr>
              <w:jc w:val="center"/>
              <w:rPr>
                <w:kern w:val="0"/>
                <w:sz w:val="16"/>
                <w:szCs w:val="16"/>
                <w:lang w:val="en-GB"/>
              </w:rPr>
            </w:pPr>
            <w:r>
              <w:rPr>
                <w:rFonts w:hint="eastAsia"/>
                <w:kern w:val="0"/>
                <w:sz w:val="16"/>
                <w:szCs w:val="16"/>
                <w:lang w:val="en-GB"/>
              </w:rPr>
              <w:t>900</w:t>
            </w:r>
          </w:p>
        </w:tc>
        <w:tc>
          <w:tcPr>
            <w:tcW w:w="1134" w:type="dxa"/>
            <w:tcBorders>
              <w:left w:val="nil"/>
              <w:bottom w:val="single" w:color="auto" w:sz="8" w:space="0"/>
              <w:right w:val="single" w:color="auto" w:sz="8" w:space="0"/>
            </w:tcBorders>
            <w:vAlign w:val="center"/>
          </w:tcPr>
          <w:p>
            <w:pPr>
              <w:jc w:val="center"/>
              <w:rPr>
                <w:kern w:val="0"/>
                <w:sz w:val="16"/>
                <w:szCs w:val="16"/>
                <w:lang w:val="en-GB"/>
              </w:rPr>
            </w:pPr>
            <w:r>
              <w:rPr>
                <w:rFonts w:hint="eastAsia"/>
                <w:kern w:val="0"/>
                <w:sz w:val="16"/>
                <w:szCs w:val="16"/>
                <w:lang w:val="en-GB"/>
              </w:rPr>
              <w:t>1100</w:t>
            </w:r>
          </w:p>
        </w:tc>
        <w:tc>
          <w:tcPr>
            <w:tcW w:w="1400" w:type="dxa"/>
            <w:tcBorders>
              <w:left w:val="nil"/>
              <w:bottom w:val="single" w:color="auto" w:sz="8" w:space="0"/>
              <w:right w:val="single" w:color="auto" w:sz="8" w:space="0"/>
            </w:tcBorders>
          </w:tcPr>
          <w:p>
            <w:pPr>
              <w:jc w:val="center"/>
              <w:rPr>
                <w:kern w:val="0"/>
                <w:sz w:val="16"/>
                <w:szCs w:val="16"/>
                <w:lang w:val="en-GB"/>
              </w:rPr>
            </w:pPr>
            <w:r>
              <w:rPr>
                <w:rFonts w:hint="eastAsia"/>
                <w:kern w:val="0"/>
                <w:sz w:val="16"/>
                <w:szCs w:val="16"/>
                <w:lang w:val="en-GB"/>
              </w:rPr>
              <w:t>8</w:t>
            </w:r>
            <w:r>
              <w:rPr>
                <w:kern w:val="0"/>
                <w:sz w:val="16"/>
                <w:szCs w:val="16"/>
                <w:lang w:val="en-GB"/>
              </w:rPr>
              <w:t>00</w:t>
            </w:r>
          </w:p>
        </w:tc>
      </w:tr>
      <w:tr>
        <w:tblPrEx>
          <w:tblCellMar>
            <w:top w:w="0" w:type="dxa"/>
            <w:left w:w="108" w:type="dxa"/>
            <w:bottom w:w="0" w:type="dxa"/>
            <w:right w:w="108" w:type="dxa"/>
          </w:tblCellMar>
        </w:tblPrEx>
        <w:trPr>
          <w:trHeight w:val="211" w:hRule="atLeast"/>
          <w:jc w:val="right"/>
        </w:trPr>
        <w:tc>
          <w:tcPr>
            <w:tcW w:w="2019" w:type="dxa"/>
            <w:tcBorders>
              <w:top w:val="nil"/>
              <w:left w:val="single" w:color="auto" w:sz="8" w:space="0"/>
              <w:bottom w:val="single" w:color="auto" w:sz="8" w:space="0"/>
              <w:right w:val="single" w:color="auto" w:sz="8" w:space="0"/>
            </w:tcBorders>
            <w:vAlign w:val="center"/>
          </w:tcPr>
          <w:p>
            <w:pPr>
              <w:jc w:val="center"/>
              <w:rPr>
                <w:rFonts w:ascii="宋体" w:hAnsi="宋体" w:cs="宋体"/>
                <w:kern w:val="0"/>
                <w:sz w:val="16"/>
                <w:szCs w:val="16"/>
              </w:rPr>
            </w:pPr>
            <w:r>
              <w:rPr>
                <w:rFonts w:hint="eastAsia" w:ascii="宋体" w:hAnsi="宋体" w:cs="宋体"/>
                <w:kern w:val="0"/>
                <w:sz w:val="16"/>
                <w:szCs w:val="16"/>
              </w:rPr>
              <w:t>输入输出电池N排</w:t>
            </w:r>
          </w:p>
        </w:tc>
        <w:tc>
          <w:tcPr>
            <w:tcW w:w="1199"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1630</w:t>
            </w:r>
          </w:p>
        </w:tc>
        <w:tc>
          <w:tcPr>
            <w:tcW w:w="1199"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370</w:t>
            </w:r>
          </w:p>
        </w:tc>
        <w:tc>
          <w:tcPr>
            <w:tcW w:w="1134"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610</w:t>
            </w:r>
          </w:p>
        </w:tc>
        <w:tc>
          <w:tcPr>
            <w:tcW w:w="1134" w:type="dxa"/>
            <w:tcBorders>
              <w:left w:val="nil"/>
              <w:bottom w:val="single" w:color="auto" w:sz="8" w:space="0"/>
              <w:right w:val="single" w:color="auto" w:sz="8" w:space="0"/>
            </w:tcBorders>
            <w:vAlign w:val="center"/>
          </w:tcPr>
          <w:p>
            <w:pPr>
              <w:jc w:val="center"/>
              <w:rPr>
                <w:kern w:val="0"/>
                <w:sz w:val="16"/>
                <w:szCs w:val="16"/>
                <w:lang w:val="en-GB"/>
              </w:rPr>
            </w:pPr>
            <w:r>
              <w:rPr>
                <w:rFonts w:hint="eastAsia"/>
                <w:kern w:val="0"/>
                <w:sz w:val="16"/>
                <w:szCs w:val="16"/>
                <w:lang w:val="en-GB"/>
              </w:rPr>
              <w:t>475</w:t>
            </w:r>
          </w:p>
        </w:tc>
        <w:tc>
          <w:tcPr>
            <w:tcW w:w="1134" w:type="dxa"/>
            <w:tcBorders>
              <w:left w:val="nil"/>
              <w:bottom w:val="single" w:color="auto" w:sz="8" w:space="0"/>
              <w:right w:val="single" w:color="auto" w:sz="8" w:space="0"/>
            </w:tcBorders>
            <w:vAlign w:val="center"/>
          </w:tcPr>
          <w:p>
            <w:pPr>
              <w:jc w:val="center"/>
              <w:rPr>
                <w:kern w:val="0"/>
                <w:sz w:val="16"/>
                <w:szCs w:val="16"/>
                <w:lang w:val="en-GB"/>
              </w:rPr>
            </w:pPr>
            <w:r>
              <w:rPr>
                <w:rFonts w:hint="eastAsia"/>
                <w:kern w:val="0"/>
                <w:sz w:val="16"/>
                <w:szCs w:val="16"/>
                <w:lang w:val="en-GB"/>
              </w:rPr>
              <w:t>1525</w:t>
            </w:r>
          </w:p>
        </w:tc>
        <w:tc>
          <w:tcPr>
            <w:tcW w:w="1400" w:type="dxa"/>
            <w:tcBorders>
              <w:left w:val="nil"/>
              <w:bottom w:val="single" w:color="auto" w:sz="8" w:space="0"/>
              <w:right w:val="single" w:color="auto" w:sz="8" w:space="0"/>
            </w:tcBorders>
          </w:tcPr>
          <w:p>
            <w:pPr>
              <w:jc w:val="center"/>
              <w:rPr>
                <w:kern w:val="0"/>
                <w:sz w:val="16"/>
                <w:szCs w:val="16"/>
                <w:lang w:val="en-GB"/>
              </w:rPr>
            </w:pPr>
            <w:r>
              <w:rPr>
                <w:rFonts w:hint="eastAsia"/>
                <w:kern w:val="0"/>
                <w:sz w:val="16"/>
                <w:szCs w:val="16"/>
                <w:lang w:val="en-GB"/>
              </w:rPr>
              <w:t>4</w:t>
            </w:r>
            <w:r>
              <w:rPr>
                <w:kern w:val="0"/>
                <w:sz w:val="16"/>
                <w:szCs w:val="16"/>
                <w:lang w:val="en-GB"/>
              </w:rPr>
              <w:t>15</w:t>
            </w:r>
          </w:p>
        </w:tc>
      </w:tr>
      <w:tr>
        <w:tblPrEx>
          <w:tblCellMar>
            <w:top w:w="0" w:type="dxa"/>
            <w:left w:w="108" w:type="dxa"/>
            <w:bottom w:w="0" w:type="dxa"/>
            <w:right w:w="108" w:type="dxa"/>
          </w:tblCellMar>
        </w:tblPrEx>
        <w:trPr>
          <w:trHeight w:val="211" w:hRule="atLeast"/>
          <w:jc w:val="right"/>
        </w:trPr>
        <w:tc>
          <w:tcPr>
            <w:tcW w:w="2019" w:type="dxa"/>
            <w:tcBorders>
              <w:top w:val="nil"/>
              <w:left w:val="single" w:color="auto" w:sz="8" w:space="0"/>
              <w:bottom w:val="single" w:color="auto" w:sz="8" w:space="0"/>
              <w:right w:val="single" w:color="auto" w:sz="8" w:space="0"/>
            </w:tcBorders>
            <w:vAlign w:val="center"/>
          </w:tcPr>
          <w:p>
            <w:pPr>
              <w:jc w:val="center"/>
              <w:rPr>
                <w:rFonts w:ascii="宋体" w:hAnsi="宋体" w:cs="宋体"/>
                <w:kern w:val="0"/>
                <w:sz w:val="16"/>
                <w:szCs w:val="16"/>
              </w:rPr>
            </w:pPr>
            <w:r>
              <w:rPr>
                <w:rFonts w:hint="eastAsia" w:ascii="宋体" w:hAnsi="宋体" w:cs="宋体"/>
                <w:kern w:val="0"/>
                <w:sz w:val="16"/>
                <w:szCs w:val="16"/>
              </w:rPr>
              <w:t>接地排</w:t>
            </w:r>
          </w:p>
        </w:tc>
        <w:tc>
          <w:tcPr>
            <w:tcW w:w="1199"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1590</w:t>
            </w:r>
          </w:p>
        </w:tc>
        <w:tc>
          <w:tcPr>
            <w:tcW w:w="1199"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410</w:t>
            </w:r>
          </w:p>
        </w:tc>
        <w:tc>
          <w:tcPr>
            <w:tcW w:w="1134"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rPr>
              <w:t>700</w:t>
            </w:r>
          </w:p>
        </w:tc>
        <w:tc>
          <w:tcPr>
            <w:tcW w:w="1134"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lang w:val="en-GB"/>
              </w:rPr>
              <w:t>230（上进线）</w:t>
            </w:r>
          </w:p>
        </w:tc>
        <w:tc>
          <w:tcPr>
            <w:tcW w:w="1134" w:type="dxa"/>
            <w:tcBorders>
              <w:left w:val="nil"/>
              <w:bottom w:val="single" w:color="auto" w:sz="8" w:space="0"/>
              <w:right w:val="single" w:color="auto" w:sz="8" w:space="0"/>
            </w:tcBorders>
            <w:vAlign w:val="center"/>
          </w:tcPr>
          <w:p>
            <w:pPr>
              <w:jc w:val="center"/>
              <w:rPr>
                <w:kern w:val="0"/>
                <w:sz w:val="16"/>
                <w:szCs w:val="16"/>
              </w:rPr>
            </w:pPr>
            <w:r>
              <w:rPr>
                <w:rFonts w:hint="eastAsia"/>
                <w:kern w:val="0"/>
                <w:sz w:val="16"/>
                <w:szCs w:val="16"/>
                <w:lang w:val="en-GB"/>
              </w:rPr>
              <w:t>350（下进线）</w:t>
            </w:r>
          </w:p>
        </w:tc>
        <w:tc>
          <w:tcPr>
            <w:tcW w:w="1400" w:type="dxa"/>
            <w:tcBorders>
              <w:left w:val="nil"/>
              <w:bottom w:val="single" w:color="auto" w:sz="8" w:space="0"/>
              <w:right w:val="single" w:color="auto" w:sz="8" w:space="0"/>
            </w:tcBorders>
          </w:tcPr>
          <w:p>
            <w:pPr>
              <w:jc w:val="center"/>
              <w:rPr>
                <w:kern w:val="0"/>
                <w:sz w:val="16"/>
                <w:szCs w:val="16"/>
                <w:lang w:val="en-GB"/>
              </w:rPr>
            </w:pPr>
            <w:r>
              <w:rPr>
                <w:rFonts w:hint="eastAsia"/>
                <w:kern w:val="0"/>
                <w:sz w:val="16"/>
                <w:szCs w:val="16"/>
                <w:lang w:val="en-GB"/>
              </w:rPr>
              <w:t>5</w:t>
            </w:r>
            <w:r>
              <w:rPr>
                <w:kern w:val="0"/>
                <w:sz w:val="16"/>
                <w:szCs w:val="16"/>
                <w:lang w:val="en-GB"/>
              </w:rPr>
              <w:t>60</w:t>
            </w:r>
          </w:p>
        </w:tc>
      </w:tr>
    </w:tbl>
    <w:p>
      <w:pPr>
        <w:pStyle w:val="5"/>
        <w:numPr>
          <w:ilvl w:val="2"/>
          <w:numId w:val="4"/>
        </w:numPr>
      </w:pPr>
      <w:bookmarkStart w:id="241" w:name="_Toc17228"/>
      <w:bookmarkStart w:id="242" w:name="_Toc23251032"/>
      <w:r>
        <w:rPr>
          <w:rFonts w:hint="eastAsia"/>
        </w:rPr>
        <w:t>一般注意事项</w:t>
      </w:r>
      <w:bookmarkEnd w:id="233"/>
      <w:bookmarkEnd w:id="234"/>
      <w:bookmarkEnd w:id="235"/>
      <w:bookmarkEnd w:id="238"/>
      <w:bookmarkEnd w:id="239"/>
      <w:bookmarkEnd w:id="240"/>
      <w:bookmarkEnd w:id="241"/>
      <w:bookmarkEnd w:id="242"/>
    </w:p>
    <w:p>
      <w:pPr>
        <w:pStyle w:val="3"/>
      </w:pPr>
      <w:r>
        <w:rPr>
          <w:rFonts w:hint="eastAsia"/>
        </w:rPr>
        <w:t>以下各点仅提供一般性指导，如当地</w:t>
      </w:r>
      <w:bookmarkStart w:id="243" w:name="_Hlt241809701"/>
      <w:bookmarkEnd w:id="243"/>
      <w:r>
        <w:rPr>
          <w:rFonts w:hint="eastAsia"/>
        </w:rPr>
        <w:t>有相关的规定，则以当地规定为准。</w:t>
      </w:r>
    </w:p>
    <w:p>
      <w:pPr>
        <w:pStyle w:val="3"/>
      </w:pPr>
      <w:r>
        <w:t>1</w:t>
      </w:r>
      <w:r>
        <w:rPr>
          <w:rFonts w:hint="eastAsia"/>
        </w:rPr>
        <w:t>．保护地线的线径应按照交流电源故障级别、电缆长度及保护的类型来选取。地线的连接</w:t>
      </w:r>
      <w:bookmarkStart w:id="244" w:name="_Hlt287275285"/>
      <w:bookmarkEnd w:id="244"/>
      <w:r>
        <w:rPr>
          <w:rFonts w:hint="eastAsia"/>
        </w:rPr>
        <w:t>必须采用最短接线路径。</w:t>
      </w:r>
    </w:p>
    <w:p>
      <w:pPr>
        <w:pStyle w:val="3"/>
      </w:pPr>
      <w:bookmarkStart w:id="245" w:name="_Toc43197577"/>
      <w:bookmarkStart w:id="246" w:name="_Toc181776152"/>
      <w:bookmarkStart w:id="247" w:name="_Toc43267892"/>
      <w:bookmarkStart w:id="248" w:name="_Toc101847526"/>
      <w:bookmarkStart w:id="249" w:name="_Toc181760586"/>
      <w:r>
        <w:t>2</w:t>
      </w:r>
      <w:r>
        <w:rPr>
          <w:rFonts w:hint="eastAsia"/>
        </w:rPr>
        <w:t>．对于流过大电流的电缆可以考虑采用较细电缆并联的方法，这样可以大大地方便安装。</w:t>
      </w:r>
    </w:p>
    <w:p>
      <w:pPr>
        <w:pStyle w:val="3"/>
      </w:pPr>
      <w:r>
        <w:t>3</w:t>
      </w:r>
      <w:r>
        <w:rPr>
          <w:rFonts w:hint="eastAsia"/>
        </w:rPr>
        <w:t>．选取电池电缆线径时，按</w:t>
      </w:r>
      <w:bookmarkStart w:id="250" w:name="_Hlt210101380"/>
      <w:r>
        <w:rPr>
          <w:rFonts w:hint="eastAsia"/>
        </w:rPr>
        <w:t>表3-1</w:t>
      </w:r>
      <w:bookmarkEnd w:id="250"/>
      <w:r>
        <w:rPr>
          <w:rFonts w:hint="eastAsia"/>
        </w:rPr>
        <w:t>中的电流值，最大允许有4Vdc的压降。</w:t>
      </w:r>
    </w:p>
    <w:p>
      <w:pPr>
        <w:pStyle w:val="3"/>
      </w:pPr>
      <w:r>
        <w:t>4</w:t>
      </w:r>
      <w:r>
        <w:rPr>
          <w:rFonts w:hint="eastAsia"/>
        </w:rPr>
        <w:t>．为避免增加电磁干扰的形成，勿将电缆绕圈。</w:t>
      </w:r>
    </w:p>
    <w:bookmarkEnd w:id="245"/>
    <w:bookmarkEnd w:id="246"/>
    <w:bookmarkEnd w:id="247"/>
    <w:bookmarkEnd w:id="248"/>
    <w:bookmarkEnd w:id="249"/>
    <w:p>
      <w:pPr>
        <w:pStyle w:val="5"/>
        <w:numPr>
          <w:ilvl w:val="2"/>
          <w:numId w:val="4"/>
        </w:numPr>
      </w:pPr>
      <w:bookmarkStart w:id="251" w:name="_Toc212951976"/>
      <w:bookmarkStart w:id="252" w:name="_Toc43267893"/>
      <w:bookmarkStart w:id="253" w:name="_Toc181760587"/>
      <w:bookmarkStart w:id="254" w:name="_Toc181776153"/>
      <w:bookmarkStart w:id="255" w:name="_Toc43197578"/>
      <w:bookmarkStart w:id="256" w:name="_Toc23251034"/>
      <w:bookmarkStart w:id="257" w:name="_Toc28151"/>
      <w:bookmarkStart w:id="258" w:name="_Toc101847527"/>
      <w:r>
        <w:rPr>
          <w:rFonts w:hint="eastAsia"/>
        </w:rPr>
        <w:t>保护地</w:t>
      </w:r>
      <w:bookmarkEnd w:id="251"/>
      <w:bookmarkEnd w:id="252"/>
      <w:bookmarkEnd w:id="253"/>
      <w:bookmarkEnd w:id="254"/>
      <w:bookmarkEnd w:id="255"/>
      <w:bookmarkEnd w:id="256"/>
      <w:bookmarkEnd w:id="257"/>
      <w:bookmarkEnd w:id="258"/>
    </w:p>
    <w:p>
      <w:pPr>
        <w:pStyle w:val="3"/>
        <w:ind w:firstLine="170"/>
      </w:pPr>
      <w:r>
        <w:rPr>
          <w:rFonts w:hint="eastAsia"/>
        </w:rPr>
        <w:t>通过螺栓将保护地线可靠连接在PE输入端子（见图3-2）上。</w:t>
      </w:r>
    </w:p>
    <w:p>
      <w:pPr>
        <w:pStyle w:val="3"/>
        <w:ind w:firstLine="170"/>
      </w:pPr>
      <w:bookmarkStart w:id="259" w:name="_Hlt322600403"/>
      <w:bookmarkEnd w:id="259"/>
      <w:r>
        <w:rPr>
          <w:rFonts w:hint="eastAsia"/>
        </w:rPr>
        <w:t>所有机柜和电缆槽</w:t>
      </w:r>
      <w:bookmarkStart w:id="260" w:name="_Hlt322611080"/>
      <w:bookmarkEnd w:id="260"/>
      <w:r>
        <w:rPr>
          <w:rFonts w:hint="eastAsia"/>
        </w:rPr>
        <w:t>都应该按照当地规定进行接地。接地线应可靠绑扎，以防止拉扯地线时地线紧固螺钉被扯松。</w:t>
      </w:r>
    </w:p>
    <w:tbl>
      <w:tblPr>
        <w:tblStyle w:val="50"/>
        <w:tblW w:w="9378"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right"/>
        </w:trPr>
        <w:tc>
          <w:tcPr>
            <w:tcW w:w="9378" w:type="dxa"/>
            <w:vAlign w:val="center"/>
          </w:tcPr>
          <w:p>
            <w:pPr>
              <w:pStyle w:val="72"/>
              <w:spacing w:before="36" w:beforeLines="15" w:line="276" w:lineRule="auto"/>
              <w:jc w:val="both"/>
              <w:rPr>
                <w:rStyle w:val="87"/>
              </w:rPr>
            </w:pPr>
            <w:r>
              <w:rPr>
                <w:rStyle w:val="87"/>
              </w:rPr>
              <w:drawing>
                <wp:inline distT="0" distB="0" distL="0" distR="0">
                  <wp:extent cx="646430" cy="283845"/>
                  <wp:effectExtent l="0" t="0" r="1270" b="1905"/>
                  <wp:docPr id="99" name="图片 99"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6430" cy="283845"/>
                          </a:xfrm>
                          <a:prstGeom prst="rect">
                            <a:avLst/>
                          </a:prstGeom>
                          <a:noFill/>
                          <a:ln>
                            <a:noFill/>
                          </a:ln>
                        </pic:spPr>
                      </pic:pic>
                    </a:graphicData>
                  </a:graphic>
                </wp:inline>
              </w:drawing>
            </w:r>
            <w:r>
              <w:rPr>
                <w:rStyle w:val="87"/>
                <w:rFonts w:hint="eastAsia"/>
              </w:rPr>
              <w:t>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right"/>
        </w:trPr>
        <w:tc>
          <w:tcPr>
            <w:tcW w:w="9378" w:type="dxa"/>
            <w:vAlign w:val="center"/>
          </w:tcPr>
          <w:p>
            <w:pPr>
              <w:pStyle w:val="73"/>
            </w:pPr>
            <w:r>
              <w:rPr>
                <w:rFonts w:hint="eastAsia"/>
              </w:rPr>
              <w:t>未按要求进行接地可导致电磁干扰，以及触电和火灾危险！</w:t>
            </w:r>
          </w:p>
        </w:tc>
      </w:tr>
    </w:tbl>
    <w:p>
      <w:pPr>
        <w:pStyle w:val="5"/>
        <w:numPr>
          <w:ilvl w:val="2"/>
          <w:numId w:val="4"/>
        </w:numPr>
      </w:pPr>
      <w:bookmarkStart w:id="261" w:name="_Hlt227750535"/>
      <w:bookmarkEnd w:id="261"/>
      <w:bookmarkStart w:id="262" w:name="_Hlt324232713"/>
      <w:bookmarkEnd w:id="262"/>
      <w:bookmarkStart w:id="263" w:name="_Hlt324232233"/>
      <w:bookmarkEnd w:id="263"/>
      <w:bookmarkStart w:id="264" w:name="_Hlt324232146"/>
      <w:bookmarkEnd w:id="264"/>
      <w:bookmarkStart w:id="265" w:name="_Hlt227750522"/>
      <w:bookmarkEnd w:id="265"/>
      <w:bookmarkStart w:id="266" w:name="_Toc25504"/>
      <w:r>
        <w:rPr>
          <w:rFonts w:hint="eastAsia"/>
        </w:rPr>
        <w:t>输入电源</w:t>
      </w:r>
      <w:bookmarkStart w:id="267" w:name="_Hlt322612406"/>
      <w:bookmarkEnd w:id="267"/>
      <w:r>
        <w:rPr>
          <w:rFonts w:hint="eastAsia"/>
        </w:rPr>
        <w:t>保护</w:t>
      </w:r>
      <w:bookmarkEnd w:id="266"/>
    </w:p>
    <w:p>
      <w:pPr>
        <w:pStyle w:val="3"/>
      </w:pPr>
      <w:r>
        <w:rPr>
          <w:rFonts w:hint="eastAsia"/>
        </w:rPr>
        <w:t>1．输入过流和短路保护</w:t>
      </w:r>
    </w:p>
    <w:p>
      <w:pPr>
        <w:pStyle w:val="3"/>
        <w:rPr>
          <w:snapToGrid w:val="0"/>
          <w:lang w:val="en-GB"/>
        </w:rPr>
      </w:pPr>
      <w:r>
        <w:rPr>
          <w:rFonts w:hint="eastAsia"/>
        </w:rPr>
        <w:t>在市电输入配电线路上加装合适的保护器件，保护器件需提供过流保护、短路保护、隔离保护和反灌脱扣等功能。选择保护器件时</w:t>
      </w:r>
      <w:r>
        <w:rPr>
          <w:rFonts w:hint="eastAsia"/>
          <w:snapToGrid w:val="0"/>
          <w:lang w:val="en-GB"/>
        </w:rPr>
        <w:t>应考虑功率电缆电流容量、系统过载能力要求（参见表1-6）和设备前级配电的短路能力等因素，</w:t>
      </w:r>
    </w:p>
    <w:p>
      <w:pPr>
        <w:pStyle w:val="3"/>
      </w:pPr>
      <w:r>
        <w:rPr>
          <w:rFonts w:hint="eastAsia"/>
        </w:rPr>
        <w:t>2．</w:t>
      </w:r>
      <w:r>
        <w:rPr>
          <w:rFonts w:hint="eastAsia"/>
          <w:lang w:val="en-GB"/>
        </w:rPr>
        <w:t>对</w:t>
      </w:r>
      <w:r>
        <w:rPr>
          <w:rFonts w:hint="eastAsia"/>
        </w:rPr>
        <w:t>地漏</w:t>
      </w:r>
      <w:r>
        <w:rPr>
          <w:rFonts w:hint="eastAsia"/>
          <w:lang w:val="en-GB"/>
        </w:rPr>
        <w:t>电流</w:t>
      </w:r>
    </w:p>
    <w:p>
      <w:pPr>
        <w:pStyle w:val="3"/>
      </w:pPr>
      <w:r>
        <w:rPr>
          <w:rFonts w:hint="eastAsia"/>
        </w:rPr>
        <w:t>如前级输入电源装有漏电流检测装置（RCD），则必须考虑UPS启动时所产生的瞬态和稳态对地漏电流。</w:t>
      </w:r>
    </w:p>
    <w:p>
      <w:pPr>
        <w:pStyle w:val="3"/>
      </w:pPr>
      <w:r>
        <w:rPr>
          <w:rFonts w:hint="eastAsia"/>
        </w:rPr>
        <w:t>漏电流动作断路器（RCCB）应满足：</w:t>
      </w:r>
      <w:bookmarkStart w:id="268" w:name="_Hlt322596261"/>
      <w:bookmarkEnd w:id="268"/>
    </w:p>
    <w:p>
      <w:pPr>
        <w:pStyle w:val="114"/>
        <w:numPr>
          <w:ilvl w:val="8"/>
          <w:numId w:val="0"/>
        </w:numPr>
        <w:ind w:left="680"/>
      </w:pPr>
      <w:r>
        <w:rPr>
          <w:rFonts w:hint="eastAsia"/>
        </w:rPr>
        <w:t>对整个配电网络的直流单向脉冲（A级）敏感</w:t>
      </w:r>
    </w:p>
    <w:p>
      <w:pPr>
        <w:pStyle w:val="114"/>
        <w:numPr>
          <w:ilvl w:val="8"/>
          <w:numId w:val="0"/>
        </w:numPr>
        <w:ind w:left="680"/>
      </w:pPr>
      <w:r>
        <w:rPr>
          <w:rFonts w:hint="eastAsia"/>
        </w:rPr>
        <w:t>对瞬态电流脉冲不敏感</w:t>
      </w:r>
    </w:p>
    <w:p>
      <w:pPr>
        <w:pStyle w:val="114"/>
        <w:numPr>
          <w:ilvl w:val="8"/>
          <w:numId w:val="0"/>
        </w:numPr>
        <w:ind w:left="680"/>
      </w:pPr>
      <w:r>
        <w:rPr>
          <w:rFonts w:hint="eastAsia"/>
        </w:rPr>
        <w:t>有一个平均的敏感度，在0.3A～3A之间可调整</w:t>
      </w:r>
    </w:p>
    <w:p>
      <w:pPr>
        <w:pStyle w:val="3"/>
      </w:pPr>
      <w:r>
        <w:rPr>
          <w:rFonts w:hint="eastAsia"/>
        </w:rPr>
        <w:t>RCCB的符号如图3-1所示。</w:t>
      </w:r>
    </w:p>
    <w:p>
      <w:pPr>
        <w:pStyle w:val="86"/>
        <w:ind w:firstLine="2560" w:firstLineChars="1600"/>
        <w:jc w:val="both"/>
      </w:pPr>
      <w:r>
        <w:rPr>
          <w:rFonts w:hint="eastAsia"/>
        </w:rPr>
        <w:drawing>
          <wp:inline distT="0" distB="0" distL="0" distR="0">
            <wp:extent cx="1750060" cy="614680"/>
            <wp:effectExtent l="0" t="0" r="2540" b="0"/>
            <wp:docPr id="98" name="图片 98" descr="P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Page3-3"/>
                    <pic:cNvPicPr>
                      <a:picLocks noChangeAspect="1" noChangeArrowheads="1"/>
                    </pic:cNvPicPr>
                  </pic:nvPicPr>
                  <pic:blipFill>
                    <a:blip r:embed="rId67" cstate="print">
                      <a:extLst>
                        <a:ext uri="{28A0092B-C50C-407E-A947-70E740481C1C}">
                          <a14:useLocalDpi xmlns:a14="http://schemas.microsoft.com/office/drawing/2010/main" val="0"/>
                        </a:ext>
                      </a:extLst>
                    </a:blip>
                    <a:srcRect t="7500" b="7057"/>
                    <a:stretch>
                      <a:fillRect/>
                    </a:stretch>
                  </pic:blipFill>
                  <pic:spPr>
                    <a:xfrm>
                      <a:off x="0" y="0"/>
                      <a:ext cx="1750060" cy="614680"/>
                    </a:xfrm>
                    <a:prstGeom prst="rect">
                      <a:avLst/>
                    </a:prstGeom>
                    <a:noFill/>
                    <a:ln>
                      <a:noFill/>
                    </a:ln>
                  </pic:spPr>
                </pic:pic>
              </a:graphicData>
            </a:graphic>
          </wp:inline>
        </w:drawing>
      </w:r>
    </w:p>
    <w:p>
      <w:pPr>
        <w:pStyle w:val="83"/>
      </w:pPr>
      <w:bookmarkStart w:id="269" w:name="_Ref210101915"/>
      <w:r>
        <w:rPr>
          <w:rFonts w:hint="eastAsia"/>
        </w:rPr>
        <w:t>RCCB符号</w:t>
      </w:r>
      <w:bookmarkEnd w:id="269"/>
    </w:p>
    <w:p>
      <w:pPr>
        <w:pStyle w:val="3"/>
      </w:pPr>
      <w:r>
        <w:rPr>
          <w:rFonts w:hint="eastAsia"/>
        </w:rPr>
        <w:t>UPS内部装有EMC滤波器，故保护地线上存在漏电流，在0</w:t>
      </w:r>
      <w:r>
        <w:t>m</w:t>
      </w:r>
      <w:r>
        <w:rPr>
          <w:rFonts w:hint="eastAsia"/>
        </w:rPr>
        <w:t>A</w:t>
      </w:r>
      <w:r>
        <w:rPr>
          <w:rFonts w:hint="eastAsia" w:ascii="宋体" w:hAnsi="宋体"/>
        </w:rPr>
        <w:t>～</w:t>
      </w:r>
      <w:r>
        <w:rPr>
          <w:rFonts w:hint="eastAsia"/>
        </w:rPr>
        <w:t>2500</w:t>
      </w:r>
      <w:r>
        <w:t>mA</w:t>
      </w:r>
      <w:r>
        <w:rPr>
          <w:rFonts w:hint="eastAsia"/>
        </w:rPr>
        <w:t>之间。建议确认上级输入配电及下级配电（到负载）的每个RCD的敏感度。</w:t>
      </w:r>
    </w:p>
    <w:p>
      <w:pPr>
        <w:pStyle w:val="5"/>
        <w:numPr>
          <w:ilvl w:val="2"/>
          <w:numId w:val="4"/>
        </w:numPr>
      </w:pPr>
      <w:bookmarkStart w:id="270" w:name="_Hlt322599152"/>
      <w:bookmarkEnd w:id="270"/>
      <w:bookmarkStart w:id="271" w:name="_Toc29587"/>
      <w:r>
        <w:rPr>
          <w:rFonts w:hint="eastAsia"/>
        </w:rPr>
        <w:t>电池输入保护</w:t>
      </w:r>
      <w:bookmarkEnd w:id="271"/>
    </w:p>
    <w:p>
      <w:pPr>
        <w:pStyle w:val="3"/>
        <w:rPr>
          <w:rFonts w:eastAsia="Century Schoolbook" w:cs="Arial"/>
          <w:sz w:val="20"/>
        </w:rPr>
      </w:pPr>
      <w:r>
        <w:rPr>
          <w:rFonts w:hint="eastAsia"/>
        </w:rPr>
        <w:t>必须安装电池开关，为电池提供保护。电池开关应具有过流保护、短路保护和自动脱扣功能。电池开关的的具体选型参照表6-1。电池开关对电池的维护非常重要，通常安装在电池的附近。</w:t>
      </w:r>
    </w:p>
    <w:p>
      <w:pPr>
        <w:pStyle w:val="5"/>
        <w:numPr>
          <w:ilvl w:val="2"/>
          <w:numId w:val="4"/>
        </w:numPr>
      </w:pPr>
      <w:bookmarkStart w:id="272" w:name="_Toc15141"/>
      <w:r>
        <w:rPr>
          <w:rFonts w:hint="eastAsia"/>
        </w:rPr>
        <w:t>系统输出保护</w:t>
      </w:r>
      <w:bookmarkEnd w:id="272"/>
    </w:p>
    <w:p>
      <w:pPr>
        <w:pStyle w:val="3"/>
      </w:pPr>
      <w:r>
        <w:rPr>
          <w:rFonts w:hint="eastAsia"/>
        </w:rPr>
        <w:t>UPS的输出配电必须安装保护器件，保护器件必须与UPS输入端使用的开关有所区别，并提供过载保护（参见</w:t>
      </w:r>
      <w:r>
        <w:rPr>
          <w:rFonts w:hint="eastAsia"/>
          <w:snapToGrid w:val="0"/>
          <w:lang w:val="en-GB"/>
        </w:rPr>
        <w:t>表1-6</w:t>
      </w:r>
      <w:r>
        <w:rPr>
          <w:rFonts w:hint="eastAsia"/>
        </w:rPr>
        <w:t>）。</w:t>
      </w:r>
    </w:p>
    <w:p>
      <w:pPr>
        <w:pStyle w:val="5"/>
        <w:numPr>
          <w:ilvl w:val="2"/>
          <w:numId w:val="4"/>
        </w:numPr>
      </w:pPr>
      <w:bookmarkStart w:id="273" w:name="_Toc339294194"/>
      <w:bookmarkEnd w:id="273"/>
      <w:bookmarkStart w:id="274" w:name="_Toc339307157"/>
      <w:bookmarkEnd w:id="274"/>
      <w:bookmarkStart w:id="275" w:name="_Toc23251036"/>
      <w:bookmarkStart w:id="276" w:name="_Toc212951978"/>
      <w:bookmarkStart w:id="277" w:name="_Toc43267895"/>
      <w:bookmarkStart w:id="278" w:name="_Toc43197580"/>
      <w:bookmarkStart w:id="279" w:name="_Toc181760589"/>
      <w:bookmarkStart w:id="280" w:name="_Toc101847529"/>
      <w:bookmarkStart w:id="281" w:name="_Toc181776155"/>
      <w:bookmarkStart w:id="282" w:name="_Toc24480"/>
      <w:r>
        <w:rPr>
          <w:rFonts w:hint="eastAsia"/>
        </w:rPr>
        <w:t>功率电缆</w:t>
      </w:r>
      <w:bookmarkStart w:id="283" w:name="_Hlt322605765"/>
      <w:bookmarkEnd w:id="283"/>
      <w:r>
        <w:rPr>
          <w:rFonts w:hint="eastAsia"/>
        </w:rPr>
        <w:t>接线步骤</w:t>
      </w:r>
      <w:bookmarkEnd w:id="275"/>
      <w:bookmarkEnd w:id="276"/>
      <w:bookmarkEnd w:id="277"/>
      <w:bookmarkEnd w:id="278"/>
      <w:bookmarkEnd w:id="279"/>
      <w:bookmarkEnd w:id="280"/>
      <w:bookmarkEnd w:id="281"/>
      <w:bookmarkEnd w:id="282"/>
      <w:bookmarkStart w:id="284" w:name="_Hlt322608286"/>
      <w:bookmarkEnd w:id="284"/>
    </w:p>
    <w:tbl>
      <w:tblPr>
        <w:tblStyle w:val="50"/>
        <w:tblW w:w="9378"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right"/>
        </w:trPr>
        <w:tc>
          <w:tcPr>
            <w:tcW w:w="9378" w:type="dxa"/>
            <w:vAlign w:val="center"/>
          </w:tcPr>
          <w:p>
            <w:pPr>
              <w:pStyle w:val="72"/>
              <w:spacing w:before="36" w:beforeLines="15" w:line="276" w:lineRule="auto"/>
              <w:jc w:val="both"/>
              <w:rPr>
                <w:rStyle w:val="87"/>
              </w:rPr>
            </w:pPr>
            <w:r>
              <w:rPr>
                <w:rStyle w:val="87"/>
              </w:rPr>
              <w:drawing>
                <wp:inline distT="0" distB="0" distL="0" distR="0">
                  <wp:extent cx="646430" cy="283845"/>
                  <wp:effectExtent l="0" t="0" r="1270" b="1905"/>
                  <wp:docPr id="97" name="图片 97"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6430" cy="283845"/>
                          </a:xfrm>
                          <a:prstGeom prst="rect">
                            <a:avLst/>
                          </a:prstGeom>
                          <a:noFill/>
                          <a:ln>
                            <a:noFill/>
                          </a:ln>
                        </pic:spPr>
                      </pic:pic>
                    </a:graphicData>
                  </a:graphic>
                </wp:inline>
              </w:drawing>
            </w:r>
            <w:r>
              <w:rPr>
                <w:rStyle w:val="87"/>
                <w:rFonts w:hint="eastAsia"/>
              </w:rPr>
              <w:t>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right"/>
        </w:trPr>
        <w:tc>
          <w:tcPr>
            <w:tcW w:w="9378" w:type="dxa"/>
            <w:vAlign w:val="center"/>
          </w:tcPr>
          <w:p>
            <w:pPr>
              <w:pStyle w:val="73"/>
            </w:pPr>
            <w:r>
              <w:rPr>
                <w:rFonts w:hint="eastAsia"/>
              </w:rPr>
              <w:t>对UPS进行接线前，确认UPS所有外部和内部电源开关已断开，并贴上警告标识，以免他人对开关进行操作；同时，还需测量UPS各端子间和各端子对地的电压，确保安全。</w:t>
            </w:r>
            <w:bookmarkStart w:id="285" w:name="_Hlt322594473"/>
            <w:bookmarkEnd w:id="285"/>
            <w:bookmarkStart w:id="286" w:name="_Hlt322594339"/>
            <w:bookmarkEnd w:id="286"/>
          </w:p>
        </w:tc>
      </w:tr>
    </w:tbl>
    <w:p>
      <w:pPr>
        <w:pStyle w:val="3"/>
      </w:pPr>
    </w:p>
    <w:tbl>
      <w:tblPr>
        <w:tblStyle w:val="50"/>
        <w:tblW w:w="9407"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40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175" w:hRule="atLeast"/>
          <w:jc w:val="right"/>
        </w:trPr>
        <w:tc>
          <w:tcPr>
            <w:tcW w:w="9407" w:type="dxa"/>
            <w:vAlign w:val="center"/>
          </w:tcPr>
          <w:p>
            <w:pPr>
              <w:pStyle w:val="72"/>
              <w:spacing w:before="36" w:beforeLines="15" w:line="276" w:lineRule="auto"/>
              <w:jc w:val="both"/>
              <w:rPr>
                <w:rStyle w:val="87"/>
              </w:rPr>
            </w:pPr>
            <w:r>
              <w:rPr>
                <w:rStyle w:val="87"/>
              </w:rPr>
              <w:drawing>
                <wp:inline distT="0" distB="0" distL="0" distR="0">
                  <wp:extent cx="646430" cy="283845"/>
                  <wp:effectExtent l="0" t="0" r="1270" b="1905"/>
                  <wp:docPr id="96" name="图片 96"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6430" cy="283845"/>
                          </a:xfrm>
                          <a:prstGeom prst="rect">
                            <a:avLst/>
                          </a:prstGeom>
                          <a:noFill/>
                          <a:ln>
                            <a:noFill/>
                          </a:ln>
                        </pic:spPr>
                      </pic:pic>
                    </a:graphicData>
                  </a:graphic>
                </wp:inline>
              </w:drawing>
            </w:r>
            <w:r>
              <w:rPr>
                <w:rStyle w:val="87"/>
                <w:rFonts w:hint="eastAsia"/>
              </w:rPr>
              <w:t>警告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407" w:type="dxa"/>
            <w:vAlign w:val="center"/>
          </w:tcPr>
          <w:p>
            <w:pPr>
              <w:pStyle w:val="73"/>
            </w:pPr>
            <w:r>
              <w:rPr>
                <w:rFonts w:hint="eastAsia"/>
              </w:rPr>
              <w:t>功率电缆走线需经过金属地槽或金属走线槽，以防止电缆受机械应力损伤，并降低对</w:t>
            </w:r>
            <w:bookmarkStart w:id="287" w:name="_Hlt324239164"/>
            <w:bookmarkEnd w:id="287"/>
            <w:r>
              <w:rPr>
                <w:rFonts w:hint="eastAsia"/>
              </w:rPr>
              <w:t>周围环境的电磁干扰。</w:t>
            </w:r>
          </w:p>
          <w:p>
            <w:pPr>
              <w:pStyle w:val="73"/>
              <w:rPr>
                <w:i/>
              </w:rPr>
            </w:pPr>
            <w:r>
              <w:rPr>
                <w:rFonts w:hint="eastAsia"/>
              </w:rPr>
              <w:t>柜内走线时，需按图3-</w:t>
            </w:r>
            <w:r>
              <w:t>2</w:t>
            </w:r>
            <w:r>
              <w:rPr>
                <w:rFonts w:hint="eastAsia"/>
              </w:rPr>
              <w:t>说明在机柜内对电缆进行扎线固定，以防止电缆受机械应力损伤。</w:t>
            </w:r>
          </w:p>
        </w:tc>
      </w:tr>
    </w:tbl>
    <w:p>
      <w:pPr>
        <w:numPr>
          <w:ilvl w:val="3"/>
          <w:numId w:val="0"/>
        </w:numPr>
        <w:tabs>
          <w:tab w:val="left" w:pos="420"/>
        </w:tabs>
        <w:ind w:left="624"/>
      </w:pPr>
      <w:bookmarkStart w:id="288" w:name="_Hlt322613227"/>
      <w:bookmarkEnd w:id="288"/>
    </w:p>
    <w:tbl>
      <w:tblPr>
        <w:tblStyle w:val="50"/>
        <w:tblW w:w="9393"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9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93" w:type="dxa"/>
            <w:vAlign w:val="center"/>
          </w:tcPr>
          <w:p>
            <w:pPr>
              <w:pStyle w:val="72"/>
              <w:spacing w:before="36" w:beforeLines="15" w:line="276" w:lineRule="auto"/>
              <w:jc w:val="both"/>
              <w:rPr>
                <w:rStyle w:val="87"/>
              </w:rPr>
            </w:pPr>
            <w:r>
              <w:rPr>
                <w:rStyle w:val="87"/>
              </w:rPr>
              <w:drawing>
                <wp:inline distT="0" distB="0" distL="0" distR="0">
                  <wp:extent cx="315595" cy="267970"/>
                  <wp:effectExtent l="0" t="0" r="8255" b="0"/>
                  <wp:docPr id="95" name="图片 95" descr="图形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图形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315595" cy="267970"/>
                          </a:xfrm>
                          <a:prstGeom prst="rect">
                            <a:avLst/>
                          </a:prstGeom>
                          <a:noFill/>
                          <a:ln>
                            <a:noFill/>
                          </a:ln>
                        </pic:spPr>
                      </pic:pic>
                    </a:graphicData>
                  </a:graphic>
                </wp:inline>
              </w:drawing>
            </w:r>
            <w:r>
              <w:rPr>
                <w:rStyle w:val="87"/>
                <w:rFonts w:hint="eastAsia"/>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93" w:type="dxa"/>
            <w:vAlign w:val="center"/>
          </w:tcPr>
          <w:p>
            <w:pPr>
              <w:pStyle w:val="73"/>
            </w:pPr>
            <w:r>
              <w:rPr>
                <w:rFonts w:hint="eastAsia"/>
              </w:rPr>
              <w:t>完成接线后，需使用适当措施对进出线处进行密封处理。</w:t>
            </w:r>
          </w:p>
        </w:tc>
      </w:tr>
    </w:tbl>
    <w:p>
      <w:pPr>
        <w:pStyle w:val="3"/>
      </w:pPr>
    </w:p>
    <w:tbl>
      <w:tblPr>
        <w:tblStyle w:val="50"/>
        <w:tblW w:w="9378"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right"/>
        </w:trPr>
        <w:tc>
          <w:tcPr>
            <w:tcW w:w="9378" w:type="dxa"/>
            <w:vAlign w:val="center"/>
          </w:tcPr>
          <w:p>
            <w:pPr>
              <w:pStyle w:val="72"/>
              <w:spacing w:before="36" w:beforeLines="15" w:line="276" w:lineRule="auto"/>
              <w:jc w:val="both"/>
              <w:rPr>
                <w:rStyle w:val="87"/>
              </w:rPr>
            </w:pPr>
            <w:r>
              <w:rPr>
                <w:rStyle w:val="87"/>
              </w:rPr>
              <w:drawing>
                <wp:inline distT="0" distB="0" distL="0" distR="0">
                  <wp:extent cx="646430" cy="283845"/>
                  <wp:effectExtent l="0" t="0" r="1270" b="1905"/>
                  <wp:docPr id="94" name="图片 94"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6430" cy="283845"/>
                          </a:xfrm>
                          <a:prstGeom prst="rect">
                            <a:avLst/>
                          </a:prstGeom>
                          <a:noFill/>
                          <a:ln>
                            <a:noFill/>
                          </a:ln>
                        </pic:spPr>
                      </pic:pic>
                    </a:graphicData>
                  </a:graphic>
                </wp:inline>
              </w:drawing>
            </w:r>
            <w:r>
              <w:rPr>
                <w:rStyle w:val="87"/>
                <w:rFonts w:hint="eastAsia"/>
              </w:rPr>
              <w:t>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right"/>
        </w:trPr>
        <w:tc>
          <w:tcPr>
            <w:tcW w:w="9378" w:type="dxa"/>
            <w:vAlign w:val="center"/>
          </w:tcPr>
          <w:p>
            <w:pPr>
              <w:pStyle w:val="73"/>
            </w:pPr>
            <w:r>
              <w:rPr>
                <w:rFonts w:hint="eastAsia"/>
              </w:rPr>
              <w:t>1．地线和中线的连接必须符合当地及国家相关规定。</w:t>
            </w:r>
          </w:p>
          <w:p>
            <w:pPr>
              <w:pStyle w:val="73"/>
            </w:pPr>
            <w:r>
              <w:rPr>
                <w:rFonts w:hint="eastAsia"/>
              </w:rPr>
              <w:t>2．未按要求进行接地可导致触电及火灾危险。</w:t>
            </w:r>
          </w:p>
        </w:tc>
      </w:tr>
    </w:tbl>
    <w:p>
      <w:pPr>
        <w:pStyle w:val="3"/>
      </w:pPr>
    </w:p>
    <w:p>
      <w:pPr>
        <w:pStyle w:val="3"/>
      </w:pPr>
      <w:r>
        <w:rPr>
          <w:rFonts w:hint="eastAsia"/>
        </w:rPr>
        <w:t>五模块UPS机柜的功率电缆及可以上进线，也可以下进线，如图3-</w:t>
      </w:r>
      <w:r>
        <w:t>2</w:t>
      </w:r>
      <w:r>
        <w:rPr>
          <w:rFonts w:hint="eastAsia"/>
        </w:rPr>
        <w:t>所示。由于结构紧凑，五模块的上进线必须按照图中所示的顺序拆卸机柜上的部件后，按要求进行功率线缆的捆扎；五模块的下进线计较简单，只需要根据要求拆掉底部的进线盖板即可。</w:t>
      </w:r>
    </w:p>
    <w:p>
      <w:pPr>
        <w:pStyle w:val="3"/>
        <w:ind w:left="0"/>
        <w:jc w:val="center"/>
      </w:pPr>
      <w:r>
        <w:drawing>
          <wp:inline distT="0" distB="0" distL="0" distR="0">
            <wp:extent cx="4683125" cy="393128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8"/>
                    <a:stretch>
                      <a:fillRect/>
                    </a:stretch>
                  </pic:blipFill>
                  <pic:spPr>
                    <a:xfrm>
                      <a:off x="0" y="0"/>
                      <a:ext cx="4707572" cy="3951902"/>
                    </a:xfrm>
                    <a:prstGeom prst="rect">
                      <a:avLst/>
                    </a:prstGeom>
                  </pic:spPr>
                </pic:pic>
              </a:graphicData>
            </a:graphic>
          </wp:inline>
        </w:drawing>
      </w:r>
    </w:p>
    <w:p>
      <w:pPr>
        <w:pStyle w:val="3"/>
        <w:ind w:left="0"/>
        <w:jc w:val="center"/>
      </w:pPr>
      <w:r>
        <w:drawing>
          <wp:inline distT="0" distB="0" distL="0" distR="0">
            <wp:extent cx="4866005" cy="2860675"/>
            <wp:effectExtent l="0" t="0" r="10795" b="15875"/>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69"/>
                    <a:stretch>
                      <a:fillRect/>
                    </a:stretch>
                  </pic:blipFill>
                  <pic:spPr>
                    <a:xfrm>
                      <a:off x="0" y="0"/>
                      <a:ext cx="4871114" cy="2864132"/>
                    </a:xfrm>
                    <a:prstGeom prst="rect">
                      <a:avLst/>
                    </a:prstGeom>
                  </pic:spPr>
                </pic:pic>
              </a:graphicData>
            </a:graphic>
          </wp:inline>
        </w:drawing>
      </w:r>
    </w:p>
    <w:p>
      <w:pPr>
        <w:pStyle w:val="3"/>
        <w:ind w:left="0"/>
        <w:jc w:val="center"/>
      </w:pPr>
      <w:r>
        <w:drawing>
          <wp:inline distT="0" distB="0" distL="0" distR="0">
            <wp:extent cx="2615565" cy="1723390"/>
            <wp:effectExtent l="0" t="0" r="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r:embed="rId70"/>
                    <a:stretch>
                      <a:fillRect/>
                    </a:stretch>
                  </pic:blipFill>
                  <pic:spPr>
                    <a:xfrm>
                      <a:off x="0" y="0"/>
                      <a:ext cx="2625172" cy="1729628"/>
                    </a:xfrm>
                    <a:prstGeom prst="rect">
                      <a:avLst/>
                    </a:prstGeom>
                  </pic:spPr>
                </pic:pic>
              </a:graphicData>
            </a:graphic>
          </wp:inline>
        </w:drawing>
      </w:r>
    </w:p>
    <w:p>
      <w:pPr>
        <w:pStyle w:val="83"/>
        <w:numPr>
          <w:ilvl w:val="6"/>
          <w:numId w:val="4"/>
        </w:numPr>
      </w:pPr>
      <w:r>
        <w:rPr>
          <w:rFonts w:hint="eastAsia"/>
        </w:rPr>
        <w:t>五模块机柜接线及配电图</w:t>
      </w:r>
    </w:p>
    <w:p>
      <w:pPr>
        <w:pStyle w:val="3"/>
      </w:pPr>
      <w:r>
        <w:rPr>
          <w:rFonts w:hint="eastAsia"/>
        </w:rPr>
        <w:t>七模块UPS功率电缆走线只有一种配置-------上进线。上进线的示意图及配电区域的布局如图3-</w:t>
      </w:r>
      <w:r>
        <w:t>3</w:t>
      </w:r>
      <w:r>
        <w:rPr>
          <w:rFonts w:hint="eastAsia"/>
        </w:rPr>
        <w:t>所示。</w:t>
      </w:r>
    </w:p>
    <w:p>
      <w:pPr>
        <w:pStyle w:val="3"/>
        <w:ind w:left="0"/>
        <w:jc w:val="center"/>
      </w:pPr>
      <w:r>
        <w:drawing>
          <wp:inline distT="0" distB="0" distL="0" distR="0">
            <wp:extent cx="5029200" cy="2694940"/>
            <wp:effectExtent l="0" t="0" r="0" b="10160"/>
            <wp:docPr id="93" name="图片 93" descr="af8b639e96eaec61c6279fcd2603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af8b639e96eaec61c6279fcd260318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5032914" cy="2697331"/>
                    </a:xfrm>
                    <a:prstGeom prst="rect">
                      <a:avLst/>
                    </a:prstGeom>
                    <a:noFill/>
                    <a:ln>
                      <a:noFill/>
                    </a:ln>
                  </pic:spPr>
                </pic:pic>
              </a:graphicData>
            </a:graphic>
          </wp:inline>
        </w:drawing>
      </w:r>
    </w:p>
    <w:p>
      <w:pPr>
        <w:pStyle w:val="83"/>
        <w:numPr>
          <w:ilvl w:val="6"/>
          <w:numId w:val="4"/>
        </w:numPr>
      </w:pPr>
      <w:r>
        <w:rPr>
          <w:rFonts w:hint="eastAsia"/>
        </w:rPr>
        <w:t>七模块机柜接线及配电图</w:t>
      </w:r>
    </w:p>
    <w:p>
      <w:pPr>
        <w:pStyle w:val="3"/>
      </w:pPr>
      <w:r>
        <w:rPr>
          <w:rFonts w:hint="eastAsia"/>
        </w:rPr>
        <w:t>十二模块UPS机柜的功率电缆及可以上进线，也可以下进线，如图3-</w:t>
      </w:r>
      <w:r>
        <w:t>4</w:t>
      </w:r>
      <w:r>
        <w:rPr>
          <w:rFonts w:hint="eastAsia"/>
        </w:rPr>
        <w:t>所示。十二模块结构比较紧凑，需严格按照接线顺序来连接功率线缆，否则会造成接线困难等问题。</w:t>
      </w:r>
    </w:p>
    <w:p>
      <w:pPr>
        <w:pStyle w:val="3"/>
        <w:jc w:val="center"/>
      </w:pPr>
      <w:r>
        <w:drawing>
          <wp:inline distT="0" distB="0" distL="0" distR="0">
            <wp:extent cx="5847715" cy="2736215"/>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72"/>
                    <a:stretch>
                      <a:fillRect/>
                    </a:stretch>
                  </pic:blipFill>
                  <pic:spPr>
                    <a:xfrm>
                      <a:off x="0" y="0"/>
                      <a:ext cx="5862594" cy="2743199"/>
                    </a:xfrm>
                    <a:prstGeom prst="rect">
                      <a:avLst/>
                    </a:prstGeom>
                  </pic:spPr>
                </pic:pic>
              </a:graphicData>
            </a:graphic>
          </wp:inline>
        </w:drawing>
      </w:r>
    </w:p>
    <w:p>
      <w:pPr>
        <w:pStyle w:val="83"/>
        <w:numPr>
          <w:ilvl w:val="6"/>
          <w:numId w:val="4"/>
        </w:numPr>
      </w:pPr>
      <w:r>
        <w:rPr>
          <w:rFonts w:hint="eastAsia"/>
        </w:rPr>
        <w:t>十二模块机柜接线及配电图</w:t>
      </w:r>
    </w:p>
    <w:p>
      <w:pPr>
        <w:pStyle w:val="83"/>
        <w:numPr>
          <w:ilvl w:val="0"/>
          <w:numId w:val="0"/>
        </w:numPr>
        <w:jc w:val="both"/>
      </w:pPr>
    </w:p>
    <w:p>
      <w:pPr>
        <w:pStyle w:val="3"/>
      </w:pPr>
      <w:r>
        <w:rPr>
          <w:rFonts w:hint="eastAsia"/>
        </w:rPr>
        <w:t>下进线接线顺序描述。</w:t>
      </w:r>
    </w:p>
    <w:p>
      <w:pPr>
        <w:pStyle w:val="3"/>
        <w:numPr>
          <w:ilvl w:val="4"/>
          <w:numId w:val="7"/>
        </w:numPr>
      </w:pPr>
      <w:r>
        <w:rPr>
          <w:rFonts w:hint="eastAsia"/>
        </w:rPr>
        <w:t>首先安装地线，如果地排安装在机柜顶部，需要把地排改装到下部。</w:t>
      </w:r>
    </w:p>
    <w:p>
      <w:pPr>
        <w:pStyle w:val="3"/>
        <w:numPr>
          <w:ilvl w:val="4"/>
          <w:numId w:val="7"/>
        </w:numPr>
      </w:pPr>
      <w:r>
        <w:rPr>
          <w:rFonts w:hint="eastAsia"/>
        </w:rPr>
        <w:t>安装输出线缆---- A相线缆, B相线缆要向模块侧拉，C相线缆要向电池铜排侧拉。</w:t>
      </w:r>
    </w:p>
    <w:p>
      <w:pPr>
        <w:pStyle w:val="3"/>
        <w:numPr>
          <w:ilvl w:val="4"/>
          <w:numId w:val="7"/>
        </w:numPr>
      </w:pPr>
      <w:r>
        <w:rPr>
          <w:rFonts w:hint="eastAsia"/>
        </w:rPr>
        <w:t>安装电池正线缆。</w:t>
      </w:r>
    </w:p>
    <w:p>
      <w:pPr>
        <w:pStyle w:val="3"/>
        <w:numPr>
          <w:ilvl w:val="4"/>
          <w:numId w:val="7"/>
        </w:numPr>
      </w:pPr>
      <w:r>
        <w:rPr>
          <w:rFonts w:hint="eastAsia"/>
        </w:rPr>
        <w:t>安装旁路输入线缆---- A相线缆, B相线缆要向模块侧拉，C相线缆要向电池铜排侧拉。</w:t>
      </w:r>
    </w:p>
    <w:p>
      <w:pPr>
        <w:pStyle w:val="3"/>
        <w:numPr>
          <w:ilvl w:val="4"/>
          <w:numId w:val="7"/>
        </w:numPr>
      </w:pPr>
      <w:r>
        <w:rPr>
          <w:rFonts w:hint="eastAsia"/>
        </w:rPr>
        <w:t>安装电池负线缆。</w:t>
      </w:r>
    </w:p>
    <w:p>
      <w:pPr>
        <w:pStyle w:val="3"/>
        <w:numPr>
          <w:ilvl w:val="4"/>
          <w:numId w:val="7"/>
        </w:numPr>
      </w:pPr>
      <w:r>
        <w:rPr>
          <w:rFonts w:hint="eastAsia"/>
        </w:rPr>
        <w:t>安装主路输入线缆---- A相线缆, B相线缆要向模块侧拉，C相线缆要向电池铜排侧拉。</w:t>
      </w:r>
    </w:p>
    <w:p>
      <w:pPr>
        <w:pStyle w:val="3"/>
        <w:numPr>
          <w:ilvl w:val="4"/>
          <w:numId w:val="7"/>
        </w:numPr>
      </w:pPr>
      <w:r>
        <w:rPr>
          <w:rFonts w:hint="eastAsia"/>
        </w:rPr>
        <w:t>安装N线。</w:t>
      </w:r>
    </w:p>
    <w:p>
      <w:pPr>
        <w:pStyle w:val="3"/>
      </w:pPr>
      <w:r>
        <w:rPr>
          <w:rFonts w:hint="eastAsia"/>
        </w:rPr>
        <w:t>上进线接线顺序描述。</w:t>
      </w:r>
    </w:p>
    <w:p>
      <w:pPr>
        <w:pStyle w:val="3"/>
        <w:numPr>
          <w:ilvl w:val="4"/>
          <w:numId w:val="8"/>
        </w:numPr>
      </w:pPr>
      <w:r>
        <w:rPr>
          <w:rFonts w:hint="eastAsia"/>
        </w:rPr>
        <w:t>首先安装地线，安装N线。</w:t>
      </w:r>
    </w:p>
    <w:p>
      <w:pPr>
        <w:pStyle w:val="3"/>
        <w:numPr>
          <w:ilvl w:val="4"/>
          <w:numId w:val="8"/>
        </w:numPr>
      </w:pPr>
      <w:r>
        <w:rPr>
          <w:rFonts w:hint="eastAsia"/>
        </w:rPr>
        <w:t>安装主路输入线缆---- A相线缆, B相线缆要向模块侧拉，C相线缆要向电池铜排侧拉。</w:t>
      </w:r>
    </w:p>
    <w:p>
      <w:pPr>
        <w:pStyle w:val="3"/>
        <w:numPr>
          <w:ilvl w:val="4"/>
          <w:numId w:val="8"/>
        </w:numPr>
      </w:pPr>
      <w:r>
        <w:rPr>
          <w:rFonts w:hint="eastAsia"/>
        </w:rPr>
        <w:t>安装电池负线缆。</w:t>
      </w:r>
    </w:p>
    <w:p>
      <w:pPr>
        <w:pStyle w:val="3"/>
        <w:numPr>
          <w:ilvl w:val="4"/>
          <w:numId w:val="8"/>
        </w:numPr>
      </w:pPr>
      <w:r>
        <w:rPr>
          <w:rFonts w:hint="eastAsia"/>
        </w:rPr>
        <w:t>安装旁路输入线缆---- A相线缆, B相线缆要向模块侧拉，C相线缆要向电池铜排侧拉。</w:t>
      </w:r>
    </w:p>
    <w:p>
      <w:pPr>
        <w:pStyle w:val="3"/>
        <w:numPr>
          <w:ilvl w:val="4"/>
          <w:numId w:val="8"/>
        </w:numPr>
      </w:pPr>
      <w:r>
        <w:rPr>
          <w:rFonts w:hint="eastAsia"/>
        </w:rPr>
        <w:t>安装电池正线缆。</w:t>
      </w:r>
    </w:p>
    <w:p>
      <w:pPr>
        <w:pStyle w:val="3"/>
        <w:numPr>
          <w:ilvl w:val="4"/>
          <w:numId w:val="8"/>
        </w:numPr>
      </w:pPr>
      <w:r>
        <w:rPr>
          <w:rFonts w:hint="eastAsia"/>
        </w:rPr>
        <w:t>安装输出线缆---- A相线缆, B相线缆要向模块侧拉，C相线缆要向电池铜排侧拉。</w:t>
      </w:r>
    </w:p>
    <w:p>
      <w:pPr>
        <w:pStyle w:val="3"/>
      </w:pPr>
    </w:p>
    <w:p>
      <w:pPr>
        <w:pStyle w:val="3"/>
        <w:rPr>
          <w:rFonts w:hint="eastAsia"/>
        </w:rPr>
      </w:pPr>
      <w:r>
        <w:rPr>
          <w:rFonts w:hint="eastAsia"/>
        </w:rPr>
        <w:t>十四模块UPS功率电缆走线只有一种配置-------上进线。上进线的示意图及配电区域的布局如图3-</w:t>
      </w:r>
      <w:r>
        <w:t>5</w:t>
      </w:r>
      <w:r>
        <w:rPr>
          <w:rFonts w:hint="eastAsia"/>
        </w:rPr>
        <w:t>所示。</w:t>
      </w:r>
    </w:p>
    <w:p>
      <w:pPr>
        <w:pStyle w:val="3"/>
        <w:rPr>
          <w:rFonts w:hint="eastAsia" w:eastAsia="宋体"/>
          <w:lang w:eastAsia="zh-CN"/>
        </w:rPr>
      </w:pPr>
      <w:r>
        <w:pict>
          <v:shape id="_x0000_s2099" o:spid="_x0000_s2099" o:spt="32" type="#_x0000_t32" style="position:absolute;left:0pt;margin-left:253.9pt;margin-top:60.4pt;height:0.6pt;width:19.6pt;z-index:251676672;mso-width-relative:page;mso-height-relative:page;" filled="f" stroked="t" coordsize="21600,21600">
            <v:path arrowok="t"/>
            <v:fill on="f" focussize="0,0"/>
            <v:stroke color="#000000" endarrow="block"/>
            <v:imagedata o:title=""/>
            <o:lock v:ext="edit" aspectratio="f"/>
          </v:shape>
        </w:pict>
      </w:r>
      <w:r>
        <w:rPr>
          <w:rFonts w:hint="eastAsia" w:eastAsia="宋体"/>
          <w:lang w:eastAsia="zh-CN"/>
        </w:rPr>
        <w:drawing>
          <wp:inline distT="0" distB="0" distL="114300" distR="114300">
            <wp:extent cx="2992120" cy="1603375"/>
            <wp:effectExtent l="0" t="0" r="0" b="15875"/>
            <wp:docPr id="132" name="图片 132" descr="图片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图片13"/>
                    <pic:cNvPicPr>
                      <a:picLocks noChangeAspect="1"/>
                    </pic:cNvPicPr>
                  </pic:nvPicPr>
                  <pic:blipFill>
                    <a:blip r:embed="rId73"/>
                    <a:srcRect b="59969"/>
                    <a:stretch>
                      <a:fillRect/>
                    </a:stretch>
                  </pic:blipFill>
                  <pic:spPr>
                    <a:xfrm>
                      <a:off x="0" y="0"/>
                      <a:ext cx="2992120" cy="1603375"/>
                    </a:xfrm>
                    <a:prstGeom prst="rect">
                      <a:avLst/>
                    </a:prstGeom>
                  </pic:spPr>
                </pic:pic>
              </a:graphicData>
            </a:graphic>
          </wp:inline>
        </w:drawing>
      </w:r>
      <w:r>
        <w:rPr>
          <w:rFonts w:hint="eastAsia" w:eastAsia="宋体"/>
          <w:lang w:eastAsia="zh-CN"/>
        </w:rPr>
        <w:drawing>
          <wp:inline distT="0" distB="0" distL="114300" distR="114300">
            <wp:extent cx="2794635" cy="1569720"/>
            <wp:effectExtent l="0" t="0" r="5715" b="11430"/>
            <wp:docPr id="133" name="图片 133" descr="图片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图片13"/>
                    <pic:cNvPicPr>
                      <a:picLocks noChangeAspect="1"/>
                    </pic:cNvPicPr>
                  </pic:nvPicPr>
                  <pic:blipFill>
                    <a:blip r:embed="rId73"/>
                    <a:srcRect t="58035"/>
                    <a:stretch>
                      <a:fillRect/>
                    </a:stretch>
                  </pic:blipFill>
                  <pic:spPr>
                    <a:xfrm>
                      <a:off x="0" y="0"/>
                      <a:ext cx="2794635" cy="1569720"/>
                    </a:xfrm>
                    <a:prstGeom prst="rect">
                      <a:avLst/>
                    </a:prstGeom>
                  </pic:spPr>
                </pic:pic>
              </a:graphicData>
            </a:graphic>
          </wp:inline>
        </w:drawing>
      </w:r>
    </w:p>
    <w:p>
      <w:pPr>
        <w:pStyle w:val="3"/>
      </w:pPr>
      <w:r>
        <w:t xml:space="preserve">   </w:t>
      </w:r>
    </w:p>
    <w:p>
      <w:pPr>
        <w:pStyle w:val="83"/>
        <w:numPr>
          <w:ilvl w:val="6"/>
          <w:numId w:val="4"/>
        </w:numPr>
      </w:pPr>
      <w:r>
        <w:rPr>
          <w:rFonts w:hint="eastAsia"/>
        </w:rPr>
        <w:t>十四模块机柜接线及配电图</w:t>
      </w:r>
    </w:p>
    <w:p>
      <w:pPr>
        <w:pStyle w:val="83"/>
        <w:numPr>
          <w:ilvl w:val="6"/>
          <w:numId w:val="4"/>
        </w:numPr>
      </w:pPr>
    </w:p>
    <w:p>
      <w:pPr>
        <w:pStyle w:val="4"/>
        <w:numPr>
          <w:ilvl w:val="1"/>
          <w:numId w:val="4"/>
        </w:numPr>
      </w:pPr>
      <w:bookmarkStart w:id="289" w:name="_Toc7240"/>
      <w:r>
        <w:rPr>
          <w:rFonts w:hint="eastAsia"/>
          <w:lang w:val="en-US" w:eastAsia="zh-CN"/>
        </w:rPr>
        <w:t>信号</w:t>
      </w:r>
      <w:r>
        <w:rPr>
          <w:rFonts w:hint="eastAsia"/>
        </w:rPr>
        <w:t>电缆布线</w:t>
      </w:r>
      <w:bookmarkEnd w:id="289"/>
    </w:p>
    <w:p>
      <w:pPr>
        <w:pStyle w:val="5"/>
        <w:numPr>
          <w:ilvl w:val="2"/>
          <w:numId w:val="4"/>
        </w:numPr>
      </w:pPr>
      <w:bookmarkStart w:id="290" w:name="_Hlt324232590"/>
      <w:bookmarkEnd w:id="290"/>
      <w:bookmarkStart w:id="291" w:name="_Hlt250712225"/>
      <w:bookmarkEnd w:id="291"/>
      <w:bookmarkStart w:id="292" w:name="_Hlt211928662"/>
      <w:bookmarkEnd w:id="292"/>
      <w:bookmarkStart w:id="293" w:name="_Hlt210101390"/>
      <w:bookmarkEnd w:id="293"/>
      <w:bookmarkStart w:id="294" w:name="_Hlt322693735"/>
      <w:bookmarkEnd w:id="294"/>
      <w:bookmarkStart w:id="295" w:name="_Hlt322616553"/>
      <w:bookmarkEnd w:id="295"/>
      <w:bookmarkStart w:id="296" w:name="_Hlt210101695"/>
      <w:bookmarkEnd w:id="296"/>
      <w:bookmarkStart w:id="297" w:name="_Hlt133238055"/>
      <w:bookmarkEnd w:id="297"/>
      <w:bookmarkStart w:id="298" w:name="_Toc23251038"/>
      <w:bookmarkStart w:id="299" w:name="_Toc181760592"/>
      <w:bookmarkStart w:id="300" w:name="_Toc128813678"/>
      <w:bookmarkStart w:id="301" w:name="_Toc212951981"/>
      <w:bookmarkStart w:id="302" w:name="_Toc181776158"/>
      <w:bookmarkStart w:id="303" w:name="_Toc139190032"/>
      <w:bookmarkStart w:id="304" w:name="_Toc21757"/>
      <w:r>
        <w:rPr>
          <w:rFonts w:hint="eastAsia"/>
        </w:rPr>
        <w:t>概述</w:t>
      </w:r>
      <w:bookmarkEnd w:id="298"/>
      <w:bookmarkEnd w:id="299"/>
      <w:bookmarkEnd w:id="300"/>
      <w:bookmarkEnd w:id="301"/>
      <w:bookmarkEnd w:id="302"/>
      <w:bookmarkEnd w:id="303"/>
      <w:bookmarkEnd w:id="304"/>
    </w:p>
    <w:p>
      <w:pPr>
        <w:pStyle w:val="3"/>
        <w:rPr>
          <w:kern w:val="0"/>
        </w:rPr>
      </w:pPr>
      <w:r>
        <w:rPr>
          <w:rFonts w:hint="eastAsia"/>
          <w:kern w:val="0"/>
        </w:rPr>
        <w:t>根据现场的具体需要，UPS可能需要辅助连接以实现对电池系统（包括外置电池开关和电池温度传感器）的管理，与个人计算机通信，向外部装置提供告警信号，实现远程紧急停机，提供旁路反灌开关信号等功能。所有控制电缆必须与功率电缆和并机电缆分开布线，并且为双重绝缘电缆。最长</w:t>
      </w:r>
      <w:r>
        <w:rPr>
          <w:kern w:val="0"/>
        </w:rPr>
        <w:t>20m</w:t>
      </w:r>
      <w:r>
        <w:rPr>
          <w:rFonts w:hint="eastAsia"/>
          <w:kern w:val="0"/>
        </w:rPr>
        <w:t>～</w:t>
      </w:r>
      <w:r>
        <w:rPr>
          <w:kern w:val="0"/>
        </w:rPr>
        <w:t>30m</w:t>
      </w:r>
      <w:r>
        <w:rPr>
          <w:rFonts w:hint="eastAsia"/>
          <w:kern w:val="0"/>
        </w:rPr>
        <w:t>接线距离时，控制电缆截面积应为</w:t>
      </w:r>
      <w:r>
        <w:rPr>
          <w:kern w:val="0"/>
        </w:rPr>
        <w:t>0.5mm</w:t>
      </w:r>
      <w:r>
        <w:rPr>
          <w:kern w:val="0"/>
          <w:vertAlign w:val="superscript"/>
        </w:rPr>
        <w:t>2</w:t>
      </w:r>
      <w:r>
        <w:rPr>
          <w:rFonts w:hint="eastAsia"/>
          <w:kern w:val="0"/>
        </w:rPr>
        <w:t>～</w:t>
      </w:r>
      <w:r>
        <w:rPr>
          <w:kern w:val="0"/>
        </w:rPr>
        <w:t>1.5mm</w:t>
      </w:r>
      <w:r>
        <w:rPr>
          <w:kern w:val="0"/>
          <w:vertAlign w:val="superscript"/>
        </w:rPr>
        <w:t>2</w:t>
      </w:r>
      <w:r>
        <w:rPr>
          <w:rFonts w:hint="eastAsia"/>
          <w:kern w:val="0"/>
        </w:rPr>
        <w:t>。如图3-</w:t>
      </w:r>
      <w:r>
        <w:rPr>
          <w:kern w:val="0"/>
        </w:rPr>
        <w:t>5</w:t>
      </w:r>
      <w:r>
        <w:rPr>
          <w:rFonts w:hint="eastAsia"/>
          <w:kern w:val="0"/>
        </w:rPr>
        <w:t>所示，7模块、1</w:t>
      </w:r>
      <w:r>
        <w:rPr>
          <w:kern w:val="0"/>
        </w:rPr>
        <w:t>2</w:t>
      </w:r>
      <w:r>
        <w:rPr>
          <w:rFonts w:hint="eastAsia"/>
          <w:kern w:val="0"/>
        </w:rPr>
        <w:t>模块和1</w:t>
      </w:r>
      <w:r>
        <w:rPr>
          <w:kern w:val="0"/>
        </w:rPr>
        <w:t>4</w:t>
      </w:r>
      <w:r>
        <w:rPr>
          <w:rFonts w:hint="eastAsia"/>
          <w:kern w:val="0"/>
        </w:rPr>
        <w:t>模块系统的前面板提供了丰富的信号接口。</w:t>
      </w:r>
    </w:p>
    <w:p>
      <w:pPr>
        <w:pStyle w:val="3"/>
        <w:ind w:left="0"/>
        <w:jc w:val="center"/>
        <w:rPr>
          <w:kern w:val="0"/>
        </w:rPr>
      </w:pPr>
      <w:r>
        <w:rPr>
          <w:kern w:val="0"/>
        </w:rPr>
        <w:drawing>
          <wp:inline distT="0" distB="0" distL="0" distR="0">
            <wp:extent cx="4763135" cy="2108835"/>
            <wp:effectExtent l="0" t="0" r="0" b="0"/>
            <wp:docPr id="91" name="图片 91" descr="b38623231b6ca1d1816f79777e6c4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b38623231b6ca1d1816f79777e6c4f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4771201" cy="2112688"/>
                    </a:xfrm>
                    <a:prstGeom prst="rect">
                      <a:avLst/>
                    </a:prstGeom>
                    <a:noFill/>
                    <a:ln>
                      <a:noFill/>
                    </a:ln>
                  </pic:spPr>
                </pic:pic>
              </a:graphicData>
            </a:graphic>
          </wp:inline>
        </w:drawing>
      </w:r>
    </w:p>
    <w:p>
      <w:pPr>
        <w:pStyle w:val="114"/>
        <w:jc w:val="left"/>
        <w:rPr>
          <w:kern w:val="0"/>
          <w:lang w:val="en-GB"/>
        </w:rPr>
        <w:sectPr>
          <w:headerReference r:id="rId20" w:type="default"/>
          <w:footerReference r:id="rId21" w:type="default"/>
          <w:type w:val="continuous"/>
          <w:pgSz w:w="11907" w:h="16840"/>
          <w:pgMar w:top="1304" w:right="1134" w:bottom="1134" w:left="737" w:header="851" w:footer="737" w:gutter="0"/>
          <w:cols w:space="720" w:num="1"/>
        </w:sectPr>
      </w:pPr>
    </w:p>
    <w:p>
      <w:pPr>
        <w:pStyle w:val="83"/>
        <w:numPr>
          <w:ilvl w:val="6"/>
          <w:numId w:val="4"/>
        </w:numPr>
      </w:pPr>
      <w:r>
        <w:rPr>
          <w:rFonts w:hint="eastAsia"/>
        </w:rPr>
        <w:t>信号</w:t>
      </w:r>
      <w:r>
        <w:t>接口图</w:t>
      </w:r>
    </w:p>
    <w:p>
      <w:pPr>
        <w:pStyle w:val="5"/>
        <w:numPr>
          <w:ilvl w:val="2"/>
          <w:numId w:val="4"/>
        </w:numPr>
      </w:pPr>
      <w:bookmarkStart w:id="305" w:name="_Hlt210101484"/>
      <w:bookmarkEnd w:id="305"/>
      <w:bookmarkStart w:id="306" w:name="_Toc339307161"/>
      <w:bookmarkEnd w:id="306"/>
      <w:bookmarkStart w:id="307" w:name="_Hlt210101496"/>
      <w:bookmarkEnd w:id="307"/>
      <w:bookmarkStart w:id="308" w:name="_Toc22536"/>
      <w:bookmarkStart w:id="309" w:name="_Toc338167236"/>
      <w:bookmarkStart w:id="310" w:name="_Toc23251039"/>
      <w:bookmarkStart w:id="311" w:name="_Toc99422009"/>
      <w:r>
        <w:rPr>
          <w:rFonts w:hint="eastAsia"/>
        </w:rPr>
        <w:t>监控连接端子</w:t>
      </w:r>
      <w:bookmarkEnd w:id="308"/>
    </w:p>
    <w:p>
      <w:pPr>
        <w:pStyle w:val="3"/>
        <w:rPr>
          <w:rFonts w:hint="eastAsia" w:eastAsia="宋体"/>
          <w:lang w:val="en-US" w:eastAsia="zh-CN"/>
        </w:rPr>
      </w:pPr>
      <w:r>
        <w:rPr>
          <w:rFonts w:hint="eastAsia"/>
          <w:lang w:val="pt-BR"/>
        </w:rPr>
        <w:t>L</w:t>
      </w:r>
      <w:r>
        <w:rPr>
          <w:lang w:val="pt-BR"/>
        </w:rPr>
        <w:t>CD端子用于</w:t>
      </w:r>
      <w:r>
        <w:rPr>
          <w:rFonts w:hint="eastAsia"/>
          <w:lang w:val="pt-BR"/>
        </w:rPr>
        <w:t>连接监控模块，监控模块可以实现热插拔</w:t>
      </w:r>
      <w:r>
        <w:rPr>
          <w:rFonts w:hint="eastAsia"/>
          <w:lang w:val="pt-BR" w:eastAsia="zh-CN"/>
        </w:rPr>
        <w:t>。</w:t>
      </w:r>
    </w:p>
    <w:p>
      <w:pPr>
        <w:pStyle w:val="5"/>
        <w:numPr>
          <w:ilvl w:val="2"/>
          <w:numId w:val="4"/>
        </w:numPr>
      </w:pPr>
      <w:bookmarkStart w:id="312" w:name="_Toc338167240"/>
      <w:bookmarkStart w:id="313" w:name="_Toc7128"/>
      <w:bookmarkStart w:id="314" w:name="_Toc23251041"/>
      <w:r>
        <w:rPr>
          <w:rFonts w:hint="eastAsia"/>
        </w:rPr>
        <w:t>远程EPO输入接口</w:t>
      </w:r>
      <w:bookmarkEnd w:id="312"/>
      <w:bookmarkEnd w:id="313"/>
      <w:bookmarkEnd w:id="314"/>
    </w:p>
    <w:p>
      <w:pPr>
        <w:pStyle w:val="3"/>
        <w:rPr>
          <w:lang w:val="en-GB"/>
        </w:rPr>
      </w:pPr>
      <w:r>
        <w:rPr>
          <w:rFonts w:hint="eastAsia"/>
          <w:lang w:val="en-GB"/>
        </w:rPr>
        <w:t>REPO为远程EPO输入接口,如下图3-</w:t>
      </w:r>
      <w:r>
        <w:rPr>
          <w:lang w:val="en-GB"/>
        </w:rPr>
        <w:t>6</w:t>
      </w:r>
      <w:r>
        <w:rPr>
          <w:rFonts w:hint="eastAsia"/>
          <w:lang w:val="en-GB"/>
        </w:rPr>
        <w:t>所示，从左往右的引脚号为1,2,3,4，引脚号的详细描述见表3-3。</w:t>
      </w:r>
    </w:p>
    <w:p>
      <w:pPr>
        <w:pStyle w:val="86"/>
        <w:tabs>
          <w:tab w:val="left" w:pos="3179"/>
          <w:tab w:val="center" w:pos="5357"/>
        </w:tabs>
        <w:ind w:left="0"/>
      </w:pPr>
      <w:r>
        <w:rPr>
          <w:rFonts w:hint="eastAsia"/>
        </w:rPr>
        <w:drawing>
          <wp:inline distT="0" distB="0" distL="0" distR="0">
            <wp:extent cx="1308735" cy="1166495"/>
            <wp:effectExtent l="0" t="0" r="5715"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1308735" cy="1166495"/>
                    </a:xfrm>
                    <a:prstGeom prst="rect">
                      <a:avLst/>
                    </a:prstGeom>
                    <a:noFill/>
                    <a:ln>
                      <a:noFill/>
                    </a:ln>
                  </pic:spPr>
                </pic:pic>
              </a:graphicData>
            </a:graphic>
          </wp:inline>
        </w:drawing>
      </w:r>
      <w:r>
        <w:pict>
          <v:shape id="文本框 136" o:spid="_x0000_s2056" o:spt="202" type="#_x0000_t202" style="position:absolute;left:0pt;margin-left:276.35pt;margin-top:35.25pt;height:15.9pt;width:13.1pt;z-index:25166950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">
            <v:path/>
            <v:fill on="f" focussize="0,0"/>
            <v:stroke on="f" joinstyle="miter"/>
            <v:imagedata o:title=""/>
            <o:lock v:ext="edit"/>
            <v:textbox>
              <w:txbxContent>
                <w:p>
                  <w:pPr>
                    <w:rPr>
                      <w:b/>
                      <w:sz w:val="13"/>
                      <w:szCs w:val="13"/>
                    </w:rPr>
                  </w:pPr>
                  <w:r>
                    <w:rPr>
                      <w:rFonts w:hint="eastAsia"/>
                      <w:b/>
                      <w:sz w:val="13"/>
                      <w:szCs w:val="13"/>
                    </w:rPr>
                    <w:t>4</w:t>
                  </w:r>
                </w:p>
              </w:txbxContent>
            </v:textbox>
          </v:shape>
        </w:pict>
      </w:r>
      <w:r>
        <w:pict>
          <v:shape id="文本框 135" o:spid="_x0000_s2057" o:spt="202" type="#_x0000_t202" style="position:absolute;left:0pt;margin-left:262.15pt;margin-top:35.75pt;height:15.9pt;width:13.1pt;z-index:25166848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">
            <v:path/>
            <v:fill on="f" focussize="0,0"/>
            <v:stroke on="f" joinstyle="miter"/>
            <v:imagedata o:title=""/>
            <o:lock v:ext="edit"/>
            <v:textbox>
              <w:txbxContent>
                <w:p>
                  <w:pPr>
                    <w:rPr>
                      <w:b/>
                      <w:sz w:val="13"/>
                      <w:szCs w:val="13"/>
                    </w:rPr>
                  </w:pPr>
                  <w:r>
                    <w:rPr>
                      <w:rFonts w:hint="eastAsia"/>
                      <w:b/>
                      <w:sz w:val="13"/>
                      <w:szCs w:val="13"/>
                    </w:rPr>
                    <w:t>3</w:t>
                  </w:r>
                </w:p>
              </w:txbxContent>
            </v:textbox>
          </v:shape>
        </w:pict>
      </w:r>
      <w:r>
        <w:pict>
          <v:shape id="文本框 134" o:spid="_x0000_s2058" o:spt="202" type="#_x0000_t202" style="position:absolute;left:0pt;margin-left:248.2pt;margin-top:35.55pt;height:15.9pt;width:13.1pt;z-index:25166745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">
            <v:path/>
            <v:fill on="f" focussize="0,0"/>
            <v:stroke on="f" joinstyle="miter"/>
            <v:imagedata o:title=""/>
            <o:lock v:ext="edit"/>
            <v:textbox>
              <w:txbxContent>
                <w:p>
                  <w:pPr>
                    <w:rPr>
                      <w:b/>
                      <w:sz w:val="13"/>
                      <w:szCs w:val="13"/>
                    </w:rPr>
                  </w:pPr>
                  <w:r>
                    <w:rPr>
                      <w:rFonts w:hint="eastAsia"/>
                      <w:b/>
                      <w:sz w:val="13"/>
                      <w:szCs w:val="13"/>
                    </w:rPr>
                    <w:t>2</w:t>
                  </w:r>
                </w:p>
              </w:txbxContent>
            </v:textbox>
          </v:shape>
        </w:pict>
      </w:r>
      <w:r>
        <w:pict>
          <v:shape id="文本框 133" o:spid="_x0000_s2059" o:spt="202" type="#_x0000_t202" style="position:absolute;left:0pt;margin-left:234pt;margin-top:35.6pt;height:15.9pt;width:13.1pt;z-index:25166643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">
            <v:path/>
            <v:fill on="f" focussize="0,0"/>
            <v:stroke on="f" joinstyle="miter"/>
            <v:imagedata o:title=""/>
            <o:lock v:ext="edit"/>
            <v:textbox>
              <w:txbxContent>
                <w:p>
                  <w:pPr>
                    <w:rPr>
                      <w:b/>
                      <w:sz w:val="13"/>
                      <w:szCs w:val="13"/>
                    </w:rPr>
                  </w:pPr>
                  <w:r>
                    <w:rPr>
                      <w:rFonts w:hint="eastAsia"/>
                      <w:b/>
                      <w:sz w:val="13"/>
                      <w:szCs w:val="13"/>
                    </w:rPr>
                    <w:t>1</w:t>
                  </w:r>
                </w:p>
              </w:txbxContent>
            </v:textbox>
          </v:shape>
        </w:pict>
      </w:r>
    </w:p>
    <w:p>
      <w:pPr>
        <w:pStyle w:val="83"/>
        <w:numPr>
          <w:ilvl w:val="6"/>
          <w:numId w:val="4"/>
        </w:numPr>
      </w:pPr>
      <w:r>
        <w:rPr>
          <w:rFonts w:hint="eastAsia"/>
        </w:rPr>
        <w:t>远程EPO输入接口</w:t>
      </w:r>
    </w:p>
    <w:p>
      <w:pPr>
        <w:pStyle w:val="194"/>
        <w:numPr>
          <w:ilvl w:val="5"/>
          <w:numId w:val="4"/>
        </w:numPr>
        <w:rPr>
          <w:szCs w:val="22"/>
          <w:lang w:val="en-GB"/>
        </w:rPr>
      </w:pPr>
      <w:r>
        <w:rPr>
          <w:rFonts w:hint="eastAsia"/>
          <w:szCs w:val="22"/>
        </w:rPr>
        <w:t>远程</w:t>
      </w:r>
      <w:r>
        <w:rPr>
          <w:rFonts w:hint="eastAsia"/>
          <w:szCs w:val="22"/>
          <w:lang w:val="en-GB"/>
        </w:rPr>
        <w:t>EPO输入接口描述</w:t>
      </w:r>
    </w:p>
    <w:tbl>
      <w:tblPr>
        <w:tblStyle w:val="50"/>
        <w:tblW w:w="935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838"/>
        <w:gridCol w:w="1218"/>
        <w:gridCol w:w="1753"/>
        <w:gridCol w:w="3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tblHeader/>
          <w:jc w:val="right"/>
        </w:trPr>
        <w:tc>
          <w:tcPr>
            <w:tcW w:w="872" w:type="dxa"/>
            <w:shd w:val="clear" w:color="auto" w:fill="D9D9D9"/>
            <w:vAlign w:val="center"/>
          </w:tcPr>
          <w:p>
            <w:pPr>
              <w:pStyle w:val="88"/>
            </w:pPr>
            <w:r>
              <w:rPr>
                <w:rFonts w:hint="eastAsia"/>
              </w:rPr>
              <w:t>接口丝印</w:t>
            </w:r>
          </w:p>
        </w:tc>
        <w:tc>
          <w:tcPr>
            <w:tcW w:w="1838" w:type="dxa"/>
            <w:shd w:val="clear" w:color="auto" w:fill="D9D9D9"/>
            <w:vAlign w:val="center"/>
          </w:tcPr>
          <w:p>
            <w:pPr>
              <w:pStyle w:val="88"/>
            </w:pPr>
            <w:r>
              <w:rPr>
                <w:rFonts w:hint="eastAsia"/>
              </w:rPr>
              <w:t>接口名称</w:t>
            </w:r>
          </w:p>
        </w:tc>
        <w:tc>
          <w:tcPr>
            <w:tcW w:w="1218" w:type="dxa"/>
            <w:shd w:val="clear" w:color="auto" w:fill="D9D9D9"/>
            <w:vAlign w:val="center"/>
          </w:tcPr>
          <w:p>
            <w:pPr>
              <w:pStyle w:val="88"/>
            </w:pPr>
            <w:r>
              <w:rPr>
                <w:rFonts w:hint="eastAsia"/>
              </w:rPr>
              <w:t>引脚号</w:t>
            </w:r>
          </w:p>
        </w:tc>
        <w:tc>
          <w:tcPr>
            <w:tcW w:w="1753" w:type="dxa"/>
            <w:shd w:val="clear" w:color="auto" w:fill="D9D9D9"/>
            <w:vAlign w:val="center"/>
          </w:tcPr>
          <w:p>
            <w:pPr>
              <w:pStyle w:val="88"/>
            </w:pPr>
            <w:r>
              <w:rPr>
                <w:rFonts w:hint="eastAsia"/>
              </w:rPr>
              <w:t>引脚名称</w:t>
            </w:r>
          </w:p>
        </w:tc>
        <w:tc>
          <w:tcPr>
            <w:tcW w:w="3675" w:type="dxa"/>
            <w:shd w:val="clear" w:color="auto" w:fill="D9D9D9"/>
            <w:vAlign w:val="center"/>
          </w:tcPr>
          <w:p>
            <w:pPr>
              <w:pStyle w:val="88"/>
            </w:pPr>
            <w:r>
              <w:rPr>
                <w:rFonts w:hint="eastAsia"/>
              </w:rPr>
              <w:t>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872" w:type="dxa"/>
            <w:vMerge w:val="restart"/>
            <w:vAlign w:val="center"/>
          </w:tcPr>
          <w:p>
            <w:pPr>
              <w:pStyle w:val="72"/>
            </w:pPr>
            <w:r>
              <w:rPr>
                <w:rFonts w:hint="eastAsia"/>
              </w:rPr>
              <w:t>REPO</w:t>
            </w:r>
          </w:p>
        </w:tc>
        <w:tc>
          <w:tcPr>
            <w:tcW w:w="1838" w:type="dxa"/>
            <w:vMerge w:val="restart"/>
            <w:vAlign w:val="center"/>
          </w:tcPr>
          <w:p>
            <w:pPr>
              <w:pStyle w:val="73"/>
              <w:keepNext/>
              <w:widowControl w:val="0"/>
              <w:jc w:val="center"/>
            </w:pPr>
            <w:r>
              <w:rPr>
                <w:rFonts w:hint="eastAsia"/>
              </w:rPr>
              <w:t>远程</w:t>
            </w:r>
            <w:r>
              <w:t>EPO</w:t>
            </w:r>
            <w:r>
              <w:rPr>
                <w:rFonts w:hint="eastAsia"/>
              </w:rPr>
              <w:t>输入接口</w:t>
            </w:r>
          </w:p>
        </w:tc>
        <w:tc>
          <w:tcPr>
            <w:tcW w:w="1218" w:type="dxa"/>
            <w:vAlign w:val="center"/>
          </w:tcPr>
          <w:p>
            <w:pPr>
              <w:pStyle w:val="72"/>
              <w:keepNext/>
              <w:widowControl w:val="0"/>
            </w:pPr>
            <w:r>
              <w:rPr>
                <w:rFonts w:hint="eastAsia"/>
              </w:rPr>
              <w:t>1</w:t>
            </w:r>
          </w:p>
        </w:tc>
        <w:tc>
          <w:tcPr>
            <w:tcW w:w="1753" w:type="dxa"/>
            <w:vAlign w:val="center"/>
          </w:tcPr>
          <w:p>
            <w:pPr>
              <w:pStyle w:val="73"/>
              <w:jc w:val="center"/>
            </w:pPr>
            <w:r>
              <w:t>EPO_</w:t>
            </w:r>
            <w:r>
              <w:rPr>
                <w:rFonts w:hint="eastAsia"/>
              </w:rPr>
              <w:t>NC</w:t>
            </w:r>
          </w:p>
        </w:tc>
        <w:tc>
          <w:tcPr>
            <w:tcW w:w="3675" w:type="dxa"/>
            <w:vAlign w:val="center"/>
          </w:tcPr>
          <w:p>
            <w:pPr>
              <w:pStyle w:val="73"/>
            </w:pPr>
            <w:r>
              <w:rPr>
                <w:szCs w:val="16"/>
              </w:rPr>
              <w:t>断开引脚2时激活EPO</w:t>
            </w:r>
            <w:r>
              <w:rPr>
                <w:rFonts w:hint="eastAsia"/>
              </w:rPr>
              <w:t>。出厂时， 1和2已短接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872" w:type="dxa"/>
            <w:vMerge w:val="continue"/>
            <w:vAlign w:val="center"/>
          </w:tcPr>
          <w:p>
            <w:pPr>
              <w:pStyle w:val="72"/>
              <w:keepNext/>
            </w:pPr>
          </w:p>
        </w:tc>
        <w:tc>
          <w:tcPr>
            <w:tcW w:w="1838" w:type="dxa"/>
            <w:vMerge w:val="continue"/>
            <w:vAlign w:val="center"/>
          </w:tcPr>
          <w:p>
            <w:pPr>
              <w:pStyle w:val="73"/>
              <w:keepNext/>
              <w:jc w:val="center"/>
            </w:pPr>
          </w:p>
        </w:tc>
        <w:tc>
          <w:tcPr>
            <w:tcW w:w="1218" w:type="dxa"/>
            <w:vAlign w:val="center"/>
          </w:tcPr>
          <w:p>
            <w:pPr>
              <w:pStyle w:val="72"/>
              <w:keepNext/>
            </w:pPr>
            <w:r>
              <w:rPr>
                <w:rFonts w:hint="eastAsia"/>
              </w:rPr>
              <w:t>2</w:t>
            </w:r>
          </w:p>
        </w:tc>
        <w:tc>
          <w:tcPr>
            <w:tcW w:w="1753" w:type="dxa"/>
            <w:vAlign w:val="center"/>
          </w:tcPr>
          <w:p>
            <w:pPr>
              <w:pStyle w:val="73"/>
              <w:jc w:val="center"/>
            </w:pPr>
            <w:r>
              <w:rPr>
                <w:rFonts w:hint="eastAsia"/>
              </w:rPr>
              <w:t>＋</w:t>
            </w:r>
            <w:r>
              <w:t>12V</w:t>
            </w:r>
          </w:p>
        </w:tc>
        <w:tc>
          <w:tcPr>
            <w:tcW w:w="3675" w:type="dxa"/>
            <w:vAlign w:val="center"/>
          </w:tcPr>
          <w:p>
            <w:pPr>
              <w:pStyle w:val="73"/>
            </w:pPr>
            <w:r>
              <w:rPr>
                <w:szCs w:val="16"/>
              </w:rPr>
              <w:t>断开引脚1时激活EPO</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872" w:type="dxa"/>
            <w:vMerge w:val="continue"/>
            <w:vAlign w:val="center"/>
          </w:tcPr>
          <w:p>
            <w:pPr>
              <w:pStyle w:val="72"/>
            </w:pPr>
          </w:p>
        </w:tc>
        <w:tc>
          <w:tcPr>
            <w:tcW w:w="1838" w:type="dxa"/>
            <w:vMerge w:val="continue"/>
            <w:vAlign w:val="center"/>
          </w:tcPr>
          <w:p>
            <w:pPr>
              <w:pStyle w:val="73"/>
              <w:jc w:val="center"/>
            </w:pPr>
          </w:p>
        </w:tc>
        <w:tc>
          <w:tcPr>
            <w:tcW w:w="1218" w:type="dxa"/>
            <w:vAlign w:val="center"/>
          </w:tcPr>
          <w:p>
            <w:pPr>
              <w:pStyle w:val="72"/>
            </w:pPr>
            <w:r>
              <w:rPr>
                <w:rFonts w:hint="eastAsia"/>
              </w:rPr>
              <w:t>3</w:t>
            </w:r>
          </w:p>
        </w:tc>
        <w:tc>
          <w:tcPr>
            <w:tcW w:w="1753" w:type="dxa"/>
            <w:vAlign w:val="center"/>
          </w:tcPr>
          <w:p>
            <w:pPr>
              <w:pStyle w:val="73"/>
              <w:jc w:val="center"/>
            </w:pPr>
            <w:r>
              <w:rPr>
                <w:rFonts w:hint="eastAsia"/>
              </w:rPr>
              <w:t>＋</w:t>
            </w:r>
            <w:r>
              <w:t>12V</w:t>
            </w:r>
          </w:p>
        </w:tc>
        <w:tc>
          <w:tcPr>
            <w:tcW w:w="3675" w:type="dxa"/>
            <w:vAlign w:val="center"/>
          </w:tcPr>
          <w:p>
            <w:pPr>
              <w:pStyle w:val="73"/>
            </w:pPr>
            <w:r>
              <w:rPr>
                <w:rFonts w:hint="eastAsia"/>
                <w:szCs w:val="16"/>
              </w:rPr>
              <w:t>短接</w:t>
            </w:r>
            <w:r>
              <w:rPr>
                <w:szCs w:val="16"/>
              </w:rPr>
              <w:t>引脚4时激活EPO</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872" w:type="dxa"/>
            <w:vMerge w:val="continue"/>
            <w:vAlign w:val="center"/>
          </w:tcPr>
          <w:p>
            <w:pPr>
              <w:pStyle w:val="72"/>
            </w:pPr>
          </w:p>
        </w:tc>
        <w:tc>
          <w:tcPr>
            <w:tcW w:w="1838" w:type="dxa"/>
            <w:vMerge w:val="continue"/>
            <w:vAlign w:val="center"/>
          </w:tcPr>
          <w:p>
            <w:pPr>
              <w:pStyle w:val="73"/>
              <w:jc w:val="center"/>
            </w:pPr>
          </w:p>
        </w:tc>
        <w:tc>
          <w:tcPr>
            <w:tcW w:w="1218" w:type="dxa"/>
            <w:vAlign w:val="center"/>
          </w:tcPr>
          <w:p>
            <w:pPr>
              <w:pStyle w:val="72"/>
            </w:pPr>
            <w:r>
              <w:rPr>
                <w:rFonts w:hint="eastAsia"/>
              </w:rPr>
              <w:t>4</w:t>
            </w:r>
          </w:p>
        </w:tc>
        <w:tc>
          <w:tcPr>
            <w:tcW w:w="1753" w:type="dxa"/>
            <w:vAlign w:val="center"/>
          </w:tcPr>
          <w:p>
            <w:pPr>
              <w:pStyle w:val="73"/>
              <w:jc w:val="center"/>
            </w:pPr>
            <w:r>
              <w:t>EPO_</w:t>
            </w:r>
            <w:r>
              <w:rPr>
                <w:rFonts w:hint="eastAsia"/>
              </w:rPr>
              <w:t>NO</w:t>
            </w:r>
          </w:p>
        </w:tc>
        <w:tc>
          <w:tcPr>
            <w:tcW w:w="3675" w:type="dxa"/>
            <w:vAlign w:val="center"/>
          </w:tcPr>
          <w:p>
            <w:pPr>
              <w:pStyle w:val="73"/>
            </w:pPr>
            <w:r>
              <w:rPr>
                <w:rFonts w:hint="eastAsia"/>
                <w:szCs w:val="16"/>
              </w:rPr>
              <w:t>短接</w:t>
            </w:r>
            <w:r>
              <w:rPr>
                <w:szCs w:val="16"/>
              </w:rPr>
              <w:t>引脚3时激活EPO</w:t>
            </w:r>
            <w:r>
              <w:rPr>
                <w:rFonts w:hint="eastAsia"/>
              </w:rPr>
              <w:t>。</w:t>
            </w:r>
          </w:p>
        </w:tc>
      </w:tr>
    </w:tbl>
    <w:p>
      <w:pPr>
        <w:pStyle w:val="79"/>
      </w:pPr>
    </w:p>
    <w:p>
      <w:pPr>
        <w:pStyle w:val="3"/>
        <w:rPr>
          <w:lang w:val="en-GB"/>
        </w:rPr>
      </w:pPr>
      <w:r>
        <w:rPr>
          <w:rFonts w:hint="eastAsia"/>
          <w:lang w:val="en-GB"/>
        </w:rPr>
        <w:t>远程紧急停机装置还需使用屏蔽电缆与这两个端子之间的常开或常闭远程停机开关连接。如图3</w:t>
      </w:r>
      <w:r>
        <w:rPr>
          <w:lang w:val="en-GB"/>
        </w:rPr>
        <w:t>-7所示</w:t>
      </w:r>
      <w:r>
        <w:rPr>
          <w:rFonts w:hint="eastAsia"/>
          <w:lang w:val="en-GB"/>
        </w:rPr>
        <w:t>，为</w:t>
      </w:r>
      <w:r>
        <w:rPr>
          <w:rFonts w:hint="eastAsia"/>
        </w:rPr>
        <w:t>远程EPO常开状态开关连接图，1和2引脚必须要短接，按下按钮就会使得引脚3和引脚4短接，就会触发紧急关机。</w:t>
      </w:r>
      <w:r>
        <w:rPr>
          <w:rFonts w:hint="eastAsia"/>
          <w:lang w:val="en-GB"/>
        </w:rPr>
        <w:t>如图3</w:t>
      </w:r>
      <w:r>
        <w:rPr>
          <w:lang w:val="en-GB"/>
        </w:rPr>
        <w:t>-8所示</w:t>
      </w:r>
      <w:r>
        <w:rPr>
          <w:rFonts w:hint="eastAsia"/>
          <w:lang w:val="en-GB"/>
        </w:rPr>
        <w:t>，为</w:t>
      </w:r>
      <w:r>
        <w:rPr>
          <w:rFonts w:hint="eastAsia"/>
        </w:rPr>
        <w:t>远程EPO常闭状态开关连接图，按下按钮就会使得引脚</w:t>
      </w:r>
      <w:r>
        <w:t>1</w:t>
      </w:r>
      <w:r>
        <w:rPr>
          <w:rFonts w:hint="eastAsia"/>
        </w:rPr>
        <w:t>和引脚</w:t>
      </w:r>
      <w:r>
        <w:t>2</w:t>
      </w:r>
      <w:r>
        <w:rPr>
          <w:rFonts w:hint="eastAsia"/>
        </w:rPr>
        <w:t>断开，就会触发紧急关机。</w:t>
      </w:r>
      <w:r>
        <w:rPr>
          <w:rFonts w:hint="eastAsia"/>
          <w:lang w:val="en-GB"/>
        </w:rPr>
        <w:t>出厂的时候，R</w:t>
      </w:r>
      <w:r>
        <w:rPr>
          <w:lang w:val="en-GB"/>
        </w:rPr>
        <w:t>EPO</w:t>
      </w:r>
      <w:r>
        <w:rPr>
          <w:rFonts w:hint="eastAsia"/>
          <w:lang w:val="en-GB"/>
        </w:rPr>
        <w:t>接口会配备一个凤凰端子，并且凤凰端子上有跳线把引脚3和4以及短接，请勿拆卸跳线。</w:t>
      </w:r>
    </w:p>
    <w:p>
      <w:pPr>
        <w:pStyle w:val="86"/>
        <w:ind w:left="0"/>
        <w:rPr>
          <w:lang w:val="en-GB"/>
        </w:rPr>
      </w:pPr>
      <w:r>
        <w:drawing>
          <wp:inline distT="0" distB="0" distL="0" distR="0">
            <wp:extent cx="2827655" cy="1657350"/>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2836667" cy="1662602"/>
                    </a:xfrm>
                    <a:prstGeom prst="rect">
                      <a:avLst/>
                    </a:prstGeom>
                    <a:noFill/>
                    <a:ln>
                      <a:noFill/>
                    </a:ln>
                  </pic:spPr>
                </pic:pic>
              </a:graphicData>
            </a:graphic>
          </wp:inline>
        </w:drawing>
      </w:r>
    </w:p>
    <w:p>
      <w:pPr>
        <w:pStyle w:val="83"/>
        <w:numPr>
          <w:ilvl w:val="6"/>
          <w:numId w:val="4"/>
        </w:numPr>
      </w:pPr>
      <w:r>
        <w:rPr>
          <w:rFonts w:hint="eastAsia"/>
        </w:rPr>
        <w:t>远程EPO常开状态开关连接图</w:t>
      </w:r>
    </w:p>
    <w:p>
      <w:pPr>
        <w:pStyle w:val="3"/>
        <w:jc w:val="center"/>
      </w:pPr>
      <w:r>
        <w:drawing>
          <wp:inline distT="0" distB="0" distL="0" distR="0">
            <wp:extent cx="2583180" cy="1482090"/>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2595640" cy="1489137"/>
                    </a:xfrm>
                    <a:prstGeom prst="rect">
                      <a:avLst/>
                    </a:prstGeom>
                    <a:noFill/>
                    <a:ln>
                      <a:noFill/>
                    </a:ln>
                  </pic:spPr>
                </pic:pic>
              </a:graphicData>
            </a:graphic>
          </wp:inline>
        </w:drawing>
      </w:r>
    </w:p>
    <w:p>
      <w:pPr>
        <w:pStyle w:val="83"/>
        <w:numPr>
          <w:ilvl w:val="6"/>
          <w:numId w:val="4"/>
        </w:numPr>
      </w:pPr>
      <w:r>
        <w:rPr>
          <w:rFonts w:hint="eastAsia"/>
        </w:rPr>
        <w:t>远程EPO常闭状态开关连接图</w:t>
      </w:r>
    </w:p>
    <w:tbl>
      <w:tblPr>
        <w:tblStyle w:val="50"/>
        <w:tblW w:w="9356"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6" w:hRule="atLeast"/>
          <w:jc w:val="right"/>
        </w:trPr>
        <w:tc>
          <w:tcPr>
            <w:tcW w:w="9356" w:type="dxa"/>
            <w:vAlign w:val="center"/>
          </w:tcPr>
          <w:p>
            <w:pPr>
              <w:pStyle w:val="72"/>
              <w:spacing w:before="36" w:beforeLines="15" w:line="276" w:lineRule="auto"/>
              <w:jc w:val="both"/>
            </w:pPr>
            <w:r>
              <w:drawing>
                <wp:inline distT="0" distB="0" distL="0" distR="0">
                  <wp:extent cx="362585" cy="315595"/>
                  <wp:effectExtent l="0" t="0" r="0" b="8255"/>
                  <wp:docPr id="87" name="图片 87"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r="49123"/>
                          <a:stretch>
                            <a:fillRect/>
                          </a:stretch>
                        </pic:blipFill>
                        <pic:spPr>
                          <a:xfrm>
                            <a:off x="0" y="0"/>
                            <a:ext cx="362585" cy="315595"/>
                          </a:xfrm>
                          <a:prstGeom prst="rect">
                            <a:avLst/>
                          </a:prstGeom>
                          <a:noFill/>
                          <a:ln>
                            <a:noFill/>
                          </a:ln>
                        </pic:spPr>
                      </pic:pic>
                    </a:graphicData>
                  </a:graphic>
                </wp:inline>
              </w:drawing>
            </w:r>
            <w:r>
              <w:rPr>
                <w:rFonts w:hint="eastAsia"/>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6" w:hRule="atLeast"/>
          <w:jc w:val="right"/>
        </w:trPr>
        <w:tc>
          <w:tcPr>
            <w:tcW w:w="9356" w:type="dxa"/>
            <w:tcMar>
              <w:top w:w="28" w:type="dxa"/>
            </w:tcMar>
            <w:vAlign w:val="center"/>
          </w:tcPr>
          <w:p>
            <w:pPr>
              <w:pStyle w:val="73"/>
            </w:pPr>
            <w:r>
              <w:rPr>
                <w:rFonts w:hint="eastAsia"/>
              </w:rPr>
              <w:t>UPS紧急停机动作将关闭整流器、逆变器和静态旁路，但并不从内部断开UPS的输入市电。如需给UPS完全断电，在触发EPO后，还需断开外部输入开关、旁路输入开关、输出开关和电池开关。</w:t>
            </w:r>
          </w:p>
        </w:tc>
      </w:tr>
    </w:tbl>
    <w:p>
      <w:pPr>
        <w:pStyle w:val="5"/>
        <w:numPr>
          <w:ilvl w:val="2"/>
          <w:numId w:val="4"/>
        </w:numPr>
      </w:pPr>
      <w:bookmarkStart w:id="315" w:name="_Toc11332"/>
      <w:bookmarkStart w:id="316" w:name="_Toc23251042"/>
      <w:bookmarkStart w:id="317" w:name="_Toc338167241"/>
      <w:bookmarkStart w:id="318" w:name="_Toc23251045"/>
      <w:r>
        <w:rPr>
          <w:rFonts w:hint="eastAsia"/>
        </w:rPr>
        <w:t>RS</w:t>
      </w:r>
      <w:r>
        <w:t>232</w:t>
      </w:r>
      <w:r>
        <w:rPr>
          <w:rFonts w:hint="eastAsia"/>
        </w:rPr>
        <w:t>后台通信接口</w:t>
      </w:r>
      <w:bookmarkEnd w:id="315"/>
      <w:bookmarkEnd w:id="316"/>
      <w:bookmarkEnd w:id="317"/>
    </w:p>
    <w:p>
      <w:pPr>
        <w:pStyle w:val="3"/>
        <w:rPr>
          <w:lang w:val="en-GB"/>
        </w:rPr>
      </w:pPr>
      <w:r>
        <w:rPr>
          <w:rFonts w:hint="eastAsia"/>
          <w:lang w:val="en-GB"/>
        </w:rPr>
        <w:t>接口分布见图3-</w:t>
      </w:r>
      <w:r>
        <w:rPr>
          <w:lang w:val="en-GB"/>
        </w:rPr>
        <w:t>5</w:t>
      </w:r>
      <w:r>
        <w:rPr>
          <w:rFonts w:hint="eastAsia"/>
          <w:lang w:val="en-GB"/>
        </w:rPr>
        <w:t>所示。与计算机相连，用于监控和设置后台。</w:t>
      </w:r>
    </w:p>
    <w:p>
      <w:pPr>
        <w:pStyle w:val="3"/>
        <w:rPr>
          <w:lang w:val="en-GB"/>
        </w:rPr>
      </w:pPr>
      <w:r>
        <w:rPr>
          <w:lang w:val="en-GB"/>
        </w:rPr>
        <w:t>RS232</w:t>
      </w:r>
      <w:r>
        <w:rPr>
          <w:rFonts w:hint="eastAsia"/>
          <w:lang w:val="en-GB"/>
        </w:rPr>
        <w:t>接口：提供串行数据，用于授权调试和维护人员对UPS进行调试和维护，也可适用于电总协议通信，但是通信距离受限，最大不超过1</w:t>
      </w:r>
      <w:r>
        <w:rPr>
          <w:lang w:val="en-GB"/>
        </w:rPr>
        <w:t>5m</w:t>
      </w:r>
      <w:r>
        <w:rPr>
          <w:rFonts w:hint="eastAsia"/>
          <w:lang w:val="en-GB"/>
        </w:rPr>
        <w:t>。</w:t>
      </w:r>
    </w:p>
    <w:p>
      <w:pPr>
        <w:pStyle w:val="5"/>
        <w:numPr>
          <w:ilvl w:val="2"/>
          <w:numId w:val="4"/>
        </w:numPr>
      </w:pPr>
      <w:bookmarkStart w:id="319" w:name="_Toc24409"/>
      <w:r>
        <w:rPr>
          <w:rFonts w:hint="eastAsia"/>
        </w:rPr>
        <w:t>并机</w:t>
      </w:r>
      <w:bookmarkEnd w:id="318"/>
      <w:r>
        <w:rPr>
          <w:rFonts w:hint="eastAsia"/>
        </w:rPr>
        <w:t>线连接端子</w:t>
      </w:r>
      <w:bookmarkEnd w:id="319"/>
    </w:p>
    <w:p>
      <w:pPr>
        <w:pStyle w:val="3"/>
      </w:pPr>
      <w:r>
        <w:rPr>
          <w:rFonts w:hint="eastAsia"/>
        </w:rPr>
        <w:t>接口分布见图3-</w:t>
      </w:r>
      <w:r>
        <w:t>5</w:t>
      </w:r>
      <w:r>
        <w:rPr>
          <w:rFonts w:hint="eastAsia"/>
        </w:rPr>
        <w:t>所示。</w:t>
      </w:r>
    </w:p>
    <w:p>
      <w:pPr>
        <w:pStyle w:val="5"/>
        <w:numPr>
          <w:ilvl w:val="2"/>
          <w:numId w:val="4"/>
        </w:numPr>
      </w:pPr>
      <w:bookmarkStart w:id="320" w:name="_Toc28993"/>
      <w:r>
        <w:rPr>
          <w:rFonts w:hint="eastAsia"/>
        </w:rPr>
        <w:t>并机CAN匹配电阻端子</w:t>
      </w:r>
      <w:bookmarkEnd w:id="320"/>
    </w:p>
    <w:p>
      <w:pPr>
        <w:pStyle w:val="3"/>
        <w:rPr>
          <w:lang w:val="en-GB"/>
        </w:rPr>
      </w:pPr>
      <w:r>
        <w:rPr>
          <w:rFonts w:hint="eastAsia"/>
        </w:rPr>
        <w:t>接口分布见图3-</w:t>
      </w:r>
      <w:r>
        <w:t>5</w:t>
      </w:r>
      <w:r>
        <w:rPr>
          <w:rFonts w:hint="eastAsia"/>
        </w:rPr>
        <w:t>所示。</w:t>
      </w:r>
    </w:p>
    <w:p>
      <w:pPr>
        <w:pStyle w:val="5"/>
        <w:numPr>
          <w:ilvl w:val="2"/>
          <w:numId w:val="4"/>
        </w:numPr>
      </w:pPr>
      <w:bookmarkStart w:id="321" w:name="_Toc23251046"/>
      <w:bookmarkStart w:id="322" w:name="_Toc338167242"/>
      <w:bookmarkStart w:id="323" w:name="_Toc29059"/>
      <w:r>
        <w:rPr>
          <w:rFonts w:hint="eastAsia"/>
        </w:rPr>
        <w:t>LBS</w:t>
      </w:r>
      <w:bookmarkEnd w:id="321"/>
      <w:bookmarkEnd w:id="322"/>
      <w:r>
        <w:rPr>
          <w:rFonts w:hint="eastAsia"/>
        </w:rPr>
        <w:t>连接端子</w:t>
      </w:r>
      <w:bookmarkEnd w:id="323"/>
    </w:p>
    <w:p>
      <w:pPr>
        <w:pStyle w:val="3"/>
      </w:pPr>
      <w:r>
        <w:rPr>
          <w:rFonts w:hint="eastAsia"/>
        </w:rPr>
        <w:t>接口分布见图3-</w:t>
      </w:r>
      <w:r>
        <w:t>5</w:t>
      </w:r>
      <w:r>
        <w:rPr>
          <w:rFonts w:hint="eastAsia"/>
        </w:rPr>
        <w:t>所示。</w:t>
      </w:r>
    </w:p>
    <w:p>
      <w:pPr>
        <w:pStyle w:val="5"/>
        <w:numPr>
          <w:ilvl w:val="2"/>
          <w:numId w:val="4"/>
        </w:numPr>
      </w:pPr>
      <w:bookmarkStart w:id="324" w:name="_Toc26748"/>
      <w:r>
        <w:rPr>
          <w:rFonts w:hint="eastAsia"/>
        </w:rPr>
        <w:t>BCB状态接口</w:t>
      </w:r>
      <w:bookmarkEnd w:id="309"/>
      <w:bookmarkEnd w:id="310"/>
      <w:r>
        <w:rPr>
          <w:rFonts w:hint="eastAsia"/>
        </w:rPr>
        <w:t>端子</w:t>
      </w:r>
      <w:bookmarkEnd w:id="324"/>
    </w:p>
    <w:p>
      <w:pPr>
        <w:pStyle w:val="3"/>
        <w:rPr>
          <w:lang w:val="en-GB"/>
        </w:rPr>
      </w:pPr>
      <w:r>
        <w:rPr>
          <w:rFonts w:hint="eastAsia"/>
          <w:lang w:val="en-GB"/>
        </w:rPr>
        <w:t>面板上的丝印BCB即为BCB的状态接口。如下图3-</w:t>
      </w:r>
      <w:r>
        <w:t>9</w:t>
      </w:r>
      <w:r>
        <w:rPr>
          <w:rFonts w:hint="eastAsia"/>
          <w:lang w:val="en-GB"/>
        </w:rPr>
        <w:t>所示，接口描述见表3-4。</w:t>
      </w:r>
    </w:p>
    <w:p>
      <w:pPr>
        <w:pStyle w:val="86"/>
        <w:ind w:left="0"/>
      </w:pPr>
      <w:r>
        <w:drawing>
          <wp:inline distT="0" distB="0" distL="114300" distR="114300">
            <wp:extent cx="605155" cy="1533525"/>
            <wp:effectExtent l="0" t="0" r="0" b="0"/>
            <wp:docPr id="1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4"/>
                    <pic:cNvPicPr>
                      <a:picLocks noChangeAspect="1"/>
                    </pic:cNvPicPr>
                  </pic:nvPicPr>
                  <pic:blipFill>
                    <a:blip r:embed="rId78"/>
                    <a:srcRect r="51501"/>
                    <a:stretch>
                      <a:fillRect/>
                    </a:stretch>
                  </pic:blipFill>
                  <pic:spPr>
                    <a:xfrm>
                      <a:off x="0" y="0"/>
                      <a:ext cx="605155" cy="1533525"/>
                    </a:xfrm>
                    <a:prstGeom prst="rect">
                      <a:avLst/>
                    </a:prstGeom>
                    <a:noFill/>
                    <a:ln>
                      <a:noFill/>
                    </a:ln>
                  </pic:spPr>
                </pic:pic>
              </a:graphicData>
            </a:graphic>
          </wp:inline>
        </w:drawing>
      </w:r>
    </w:p>
    <w:p>
      <w:pPr>
        <w:pStyle w:val="83"/>
        <w:numPr>
          <w:ilvl w:val="6"/>
          <w:numId w:val="4"/>
        </w:numPr>
      </w:pPr>
      <w:r>
        <w:rPr>
          <w:rFonts w:hint="eastAsia"/>
        </w:rPr>
        <w:t>BCB状态接口</w:t>
      </w:r>
    </w:p>
    <w:p>
      <w:pPr>
        <w:pStyle w:val="194"/>
        <w:numPr>
          <w:ilvl w:val="5"/>
          <w:numId w:val="4"/>
        </w:numPr>
        <w:rPr>
          <w:szCs w:val="22"/>
        </w:rPr>
      </w:pPr>
      <w:r>
        <w:rPr>
          <w:rFonts w:hint="eastAsia"/>
          <w:szCs w:val="22"/>
          <w:lang w:val="en-GB"/>
        </w:rPr>
        <w:t>输入干接点接口描述</w:t>
      </w:r>
    </w:p>
    <w:tbl>
      <w:tblPr>
        <w:tblStyle w:val="50"/>
        <w:tblW w:w="935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838"/>
        <w:gridCol w:w="1218"/>
        <w:gridCol w:w="1652"/>
        <w:gridCol w:w="3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tblHeader/>
          <w:jc w:val="right"/>
        </w:trPr>
        <w:tc>
          <w:tcPr>
            <w:tcW w:w="872" w:type="dxa"/>
            <w:shd w:val="clear" w:color="auto" w:fill="D9D9D9"/>
            <w:vAlign w:val="center"/>
          </w:tcPr>
          <w:p>
            <w:pPr>
              <w:pStyle w:val="88"/>
            </w:pPr>
            <w:r>
              <w:rPr>
                <w:rFonts w:hint="eastAsia"/>
              </w:rPr>
              <w:t>接口丝印</w:t>
            </w:r>
          </w:p>
        </w:tc>
        <w:tc>
          <w:tcPr>
            <w:tcW w:w="1838" w:type="dxa"/>
            <w:shd w:val="clear" w:color="auto" w:fill="D9D9D9"/>
            <w:vAlign w:val="center"/>
          </w:tcPr>
          <w:p>
            <w:pPr>
              <w:pStyle w:val="88"/>
            </w:pPr>
            <w:r>
              <w:rPr>
                <w:rFonts w:hint="eastAsia"/>
              </w:rPr>
              <w:t>接口名称</w:t>
            </w:r>
          </w:p>
        </w:tc>
        <w:tc>
          <w:tcPr>
            <w:tcW w:w="1218" w:type="dxa"/>
            <w:shd w:val="clear" w:color="auto" w:fill="D9D9D9"/>
            <w:vAlign w:val="center"/>
          </w:tcPr>
          <w:p>
            <w:pPr>
              <w:pStyle w:val="88"/>
            </w:pPr>
            <w:r>
              <w:rPr>
                <w:rFonts w:hint="eastAsia"/>
              </w:rPr>
              <w:t>引脚号</w:t>
            </w:r>
          </w:p>
        </w:tc>
        <w:tc>
          <w:tcPr>
            <w:tcW w:w="1652" w:type="dxa"/>
            <w:shd w:val="clear" w:color="auto" w:fill="D9D9D9"/>
            <w:vAlign w:val="center"/>
          </w:tcPr>
          <w:p>
            <w:pPr>
              <w:pStyle w:val="88"/>
            </w:pPr>
            <w:r>
              <w:rPr>
                <w:rFonts w:hint="eastAsia"/>
              </w:rPr>
              <w:t>引脚名称</w:t>
            </w:r>
          </w:p>
        </w:tc>
        <w:tc>
          <w:tcPr>
            <w:tcW w:w="3776" w:type="dxa"/>
            <w:shd w:val="clear" w:color="auto" w:fill="D9D9D9"/>
            <w:vAlign w:val="center"/>
          </w:tcPr>
          <w:p>
            <w:pPr>
              <w:pStyle w:val="88"/>
            </w:pPr>
            <w:r>
              <w:rPr>
                <w:rFonts w:hint="eastAsia"/>
              </w:rPr>
              <w:t>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872" w:type="dxa"/>
            <w:vMerge w:val="restart"/>
            <w:vAlign w:val="center"/>
          </w:tcPr>
          <w:p>
            <w:pPr>
              <w:pStyle w:val="72"/>
            </w:pPr>
            <w:r>
              <w:rPr>
                <w:rFonts w:hint="eastAsia"/>
              </w:rPr>
              <w:t>BCB</w:t>
            </w:r>
          </w:p>
        </w:tc>
        <w:tc>
          <w:tcPr>
            <w:tcW w:w="1838" w:type="dxa"/>
            <w:vMerge w:val="restart"/>
            <w:vAlign w:val="center"/>
          </w:tcPr>
          <w:p>
            <w:pPr>
              <w:pStyle w:val="73"/>
              <w:jc w:val="center"/>
            </w:pPr>
            <w:r>
              <w:rPr>
                <w:rFonts w:hint="eastAsia"/>
              </w:rPr>
              <w:t>BCB接口</w:t>
            </w:r>
          </w:p>
        </w:tc>
        <w:tc>
          <w:tcPr>
            <w:tcW w:w="1218" w:type="dxa"/>
            <w:vAlign w:val="center"/>
          </w:tcPr>
          <w:p>
            <w:pPr>
              <w:pStyle w:val="72"/>
              <w:rPr>
                <w:rFonts w:hint="eastAsia" w:eastAsiaTheme="minorEastAsia"/>
                <w:lang w:val="en-US" w:eastAsia="zh-CN"/>
              </w:rPr>
            </w:pPr>
            <w:r>
              <w:rPr>
                <w:rFonts w:hint="eastAsia"/>
                <w:lang w:val="en-US" w:eastAsia="zh-CN"/>
              </w:rPr>
              <w:t>2</w:t>
            </w:r>
          </w:p>
        </w:tc>
        <w:tc>
          <w:tcPr>
            <w:tcW w:w="1652" w:type="dxa"/>
            <w:vAlign w:val="center"/>
          </w:tcPr>
          <w:p>
            <w:pPr>
              <w:pStyle w:val="73"/>
              <w:jc w:val="center"/>
            </w:pPr>
            <w:r>
              <w:t>1</w:t>
            </w:r>
            <w:r>
              <w:rPr>
                <w:rFonts w:hint="eastAsia"/>
              </w:rPr>
              <w:t>#</w:t>
            </w:r>
            <w:r>
              <w:t>BCB驱动</w:t>
            </w:r>
          </w:p>
        </w:tc>
        <w:tc>
          <w:tcPr>
            <w:tcW w:w="3776" w:type="dxa"/>
            <w:vAlign w:val="center"/>
          </w:tcPr>
          <w:p>
            <w:pPr>
              <w:pStyle w:val="73"/>
            </w:pPr>
            <w:r>
              <w:rPr>
                <w:rFonts w:hint="eastAsia"/>
              </w:rPr>
              <w:t>BCB脱扣驱动(欠压脱扣)，正常12V，0V脱扣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872" w:type="dxa"/>
            <w:vMerge w:val="continue"/>
            <w:vAlign w:val="center"/>
          </w:tcPr>
          <w:p>
            <w:pPr>
              <w:pStyle w:val="72"/>
            </w:pPr>
          </w:p>
        </w:tc>
        <w:tc>
          <w:tcPr>
            <w:tcW w:w="1838" w:type="dxa"/>
            <w:vMerge w:val="continue"/>
            <w:vAlign w:val="center"/>
          </w:tcPr>
          <w:p>
            <w:pPr>
              <w:pStyle w:val="73"/>
              <w:jc w:val="center"/>
            </w:pPr>
          </w:p>
        </w:tc>
        <w:tc>
          <w:tcPr>
            <w:tcW w:w="1218" w:type="dxa"/>
            <w:vAlign w:val="center"/>
          </w:tcPr>
          <w:p>
            <w:pPr>
              <w:pStyle w:val="72"/>
              <w:rPr>
                <w:rFonts w:hint="eastAsia" w:eastAsiaTheme="minorEastAsia"/>
                <w:lang w:val="en-US" w:eastAsia="zh-CN"/>
              </w:rPr>
            </w:pPr>
            <w:r>
              <w:rPr>
                <w:rFonts w:hint="eastAsia"/>
                <w:lang w:val="en-US" w:eastAsia="zh-CN"/>
              </w:rPr>
              <w:t>4</w:t>
            </w:r>
          </w:p>
        </w:tc>
        <w:tc>
          <w:tcPr>
            <w:tcW w:w="1652" w:type="dxa"/>
            <w:vAlign w:val="center"/>
          </w:tcPr>
          <w:p>
            <w:pPr>
              <w:pStyle w:val="73"/>
              <w:jc w:val="center"/>
            </w:pPr>
            <w:r>
              <w:t>1</w:t>
            </w:r>
            <w:r>
              <w:rPr>
                <w:rFonts w:hint="eastAsia"/>
              </w:rPr>
              <w:t>#</w:t>
            </w:r>
            <w:r>
              <w:t>BCB开关状态</w:t>
            </w:r>
          </w:p>
        </w:tc>
        <w:tc>
          <w:tcPr>
            <w:tcW w:w="3776" w:type="dxa"/>
            <w:vAlign w:val="center"/>
          </w:tcPr>
          <w:p>
            <w:pPr>
              <w:pStyle w:val="73"/>
              <w:rPr>
                <w:lang w:val="en-GB"/>
              </w:rPr>
            </w:pPr>
            <w:r>
              <w:t>BCB</w:t>
            </w:r>
            <w:r>
              <w:rPr>
                <w:rFonts w:hint="eastAsia"/>
              </w:rPr>
              <w:t>在线信号输入</w:t>
            </w:r>
            <w:r>
              <w:rPr>
                <w:rFonts w:hint="eastAsia"/>
                <w:lang w:val="en-GB"/>
              </w:rPr>
              <w:t>（常开）。BCB常开辅助触点：开关闭合辅助触点闭合，开关断开辅助触点断开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872" w:type="dxa"/>
            <w:vMerge w:val="continue"/>
            <w:vAlign w:val="center"/>
          </w:tcPr>
          <w:p>
            <w:pPr>
              <w:pStyle w:val="72"/>
            </w:pPr>
          </w:p>
        </w:tc>
        <w:tc>
          <w:tcPr>
            <w:tcW w:w="1838" w:type="dxa"/>
            <w:vMerge w:val="continue"/>
            <w:vAlign w:val="center"/>
          </w:tcPr>
          <w:p>
            <w:pPr>
              <w:pStyle w:val="73"/>
              <w:jc w:val="center"/>
            </w:pPr>
          </w:p>
        </w:tc>
        <w:tc>
          <w:tcPr>
            <w:tcW w:w="1218" w:type="dxa"/>
            <w:vAlign w:val="center"/>
          </w:tcPr>
          <w:p>
            <w:pPr>
              <w:pStyle w:val="72"/>
              <w:rPr>
                <w:rFonts w:hint="default" w:eastAsiaTheme="minorEastAsia"/>
                <w:lang w:val="en-US" w:eastAsia="zh-CN"/>
              </w:rPr>
            </w:pPr>
            <w:r>
              <w:rPr>
                <w:rFonts w:hint="eastAsia"/>
                <w:lang w:val="en-US" w:eastAsia="zh-CN"/>
              </w:rPr>
              <w:t>6</w:t>
            </w:r>
          </w:p>
        </w:tc>
        <w:tc>
          <w:tcPr>
            <w:tcW w:w="1652" w:type="dxa"/>
            <w:vAlign w:val="center"/>
          </w:tcPr>
          <w:p>
            <w:pPr>
              <w:pStyle w:val="73"/>
              <w:jc w:val="center"/>
            </w:pPr>
            <w:r>
              <w:t>GND_Dry</w:t>
            </w:r>
          </w:p>
        </w:tc>
        <w:tc>
          <w:tcPr>
            <w:tcW w:w="3776" w:type="dxa"/>
            <w:vAlign w:val="center"/>
          </w:tcPr>
          <w:p>
            <w:pPr>
              <w:pStyle w:val="73"/>
            </w:pPr>
            <w:r>
              <w:rPr>
                <w:rFonts w:hint="eastAsia"/>
                <w:lang w:val="en-GB"/>
              </w:rPr>
              <w:t>电源地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872" w:type="dxa"/>
            <w:vMerge w:val="continue"/>
            <w:vAlign w:val="center"/>
          </w:tcPr>
          <w:p>
            <w:pPr>
              <w:pStyle w:val="72"/>
            </w:pPr>
          </w:p>
        </w:tc>
        <w:tc>
          <w:tcPr>
            <w:tcW w:w="1838" w:type="dxa"/>
            <w:vMerge w:val="continue"/>
            <w:vAlign w:val="center"/>
          </w:tcPr>
          <w:p>
            <w:pPr>
              <w:pStyle w:val="73"/>
              <w:jc w:val="center"/>
            </w:pPr>
          </w:p>
        </w:tc>
        <w:tc>
          <w:tcPr>
            <w:tcW w:w="1218" w:type="dxa"/>
            <w:vAlign w:val="center"/>
          </w:tcPr>
          <w:p>
            <w:pPr>
              <w:pStyle w:val="72"/>
              <w:rPr>
                <w:rFonts w:hint="eastAsia" w:eastAsiaTheme="minorEastAsia"/>
                <w:lang w:val="en-US" w:eastAsia="zh-CN"/>
              </w:rPr>
            </w:pPr>
            <w:r>
              <w:rPr>
                <w:rFonts w:hint="eastAsia"/>
                <w:lang w:val="en-US" w:eastAsia="zh-CN"/>
              </w:rPr>
              <w:t>8</w:t>
            </w:r>
          </w:p>
        </w:tc>
        <w:tc>
          <w:tcPr>
            <w:tcW w:w="1652" w:type="dxa"/>
            <w:vAlign w:val="center"/>
          </w:tcPr>
          <w:p>
            <w:pPr>
              <w:pStyle w:val="73"/>
              <w:jc w:val="center"/>
            </w:pPr>
            <w:r>
              <w:t>1</w:t>
            </w:r>
            <w:r>
              <w:rPr>
                <w:rFonts w:hint="eastAsia"/>
              </w:rPr>
              <w:t>#</w:t>
            </w:r>
            <w:r>
              <w:t>BCB在线</w:t>
            </w:r>
          </w:p>
        </w:tc>
        <w:tc>
          <w:tcPr>
            <w:tcW w:w="3776" w:type="dxa"/>
            <w:vAlign w:val="center"/>
          </w:tcPr>
          <w:p>
            <w:pPr>
              <w:pStyle w:val="73"/>
            </w:pPr>
            <w:r>
              <w:t>BCB</w:t>
            </w:r>
            <w:r>
              <w:rPr>
                <w:rFonts w:hint="eastAsia"/>
              </w:rPr>
              <w:t>在线</w:t>
            </w:r>
            <w:r>
              <w:t>–</w:t>
            </w:r>
            <w:r>
              <w:rPr>
                <w:rFonts w:hint="eastAsia"/>
              </w:rPr>
              <w:t>输入</w:t>
            </w:r>
            <w:r>
              <w:rPr>
                <w:lang w:val="en-GB"/>
              </w:rPr>
              <w:t>（</w:t>
            </w:r>
            <w:r>
              <w:rPr>
                <w:rFonts w:hint="eastAsia"/>
                <w:lang w:val="en-GB"/>
              </w:rPr>
              <w:t>常开</w:t>
            </w:r>
            <w:r>
              <w:rPr>
                <w:lang w:val="en-GB"/>
              </w:rPr>
              <w:t>）</w:t>
            </w:r>
            <w:r>
              <w:rPr>
                <w:rFonts w:hint="eastAsia"/>
                <w:lang w:val="en-GB"/>
              </w:rPr>
              <w:t>：当BCB的接口信号接入后</w:t>
            </w:r>
            <w:r>
              <w:rPr>
                <w:rFonts w:hint="eastAsia"/>
              </w:rPr>
              <w:t>该引脚有效</w:t>
            </w:r>
          </w:p>
        </w:tc>
      </w:tr>
    </w:tbl>
    <w:p>
      <w:pPr>
        <w:pStyle w:val="5"/>
        <w:numPr>
          <w:ilvl w:val="2"/>
          <w:numId w:val="4"/>
        </w:numPr>
      </w:pPr>
      <w:bookmarkStart w:id="325" w:name="_Toc23251040"/>
      <w:bookmarkStart w:id="326" w:name="_Toc512794839"/>
      <w:bookmarkStart w:id="327" w:name="_Toc3907"/>
      <w:r>
        <w:rPr>
          <w:rFonts w:hint="eastAsia"/>
        </w:rPr>
        <w:t>输入干接点接口</w:t>
      </w:r>
      <w:bookmarkEnd w:id="325"/>
      <w:bookmarkEnd w:id="326"/>
      <w:bookmarkEnd w:id="327"/>
    </w:p>
    <w:p>
      <w:pPr>
        <w:pStyle w:val="3"/>
        <w:rPr>
          <w:lang w:val="en-GB"/>
        </w:rPr>
      </w:pPr>
      <w:r>
        <w:rPr>
          <w:rFonts w:hint="eastAsia"/>
          <w:lang w:val="en-GB"/>
        </w:rPr>
        <w:t>输入干接点接口1和2提供电池温度检测、充电器关闭检测等接口，如下图3-</w:t>
      </w:r>
      <w:r>
        <w:t>10</w:t>
      </w:r>
      <w:r>
        <w:rPr>
          <w:rFonts w:hint="eastAsia"/>
          <w:lang w:val="en-GB"/>
        </w:rPr>
        <w:t>所示，接口描述见表3-5。</w:t>
      </w:r>
    </w:p>
    <w:p>
      <w:pPr>
        <w:pStyle w:val="86"/>
        <w:ind w:left="0"/>
      </w:pPr>
      <w:r>
        <w:pict>
          <v:shape id="文本框 131" o:spid="_x0000_s2061" o:spt="202" type="#_x0000_t202" style="position:absolute;left:0pt;margin-left:346pt;margin-top:58.2pt;height:27.45pt;width:27.05pt;z-index:251663360;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">
            <v:path/>
            <v:fill focussize="0,0"/>
            <v:stroke on="f" joinstyle="miter"/>
            <v:imagedata o:title=""/>
            <o:lock v:ext="edit"/>
            <v:textbox>
              <w:txbxContent>
                <w:p/>
                <w:p/>
              </w:txbxContent>
            </v:textbox>
          </v:shape>
        </w:pict>
      </w:r>
      <w:r>
        <w:drawing>
          <wp:inline distT="0" distB="0" distL="114300" distR="114300">
            <wp:extent cx="1266825" cy="1485900"/>
            <wp:effectExtent l="0" t="0" r="9525" b="0"/>
            <wp:docPr id="130"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27"/>
                    <pic:cNvPicPr>
                      <a:picLocks noChangeAspect="1"/>
                    </pic:cNvPicPr>
                  </pic:nvPicPr>
                  <pic:blipFill>
                    <a:blip r:embed="rId79"/>
                    <a:stretch>
                      <a:fillRect/>
                    </a:stretch>
                  </pic:blipFill>
                  <pic:spPr>
                    <a:xfrm>
                      <a:off x="0" y="0"/>
                      <a:ext cx="1266825" cy="1485900"/>
                    </a:xfrm>
                    <a:prstGeom prst="rect">
                      <a:avLst/>
                    </a:prstGeom>
                    <a:noFill/>
                    <a:ln>
                      <a:noFill/>
                    </a:ln>
                  </pic:spPr>
                </pic:pic>
              </a:graphicData>
            </a:graphic>
          </wp:inline>
        </w:drawing>
      </w:r>
    </w:p>
    <w:p>
      <w:pPr>
        <w:pStyle w:val="83"/>
        <w:numPr>
          <w:ilvl w:val="6"/>
          <w:numId w:val="4"/>
        </w:numPr>
        <w:rPr>
          <w:lang w:val="en-GB"/>
        </w:rPr>
      </w:pPr>
      <w:r>
        <w:rPr>
          <w:rFonts w:hint="eastAsia"/>
        </w:rPr>
        <w:t>输入干接点</w:t>
      </w:r>
      <w:r>
        <w:rPr>
          <w:rFonts w:hint="eastAsia"/>
          <w:lang w:val="en-GB"/>
        </w:rPr>
        <w:t>接口</w:t>
      </w:r>
    </w:p>
    <w:p>
      <w:pPr>
        <w:pStyle w:val="194"/>
        <w:numPr>
          <w:ilvl w:val="5"/>
          <w:numId w:val="4"/>
        </w:numPr>
        <w:rPr>
          <w:szCs w:val="22"/>
          <w:lang w:val="en-GB"/>
        </w:rPr>
      </w:pPr>
      <w:r>
        <w:rPr>
          <w:rFonts w:hint="eastAsia"/>
          <w:szCs w:val="22"/>
          <w:lang w:val="en-GB"/>
        </w:rPr>
        <w:t>输入干接点接口描述</w:t>
      </w:r>
    </w:p>
    <w:tbl>
      <w:tblPr>
        <w:tblStyle w:val="50"/>
        <w:tblW w:w="9150"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814"/>
        <w:gridCol w:w="1530"/>
        <w:gridCol w:w="2827"/>
        <w:gridCol w:w="19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tblHeader/>
          <w:jc w:val="right"/>
        </w:trPr>
        <w:tc>
          <w:tcPr>
            <w:tcW w:w="992" w:type="dxa"/>
            <w:shd w:val="clear" w:color="auto" w:fill="D9D9D9"/>
            <w:vAlign w:val="center"/>
          </w:tcPr>
          <w:p>
            <w:pPr>
              <w:pStyle w:val="88"/>
            </w:pPr>
            <w:r>
              <w:rPr>
                <w:rFonts w:hint="eastAsia"/>
              </w:rPr>
              <w:t>接口丝印</w:t>
            </w:r>
          </w:p>
        </w:tc>
        <w:tc>
          <w:tcPr>
            <w:tcW w:w="1814" w:type="dxa"/>
            <w:shd w:val="clear" w:color="auto" w:fill="D9D9D9"/>
            <w:vAlign w:val="center"/>
          </w:tcPr>
          <w:p>
            <w:pPr>
              <w:pStyle w:val="88"/>
            </w:pPr>
            <w:r>
              <w:rPr>
                <w:rFonts w:hint="eastAsia"/>
              </w:rPr>
              <w:t>接口名称</w:t>
            </w:r>
          </w:p>
        </w:tc>
        <w:tc>
          <w:tcPr>
            <w:tcW w:w="1530" w:type="dxa"/>
            <w:shd w:val="clear" w:color="auto" w:fill="D9D9D9"/>
            <w:vAlign w:val="center"/>
          </w:tcPr>
          <w:p>
            <w:pPr>
              <w:pStyle w:val="88"/>
            </w:pPr>
            <w:r>
              <w:rPr>
                <w:rFonts w:hint="eastAsia"/>
              </w:rPr>
              <w:t>引脚号</w:t>
            </w:r>
          </w:p>
        </w:tc>
        <w:tc>
          <w:tcPr>
            <w:tcW w:w="2827" w:type="dxa"/>
            <w:shd w:val="clear" w:color="auto" w:fill="D9D9D9"/>
            <w:vAlign w:val="center"/>
          </w:tcPr>
          <w:p>
            <w:pPr>
              <w:pStyle w:val="88"/>
            </w:pPr>
            <w:r>
              <w:rPr>
                <w:rFonts w:hint="eastAsia"/>
              </w:rPr>
              <w:t>引脚名称</w:t>
            </w:r>
          </w:p>
        </w:tc>
        <w:tc>
          <w:tcPr>
            <w:tcW w:w="1987" w:type="dxa"/>
            <w:shd w:val="clear" w:color="auto" w:fill="D9D9D9"/>
            <w:vAlign w:val="center"/>
          </w:tcPr>
          <w:p>
            <w:pPr>
              <w:pStyle w:val="88"/>
            </w:pPr>
            <w:r>
              <w:rPr>
                <w:rFonts w:hint="eastAsia"/>
              </w:rPr>
              <w:t>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92" w:type="dxa"/>
            <w:vMerge w:val="restart"/>
            <w:vAlign w:val="center"/>
          </w:tcPr>
          <w:p>
            <w:pPr>
              <w:pStyle w:val="72"/>
              <w:ind w:firstLine="240" w:firstLineChars="150"/>
              <w:jc w:val="both"/>
              <w:rPr>
                <w:rFonts w:hint="default" w:eastAsiaTheme="minorEastAsia"/>
                <w:lang w:val="en-US" w:eastAsia="zh-CN"/>
              </w:rPr>
            </w:pPr>
            <w:r>
              <w:rPr>
                <w:rFonts w:hint="eastAsia"/>
                <w:lang w:val="en-US" w:eastAsia="zh-CN"/>
              </w:rPr>
              <w:t>TEMP</w:t>
            </w:r>
          </w:p>
        </w:tc>
        <w:tc>
          <w:tcPr>
            <w:tcW w:w="1814" w:type="dxa"/>
            <w:vMerge w:val="restart"/>
            <w:vAlign w:val="center"/>
          </w:tcPr>
          <w:p>
            <w:pPr>
              <w:pStyle w:val="73"/>
              <w:jc w:val="center"/>
              <w:rPr>
                <w:highlight w:val="yellow"/>
              </w:rPr>
            </w:pPr>
            <w:r>
              <w:rPr>
                <w:rFonts w:hint="eastAsia"/>
              </w:rPr>
              <w:t>外部电池温度检测输入接口</w:t>
            </w:r>
          </w:p>
        </w:tc>
        <w:tc>
          <w:tcPr>
            <w:tcW w:w="1530" w:type="dxa"/>
            <w:vAlign w:val="center"/>
          </w:tcPr>
          <w:p>
            <w:pPr>
              <w:pStyle w:val="72"/>
            </w:pPr>
            <w:r>
              <w:rPr>
                <w:rFonts w:hint="eastAsia"/>
              </w:rPr>
              <w:t>1</w:t>
            </w:r>
          </w:p>
        </w:tc>
        <w:tc>
          <w:tcPr>
            <w:tcW w:w="2827" w:type="dxa"/>
            <w:vAlign w:val="center"/>
          </w:tcPr>
          <w:p>
            <w:pPr>
              <w:pStyle w:val="73"/>
              <w:jc w:val="center"/>
              <w:rPr>
                <w:highlight w:val="yellow"/>
              </w:rPr>
            </w:pPr>
          </w:p>
        </w:tc>
        <w:tc>
          <w:tcPr>
            <w:tcW w:w="1987" w:type="dxa"/>
            <w:vAlign w:val="center"/>
          </w:tcPr>
          <w:p>
            <w:pPr>
              <w:pStyle w:val="73"/>
              <w:jc w:val="center"/>
              <w:rPr>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92" w:type="dxa"/>
            <w:vMerge w:val="continue"/>
            <w:vAlign w:val="center"/>
          </w:tcPr>
          <w:p>
            <w:pPr>
              <w:pStyle w:val="83"/>
              <w:numPr>
                <w:ilvl w:val="6"/>
                <w:numId w:val="0"/>
              </w:numPr>
              <w:ind w:left="5529"/>
              <w:rPr>
                <w:highlight w:val="yellow"/>
              </w:rPr>
            </w:pPr>
          </w:p>
        </w:tc>
        <w:tc>
          <w:tcPr>
            <w:tcW w:w="1814" w:type="dxa"/>
            <w:vMerge w:val="continue"/>
            <w:vAlign w:val="center"/>
          </w:tcPr>
          <w:p>
            <w:pPr>
              <w:pStyle w:val="72"/>
              <w:rPr>
                <w:highlight w:val="yellow"/>
              </w:rPr>
            </w:pPr>
          </w:p>
        </w:tc>
        <w:tc>
          <w:tcPr>
            <w:tcW w:w="1530" w:type="dxa"/>
            <w:vAlign w:val="center"/>
          </w:tcPr>
          <w:p>
            <w:pPr>
              <w:pStyle w:val="72"/>
            </w:pPr>
            <w:r>
              <w:rPr>
                <w:rFonts w:hint="eastAsia"/>
              </w:rPr>
              <w:t>3</w:t>
            </w:r>
          </w:p>
        </w:tc>
        <w:tc>
          <w:tcPr>
            <w:tcW w:w="2827" w:type="dxa"/>
            <w:vAlign w:val="center"/>
          </w:tcPr>
          <w:p>
            <w:pPr>
              <w:pStyle w:val="73"/>
              <w:jc w:val="center"/>
              <w:rPr>
                <w:highlight w:val="yellow"/>
              </w:rPr>
            </w:pPr>
            <w:r>
              <w:rPr>
                <w:bCs/>
              </w:rPr>
              <w:t>+12V_1</w:t>
            </w:r>
            <w:r>
              <w:rPr>
                <w:rFonts w:hint="eastAsia"/>
                <w:bCs/>
              </w:rPr>
              <w:t>#</w:t>
            </w:r>
          </w:p>
        </w:tc>
        <w:tc>
          <w:tcPr>
            <w:tcW w:w="1987" w:type="dxa"/>
            <w:vAlign w:val="center"/>
          </w:tcPr>
          <w:p>
            <w:pPr>
              <w:pStyle w:val="73"/>
              <w:jc w:val="center"/>
              <w:rPr>
                <w:highlight w:val="yellow"/>
              </w:rPr>
            </w:pPr>
            <w:r>
              <w:rPr>
                <w:rFonts w:hint="eastAsia"/>
              </w:rPr>
              <w:t>+12V电源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92" w:type="dxa"/>
            <w:vMerge w:val="continue"/>
            <w:vAlign w:val="center"/>
          </w:tcPr>
          <w:p>
            <w:pPr>
              <w:pStyle w:val="83"/>
              <w:numPr>
                <w:ilvl w:val="6"/>
                <w:numId w:val="0"/>
              </w:numPr>
              <w:ind w:left="5529"/>
              <w:rPr>
                <w:highlight w:val="yellow"/>
              </w:rPr>
            </w:pPr>
          </w:p>
        </w:tc>
        <w:tc>
          <w:tcPr>
            <w:tcW w:w="1814" w:type="dxa"/>
            <w:vMerge w:val="continue"/>
            <w:vAlign w:val="center"/>
          </w:tcPr>
          <w:p>
            <w:pPr>
              <w:pStyle w:val="72"/>
              <w:rPr>
                <w:highlight w:val="yellow"/>
              </w:rPr>
            </w:pPr>
          </w:p>
        </w:tc>
        <w:tc>
          <w:tcPr>
            <w:tcW w:w="1530" w:type="dxa"/>
            <w:vAlign w:val="center"/>
          </w:tcPr>
          <w:p>
            <w:pPr>
              <w:pStyle w:val="72"/>
            </w:pPr>
            <w:r>
              <w:rPr>
                <w:rFonts w:hint="eastAsia"/>
              </w:rPr>
              <w:t>5</w:t>
            </w:r>
          </w:p>
        </w:tc>
        <w:tc>
          <w:tcPr>
            <w:tcW w:w="2827" w:type="dxa"/>
            <w:vAlign w:val="center"/>
          </w:tcPr>
          <w:p>
            <w:pPr>
              <w:pStyle w:val="73"/>
              <w:jc w:val="center"/>
            </w:pPr>
            <w:r>
              <w:rPr>
                <w:rFonts w:hint="eastAsia"/>
              </w:rPr>
              <w:t>外部</w:t>
            </w:r>
            <w:r>
              <w:t>电池温度信号</w:t>
            </w:r>
          </w:p>
        </w:tc>
        <w:tc>
          <w:tcPr>
            <w:tcW w:w="1987" w:type="dxa"/>
            <w:vAlign w:val="center"/>
          </w:tcPr>
          <w:p>
            <w:pPr>
              <w:pStyle w:val="73"/>
              <w:jc w:val="center"/>
              <w:rPr>
                <w:lang w:val="en-GB"/>
              </w:rPr>
            </w:pPr>
            <w:r>
              <w:rPr>
                <w:rFonts w:hint="eastAsia"/>
                <w:lang w:val="en-GB"/>
              </w:rPr>
              <w:t>电池温度检测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92" w:type="dxa"/>
            <w:vMerge w:val="continue"/>
            <w:vAlign w:val="center"/>
          </w:tcPr>
          <w:p>
            <w:pPr>
              <w:pStyle w:val="83"/>
              <w:numPr>
                <w:ilvl w:val="6"/>
                <w:numId w:val="0"/>
              </w:numPr>
              <w:ind w:left="5529"/>
              <w:rPr>
                <w:highlight w:val="yellow"/>
              </w:rPr>
            </w:pPr>
          </w:p>
        </w:tc>
        <w:tc>
          <w:tcPr>
            <w:tcW w:w="1814" w:type="dxa"/>
            <w:vMerge w:val="continue"/>
            <w:vAlign w:val="center"/>
          </w:tcPr>
          <w:p>
            <w:pPr>
              <w:pStyle w:val="72"/>
              <w:rPr>
                <w:highlight w:val="yellow"/>
              </w:rPr>
            </w:pPr>
          </w:p>
        </w:tc>
        <w:tc>
          <w:tcPr>
            <w:tcW w:w="1530" w:type="dxa"/>
            <w:vAlign w:val="center"/>
          </w:tcPr>
          <w:p>
            <w:pPr>
              <w:pStyle w:val="72"/>
            </w:pPr>
            <w:r>
              <w:rPr>
                <w:rFonts w:hint="eastAsia"/>
              </w:rPr>
              <w:t>7</w:t>
            </w:r>
          </w:p>
        </w:tc>
        <w:tc>
          <w:tcPr>
            <w:tcW w:w="2827" w:type="dxa"/>
            <w:vAlign w:val="center"/>
          </w:tcPr>
          <w:p>
            <w:pPr>
              <w:pStyle w:val="73"/>
              <w:jc w:val="center"/>
            </w:pPr>
            <w:r>
              <w:t>GND_Dry</w:t>
            </w:r>
          </w:p>
        </w:tc>
        <w:tc>
          <w:tcPr>
            <w:tcW w:w="1987" w:type="dxa"/>
            <w:vAlign w:val="center"/>
          </w:tcPr>
          <w:p>
            <w:pPr>
              <w:pStyle w:val="73"/>
              <w:jc w:val="center"/>
              <w:rPr>
                <w:lang w:val="en-GB"/>
              </w:rPr>
            </w:pPr>
            <w:r>
              <w:rPr>
                <w:rFonts w:hint="eastAsia"/>
              </w:rPr>
              <w:t>电源地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92" w:type="dxa"/>
            <w:vMerge w:val="restart"/>
            <w:vAlign w:val="center"/>
          </w:tcPr>
          <w:p>
            <w:pPr>
              <w:pStyle w:val="72"/>
              <w:ind w:firstLine="240" w:firstLineChars="150"/>
              <w:jc w:val="both"/>
              <w:rPr>
                <w:rFonts w:hint="eastAsia" w:eastAsiaTheme="minorEastAsia"/>
                <w:lang w:val="en-US" w:eastAsia="zh-CN"/>
              </w:rPr>
            </w:pPr>
            <w:r>
              <w:rPr>
                <w:rFonts w:hint="eastAsia"/>
              </w:rPr>
              <w:t>DRY_</w:t>
            </w:r>
            <w:r>
              <w:rPr>
                <w:rFonts w:hint="eastAsia"/>
                <w:lang w:val="en-US" w:eastAsia="zh-CN"/>
              </w:rPr>
              <w:t>1</w:t>
            </w:r>
          </w:p>
          <w:p>
            <w:pPr>
              <w:pStyle w:val="83"/>
              <w:numPr>
                <w:ilvl w:val="6"/>
                <w:numId w:val="0"/>
              </w:numPr>
              <w:ind w:left="5529"/>
              <w:rPr>
                <w:highlight w:val="yellow"/>
              </w:rPr>
            </w:pPr>
          </w:p>
        </w:tc>
        <w:tc>
          <w:tcPr>
            <w:tcW w:w="1814" w:type="dxa"/>
            <w:vMerge w:val="restart"/>
            <w:vAlign w:val="center"/>
          </w:tcPr>
          <w:p>
            <w:pPr>
              <w:pStyle w:val="72"/>
              <w:rPr>
                <w:lang w:val="en-GB"/>
              </w:rPr>
            </w:pPr>
            <w:r>
              <w:rPr>
                <w:rFonts w:hint="eastAsia"/>
                <w:lang w:val="en-GB"/>
              </w:rPr>
              <w:t>充电器关闭检测输入接口</w:t>
            </w:r>
          </w:p>
        </w:tc>
        <w:tc>
          <w:tcPr>
            <w:tcW w:w="1530" w:type="dxa"/>
            <w:vAlign w:val="center"/>
          </w:tcPr>
          <w:p>
            <w:pPr>
              <w:pStyle w:val="72"/>
            </w:pPr>
            <w:r>
              <w:rPr>
                <w:rFonts w:hint="eastAsia"/>
              </w:rPr>
              <w:t>1</w:t>
            </w:r>
          </w:p>
        </w:tc>
        <w:tc>
          <w:tcPr>
            <w:tcW w:w="2827" w:type="dxa"/>
            <w:vAlign w:val="center"/>
          </w:tcPr>
          <w:p>
            <w:pPr>
              <w:pStyle w:val="73"/>
              <w:jc w:val="center"/>
            </w:pPr>
            <w:r>
              <w:rPr>
                <w:rFonts w:hint="eastAsia"/>
              </w:rPr>
              <w:t>充电器</w:t>
            </w:r>
            <w:r>
              <w:t>关闭信号</w:t>
            </w:r>
          </w:p>
        </w:tc>
        <w:tc>
          <w:tcPr>
            <w:tcW w:w="1987" w:type="dxa"/>
            <w:vAlign w:val="center"/>
          </w:tcPr>
          <w:p>
            <w:pPr>
              <w:pStyle w:val="73"/>
              <w:jc w:val="center"/>
              <w:rPr>
                <w:lang w:val="en-GB"/>
              </w:rPr>
            </w:pPr>
            <w:r>
              <w:rPr>
                <w:rFonts w:hint="eastAsia"/>
                <w:lang w:val="en-GB"/>
              </w:rPr>
              <w:t>充电器关闭检测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92" w:type="dxa"/>
            <w:vMerge w:val="continue"/>
            <w:vAlign w:val="center"/>
          </w:tcPr>
          <w:p>
            <w:pPr>
              <w:pStyle w:val="83"/>
              <w:numPr>
                <w:ilvl w:val="6"/>
                <w:numId w:val="0"/>
              </w:numPr>
              <w:ind w:left="5529"/>
              <w:rPr>
                <w:highlight w:val="yellow"/>
              </w:rPr>
            </w:pPr>
          </w:p>
        </w:tc>
        <w:tc>
          <w:tcPr>
            <w:tcW w:w="1814" w:type="dxa"/>
            <w:vMerge w:val="continue"/>
            <w:vAlign w:val="center"/>
          </w:tcPr>
          <w:p>
            <w:pPr>
              <w:pStyle w:val="72"/>
              <w:rPr>
                <w:highlight w:val="yellow"/>
              </w:rPr>
            </w:pPr>
          </w:p>
        </w:tc>
        <w:tc>
          <w:tcPr>
            <w:tcW w:w="1530" w:type="dxa"/>
            <w:vAlign w:val="center"/>
          </w:tcPr>
          <w:p>
            <w:pPr>
              <w:pStyle w:val="72"/>
            </w:pPr>
            <w:r>
              <w:rPr>
                <w:rFonts w:hint="eastAsia"/>
              </w:rPr>
              <w:t>3</w:t>
            </w:r>
          </w:p>
        </w:tc>
        <w:tc>
          <w:tcPr>
            <w:tcW w:w="2827" w:type="dxa"/>
            <w:vAlign w:val="center"/>
          </w:tcPr>
          <w:p>
            <w:pPr>
              <w:pStyle w:val="73"/>
              <w:jc w:val="center"/>
            </w:pPr>
            <w:r>
              <w:t>GND_Dry</w:t>
            </w:r>
          </w:p>
        </w:tc>
        <w:tc>
          <w:tcPr>
            <w:tcW w:w="1987" w:type="dxa"/>
            <w:vAlign w:val="center"/>
          </w:tcPr>
          <w:p>
            <w:pPr>
              <w:pStyle w:val="73"/>
              <w:jc w:val="center"/>
              <w:rPr>
                <w:lang w:val="en-GB"/>
              </w:rPr>
            </w:pPr>
            <w:r>
              <w:rPr>
                <w:rFonts w:hint="eastAsia"/>
              </w:rPr>
              <w:t>电源地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92" w:type="dxa"/>
            <w:vMerge w:val="continue"/>
            <w:vAlign w:val="center"/>
          </w:tcPr>
          <w:p>
            <w:pPr>
              <w:pStyle w:val="83"/>
              <w:numPr>
                <w:ilvl w:val="6"/>
                <w:numId w:val="0"/>
              </w:numPr>
              <w:ind w:left="5529"/>
              <w:rPr>
                <w:highlight w:val="yellow"/>
              </w:rPr>
            </w:pPr>
          </w:p>
        </w:tc>
        <w:tc>
          <w:tcPr>
            <w:tcW w:w="1814" w:type="dxa"/>
            <w:vMerge w:val="restart"/>
            <w:vAlign w:val="center"/>
          </w:tcPr>
          <w:p>
            <w:pPr>
              <w:pStyle w:val="73"/>
              <w:jc w:val="center"/>
            </w:pPr>
            <w:r>
              <w:rPr>
                <w:rFonts w:hint="eastAsia"/>
                <w:lang w:val="en-GB"/>
              </w:rPr>
              <w:t>电池接地故障</w:t>
            </w:r>
          </w:p>
        </w:tc>
        <w:tc>
          <w:tcPr>
            <w:tcW w:w="1530" w:type="dxa"/>
            <w:vAlign w:val="center"/>
          </w:tcPr>
          <w:p>
            <w:pPr>
              <w:pStyle w:val="72"/>
            </w:pPr>
            <w:r>
              <w:rPr>
                <w:rFonts w:hint="eastAsia"/>
              </w:rPr>
              <w:t>5</w:t>
            </w:r>
          </w:p>
        </w:tc>
        <w:tc>
          <w:tcPr>
            <w:tcW w:w="2827" w:type="dxa"/>
            <w:vAlign w:val="center"/>
          </w:tcPr>
          <w:p>
            <w:pPr>
              <w:pStyle w:val="73"/>
              <w:jc w:val="center"/>
            </w:pPr>
            <w:r>
              <w:rPr>
                <w:rFonts w:hint="eastAsia"/>
                <w:lang w:val="en-US" w:eastAsia="zh-CN"/>
              </w:rPr>
              <w:t>电池接地故障</w:t>
            </w:r>
            <w:r>
              <w:t>信号</w:t>
            </w:r>
          </w:p>
        </w:tc>
        <w:tc>
          <w:tcPr>
            <w:tcW w:w="1987" w:type="dxa"/>
            <w:vAlign w:val="center"/>
          </w:tcPr>
          <w:p>
            <w:pPr>
              <w:pStyle w:val="73"/>
              <w:jc w:val="center"/>
              <w:rPr>
                <w:rFonts w:hint="default"/>
                <w:lang w:val="en-US"/>
              </w:rPr>
            </w:pPr>
            <w:r>
              <w:rPr>
                <w:rFonts w:hint="eastAsia"/>
                <w:lang w:val="en-US" w:eastAsia="zh-CN"/>
              </w:rPr>
              <w:t>电池接地故障检测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92" w:type="dxa"/>
            <w:vMerge w:val="continue"/>
            <w:vAlign w:val="center"/>
          </w:tcPr>
          <w:p>
            <w:pPr>
              <w:pStyle w:val="83"/>
              <w:numPr>
                <w:ilvl w:val="6"/>
                <w:numId w:val="0"/>
              </w:numPr>
              <w:ind w:left="5529"/>
              <w:rPr>
                <w:highlight w:val="yellow"/>
              </w:rPr>
            </w:pPr>
          </w:p>
        </w:tc>
        <w:tc>
          <w:tcPr>
            <w:tcW w:w="1814" w:type="dxa"/>
            <w:vMerge w:val="continue"/>
            <w:vAlign w:val="center"/>
          </w:tcPr>
          <w:p>
            <w:pPr>
              <w:pStyle w:val="72"/>
              <w:rPr>
                <w:highlight w:val="yellow"/>
              </w:rPr>
            </w:pPr>
          </w:p>
        </w:tc>
        <w:tc>
          <w:tcPr>
            <w:tcW w:w="1530" w:type="dxa"/>
            <w:vAlign w:val="center"/>
          </w:tcPr>
          <w:p>
            <w:pPr>
              <w:pStyle w:val="72"/>
            </w:pPr>
            <w:r>
              <w:rPr>
                <w:rFonts w:hint="eastAsia"/>
              </w:rPr>
              <w:t>7</w:t>
            </w:r>
          </w:p>
        </w:tc>
        <w:tc>
          <w:tcPr>
            <w:tcW w:w="2827" w:type="dxa"/>
            <w:vAlign w:val="center"/>
          </w:tcPr>
          <w:p>
            <w:pPr>
              <w:pStyle w:val="73"/>
              <w:jc w:val="center"/>
            </w:pPr>
            <w:r>
              <w:t>GND_Dry</w:t>
            </w:r>
          </w:p>
        </w:tc>
        <w:tc>
          <w:tcPr>
            <w:tcW w:w="1987" w:type="dxa"/>
            <w:vAlign w:val="center"/>
          </w:tcPr>
          <w:p>
            <w:pPr>
              <w:pStyle w:val="73"/>
              <w:jc w:val="center"/>
              <w:rPr>
                <w:lang w:val="en-GB"/>
              </w:rPr>
            </w:pPr>
            <w:r>
              <w:rPr>
                <w:rFonts w:hint="eastAsia"/>
              </w:rPr>
              <w:t>+12V电源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92" w:type="dxa"/>
            <w:vMerge w:val="restart"/>
            <w:vAlign w:val="center"/>
          </w:tcPr>
          <w:p>
            <w:pPr>
              <w:pStyle w:val="72"/>
              <w:ind w:firstLine="240" w:firstLineChars="150"/>
              <w:jc w:val="both"/>
              <w:rPr>
                <w:rFonts w:hint="eastAsia" w:eastAsiaTheme="minorEastAsia"/>
                <w:lang w:val="en-US" w:eastAsia="zh-CN"/>
              </w:rPr>
            </w:pPr>
            <w:r>
              <w:rPr>
                <w:rFonts w:hint="eastAsia"/>
              </w:rPr>
              <w:t>DRY_</w:t>
            </w:r>
            <w:r>
              <w:rPr>
                <w:rFonts w:hint="eastAsia"/>
                <w:lang w:val="en-US" w:eastAsia="zh-CN"/>
              </w:rPr>
              <w:t>2</w:t>
            </w:r>
          </w:p>
          <w:p>
            <w:pPr>
              <w:pStyle w:val="83"/>
              <w:numPr>
                <w:ilvl w:val="6"/>
                <w:numId w:val="0"/>
              </w:numPr>
              <w:ind w:left="5529"/>
              <w:rPr>
                <w:highlight w:val="yellow"/>
              </w:rPr>
            </w:pPr>
          </w:p>
        </w:tc>
        <w:tc>
          <w:tcPr>
            <w:tcW w:w="1814" w:type="dxa"/>
            <w:vMerge w:val="restart"/>
            <w:vAlign w:val="center"/>
          </w:tcPr>
          <w:p>
            <w:pPr>
              <w:pStyle w:val="73"/>
              <w:jc w:val="center"/>
              <w:rPr>
                <w:highlight w:val="yellow"/>
              </w:rPr>
            </w:pPr>
            <w:r>
              <w:rPr>
                <w:rFonts w:hint="eastAsia"/>
              </w:rPr>
              <w:t>发电机接入检测接口</w:t>
            </w:r>
          </w:p>
        </w:tc>
        <w:tc>
          <w:tcPr>
            <w:tcW w:w="1530" w:type="dxa"/>
            <w:vAlign w:val="center"/>
          </w:tcPr>
          <w:p>
            <w:pPr>
              <w:pStyle w:val="72"/>
            </w:pPr>
            <w:r>
              <w:rPr>
                <w:rFonts w:hint="eastAsia"/>
              </w:rPr>
              <w:t>2</w:t>
            </w:r>
          </w:p>
        </w:tc>
        <w:tc>
          <w:tcPr>
            <w:tcW w:w="2827" w:type="dxa"/>
            <w:vAlign w:val="center"/>
          </w:tcPr>
          <w:p>
            <w:pPr>
              <w:pStyle w:val="73"/>
              <w:jc w:val="center"/>
            </w:pPr>
            <w:r>
              <w:rPr>
                <w:rFonts w:hint="eastAsia"/>
              </w:rPr>
              <w:t>发电机</w:t>
            </w:r>
            <w:r>
              <w:t>接入信号</w:t>
            </w:r>
          </w:p>
        </w:tc>
        <w:tc>
          <w:tcPr>
            <w:tcW w:w="1987" w:type="dxa"/>
            <w:vAlign w:val="center"/>
          </w:tcPr>
          <w:p>
            <w:pPr>
              <w:pStyle w:val="73"/>
              <w:jc w:val="center"/>
              <w:rPr>
                <w:lang w:val="en-GB"/>
              </w:rPr>
            </w:pPr>
            <w:r>
              <w:rPr>
                <w:rFonts w:hint="eastAsia"/>
                <w:lang w:val="en-GB"/>
              </w:rPr>
              <w:t>发电机接入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92" w:type="dxa"/>
            <w:vMerge w:val="continue"/>
            <w:vAlign w:val="center"/>
          </w:tcPr>
          <w:p>
            <w:pPr>
              <w:pStyle w:val="83"/>
              <w:numPr>
                <w:ilvl w:val="6"/>
                <w:numId w:val="0"/>
              </w:numPr>
              <w:ind w:left="5529"/>
              <w:rPr>
                <w:highlight w:val="yellow"/>
              </w:rPr>
            </w:pPr>
          </w:p>
        </w:tc>
        <w:tc>
          <w:tcPr>
            <w:tcW w:w="1814" w:type="dxa"/>
            <w:vMerge w:val="continue"/>
            <w:vAlign w:val="center"/>
          </w:tcPr>
          <w:p>
            <w:pPr>
              <w:pStyle w:val="72"/>
              <w:rPr>
                <w:highlight w:val="yellow"/>
              </w:rPr>
            </w:pPr>
          </w:p>
        </w:tc>
        <w:tc>
          <w:tcPr>
            <w:tcW w:w="1530" w:type="dxa"/>
            <w:vAlign w:val="center"/>
          </w:tcPr>
          <w:p>
            <w:pPr>
              <w:pStyle w:val="72"/>
            </w:pPr>
            <w:r>
              <w:rPr>
                <w:rFonts w:hint="eastAsia"/>
              </w:rPr>
              <w:t>4</w:t>
            </w:r>
          </w:p>
        </w:tc>
        <w:tc>
          <w:tcPr>
            <w:tcW w:w="2827" w:type="dxa"/>
            <w:vAlign w:val="center"/>
          </w:tcPr>
          <w:p>
            <w:pPr>
              <w:pStyle w:val="73"/>
              <w:jc w:val="center"/>
            </w:pPr>
            <w:r>
              <w:t>GND_Dry</w:t>
            </w:r>
          </w:p>
        </w:tc>
        <w:tc>
          <w:tcPr>
            <w:tcW w:w="1987" w:type="dxa"/>
            <w:vAlign w:val="center"/>
          </w:tcPr>
          <w:p>
            <w:pPr>
              <w:pStyle w:val="73"/>
              <w:jc w:val="center"/>
              <w:rPr>
                <w:lang w:val="en-GB"/>
              </w:rPr>
            </w:pPr>
            <w:r>
              <w:rPr>
                <w:rFonts w:hint="eastAsia"/>
              </w:rPr>
              <w:t>电源地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92" w:type="dxa"/>
            <w:vMerge w:val="continue"/>
            <w:vAlign w:val="center"/>
          </w:tcPr>
          <w:p>
            <w:pPr>
              <w:pStyle w:val="83"/>
              <w:numPr>
                <w:ilvl w:val="6"/>
                <w:numId w:val="0"/>
              </w:numPr>
              <w:ind w:left="5529"/>
              <w:rPr>
                <w:highlight w:val="yellow"/>
              </w:rPr>
            </w:pPr>
          </w:p>
        </w:tc>
        <w:tc>
          <w:tcPr>
            <w:tcW w:w="1814" w:type="dxa"/>
            <w:vMerge w:val="restart"/>
            <w:vAlign w:val="center"/>
          </w:tcPr>
          <w:p>
            <w:pPr>
              <w:pStyle w:val="72"/>
              <w:rPr>
                <w:highlight w:val="yellow"/>
              </w:rPr>
            </w:pPr>
            <w:r>
              <w:rPr>
                <w:rFonts w:hint="eastAsia"/>
                <w:lang w:val="en-GB"/>
              </w:rPr>
              <w:t>电池房环境检测输入接口</w:t>
            </w:r>
          </w:p>
        </w:tc>
        <w:tc>
          <w:tcPr>
            <w:tcW w:w="1530" w:type="dxa"/>
            <w:vAlign w:val="center"/>
          </w:tcPr>
          <w:p>
            <w:pPr>
              <w:pStyle w:val="72"/>
            </w:pPr>
            <w:r>
              <w:rPr>
                <w:rFonts w:hint="eastAsia"/>
              </w:rPr>
              <w:t>6</w:t>
            </w:r>
          </w:p>
        </w:tc>
        <w:tc>
          <w:tcPr>
            <w:tcW w:w="2827" w:type="dxa"/>
            <w:vAlign w:val="center"/>
          </w:tcPr>
          <w:p>
            <w:pPr>
              <w:pStyle w:val="73"/>
              <w:jc w:val="center"/>
            </w:pPr>
            <w:r>
              <w:rPr>
                <w:rFonts w:hint="eastAsia"/>
              </w:rPr>
              <w:t>电池</w:t>
            </w:r>
            <w:r>
              <w:t>房环境温度信号</w:t>
            </w:r>
          </w:p>
        </w:tc>
        <w:tc>
          <w:tcPr>
            <w:tcW w:w="1987" w:type="dxa"/>
            <w:vAlign w:val="center"/>
          </w:tcPr>
          <w:p>
            <w:pPr>
              <w:pStyle w:val="73"/>
              <w:jc w:val="center"/>
              <w:rPr>
                <w:lang w:val="en-GB"/>
              </w:rPr>
            </w:pPr>
            <w:r>
              <w:rPr>
                <w:rFonts w:hint="eastAsia"/>
                <w:lang w:val="en-GB"/>
              </w:rPr>
              <w:t>电池房环境检测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92" w:type="dxa"/>
            <w:vMerge w:val="continue"/>
            <w:vAlign w:val="center"/>
          </w:tcPr>
          <w:p>
            <w:pPr>
              <w:pStyle w:val="83"/>
              <w:numPr>
                <w:ilvl w:val="6"/>
                <w:numId w:val="0"/>
              </w:numPr>
              <w:ind w:left="5529"/>
              <w:rPr>
                <w:highlight w:val="yellow"/>
              </w:rPr>
            </w:pPr>
          </w:p>
        </w:tc>
        <w:tc>
          <w:tcPr>
            <w:tcW w:w="1814" w:type="dxa"/>
            <w:vMerge w:val="continue"/>
            <w:vAlign w:val="center"/>
          </w:tcPr>
          <w:p>
            <w:pPr>
              <w:pStyle w:val="72"/>
              <w:rPr>
                <w:highlight w:val="yellow"/>
              </w:rPr>
            </w:pPr>
          </w:p>
        </w:tc>
        <w:tc>
          <w:tcPr>
            <w:tcW w:w="1530" w:type="dxa"/>
            <w:vAlign w:val="center"/>
          </w:tcPr>
          <w:p>
            <w:pPr>
              <w:pStyle w:val="72"/>
            </w:pPr>
            <w:r>
              <w:rPr>
                <w:rFonts w:hint="eastAsia"/>
              </w:rPr>
              <w:t>8</w:t>
            </w:r>
          </w:p>
        </w:tc>
        <w:tc>
          <w:tcPr>
            <w:tcW w:w="2827" w:type="dxa"/>
            <w:vAlign w:val="center"/>
          </w:tcPr>
          <w:p>
            <w:pPr>
              <w:pStyle w:val="73"/>
              <w:jc w:val="center"/>
            </w:pPr>
            <w:r>
              <w:t>GND_Dry</w:t>
            </w:r>
          </w:p>
        </w:tc>
        <w:tc>
          <w:tcPr>
            <w:tcW w:w="1987" w:type="dxa"/>
            <w:vAlign w:val="center"/>
          </w:tcPr>
          <w:p>
            <w:pPr>
              <w:pStyle w:val="73"/>
              <w:jc w:val="center"/>
              <w:rPr>
                <w:lang w:val="en-GB"/>
              </w:rPr>
            </w:pPr>
            <w:r>
              <w:rPr>
                <w:rFonts w:hint="eastAsia"/>
              </w:rPr>
              <w:t>电源地</w:t>
            </w:r>
          </w:p>
        </w:tc>
      </w:tr>
    </w:tbl>
    <w:p>
      <w:pPr>
        <w:pStyle w:val="5"/>
        <w:numPr>
          <w:ilvl w:val="2"/>
          <w:numId w:val="4"/>
        </w:numPr>
      </w:pPr>
      <w:bookmarkStart w:id="328" w:name="_Toc23251043"/>
      <w:bookmarkStart w:id="329" w:name="_Toc24333"/>
      <w:r>
        <w:rPr>
          <w:rFonts w:hint="eastAsia"/>
        </w:rPr>
        <w:t>RS485通信接口</w:t>
      </w:r>
      <w:bookmarkEnd w:id="328"/>
      <w:bookmarkEnd w:id="329"/>
    </w:p>
    <w:p>
      <w:pPr>
        <w:pStyle w:val="3"/>
        <w:ind w:left="709"/>
        <w:rPr>
          <w:lang w:val="en-GB"/>
        </w:rPr>
      </w:pPr>
      <w:r>
        <w:rPr>
          <w:lang w:val="en-GB"/>
        </w:rPr>
        <w:t>UPS</w:t>
      </w:r>
      <w:r>
        <w:rPr>
          <w:rFonts w:hint="eastAsia"/>
          <w:lang w:val="en-GB"/>
        </w:rPr>
        <w:t>提供RS485通讯接口。接口及信号说明，如下图3-1</w:t>
      </w:r>
      <w:r>
        <w:t>1</w:t>
      </w:r>
      <w:r>
        <w:rPr>
          <w:rFonts w:hint="eastAsia"/>
          <w:lang w:val="en-GB"/>
        </w:rPr>
        <w:t>所示，接口描述见表3-6。</w:t>
      </w:r>
    </w:p>
    <w:p>
      <w:pPr>
        <w:pStyle w:val="3"/>
        <w:ind w:left="0"/>
        <w:jc w:val="center"/>
        <w:rPr>
          <w:lang w:val="en-GB"/>
        </w:rPr>
      </w:pPr>
      <w:r>
        <w:rPr>
          <w:rFonts w:hint="eastAsia"/>
        </w:rPr>
        <w:drawing>
          <wp:inline distT="0" distB="0" distL="0" distR="0">
            <wp:extent cx="1498600" cy="1268095"/>
            <wp:effectExtent l="0" t="0" r="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a:xfrm>
                      <a:off x="0" y="0"/>
                      <a:ext cx="1505812" cy="1274283"/>
                    </a:xfrm>
                    <a:prstGeom prst="rect">
                      <a:avLst/>
                    </a:prstGeom>
                    <a:noFill/>
                    <a:ln>
                      <a:noFill/>
                    </a:ln>
                  </pic:spPr>
                </pic:pic>
              </a:graphicData>
            </a:graphic>
          </wp:inline>
        </w:drawing>
      </w:r>
    </w:p>
    <w:p>
      <w:pPr>
        <w:pStyle w:val="83"/>
        <w:numPr>
          <w:ilvl w:val="6"/>
          <w:numId w:val="4"/>
        </w:numPr>
      </w:pPr>
      <w:r>
        <w:rPr>
          <w:rFonts w:hint="eastAsia"/>
        </w:rPr>
        <w:t>RS485通信接口</w:t>
      </w:r>
    </w:p>
    <w:p>
      <w:pPr>
        <w:pStyle w:val="194"/>
        <w:numPr>
          <w:ilvl w:val="5"/>
          <w:numId w:val="4"/>
        </w:numPr>
        <w:rPr>
          <w:szCs w:val="22"/>
          <w:lang w:val="en-GB"/>
        </w:rPr>
      </w:pPr>
      <w:r>
        <w:rPr>
          <w:rFonts w:hint="eastAsia"/>
          <w:szCs w:val="22"/>
        </w:rPr>
        <w:t>RS485</w:t>
      </w:r>
      <w:r>
        <w:rPr>
          <w:rFonts w:hint="eastAsia"/>
          <w:szCs w:val="22"/>
          <w:lang w:val="en-GB"/>
        </w:rPr>
        <w:t>接口描述</w:t>
      </w:r>
    </w:p>
    <w:tbl>
      <w:tblPr>
        <w:tblStyle w:val="50"/>
        <w:tblW w:w="935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838"/>
        <w:gridCol w:w="1218"/>
        <w:gridCol w:w="1753"/>
        <w:gridCol w:w="3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tblHeader/>
          <w:jc w:val="right"/>
        </w:trPr>
        <w:tc>
          <w:tcPr>
            <w:tcW w:w="872" w:type="dxa"/>
            <w:shd w:val="clear" w:color="auto" w:fill="D9D9D9"/>
            <w:vAlign w:val="center"/>
          </w:tcPr>
          <w:p>
            <w:pPr>
              <w:pStyle w:val="88"/>
            </w:pPr>
            <w:r>
              <w:rPr>
                <w:rFonts w:hint="eastAsia"/>
              </w:rPr>
              <w:t>接口丝印</w:t>
            </w:r>
          </w:p>
        </w:tc>
        <w:tc>
          <w:tcPr>
            <w:tcW w:w="1838" w:type="dxa"/>
            <w:shd w:val="clear" w:color="auto" w:fill="D9D9D9"/>
            <w:vAlign w:val="center"/>
          </w:tcPr>
          <w:p>
            <w:pPr>
              <w:pStyle w:val="88"/>
            </w:pPr>
            <w:r>
              <w:rPr>
                <w:rFonts w:hint="eastAsia"/>
              </w:rPr>
              <w:t>接口名称</w:t>
            </w:r>
          </w:p>
        </w:tc>
        <w:tc>
          <w:tcPr>
            <w:tcW w:w="1218" w:type="dxa"/>
            <w:shd w:val="clear" w:color="auto" w:fill="D9D9D9"/>
            <w:vAlign w:val="center"/>
          </w:tcPr>
          <w:p>
            <w:pPr>
              <w:pStyle w:val="88"/>
            </w:pPr>
            <w:r>
              <w:rPr>
                <w:rFonts w:hint="eastAsia"/>
              </w:rPr>
              <w:t>引脚号</w:t>
            </w:r>
          </w:p>
        </w:tc>
        <w:tc>
          <w:tcPr>
            <w:tcW w:w="1753" w:type="dxa"/>
            <w:shd w:val="clear" w:color="auto" w:fill="D9D9D9"/>
            <w:vAlign w:val="center"/>
          </w:tcPr>
          <w:p>
            <w:pPr>
              <w:pStyle w:val="88"/>
            </w:pPr>
            <w:r>
              <w:rPr>
                <w:rFonts w:hint="eastAsia"/>
              </w:rPr>
              <w:t>引脚名称</w:t>
            </w:r>
          </w:p>
        </w:tc>
        <w:tc>
          <w:tcPr>
            <w:tcW w:w="3675" w:type="dxa"/>
            <w:shd w:val="clear" w:color="auto" w:fill="D9D9D9"/>
            <w:vAlign w:val="center"/>
          </w:tcPr>
          <w:p>
            <w:pPr>
              <w:pStyle w:val="88"/>
            </w:pPr>
            <w:r>
              <w:rPr>
                <w:rFonts w:hint="eastAsia"/>
              </w:rPr>
              <w:t>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872" w:type="dxa"/>
            <w:vMerge w:val="restart"/>
            <w:vAlign w:val="center"/>
          </w:tcPr>
          <w:p>
            <w:pPr>
              <w:pStyle w:val="72"/>
            </w:pPr>
            <w:r>
              <w:rPr>
                <w:rFonts w:hint="eastAsia"/>
              </w:rPr>
              <w:t>RS485</w:t>
            </w:r>
          </w:p>
        </w:tc>
        <w:tc>
          <w:tcPr>
            <w:tcW w:w="1838" w:type="dxa"/>
            <w:vMerge w:val="restart"/>
            <w:vAlign w:val="center"/>
          </w:tcPr>
          <w:p>
            <w:pPr>
              <w:pStyle w:val="73"/>
              <w:keepNext/>
              <w:widowControl w:val="0"/>
              <w:jc w:val="center"/>
            </w:pPr>
            <w:r>
              <w:rPr>
                <w:rFonts w:hint="eastAsia"/>
              </w:rPr>
              <w:t>预留485接口</w:t>
            </w:r>
          </w:p>
        </w:tc>
        <w:tc>
          <w:tcPr>
            <w:tcW w:w="1218" w:type="dxa"/>
            <w:vAlign w:val="center"/>
          </w:tcPr>
          <w:p>
            <w:pPr>
              <w:pStyle w:val="72"/>
              <w:keepNext/>
              <w:widowControl w:val="0"/>
            </w:pPr>
            <w:r>
              <w:rPr>
                <w:rFonts w:hint="eastAsia"/>
              </w:rPr>
              <w:t>1</w:t>
            </w:r>
          </w:p>
        </w:tc>
        <w:tc>
          <w:tcPr>
            <w:tcW w:w="1753" w:type="dxa"/>
            <w:vAlign w:val="center"/>
          </w:tcPr>
          <w:p>
            <w:pPr>
              <w:pStyle w:val="73"/>
              <w:jc w:val="center"/>
            </w:pPr>
            <w:r>
              <w:t>UART1_485+</w:t>
            </w:r>
          </w:p>
        </w:tc>
        <w:tc>
          <w:tcPr>
            <w:tcW w:w="3675" w:type="dxa"/>
            <w:vMerge w:val="restart"/>
            <w:vAlign w:val="center"/>
          </w:tcPr>
          <w:p>
            <w:pPr>
              <w:pStyle w:val="73"/>
            </w:pPr>
            <w:r>
              <w:rPr>
                <w:rFonts w:hint="eastAsia"/>
              </w:rPr>
              <w:t>锂电池B</w:t>
            </w:r>
            <w:r>
              <w:t>MS接口或其他设备通信接入口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872" w:type="dxa"/>
            <w:vMerge w:val="continue"/>
            <w:vAlign w:val="center"/>
          </w:tcPr>
          <w:p>
            <w:pPr>
              <w:pStyle w:val="72"/>
              <w:keepNext/>
            </w:pPr>
          </w:p>
        </w:tc>
        <w:tc>
          <w:tcPr>
            <w:tcW w:w="1838" w:type="dxa"/>
            <w:vMerge w:val="continue"/>
            <w:vAlign w:val="center"/>
          </w:tcPr>
          <w:p>
            <w:pPr>
              <w:pStyle w:val="73"/>
              <w:keepNext/>
              <w:jc w:val="center"/>
            </w:pPr>
          </w:p>
        </w:tc>
        <w:tc>
          <w:tcPr>
            <w:tcW w:w="1218" w:type="dxa"/>
            <w:vAlign w:val="center"/>
          </w:tcPr>
          <w:p>
            <w:pPr>
              <w:pStyle w:val="72"/>
              <w:keepNext/>
            </w:pPr>
            <w:r>
              <w:rPr>
                <w:rFonts w:hint="eastAsia"/>
              </w:rPr>
              <w:t>3</w:t>
            </w:r>
          </w:p>
        </w:tc>
        <w:tc>
          <w:tcPr>
            <w:tcW w:w="1753" w:type="dxa"/>
            <w:vAlign w:val="center"/>
          </w:tcPr>
          <w:p>
            <w:pPr>
              <w:pStyle w:val="73"/>
              <w:jc w:val="center"/>
            </w:pPr>
            <w:r>
              <w:rPr>
                <w:rFonts w:hint="eastAsia"/>
              </w:rPr>
              <w:t>NA</w:t>
            </w:r>
          </w:p>
        </w:tc>
        <w:tc>
          <w:tcPr>
            <w:tcW w:w="3675" w:type="dxa"/>
            <w:vMerge w:val="continue"/>
            <w:vAlign w:val="center"/>
          </w:tcPr>
          <w:p>
            <w:pPr>
              <w:pStyle w:val="73"/>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872" w:type="dxa"/>
            <w:vMerge w:val="continue"/>
            <w:vAlign w:val="center"/>
          </w:tcPr>
          <w:p>
            <w:pPr>
              <w:pStyle w:val="72"/>
            </w:pPr>
          </w:p>
        </w:tc>
        <w:tc>
          <w:tcPr>
            <w:tcW w:w="1838" w:type="dxa"/>
            <w:vMerge w:val="continue"/>
            <w:vAlign w:val="center"/>
          </w:tcPr>
          <w:p>
            <w:pPr>
              <w:pStyle w:val="73"/>
              <w:jc w:val="center"/>
            </w:pPr>
          </w:p>
        </w:tc>
        <w:tc>
          <w:tcPr>
            <w:tcW w:w="1218" w:type="dxa"/>
            <w:vAlign w:val="center"/>
          </w:tcPr>
          <w:p>
            <w:pPr>
              <w:pStyle w:val="72"/>
            </w:pPr>
            <w:r>
              <w:rPr>
                <w:rFonts w:hint="eastAsia"/>
              </w:rPr>
              <w:t>5</w:t>
            </w:r>
          </w:p>
        </w:tc>
        <w:tc>
          <w:tcPr>
            <w:tcW w:w="1753" w:type="dxa"/>
            <w:vAlign w:val="center"/>
          </w:tcPr>
          <w:p>
            <w:pPr>
              <w:pStyle w:val="73"/>
              <w:jc w:val="center"/>
            </w:pPr>
            <w:r>
              <w:rPr>
                <w:rFonts w:hint="eastAsia"/>
              </w:rPr>
              <w:t>NA</w:t>
            </w:r>
          </w:p>
        </w:tc>
        <w:tc>
          <w:tcPr>
            <w:tcW w:w="3675" w:type="dxa"/>
            <w:vMerge w:val="continue"/>
            <w:vAlign w:val="center"/>
          </w:tcPr>
          <w:p>
            <w:pPr>
              <w:pStyle w:val="73"/>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872" w:type="dxa"/>
            <w:vMerge w:val="continue"/>
            <w:vAlign w:val="center"/>
          </w:tcPr>
          <w:p>
            <w:pPr>
              <w:pStyle w:val="72"/>
            </w:pPr>
          </w:p>
        </w:tc>
        <w:tc>
          <w:tcPr>
            <w:tcW w:w="1838" w:type="dxa"/>
            <w:vMerge w:val="continue"/>
            <w:vAlign w:val="center"/>
          </w:tcPr>
          <w:p>
            <w:pPr>
              <w:pStyle w:val="73"/>
              <w:jc w:val="center"/>
            </w:pPr>
          </w:p>
        </w:tc>
        <w:tc>
          <w:tcPr>
            <w:tcW w:w="1218" w:type="dxa"/>
            <w:vAlign w:val="center"/>
          </w:tcPr>
          <w:p>
            <w:pPr>
              <w:pStyle w:val="72"/>
            </w:pPr>
            <w:r>
              <w:rPr>
                <w:rFonts w:hint="eastAsia"/>
              </w:rPr>
              <w:t>7</w:t>
            </w:r>
          </w:p>
        </w:tc>
        <w:tc>
          <w:tcPr>
            <w:tcW w:w="1753" w:type="dxa"/>
            <w:vAlign w:val="center"/>
          </w:tcPr>
          <w:p>
            <w:pPr>
              <w:pStyle w:val="73"/>
              <w:jc w:val="center"/>
            </w:pPr>
            <w:r>
              <w:t>UART1_485</w:t>
            </w:r>
            <w:r>
              <w:rPr>
                <w:rFonts w:hint="eastAsia"/>
              </w:rPr>
              <w:t>-</w:t>
            </w:r>
          </w:p>
        </w:tc>
        <w:tc>
          <w:tcPr>
            <w:tcW w:w="3675" w:type="dxa"/>
            <w:vMerge w:val="continue"/>
            <w:vAlign w:val="center"/>
          </w:tcPr>
          <w:p>
            <w:pPr>
              <w:pStyle w:val="73"/>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872" w:type="dxa"/>
            <w:vMerge w:val="continue"/>
            <w:vAlign w:val="center"/>
          </w:tcPr>
          <w:p>
            <w:pPr>
              <w:pStyle w:val="72"/>
            </w:pPr>
          </w:p>
        </w:tc>
        <w:tc>
          <w:tcPr>
            <w:tcW w:w="1838" w:type="dxa"/>
            <w:vMerge w:val="restart"/>
            <w:vAlign w:val="center"/>
          </w:tcPr>
          <w:p>
            <w:pPr>
              <w:pStyle w:val="73"/>
              <w:jc w:val="center"/>
            </w:pPr>
            <w:r>
              <w:rPr>
                <w:rFonts w:hint="eastAsia"/>
              </w:rPr>
              <w:t>组网用485接口</w:t>
            </w:r>
          </w:p>
        </w:tc>
        <w:tc>
          <w:tcPr>
            <w:tcW w:w="1218" w:type="dxa"/>
            <w:vAlign w:val="center"/>
          </w:tcPr>
          <w:p>
            <w:pPr>
              <w:pStyle w:val="72"/>
            </w:pPr>
            <w:r>
              <w:rPr>
                <w:rFonts w:hint="eastAsia"/>
              </w:rPr>
              <w:t>2</w:t>
            </w:r>
          </w:p>
        </w:tc>
        <w:tc>
          <w:tcPr>
            <w:tcW w:w="1753" w:type="dxa"/>
            <w:vAlign w:val="center"/>
          </w:tcPr>
          <w:p>
            <w:pPr>
              <w:pStyle w:val="73"/>
              <w:jc w:val="center"/>
            </w:pPr>
            <w:r>
              <w:t>UART</w:t>
            </w:r>
            <w:r>
              <w:rPr>
                <w:rFonts w:hint="eastAsia"/>
              </w:rPr>
              <w:t>2</w:t>
            </w:r>
            <w:r>
              <w:t>_485+</w:t>
            </w:r>
          </w:p>
        </w:tc>
        <w:tc>
          <w:tcPr>
            <w:tcW w:w="3675" w:type="dxa"/>
            <w:vMerge w:val="restart"/>
            <w:vAlign w:val="center"/>
          </w:tcPr>
          <w:p>
            <w:pPr>
              <w:pStyle w:val="73"/>
            </w:pPr>
            <w:r>
              <w:rPr>
                <w:rFonts w:hint="eastAsia"/>
              </w:rPr>
              <w:t>组网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872" w:type="dxa"/>
            <w:vMerge w:val="continue"/>
            <w:vAlign w:val="center"/>
          </w:tcPr>
          <w:p>
            <w:pPr>
              <w:pStyle w:val="72"/>
            </w:pPr>
          </w:p>
        </w:tc>
        <w:tc>
          <w:tcPr>
            <w:tcW w:w="1838" w:type="dxa"/>
            <w:vMerge w:val="continue"/>
            <w:vAlign w:val="center"/>
          </w:tcPr>
          <w:p>
            <w:pPr>
              <w:pStyle w:val="73"/>
              <w:jc w:val="center"/>
            </w:pPr>
          </w:p>
        </w:tc>
        <w:tc>
          <w:tcPr>
            <w:tcW w:w="1218" w:type="dxa"/>
            <w:vAlign w:val="center"/>
          </w:tcPr>
          <w:p>
            <w:pPr>
              <w:pStyle w:val="72"/>
            </w:pPr>
            <w:r>
              <w:rPr>
                <w:rFonts w:hint="eastAsia"/>
              </w:rPr>
              <w:t>4</w:t>
            </w:r>
          </w:p>
        </w:tc>
        <w:tc>
          <w:tcPr>
            <w:tcW w:w="1753" w:type="dxa"/>
            <w:vAlign w:val="center"/>
          </w:tcPr>
          <w:p>
            <w:pPr>
              <w:pStyle w:val="73"/>
              <w:jc w:val="center"/>
            </w:pPr>
            <w:r>
              <w:t>GND_Mon</w:t>
            </w:r>
          </w:p>
        </w:tc>
        <w:tc>
          <w:tcPr>
            <w:tcW w:w="3675" w:type="dxa"/>
            <w:vMerge w:val="continue"/>
            <w:vAlign w:val="center"/>
          </w:tcPr>
          <w:p>
            <w:pPr>
              <w:pStyle w:val="73"/>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872" w:type="dxa"/>
            <w:vMerge w:val="continue"/>
            <w:vAlign w:val="center"/>
          </w:tcPr>
          <w:p>
            <w:pPr>
              <w:pStyle w:val="72"/>
            </w:pPr>
          </w:p>
        </w:tc>
        <w:tc>
          <w:tcPr>
            <w:tcW w:w="1838" w:type="dxa"/>
            <w:vMerge w:val="continue"/>
            <w:vAlign w:val="center"/>
          </w:tcPr>
          <w:p>
            <w:pPr>
              <w:pStyle w:val="73"/>
              <w:jc w:val="center"/>
            </w:pPr>
          </w:p>
        </w:tc>
        <w:tc>
          <w:tcPr>
            <w:tcW w:w="1218" w:type="dxa"/>
            <w:vAlign w:val="center"/>
          </w:tcPr>
          <w:p>
            <w:pPr>
              <w:pStyle w:val="72"/>
            </w:pPr>
            <w:r>
              <w:rPr>
                <w:rFonts w:hint="eastAsia"/>
              </w:rPr>
              <w:t>6</w:t>
            </w:r>
          </w:p>
        </w:tc>
        <w:tc>
          <w:tcPr>
            <w:tcW w:w="1753" w:type="dxa"/>
            <w:vAlign w:val="center"/>
          </w:tcPr>
          <w:p>
            <w:pPr>
              <w:pStyle w:val="73"/>
              <w:jc w:val="center"/>
            </w:pPr>
            <w:r>
              <w:t>GND_Mon</w:t>
            </w:r>
          </w:p>
        </w:tc>
        <w:tc>
          <w:tcPr>
            <w:tcW w:w="3675" w:type="dxa"/>
            <w:vMerge w:val="continue"/>
            <w:vAlign w:val="center"/>
          </w:tcPr>
          <w:p>
            <w:pPr>
              <w:pStyle w:val="73"/>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872" w:type="dxa"/>
            <w:vMerge w:val="continue"/>
            <w:vAlign w:val="center"/>
          </w:tcPr>
          <w:p>
            <w:pPr>
              <w:pStyle w:val="72"/>
            </w:pPr>
          </w:p>
        </w:tc>
        <w:tc>
          <w:tcPr>
            <w:tcW w:w="1838" w:type="dxa"/>
            <w:vMerge w:val="continue"/>
            <w:vAlign w:val="center"/>
          </w:tcPr>
          <w:p>
            <w:pPr>
              <w:pStyle w:val="73"/>
              <w:jc w:val="center"/>
            </w:pPr>
          </w:p>
        </w:tc>
        <w:tc>
          <w:tcPr>
            <w:tcW w:w="1218" w:type="dxa"/>
            <w:vAlign w:val="center"/>
          </w:tcPr>
          <w:p>
            <w:pPr>
              <w:pStyle w:val="72"/>
            </w:pPr>
            <w:r>
              <w:rPr>
                <w:rFonts w:hint="eastAsia"/>
              </w:rPr>
              <w:t>8</w:t>
            </w:r>
          </w:p>
        </w:tc>
        <w:tc>
          <w:tcPr>
            <w:tcW w:w="1753" w:type="dxa"/>
            <w:vAlign w:val="center"/>
          </w:tcPr>
          <w:p>
            <w:pPr>
              <w:pStyle w:val="73"/>
              <w:jc w:val="center"/>
            </w:pPr>
            <w:r>
              <w:t>UART</w:t>
            </w:r>
            <w:r>
              <w:rPr>
                <w:rFonts w:hint="eastAsia"/>
              </w:rPr>
              <w:t>2</w:t>
            </w:r>
            <w:r>
              <w:t>_485</w:t>
            </w:r>
            <w:r>
              <w:rPr>
                <w:rFonts w:hint="eastAsia"/>
              </w:rPr>
              <w:t>-</w:t>
            </w:r>
          </w:p>
        </w:tc>
        <w:tc>
          <w:tcPr>
            <w:tcW w:w="3675" w:type="dxa"/>
            <w:vMerge w:val="continue"/>
            <w:vAlign w:val="center"/>
          </w:tcPr>
          <w:p>
            <w:pPr>
              <w:pStyle w:val="73"/>
            </w:pPr>
          </w:p>
        </w:tc>
      </w:tr>
    </w:tbl>
    <w:p>
      <w:pPr>
        <w:pStyle w:val="5"/>
        <w:numPr>
          <w:ilvl w:val="2"/>
          <w:numId w:val="4"/>
        </w:numPr>
      </w:pPr>
      <w:bookmarkStart w:id="330" w:name="_Toc11712"/>
      <w:bookmarkStart w:id="331" w:name="_Toc23251044"/>
      <w:r>
        <w:rPr>
          <w:rFonts w:hint="eastAsia"/>
        </w:rPr>
        <w:t>输出继电器接口</w:t>
      </w:r>
      <w:bookmarkEnd w:id="330"/>
      <w:bookmarkEnd w:id="331"/>
    </w:p>
    <w:p>
      <w:pPr>
        <w:pStyle w:val="3"/>
        <w:rPr>
          <w:lang w:val="pt-BR"/>
        </w:rPr>
      </w:pPr>
      <w:r>
        <w:rPr>
          <w:lang w:val="en-GB"/>
        </w:rPr>
        <w:t>UPS</w:t>
      </w:r>
      <w:r>
        <w:rPr>
          <w:rFonts w:hint="eastAsia"/>
          <w:lang w:val="en-GB"/>
        </w:rPr>
        <w:t>提供继电器输出接口</w:t>
      </w:r>
      <w:r>
        <w:rPr>
          <w:rFonts w:hint="eastAsia"/>
          <w:lang w:val="pt-BR"/>
        </w:rPr>
        <w:t>，其分布如图3-1</w:t>
      </w:r>
      <w:r>
        <w:t>2</w:t>
      </w:r>
      <w:r>
        <w:rPr>
          <w:rFonts w:hint="eastAsia"/>
          <w:lang w:val="pt-BR"/>
        </w:rPr>
        <w:t>所示，该接口为预留功能</w:t>
      </w:r>
    </w:p>
    <w:p>
      <w:pPr>
        <w:pStyle w:val="3"/>
        <w:ind w:left="0"/>
        <w:jc w:val="center"/>
        <w:rPr>
          <w:lang w:val="pt-BR"/>
        </w:rPr>
      </w:pPr>
      <w:r>
        <w:drawing>
          <wp:inline distT="0" distB="0" distL="114300" distR="114300">
            <wp:extent cx="1276350" cy="1600200"/>
            <wp:effectExtent l="0" t="0" r="0" b="0"/>
            <wp:docPr id="12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26"/>
                    <pic:cNvPicPr>
                      <a:picLocks noChangeAspect="1"/>
                    </pic:cNvPicPr>
                  </pic:nvPicPr>
                  <pic:blipFill>
                    <a:blip r:embed="rId81"/>
                    <a:stretch>
                      <a:fillRect/>
                    </a:stretch>
                  </pic:blipFill>
                  <pic:spPr>
                    <a:xfrm>
                      <a:off x="0" y="0"/>
                      <a:ext cx="1276350" cy="1600200"/>
                    </a:xfrm>
                    <a:prstGeom prst="rect">
                      <a:avLst/>
                    </a:prstGeom>
                    <a:noFill/>
                    <a:ln>
                      <a:noFill/>
                    </a:ln>
                  </pic:spPr>
                </pic:pic>
              </a:graphicData>
            </a:graphic>
          </wp:inline>
        </w:drawing>
      </w:r>
    </w:p>
    <w:p>
      <w:pPr>
        <w:pStyle w:val="83"/>
        <w:numPr>
          <w:ilvl w:val="6"/>
          <w:numId w:val="4"/>
        </w:numPr>
        <w:rPr>
          <w:lang w:val="pt-BR"/>
        </w:rPr>
      </w:pPr>
      <w:r>
        <w:rPr>
          <w:rFonts w:hint="eastAsia"/>
        </w:rPr>
        <w:t>继电器输出接口</w:t>
      </w:r>
    </w:p>
    <w:p>
      <w:pPr>
        <w:pStyle w:val="5"/>
        <w:numPr>
          <w:ilvl w:val="2"/>
          <w:numId w:val="4"/>
        </w:numPr>
      </w:pPr>
      <w:bookmarkStart w:id="332" w:name="_Toc23251047"/>
      <w:bookmarkStart w:id="333" w:name="_Toc338167244"/>
      <w:bookmarkStart w:id="334" w:name="_Toc340576849"/>
      <w:bookmarkStart w:id="335" w:name="_Toc10276"/>
      <w:r>
        <w:rPr>
          <w:rFonts w:hint="eastAsia"/>
        </w:rPr>
        <w:t>智能卡槽</w:t>
      </w:r>
      <w:bookmarkEnd w:id="332"/>
      <w:bookmarkEnd w:id="333"/>
      <w:bookmarkEnd w:id="334"/>
      <w:r>
        <w:rPr>
          <w:rFonts w:hint="eastAsia"/>
        </w:rPr>
        <w:t>1和2</w:t>
      </w:r>
      <w:bookmarkEnd w:id="335"/>
    </w:p>
    <w:p>
      <w:pPr>
        <w:pStyle w:val="3"/>
        <w:rPr>
          <w:lang w:val="en-GB"/>
        </w:rPr>
      </w:pPr>
      <w:r>
        <w:rPr>
          <w:rFonts w:hint="eastAsia"/>
        </w:rPr>
        <w:t>智能卡槽用于现场安装选件卡，例如SNMP卡。</w:t>
      </w:r>
      <w:bookmarkStart w:id="336" w:name="_Hlt288816108"/>
      <w:bookmarkStart w:id="337" w:name="_Hlt288574885"/>
      <w:r>
        <w:rPr>
          <w:rFonts w:hint="eastAsia"/>
        </w:rPr>
        <w:t>详细安装</w:t>
      </w:r>
      <w:bookmarkStart w:id="338" w:name="_Hlt286914048"/>
      <w:bookmarkEnd w:id="338"/>
      <w:r>
        <w:rPr>
          <w:rFonts w:hint="eastAsia"/>
        </w:rPr>
        <w:t>方法参见</w:t>
      </w:r>
      <w:r>
        <w:rPr>
          <w:rFonts w:hint="eastAsia"/>
          <w:b/>
          <w:bCs/>
          <w:iCs/>
          <w:lang w:val="en-GB"/>
        </w:rPr>
        <w:t>第八章选件</w:t>
      </w:r>
      <w:r>
        <w:rPr>
          <w:rFonts w:hint="eastAsia"/>
          <w:lang w:val="en-GB"/>
        </w:rPr>
        <w:t>中相关内容。</w:t>
      </w:r>
      <w:bookmarkEnd w:id="336"/>
      <w:bookmarkEnd w:id="337"/>
    </w:p>
    <w:bookmarkEnd w:id="311"/>
    <w:p>
      <w:pPr>
        <w:pStyle w:val="5"/>
        <w:numPr>
          <w:ilvl w:val="2"/>
          <w:numId w:val="4"/>
        </w:numPr>
      </w:pPr>
      <w:bookmarkStart w:id="339" w:name="_Hlt334082764"/>
      <w:bookmarkEnd w:id="339"/>
      <w:bookmarkStart w:id="340" w:name="_Toc338167245"/>
      <w:bookmarkStart w:id="341" w:name="_Toc25453"/>
      <w:bookmarkStart w:id="342" w:name="_Toc23251048"/>
      <w:r>
        <w:rPr>
          <w:rFonts w:hint="eastAsia"/>
        </w:rPr>
        <w:t>信号电缆接线步骤</w:t>
      </w:r>
      <w:bookmarkEnd w:id="340"/>
      <w:bookmarkEnd w:id="341"/>
      <w:bookmarkEnd w:id="342"/>
    </w:p>
    <w:tbl>
      <w:tblPr>
        <w:tblStyle w:val="50"/>
        <w:tblW w:w="9356"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56" w:type="dxa"/>
            <w:vAlign w:val="center"/>
          </w:tcPr>
          <w:p>
            <w:pPr>
              <w:pStyle w:val="72"/>
              <w:spacing w:before="36" w:beforeLines="15" w:line="276" w:lineRule="auto"/>
              <w:jc w:val="both"/>
            </w:pPr>
            <w:r>
              <w:drawing>
                <wp:inline distT="0" distB="0" distL="0" distR="0">
                  <wp:extent cx="362585" cy="315595"/>
                  <wp:effectExtent l="0" t="0" r="0" b="8255"/>
                  <wp:docPr id="82" name="图片 82"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r="49123"/>
                          <a:stretch>
                            <a:fillRect/>
                          </a:stretch>
                        </pic:blipFill>
                        <pic:spPr>
                          <a:xfrm>
                            <a:off x="0" y="0"/>
                            <a:ext cx="362585" cy="315595"/>
                          </a:xfrm>
                          <a:prstGeom prst="rect">
                            <a:avLst/>
                          </a:prstGeom>
                          <a:noFill/>
                          <a:ln>
                            <a:noFill/>
                          </a:ln>
                        </pic:spPr>
                      </pic:pic>
                    </a:graphicData>
                  </a:graphic>
                </wp:inline>
              </w:drawing>
            </w:r>
            <w:r>
              <w:rPr>
                <w:rFonts w:hint="eastAsia"/>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56" w:type="dxa"/>
            <w:tcMar>
              <w:top w:w="28" w:type="dxa"/>
            </w:tcMar>
            <w:vAlign w:val="center"/>
          </w:tcPr>
          <w:p>
            <w:pPr>
              <w:pStyle w:val="73"/>
            </w:pPr>
            <w:r>
              <w:rPr>
                <w:rFonts w:hint="eastAsia"/>
              </w:rPr>
              <w:t>强弱电缆要求分开布线，信号线屏蔽层需可靠接地。</w:t>
            </w:r>
          </w:p>
          <w:p>
            <w:pPr>
              <w:pStyle w:val="73"/>
            </w:pPr>
            <w:r>
              <w:rPr>
                <w:rFonts w:hint="eastAsia"/>
              </w:rPr>
              <w:t>完成接线后，需使用适当措施对进出线处进行密封处理。</w:t>
            </w:r>
          </w:p>
        </w:tc>
      </w:tr>
    </w:tbl>
    <w:p>
      <w:pPr>
        <w:pStyle w:val="3"/>
      </w:pPr>
      <w:r>
        <w:rPr>
          <w:rFonts w:hint="eastAsia"/>
        </w:rPr>
        <w:t>信号电缆也有两种接线方式：上进线、下进线。按照图3-</w:t>
      </w:r>
      <w:r>
        <w:t>2</w:t>
      </w:r>
      <w:r>
        <w:rPr>
          <w:rFonts w:hint="eastAsia"/>
        </w:rPr>
        <w:t>、图3-</w:t>
      </w:r>
      <w:r>
        <w:t>3和</w:t>
      </w:r>
      <w:r>
        <w:rPr>
          <w:rFonts w:hint="eastAsia"/>
        </w:rPr>
        <w:t>图3-</w:t>
      </w:r>
      <w:r>
        <w:t>4</w:t>
      </w:r>
      <w:r>
        <w:rPr>
          <w:rFonts w:hint="eastAsia"/>
        </w:rPr>
        <w:t>指示进行信号电缆接线。</w:t>
      </w:r>
    </w:p>
    <w:p>
      <w:pPr>
        <w:pStyle w:val="2"/>
        <w:sectPr>
          <w:type w:val="continuous"/>
          <w:pgSz w:w="11907" w:h="16840"/>
          <w:pgMar w:top="1304" w:right="1134" w:bottom="1134" w:left="737" w:header="851" w:footer="737" w:gutter="0"/>
          <w:cols w:space="720" w:num="1"/>
        </w:sectPr>
      </w:pPr>
      <w:bookmarkStart w:id="343" w:name="_Toc339307177"/>
      <w:bookmarkEnd w:id="343"/>
      <w:bookmarkStart w:id="344" w:name="_Toc339307181"/>
      <w:bookmarkEnd w:id="344"/>
      <w:bookmarkStart w:id="345" w:name="_Toc339294210"/>
      <w:bookmarkEnd w:id="345"/>
      <w:bookmarkStart w:id="346" w:name="_Toc339307183"/>
      <w:bookmarkEnd w:id="346"/>
      <w:bookmarkStart w:id="347" w:name="_Toc339307174"/>
      <w:bookmarkEnd w:id="347"/>
      <w:bookmarkStart w:id="348" w:name="_Toc339307184"/>
      <w:bookmarkEnd w:id="348"/>
      <w:bookmarkStart w:id="349" w:name="_Toc339294213"/>
      <w:bookmarkEnd w:id="349"/>
      <w:bookmarkStart w:id="350" w:name="_Hlt322593044"/>
      <w:bookmarkEnd w:id="350"/>
      <w:bookmarkStart w:id="351" w:name="_Toc339307190"/>
      <w:bookmarkEnd w:id="351"/>
      <w:bookmarkStart w:id="352" w:name="_Toc339294225"/>
      <w:bookmarkEnd w:id="352"/>
      <w:bookmarkStart w:id="353" w:name="_Toc339307188"/>
      <w:bookmarkEnd w:id="353"/>
      <w:bookmarkStart w:id="354" w:name="_Toc339294224"/>
      <w:bookmarkEnd w:id="354"/>
      <w:bookmarkStart w:id="355" w:name="_Hlt229535678"/>
      <w:bookmarkEnd w:id="355"/>
      <w:bookmarkStart w:id="356" w:name="_Toc339294226"/>
      <w:bookmarkEnd w:id="356"/>
      <w:bookmarkStart w:id="357" w:name="_Hlt322594360"/>
      <w:bookmarkEnd w:id="357"/>
      <w:bookmarkStart w:id="358" w:name="_Hlt322594483"/>
      <w:bookmarkEnd w:id="358"/>
      <w:bookmarkStart w:id="359" w:name="_Hlt229535668"/>
      <w:bookmarkEnd w:id="359"/>
      <w:bookmarkStart w:id="360" w:name="_Toc339294215"/>
      <w:bookmarkEnd w:id="360"/>
      <w:bookmarkStart w:id="361" w:name="_Toc339307186"/>
      <w:bookmarkEnd w:id="361"/>
      <w:bookmarkStart w:id="362" w:name="_Toc339307175"/>
      <w:bookmarkEnd w:id="362"/>
      <w:bookmarkStart w:id="363" w:name="_Toc339294214"/>
      <w:bookmarkEnd w:id="363"/>
      <w:bookmarkStart w:id="364" w:name="_Toc339294221"/>
      <w:bookmarkEnd w:id="364"/>
      <w:bookmarkStart w:id="365" w:name="_Toc339307178"/>
      <w:bookmarkEnd w:id="365"/>
      <w:bookmarkStart w:id="366" w:name="_Toc339294217"/>
      <w:bookmarkEnd w:id="366"/>
      <w:bookmarkStart w:id="367" w:name="_Toc339307176"/>
      <w:bookmarkEnd w:id="367"/>
      <w:bookmarkStart w:id="368" w:name="_Toc339307179"/>
      <w:bookmarkEnd w:id="368"/>
      <w:bookmarkStart w:id="369" w:name="_Toc339294223"/>
      <w:bookmarkEnd w:id="369"/>
      <w:bookmarkStart w:id="370" w:name="_Toc339294216"/>
      <w:bookmarkEnd w:id="370"/>
      <w:bookmarkStart w:id="371" w:name="_Hlt337537054"/>
      <w:bookmarkEnd w:id="371"/>
      <w:bookmarkStart w:id="372" w:name="_Toc339307172"/>
      <w:bookmarkEnd w:id="372"/>
      <w:bookmarkStart w:id="373" w:name="_Hlt322525950"/>
      <w:bookmarkEnd w:id="373"/>
      <w:bookmarkStart w:id="374" w:name="_Toc339294209"/>
      <w:bookmarkEnd w:id="374"/>
      <w:bookmarkStart w:id="375" w:name="_Toc339307180"/>
      <w:bookmarkEnd w:id="375"/>
      <w:bookmarkStart w:id="376" w:name="_Toc339307182"/>
      <w:bookmarkEnd w:id="376"/>
      <w:bookmarkStart w:id="377" w:name="_Hlt9929282"/>
      <w:bookmarkEnd w:id="377"/>
      <w:bookmarkStart w:id="378" w:name="_Toc339294220"/>
      <w:bookmarkEnd w:id="378"/>
      <w:bookmarkStart w:id="379" w:name="_Toc339294208"/>
      <w:bookmarkEnd w:id="379"/>
      <w:bookmarkStart w:id="380" w:name="_Toc339294218"/>
      <w:bookmarkEnd w:id="380"/>
      <w:bookmarkStart w:id="381" w:name="_Toc339294212"/>
      <w:bookmarkEnd w:id="381"/>
      <w:bookmarkStart w:id="382" w:name="_Hlt227750459"/>
      <w:bookmarkEnd w:id="382"/>
      <w:bookmarkStart w:id="383" w:name="_Toc339294222"/>
      <w:bookmarkEnd w:id="383"/>
      <w:bookmarkStart w:id="384" w:name="_Toc339307189"/>
      <w:bookmarkEnd w:id="384"/>
      <w:bookmarkStart w:id="385" w:name="_Hlt322525955"/>
      <w:bookmarkEnd w:id="385"/>
      <w:bookmarkStart w:id="386" w:name="_Toc339294211"/>
      <w:bookmarkEnd w:id="386"/>
      <w:bookmarkStart w:id="387" w:name="_Toc339307185"/>
      <w:bookmarkEnd w:id="387"/>
      <w:bookmarkStart w:id="388" w:name="_Toc339307173"/>
      <w:bookmarkEnd w:id="388"/>
      <w:bookmarkStart w:id="389" w:name="_Toc339307187"/>
      <w:bookmarkEnd w:id="389"/>
      <w:bookmarkStart w:id="390" w:name="_Toc339294219"/>
      <w:bookmarkEnd w:id="390"/>
      <w:bookmarkStart w:id="391" w:name="_Toc512794848"/>
      <w:bookmarkStart w:id="392" w:name="_Ref229535709"/>
    </w:p>
    <w:p>
      <w:pPr>
        <w:pStyle w:val="2"/>
        <w:numPr>
          <w:ilvl w:val="0"/>
          <w:numId w:val="4"/>
        </w:numPr>
      </w:pPr>
      <w:bookmarkStart w:id="393" w:name="_Toc21100"/>
      <w:r>
        <w:rPr>
          <w:rFonts w:hint="eastAsia"/>
        </w:rPr>
        <w:t>控制与显示</w:t>
      </w:r>
      <w:bookmarkEnd w:id="391"/>
      <w:bookmarkEnd w:id="392"/>
      <w:bookmarkEnd w:id="393"/>
    </w:p>
    <w:p>
      <w:pPr>
        <w:pStyle w:val="3"/>
        <w:ind w:firstLine="170"/>
      </w:pPr>
      <w:r>
        <w:rPr>
          <w:rFonts w:hint="eastAsia"/>
        </w:rPr>
        <w:t>本章详细介绍</w:t>
      </w:r>
      <w:r>
        <w:t>UPS</w:t>
      </w:r>
      <w:r>
        <w:rPr>
          <w:rFonts w:hint="eastAsia"/>
        </w:rPr>
        <w:t>操作控制显示面板的各部件功能和使用方法，并提供</w:t>
      </w:r>
      <w:r>
        <w:t>触摸屏</w:t>
      </w:r>
      <w:r>
        <w:rPr>
          <w:rFonts w:hint="eastAsia"/>
        </w:rPr>
        <w:t>显示信息，包括</w:t>
      </w:r>
      <w:r>
        <w:t>触摸屏</w:t>
      </w:r>
      <w:r>
        <w:rPr>
          <w:rFonts w:hint="eastAsia"/>
        </w:rPr>
        <w:t>类型、详细菜单信息、提示窗信息和告警列表。</w:t>
      </w:r>
      <w:bookmarkStart w:id="394" w:name="_Hlt322512303"/>
      <w:bookmarkEnd w:id="394"/>
      <w:bookmarkStart w:id="395" w:name="_Toc512794849"/>
      <w:bookmarkStart w:id="396" w:name="_Toc212951993"/>
    </w:p>
    <w:bookmarkEnd w:id="395"/>
    <w:bookmarkEnd w:id="396"/>
    <w:p>
      <w:pPr>
        <w:pStyle w:val="4"/>
        <w:numPr>
          <w:ilvl w:val="1"/>
          <w:numId w:val="4"/>
        </w:numPr>
        <w:rPr>
          <w:szCs w:val="22"/>
        </w:rPr>
      </w:pPr>
      <w:bookmarkStart w:id="397" w:name="_Hlt322938377"/>
      <w:bookmarkEnd w:id="397"/>
      <w:bookmarkStart w:id="398" w:name="_Toc12596"/>
      <w:r>
        <w:rPr>
          <w:rFonts w:hint="eastAsia"/>
          <w:szCs w:val="22"/>
        </w:rPr>
        <w:t>UPS控制面板</w:t>
      </w:r>
      <w:bookmarkEnd w:id="398"/>
    </w:p>
    <w:p>
      <w:pPr>
        <w:pStyle w:val="3"/>
        <w:ind w:firstLine="170"/>
      </w:pPr>
      <w:r>
        <w:pict>
          <v:rect id="矩形 130" o:spid="_x0000_s2062" o:spt="1" style="position:absolute;left:0pt;margin-left:162.1pt;margin-top:30.25pt;height:12pt;width:51pt;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">
            <v:path/>
            <v:fill on="f" focussize="0,0"/>
            <v:stroke on="f"/>
            <v:imagedata o:title=""/>
            <o:lock v:ext="edit"/>
            <v:textbox inset="0mm,0mm,0mm,0mm">
              <w:txbxContent>
                <w:p>
                  <w:r>
                    <w:rPr>
                      <w:rFonts w:hint="eastAsia"/>
                      <w:color w:val="000000"/>
                      <w:kern w:val="0"/>
                      <w:sz w:val="16"/>
                      <w:szCs w:val="16"/>
                    </w:rPr>
                    <w:t>触摸显示屏</w:t>
                  </w:r>
                </w:p>
              </w:txbxContent>
            </v:textbox>
          </v:rect>
        </w:pict>
      </w:r>
      <w:r>
        <w:t>UPS</w:t>
      </w:r>
      <w:r>
        <w:rPr>
          <w:rFonts w:hint="eastAsia"/>
        </w:rPr>
        <w:t>的操作控制显示面板位于机柜正面。通过操作控制显示面板，可对</w:t>
      </w:r>
      <w:r>
        <w:t>UPS</w:t>
      </w:r>
      <w:r>
        <w:rPr>
          <w:rFonts w:hint="eastAsia"/>
        </w:rPr>
        <w:t>进行操作控制和查询</w:t>
      </w:r>
      <w:r>
        <w:t>UPS</w:t>
      </w:r>
      <w:r>
        <w:rPr>
          <w:rFonts w:hint="eastAsia"/>
        </w:rPr>
        <w:t>的所有参数、</w:t>
      </w:r>
      <w:r>
        <w:t>UPS</w:t>
      </w:r>
      <w:r>
        <w:rPr>
          <w:rFonts w:hint="eastAsia"/>
        </w:rPr>
        <w:t>和电池状态以及告警信息。如图4</w:t>
      </w:r>
      <w:r>
        <w:t>-1</w:t>
      </w:r>
      <w:r>
        <w:rPr>
          <w:rFonts w:hint="eastAsia"/>
        </w:rPr>
        <w:t>，操作控制显示面板包括：</w:t>
      </w:r>
      <w:r>
        <w:t>触摸</w:t>
      </w:r>
      <w:r>
        <w:rPr>
          <w:rFonts w:hint="eastAsia"/>
        </w:rPr>
        <w:t>显示屏和EPO按钮、LED显示。</w:t>
      </w:r>
    </w:p>
    <w:p>
      <w:pPr>
        <w:pStyle w:val="3"/>
      </w:pPr>
      <w:r>
        <w:pict>
          <v:shape id="_x0000_s2078" o:spid="_x0000_s2078" o:spt="32" type="#_x0000_t32" style="position:absolute;left:0pt;margin-left:190.55pt;margin-top:11.6pt;height:22.7pt;width:4.75pt;z-index:251661312;mso-width-relative:page;mso-height-relative:page;" filled="f" stroked="t" coordsize="21600,21600" o:gfxdata="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wk06nYAAAACQEAAA8A&#10;AAAAAAAAAQAgAAAAIgAAAGRycy9kb3ducmV2LnhtbFBLAQIUABQAAAAIAIdO4kDJZasTFwIAAPQD&#10;AAAOAAAAAAAAAAEAIAAAACcBAABkcnMvZTJvRG9jLnhtbFBLBQYAAAAABgAGAFkBAACwBQAAAAA=&#10;">
            <v:path arrowok="t"/>
            <v:fill on="f" focussize="0,0"/>
            <v:stroke weight="1pt" color="#FF0000" endarrow="block"/>
            <v:imagedata o:title=""/>
            <o:lock v:ext="edit"/>
          </v:shape>
        </w:pict>
      </w:r>
      <w:r>
        <w:pict>
          <v:shape id="_x0000_s2077" o:spid="_x0000_s2077" o:spt="32" type="#_x0000_t32" style="position:absolute;left:0pt;margin-left:365.1pt;margin-top:11.6pt;height:78.7pt;width:17pt;z-index:251662336;mso-width-relative:page;mso-height-relative:page;" filled="f" stroked="t" coordsize="21600,21600" o:gfxdata="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YuXra2AAAAAoBAAAPAAAA&#10;AAAAAAEAIAAAACIAAABkcnMvZG93bnJldi54bWxQSwECFAAUAAAACACHTuJAbY4qJhUCAAD1AwAA&#10;DgAAAAAAAAABACAAAAAnAQAAZHJzL2Uyb0RvYy54bWxQSwUGAAAAAAYABgBZAQAArgUAAAAA&#10;">
            <v:path arrowok="t"/>
            <v:fill on="f" focussize="0,0"/>
            <v:stroke weight="1pt" color="#FF0000" endarrow="block"/>
            <v:imagedata o:title=""/>
            <o:lock v:ext="edit"/>
          </v:shape>
        </w:pict>
      </w:r>
      <w:r>
        <w:pict>
          <v:rect id="矩形 127" o:spid="_x0000_s2063" o:spt="1" style="position:absolute;left:0pt;margin-left:351.75pt;margin-top:1.5pt;height:15.55pt;width:63.55pt;mso-wrap-style:none;z-index:25166028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">
            <v:path/>
            <v:fill on="f" focussize="0,0"/>
            <v:stroke on="f"/>
            <v:imagedata o:title=""/>
            <o:lock v:ext="edit"/>
            <v:textbox inset="0mm,0mm,0mm,0mm" style="mso-fit-shape-to-text:t;">
              <w:txbxContent>
                <w:p>
                  <w:r>
                    <w:rPr>
                      <w:rFonts w:hint="eastAsia"/>
                      <w:color w:val="000000"/>
                      <w:kern w:val="0"/>
                      <w:sz w:val="16"/>
                      <w:szCs w:val="16"/>
                    </w:rPr>
                    <w:t>EPO键和LED显示</w:t>
                  </w:r>
                </w:p>
              </w:txbxContent>
            </v:textbox>
          </v:rect>
        </w:pict>
      </w:r>
    </w:p>
    <w:p>
      <w:pPr>
        <w:pStyle w:val="3"/>
        <w:ind w:left="0"/>
        <w:jc w:val="center"/>
      </w:pPr>
      <w:r>
        <w:rPr>
          <w:rFonts w:hint="eastAsia"/>
        </w:rPr>
        <w:drawing>
          <wp:inline distT="0" distB="0" distL="0" distR="0">
            <wp:extent cx="4902835" cy="2884805"/>
            <wp:effectExtent l="0" t="0" r="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a:xfrm>
                      <a:off x="0" y="0"/>
                      <a:ext cx="4902835" cy="2884805"/>
                    </a:xfrm>
                    <a:prstGeom prst="rect">
                      <a:avLst/>
                    </a:prstGeom>
                    <a:noFill/>
                    <a:ln>
                      <a:noFill/>
                    </a:ln>
                    <a:effectLst/>
                  </pic:spPr>
                </pic:pic>
              </a:graphicData>
            </a:graphic>
          </wp:inline>
        </w:drawing>
      </w:r>
    </w:p>
    <w:p>
      <w:pPr>
        <w:pStyle w:val="83"/>
        <w:numPr>
          <w:ilvl w:val="6"/>
          <w:numId w:val="4"/>
        </w:numPr>
        <w:rPr>
          <w:lang w:val="en-GB"/>
        </w:rPr>
      </w:pPr>
      <w:r>
        <w:rPr>
          <w:rFonts w:hint="eastAsia"/>
        </w:rPr>
        <w:t>UPS控制面板</w:t>
      </w:r>
      <w:bookmarkStart w:id="399" w:name="_Toc512794850"/>
      <w:bookmarkStart w:id="400" w:name="_Toc300671071"/>
    </w:p>
    <w:p>
      <w:pPr>
        <w:pStyle w:val="5"/>
        <w:numPr>
          <w:ilvl w:val="2"/>
          <w:numId w:val="4"/>
        </w:numPr>
        <w:rPr>
          <w:szCs w:val="22"/>
          <w:lang w:val="en-GB"/>
        </w:rPr>
      </w:pPr>
      <w:bookmarkStart w:id="401" w:name="_Toc26433"/>
      <w:r>
        <w:rPr>
          <w:rFonts w:hint="eastAsia"/>
          <w:szCs w:val="22"/>
          <w:lang w:val="en-GB"/>
        </w:rPr>
        <w:t>LE</w:t>
      </w:r>
      <w:bookmarkStart w:id="402" w:name="_Hlt324412595"/>
      <w:bookmarkEnd w:id="402"/>
      <w:r>
        <w:rPr>
          <w:rFonts w:hint="eastAsia"/>
          <w:szCs w:val="22"/>
          <w:lang w:val="en-GB"/>
        </w:rPr>
        <w:t>D指示灯</w:t>
      </w:r>
      <w:bookmarkEnd w:id="399"/>
      <w:bookmarkEnd w:id="400"/>
      <w:bookmarkEnd w:id="401"/>
    </w:p>
    <w:p>
      <w:pPr>
        <w:pStyle w:val="194"/>
        <w:numPr>
          <w:ilvl w:val="5"/>
          <w:numId w:val="9"/>
        </w:numPr>
        <w:rPr>
          <w:szCs w:val="22"/>
        </w:rPr>
      </w:pPr>
      <w:r>
        <w:rPr>
          <w:rFonts w:hint="eastAsia"/>
          <w:szCs w:val="22"/>
        </w:rPr>
        <w:t>指示灯告警描述</w:t>
      </w:r>
    </w:p>
    <w:tbl>
      <w:tblPr>
        <w:tblStyle w:val="50"/>
        <w:tblW w:w="9365"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7"/>
        <w:gridCol w:w="1417"/>
        <w:gridCol w:w="6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1427" w:type="dxa"/>
            <w:vMerge w:val="restart"/>
            <w:vAlign w:val="center"/>
          </w:tcPr>
          <w:p>
            <w:pPr>
              <w:pStyle w:val="73"/>
            </w:pPr>
            <w:r>
              <w:rPr>
                <w:rFonts w:hint="eastAsia"/>
                <w:lang w:val="en-GB"/>
              </w:rPr>
              <w:t>指示灯</w:t>
            </w:r>
          </w:p>
        </w:tc>
        <w:tc>
          <w:tcPr>
            <w:tcW w:w="1417" w:type="dxa"/>
            <w:vAlign w:val="center"/>
          </w:tcPr>
          <w:p>
            <w:pPr>
              <w:pStyle w:val="73"/>
            </w:pPr>
            <w:r>
              <w:rPr>
                <w:rFonts w:hint="eastAsia"/>
              </w:rPr>
              <w:t>绿色常亮</w:t>
            </w:r>
          </w:p>
        </w:tc>
        <w:tc>
          <w:tcPr>
            <w:tcW w:w="6521" w:type="dxa"/>
            <w:vAlign w:val="center"/>
          </w:tcPr>
          <w:p>
            <w:pPr>
              <w:pStyle w:val="73"/>
              <w:rPr>
                <w:lang w:val="en-GB"/>
              </w:rPr>
            </w:pPr>
            <w:r>
              <w:rPr>
                <w:rFonts w:hint="eastAsia"/>
                <w:lang w:val="en-GB"/>
              </w:rPr>
              <w:t>系统正常工作，无告警。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1427" w:type="dxa"/>
            <w:vMerge w:val="continue"/>
            <w:vAlign w:val="center"/>
          </w:tcPr>
          <w:p>
            <w:pPr>
              <w:pStyle w:val="73"/>
              <w:rPr>
                <w:lang w:val="en-GB"/>
              </w:rPr>
            </w:pPr>
          </w:p>
        </w:tc>
        <w:tc>
          <w:tcPr>
            <w:tcW w:w="1417" w:type="dxa"/>
            <w:vAlign w:val="center"/>
          </w:tcPr>
          <w:p>
            <w:pPr>
              <w:pStyle w:val="73"/>
              <w:rPr>
                <w:lang w:val="en-GB"/>
              </w:rPr>
            </w:pPr>
            <w:r>
              <w:rPr>
                <w:rFonts w:hint="eastAsia"/>
                <w:lang w:val="en-GB"/>
              </w:rPr>
              <w:t>绿色闪烁</w:t>
            </w:r>
          </w:p>
        </w:tc>
        <w:tc>
          <w:tcPr>
            <w:tcW w:w="6521" w:type="dxa"/>
            <w:vAlign w:val="center"/>
          </w:tcPr>
          <w:p>
            <w:pPr>
              <w:pStyle w:val="73"/>
              <w:rPr>
                <w:lang w:val="en-GB"/>
              </w:rPr>
            </w:pPr>
            <w:r>
              <w:rPr>
                <w:rFonts w:hint="eastAsia"/>
                <w:lang w:val="en-GB"/>
              </w:rPr>
              <w:t>系统正常工作，有告警。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1427" w:type="dxa"/>
            <w:vMerge w:val="continue"/>
            <w:vAlign w:val="center"/>
          </w:tcPr>
          <w:p>
            <w:pPr>
              <w:pStyle w:val="73"/>
              <w:rPr>
                <w:lang w:val="en-GB"/>
              </w:rPr>
            </w:pPr>
          </w:p>
        </w:tc>
        <w:tc>
          <w:tcPr>
            <w:tcW w:w="1417" w:type="dxa"/>
            <w:vAlign w:val="center"/>
          </w:tcPr>
          <w:p>
            <w:pPr>
              <w:pStyle w:val="73"/>
              <w:rPr>
                <w:lang w:val="en-GB"/>
              </w:rPr>
            </w:pPr>
            <w:r>
              <w:rPr>
                <w:rFonts w:hint="eastAsia"/>
                <w:lang w:val="en-GB"/>
              </w:rPr>
              <w:t>红灯常亮</w:t>
            </w:r>
          </w:p>
        </w:tc>
        <w:tc>
          <w:tcPr>
            <w:tcW w:w="6521" w:type="dxa"/>
            <w:vAlign w:val="center"/>
          </w:tcPr>
          <w:p>
            <w:pPr>
              <w:pStyle w:val="73"/>
              <w:rPr>
                <w:spacing w:val="-2"/>
              </w:rPr>
            </w:pPr>
            <w:r>
              <w:rPr>
                <w:spacing w:val="-2"/>
              </w:rPr>
              <w:t>系统有严重故障。</w:t>
            </w:r>
          </w:p>
        </w:tc>
      </w:tr>
    </w:tbl>
    <w:p>
      <w:pPr>
        <w:pStyle w:val="5"/>
        <w:numPr>
          <w:ilvl w:val="2"/>
          <w:numId w:val="9"/>
        </w:numPr>
        <w:rPr>
          <w:szCs w:val="22"/>
          <w:lang w:val="en-GB"/>
        </w:rPr>
      </w:pPr>
      <w:bookmarkStart w:id="403" w:name="_Toc512794851"/>
      <w:bookmarkStart w:id="404" w:name="_Toc99771041"/>
      <w:bookmarkStart w:id="405" w:name="_Toc99422098"/>
      <w:bookmarkStart w:id="406" w:name="_Toc25374"/>
      <w:bookmarkStart w:id="407" w:name="_Toc300671072"/>
      <w:bookmarkStart w:id="408" w:name="_Toc37417556"/>
      <w:bookmarkStart w:id="409" w:name="_Toc37220414"/>
      <w:r>
        <w:rPr>
          <w:rFonts w:hint="eastAsia"/>
          <w:szCs w:val="22"/>
          <w:lang w:val="en-GB"/>
        </w:rPr>
        <w:t>蜂鸣器</w:t>
      </w:r>
      <w:bookmarkEnd w:id="403"/>
      <w:bookmarkEnd w:id="404"/>
      <w:bookmarkEnd w:id="405"/>
      <w:bookmarkEnd w:id="406"/>
      <w:bookmarkEnd w:id="407"/>
    </w:p>
    <w:p>
      <w:pPr>
        <w:pStyle w:val="3"/>
      </w:pPr>
      <w:r>
        <w:rPr>
          <w:rFonts w:hint="eastAsia"/>
        </w:rPr>
        <w:t>UPS在运行过程中可伴随三种不同的声音告警，见表4-2。</w:t>
      </w:r>
    </w:p>
    <w:p>
      <w:pPr>
        <w:pStyle w:val="194"/>
        <w:numPr>
          <w:ilvl w:val="5"/>
          <w:numId w:val="9"/>
        </w:numPr>
        <w:rPr>
          <w:szCs w:val="22"/>
          <w:lang w:val="en-GB"/>
        </w:rPr>
      </w:pPr>
      <w:r>
        <w:rPr>
          <w:rFonts w:hint="eastAsia"/>
          <w:szCs w:val="22"/>
        </w:rPr>
        <w:t>蜂鸣器声音告警描述</w:t>
      </w:r>
    </w:p>
    <w:tbl>
      <w:tblPr>
        <w:tblStyle w:val="50"/>
        <w:tblW w:w="9379"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8"/>
        <w:gridCol w:w="6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858" w:type="dxa"/>
            <w:shd w:val="clear" w:color="auto" w:fill="D9D9D9"/>
            <w:vAlign w:val="center"/>
          </w:tcPr>
          <w:p>
            <w:pPr>
              <w:pStyle w:val="88"/>
            </w:pPr>
            <w:r>
              <w:rPr>
                <w:rFonts w:hint="eastAsia"/>
              </w:rPr>
              <w:t>告警声</w:t>
            </w:r>
          </w:p>
        </w:tc>
        <w:tc>
          <w:tcPr>
            <w:tcW w:w="6521" w:type="dxa"/>
            <w:shd w:val="clear" w:color="auto" w:fill="D9D9D9"/>
            <w:vAlign w:val="center"/>
          </w:tcPr>
          <w:p>
            <w:pPr>
              <w:pStyle w:val="88"/>
            </w:pPr>
            <w:r>
              <w:rPr>
                <w:rFonts w:hint="eastAsia"/>
              </w:rPr>
              <w:t>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858" w:type="dxa"/>
            <w:vAlign w:val="center"/>
          </w:tcPr>
          <w:p>
            <w:pPr>
              <w:pStyle w:val="73"/>
            </w:pPr>
            <w:r>
              <w:rPr>
                <w:rFonts w:hint="eastAsia"/>
              </w:rPr>
              <w:t>短暂的单鸣告警</w:t>
            </w:r>
          </w:p>
        </w:tc>
        <w:tc>
          <w:tcPr>
            <w:tcW w:w="6521" w:type="dxa"/>
            <w:vAlign w:val="center"/>
          </w:tcPr>
          <w:p>
            <w:pPr>
              <w:pStyle w:val="73"/>
              <w:rPr>
                <w:lang w:val="en-GB"/>
              </w:rPr>
            </w:pPr>
            <w:r>
              <w:rPr>
                <w:rFonts w:hint="eastAsia"/>
                <w:lang w:val="en-GB"/>
              </w:rPr>
              <w:t>按任一功能操作键时，发出此告警声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858" w:type="dxa"/>
            <w:vAlign w:val="center"/>
          </w:tcPr>
          <w:p>
            <w:pPr>
              <w:pStyle w:val="73"/>
              <w:rPr>
                <w:lang w:val="en-GB"/>
              </w:rPr>
            </w:pPr>
            <w:r>
              <w:rPr>
                <w:rFonts w:hint="eastAsia"/>
                <w:lang w:val="en-GB"/>
              </w:rPr>
              <w:t>每隔</w:t>
            </w:r>
            <w:r>
              <w:rPr>
                <w:lang w:val="en-GB"/>
              </w:rPr>
              <w:t>1</w:t>
            </w:r>
            <w:r>
              <w:rPr>
                <w:rFonts w:hint="eastAsia"/>
                <w:lang w:val="en-GB"/>
              </w:rPr>
              <w:t>秒鸣叫</w:t>
            </w:r>
            <w:r>
              <w:rPr>
                <w:lang w:val="en-GB"/>
              </w:rPr>
              <w:t>1</w:t>
            </w:r>
            <w:r>
              <w:rPr>
                <w:rFonts w:hint="eastAsia"/>
                <w:lang w:val="en-GB"/>
              </w:rPr>
              <w:t>下</w:t>
            </w:r>
          </w:p>
        </w:tc>
        <w:tc>
          <w:tcPr>
            <w:tcW w:w="6521" w:type="dxa"/>
            <w:vAlign w:val="center"/>
          </w:tcPr>
          <w:p>
            <w:pPr>
              <w:pStyle w:val="73"/>
              <w:rPr>
                <w:lang w:val="en-GB"/>
              </w:rPr>
            </w:pPr>
            <w:r>
              <w:rPr>
                <w:lang w:val="en-GB"/>
              </w:rPr>
              <w:t>UPS</w:t>
            </w:r>
            <w:r>
              <w:rPr>
                <w:rFonts w:hint="eastAsia"/>
                <w:lang w:val="en-GB"/>
              </w:rPr>
              <w:t>发生告警时</w:t>
            </w:r>
            <w:r>
              <w:rPr>
                <w:rFonts w:hint="eastAsia"/>
              </w:rPr>
              <w:t>（例如：</w:t>
            </w:r>
            <w:r>
              <w:rPr>
                <w:rFonts w:hint="eastAsia"/>
                <w:lang w:val="en-GB"/>
              </w:rPr>
              <w:t>旁路超跟踪</w:t>
            </w:r>
            <w:r>
              <w:rPr>
                <w:rFonts w:hint="eastAsia"/>
              </w:rPr>
              <w:t>）</w:t>
            </w:r>
            <w:r>
              <w:rPr>
                <w:rFonts w:hint="eastAsia"/>
                <w:lang w:val="en-GB"/>
              </w:rPr>
              <w:t>，发出此告警声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858" w:type="dxa"/>
            <w:vAlign w:val="center"/>
          </w:tcPr>
          <w:p>
            <w:pPr>
              <w:pStyle w:val="73"/>
              <w:rPr>
                <w:lang w:val="en-GB"/>
              </w:rPr>
            </w:pPr>
            <w:r>
              <w:rPr>
                <w:rFonts w:hint="eastAsia"/>
                <w:lang w:val="en-GB"/>
              </w:rPr>
              <w:t>持续鸣叫</w:t>
            </w:r>
          </w:p>
        </w:tc>
        <w:tc>
          <w:tcPr>
            <w:tcW w:w="6521" w:type="dxa"/>
            <w:vAlign w:val="center"/>
          </w:tcPr>
          <w:p>
            <w:pPr>
              <w:pStyle w:val="73"/>
              <w:rPr>
                <w:lang w:val="en-GB"/>
              </w:rPr>
            </w:pPr>
            <w:r>
              <w:rPr>
                <w:lang w:val="en-GB"/>
              </w:rPr>
              <w:t>UPS</w:t>
            </w:r>
            <w:r>
              <w:rPr>
                <w:rFonts w:hint="eastAsia"/>
                <w:lang w:val="en-GB"/>
              </w:rPr>
              <w:t>发生故障时</w:t>
            </w:r>
            <w:r>
              <w:rPr>
                <w:rFonts w:hint="eastAsia"/>
                <w:spacing w:val="-2"/>
              </w:rPr>
              <w:t>（例</w:t>
            </w:r>
            <w:r>
              <w:rPr>
                <w:rFonts w:hint="eastAsia"/>
                <w:spacing w:val="-2"/>
                <w:lang w:val="en-GB"/>
              </w:rPr>
              <w:t>如</w:t>
            </w:r>
            <w:r>
              <w:rPr>
                <w:rFonts w:hint="eastAsia"/>
                <w:spacing w:val="-2"/>
              </w:rPr>
              <w:t>：</w:t>
            </w:r>
            <w:r>
              <w:rPr>
                <w:rFonts w:hint="eastAsia"/>
                <w:spacing w:val="-2"/>
                <w:lang w:val="en-US" w:eastAsia="zh-CN"/>
              </w:rPr>
              <w:t>熔断</w:t>
            </w:r>
            <w:r>
              <w:rPr>
                <w:rFonts w:hint="eastAsia"/>
                <w:spacing w:val="-2"/>
              </w:rPr>
              <w:t>器或硬件故障）</w:t>
            </w:r>
            <w:r>
              <w:rPr>
                <w:rFonts w:hint="eastAsia"/>
                <w:lang w:val="en-GB"/>
              </w:rPr>
              <w:t>，发出此告警声</w:t>
            </w:r>
          </w:p>
        </w:tc>
      </w:tr>
      <w:bookmarkEnd w:id="408"/>
      <w:bookmarkEnd w:id="409"/>
    </w:tbl>
    <w:p>
      <w:pPr>
        <w:pStyle w:val="5"/>
        <w:numPr>
          <w:ilvl w:val="2"/>
          <w:numId w:val="9"/>
        </w:numPr>
        <w:rPr>
          <w:szCs w:val="22"/>
          <w:lang w:val="en-GB"/>
        </w:rPr>
      </w:pPr>
      <w:bookmarkStart w:id="410" w:name="_Hlt323030171"/>
      <w:bookmarkEnd w:id="410"/>
      <w:bookmarkStart w:id="411" w:name="_Hlt323029125"/>
      <w:bookmarkEnd w:id="411"/>
      <w:bookmarkStart w:id="412" w:name="_Toc5609"/>
      <w:r>
        <w:rPr>
          <w:rFonts w:hint="eastAsia"/>
          <w:szCs w:val="22"/>
          <w:lang w:val="en-GB"/>
        </w:rPr>
        <w:t>EPO按钮</w:t>
      </w:r>
      <w:bookmarkEnd w:id="412"/>
    </w:p>
    <w:p>
      <w:pPr>
        <w:pStyle w:val="3"/>
      </w:pPr>
      <w:r>
        <w:rPr>
          <w:rFonts w:hint="eastAsia"/>
          <w:lang w:val="en-GB"/>
        </w:rPr>
        <w:t>操作控制显示面板上提供</w:t>
      </w:r>
      <w:r>
        <w:rPr>
          <w:rFonts w:hint="eastAsia"/>
        </w:rPr>
        <w:t>1个控制操作按钮，即EPO按钮，表面有防误触发的塑料盖。其功能描述见表4</w:t>
      </w:r>
      <w:r>
        <w:t>-</w:t>
      </w:r>
      <w:r>
        <w:rPr>
          <w:rFonts w:hint="eastAsia"/>
        </w:rPr>
        <w:t>3。</w:t>
      </w:r>
    </w:p>
    <w:p>
      <w:pPr>
        <w:pStyle w:val="194"/>
        <w:numPr>
          <w:ilvl w:val="5"/>
          <w:numId w:val="9"/>
        </w:numPr>
        <w:rPr>
          <w:szCs w:val="22"/>
        </w:rPr>
      </w:pPr>
      <w:r>
        <w:rPr>
          <w:rFonts w:hint="eastAsia"/>
          <w:szCs w:val="22"/>
        </w:rPr>
        <w:t>控制操作键功能描述</w:t>
      </w:r>
    </w:p>
    <w:tbl>
      <w:tblPr>
        <w:tblStyle w:val="50"/>
        <w:tblW w:w="9365"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1"/>
        <w:gridCol w:w="1862"/>
        <w:gridCol w:w="56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1861" w:type="dxa"/>
            <w:shd w:val="clear" w:color="auto" w:fill="D9D9D9"/>
            <w:vAlign w:val="center"/>
          </w:tcPr>
          <w:p>
            <w:pPr>
              <w:pStyle w:val="88"/>
            </w:pPr>
            <w:r>
              <w:rPr>
                <w:rFonts w:hint="eastAsia"/>
              </w:rPr>
              <w:t>控制操作键</w:t>
            </w:r>
          </w:p>
        </w:tc>
        <w:tc>
          <w:tcPr>
            <w:tcW w:w="1862" w:type="dxa"/>
            <w:shd w:val="clear" w:color="auto" w:fill="D9D9D9"/>
            <w:vAlign w:val="center"/>
          </w:tcPr>
          <w:p>
            <w:pPr>
              <w:pStyle w:val="88"/>
            </w:pPr>
            <w:r>
              <w:rPr>
                <w:rFonts w:hint="eastAsia"/>
              </w:rPr>
              <w:t>丝印</w:t>
            </w:r>
          </w:p>
        </w:tc>
        <w:tc>
          <w:tcPr>
            <w:tcW w:w="5642" w:type="dxa"/>
            <w:shd w:val="clear" w:color="auto" w:fill="D9D9D9"/>
            <w:vAlign w:val="center"/>
          </w:tcPr>
          <w:p>
            <w:pPr>
              <w:pStyle w:val="88"/>
            </w:pPr>
            <w:r>
              <w:rPr>
                <w:rFonts w:hint="eastAsia"/>
              </w:rPr>
              <w:t>功能描述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1861" w:type="dxa"/>
            <w:vAlign w:val="center"/>
          </w:tcPr>
          <w:p>
            <w:pPr>
              <w:pStyle w:val="73"/>
              <w:rPr>
                <w:lang w:val="en-GB"/>
              </w:rPr>
            </w:pPr>
            <w:bookmarkStart w:id="413" w:name="_Hlt287597894"/>
            <w:r>
              <w:rPr>
                <w:lang w:val="en-GB"/>
              </w:rPr>
              <w:t>EPO</w:t>
            </w:r>
            <w:bookmarkEnd w:id="413"/>
            <w:r>
              <w:rPr>
                <w:rFonts w:hint="eastAsia"/>
                <w:lang w:val="en-GB"/>
              </w:rPr>
              <w:t>按键</w:t>
            </w:r>
          </w:p>
        </w:tc>
        <w:tc>
          <w:tcPr>
            <w:tcW w:w="1862" w:type="dxa"/>
            <w:vAlign w:val="center"/>
          </w:tcPr>
          <w:p>
            <w:pPr>
              <w:pStyle w:val="73"/>
            </w:pPr>
            <w:r>
              <w:t>EPO</w:t>
            </w:r>
          </w:p>
        </w:tc>
        <w:tc>
          <w:tcPr>
            <w:tcW w:w="5642" w:type="dxa"/>
            <w:vAlign w:val="center"/>
          </w:tcPr>
          <w:p>
            <w:pPr>
              <w:pStyle w:val="73"/>
              <w:rPr>
                <w:lang w:val="en-GB"/>
              </w:rPr>
            </w:pPr>
            <w:r>
              <w:rPr>
                <w:rFonts w:hint="eastAsia"/>
                <w:lang w:val="en-GB"/>
              </w:rPr>
              <w:t>用来切断负载电源，关闭整流器、逆变器、静态旁路和电池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9365" w:type="dxa"/>
            <w:gridSpan w:val="3"/>
            <w:vAlign w:val="center"/>
          </w:tcPr>
          <w:p>
            <w:pPr>
              <w:pStyle w:val="73"/>
              <w:rPr>
                <w:lang w:val="en-GB"/>
              </w:rPr>
            </w:pPr>
            <w:r>
              <w:rPr>
                <w:rFonts w:hint="eastAsia"/>
                <w:lang w:val="en-GB"/>
              </w:rPr>
              <w:t>注意：需长按2秒才能生效，按钮生效后，UPS输出会断电，负载会掉电</w:t>
            </w:r>
          </w:p>
        </w:tc>
      </w:tr>
    </w:tbl>
    <w:p>
      <w:pPr>
        <w:pStyle w:val="5"/>
        <w:numPr>
          <w:ilvl w:val="2"/>
          <w:numId w:val="9"/>
        </w:numPr>
        <w:rPr>
          <w:szCs w:val="22"/>
          <w:lang w:val="en-GB"/>
        </w:rPr>
      </w:pPr>
      <w:bookmarkStart w:id="414" w:name="_Toc512794853"/>
      <w:bookmarkStart w:id="415" w:name="_Toc18712"/>
      <w:bookmarkStart w:id="416" w:name="_Toc37220415"/>
      <w:bookmarkStart w:id="417" w:name="_Toc37417557"/>
      <w:r>
        <w:rPr>
          <w:rFonts w:hint="eastAsia"/>
          <w:szCs w:val="22"/>
          <w:lang w:val="en-GB"/>
        </w:rPr>
        <w:t>触摸彩色显示屏</w:t>
      </w:r>
      <w:bookmarkEnd w:id="414"/>
      <w:bookmarkEnd w:id="415"/>
    </w:p>
    <w:bookmarkEnd w:id="416"/>
    <w:bookmarkEnd w:id="417"/>
    <w:p>
      <w:pPr>
        <w:pStyle w:val="3"/>
      </w:pPr>
      <w:r>
        <w:rPr>
          <w:rFonts w:hint="eastAsia"/>
        </w:rPr>
        <w:t>本产品标配10英寸高端触摸彩色显示屏。触摸屏显示界面友好，用户可方便地浏览</w:t>
      </w:r>
      <w:r>
        <w:t>UPS</w:t>
      </w:r>
      <w:r>
        <w:rPr>
          <w:rFonts w:hint="eastAsia"/>
        </w:rPr>
        <w:t>的输入、输出、负载和电池参数，及时获得</w:t>
      </w:r>
      <w:r>
        <w:t>UPS</w:t>
      </w:r>
      <w:r>
        <w:rPr>
          <w:rFonts w:hint="eastAsia"/>
        </w:rPr>
        <w:t>的当前状态和告警信息，并进行相关功能设置和控制操作。触摸屏还可提供最多2048条历史告警记录备用户查询，给故</w:t>
      </w:r>
      <w:bookmarkStart w:id="418" w:name="_Hlt322943234"/>
      <w:bookmarkEnd w:id="418"/>
      <w:r>
        <w:rPr>
          <w:rFonts w:hint="eastAsia"/>
        </w:rPr>
        <w:t>障诊断提供可靠依据。</w:t>
      </w:r>
      <w:r>
        <w:rPr>
          <w:rFonts w:hint="eastAsia"/>
          <w:lang w:val="en-GB"/>
        </w:rPr>
        <w:t>系统运行过程中，如1分钟内无任何告警，</w:t>
      </w:r>
      <w:r>
        <w:rPr>
          <w:rFonts w:hint="eastAsia"/>
        </w:rPr>
        <w:t>也无任何触摸动作，</w:t>
      </w:r>
      <w:r>
        <w:rPr>
          <w:rFonts w:hint="eastAsia"/>
          <w:lang w:val="en-GB"/>
        </w:rPr>
        <w:t>系统会关闭显示屏背光，</w:t>
      </w:r>
      <w:r>
        <w:rPr>
          <w:rFonts w:hint="eastAsia"/>
        </w:rPr>
        <w:t>触摸显示窗口任意地方</w:t>
      </w:r>
      <w:r>
        <w:rPr>
          <w:rFonts w:hint="eastAsia"/>
          <w:lang w:val="en-GB"/>
        </w:rPr>
        <w:t>可重新显示当前界面。</w:t>
      </w:r>
    </w:p>
    <w:p>
      <w:pPr>
        <w:pStyle w:val="4"/>
        <w:numPr>
          <w:ilvl w:val="1"/>
          <w:numId w:val="9"/>
        </w:numPr>
        <w:rPr>
          <w:szCs w:val="22"/>
        </w:rPr>
      </w:pPr>
      <w:bookmarkStart w:id="419" w:name="_Toc20680"/>
      <w:bookmarkStart w:id="420" w:name="_Toc300671075"/>
      <w:bookmarkStart w:id="421" w:name="_Toc512794854"/>
      <w:r>
        <w:rPr>
          <w:rFonts w:hint="eastAsia"/>
          <w:szCs w:val="22"/>
        </w:rPr>
        <w:t>模块显示介绍</w:t>
      </w:r>
      <w:bookmarkEnd w:id="419"/>
    </w:p>
    <w:p>
      <w:pPr>
        <w:pStyle w:val="5"/>
        <w:numPr>
          <w:ilvl w:val="2"/>
          <w:numId w:val="9"/>
        </w:numPr>
        <w:rPr>
          <w:szCs w:val="22"/>
          <w:lang w:val="en-GB"/>
        </w:rPr>
      </w:pPr>
      <w:bookmarkStart w:id="422" w:name="_Toc2603"/>
      <w:r>
        <w:rPr>
          <w:rFonts w:hint="eastAsia"/>
          <w:szCs w:val="22"/>
          <w:lang w:val="en-GB"/>
        </w:rPr>
        <w:t>功率模块面板</w:t>
      </w:r>
      <w:bookmarkEnd w:id="422"/>
    </w:p>
    <w:p>
      <w:pPr>
        <w:pStyle w:val="3"/>
        <w:rPr>
          <w:lang w:val="en-GB"/>
        </w:rPr>
      </w:pPr>
      <w:r>
        <w:rPr>
          <w:lang w:val="en-GB"/>
        </w:rPr>
        <w:t>图</w:t>
      </w:r>
      <w:r>
        <w:rPr>
          <w:rFonts w:hint="eastAsia"/>
          <w:lang w:val="en-GB"/>
        </w:rPr>
        <w:t>4</w:t>
      </w:r>
      <w:r>
        <w:rPr>
          <w:lang w:val="en-GB"/>
        </w:rPr>
        <w:t>-2为功率模块显示面板</w:t>
      </w:r>
      <w:r>
        <w:rPr>
          <w:rFonts w:hint="eastAsia"/>
          <w:lang w:val="en-GB"/>
        </w:rPr>
        <w:t>，包含了5个功能点，整流器指示灯，电池指示灯，逆变器指示灯，屏幕唤醒按钮，L</w:t>
      </w:r>
      <w:r>
        <w:rPr>
          <w:lang w:val="en-GB"/>
        </w:rPr>
        <w:t>CD</w:t>
      </w:r>
      <w:r>
        <w:rPr>
          <w:rFonts w:hint="eastAsia"/>
          <w:lang w:val="en-GB"/>
        </w:rPr>
        <w:t>屏幕。</w:t>
      </w:r>
    </w:p>
    <w:p>
      <w:pPr>
        <w:pStyle w:val="3"/>
        <w:ind w:left="0"/>
        <w:jc w:val="center"/>
        <w:rPr>
          <w:lang w:val="en-GB"/>
        </w:rPr>
      </w:pPr>
      <w:r>
        <w:drawing>
          <wp:inline distT="0" distB="0" distL="0" distR="0">
            <wp:extent cx="1619250" cy="156718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3" cstate="print"/>
                    <a:stretch>
                      <a:fillRect/>
                    </a:stretch>
                  </pic:blipFill>
                  <pic:spPr>
                    <a:xfrm>
                      <a:off x="0" y="0"/>
                      <a:ext cx="1626358" cy="1574521"/>
                    </a:xfrm>
                    <a:prstGeom prst="rect">
                      <a:avLst/>
                    </a:prstGeom>
                  </pic:spPr>
                </pic:pic>
              </a:graphicData>
            </a:graphic>
          </wp:inline>
        </w:drawing>
      </w:r>
    </w:p>
    <w:p>
      <w:pPr>
        <w:pStyle w:val="83"/>
        <w:numPr>
          <w:ilvl w:val="6"/>
          <w:numId w:val="4"/>
        </w:numPr>
        <w:rPr>
          <w:lang w:val="en-GB"/>
        </w:rPr>
      </w:pPr>
      <w:r>
        <w:rPr>
          <w:rFonts w:hint="eastAsia"/>
          <w:lang w:val="en-GB"/>
        </w:rPr>
        <w:t>模块显示界面</w:t>
      </w:r>
    </w:p>
    <w:tbl>
      <w:tblPr>
        <w:tblStyle w:val="50"/>
        <w:tblW w:w="9572"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835"/>
        <w:gridCol w:w="60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704" w:type="dxa"/>
            <w:shd w:val="clear" w:color="auto" w:fill="auto"/>
          </w:tcPr>
          <w:p>
            <w:pPr>
              <w:pStyle w:val="3"/>
              <w:ind w:left="0"/>
              <w:jc w:val="center"/>
              <w:rPr>
                <w:lang w:val="en-GB"/>
              </w:rPr>
            </w:pPr>
            <w:r>
              <w:rPr>
                <w:rFonts w:hint="eastAsia"/>
                <w:lang w:val="en-GB"/>
              </w:rPr>
              <w:t>序号</w:t>
            </w:r>
          </w:p>
        </w:tc>
        <w:tc>
          <w:tcPr>
            <w:tcW w:w="2835" w:type="dxa"/>
            <w:shd w:val="clear" w:color="auto" w:fill="auto"/>
          </w:tcPr>
          <w:p>
            <w:pPr>
              <w:pStyle w:val="3"/>
              <w:ind w:left="0"/>
              <w:jc w:val="center"/>
              <w:rPr>
                <w:lang w:val="en-GB"/>
              </w:rPr>
            </w:pPr>
            <w:r>
              <w:rPr>
                <w:rFonts w:hint="eastAsia"/>
                <w:lang w:val="en-GB"/>
              </w:rPr>
              <w:t>部件说明</w:t>
            </w:r>
          </w:p>
        </w:tc>
        <w:tc>
          <w:tcPr>
            <w:tcW w:w="6033" w:type="dxa"/>
            <w:shd w:val="clear" w:color="auto" w:fill="auto"/>
          </w:tcPr>
          <w:p>
            <w:pPr>
              <w:pStyle w:val="3"/>
              <w:ind w:left="0"/>
              <w:jc w:val="center"/>
              <w:rPr>
                <w:lang w:val="en-GB"/>
              </w:rPr>
            </w:pPr>
            <w:r>
              <w:rPr>
                <w:rFonts w:hint="eastAsia"/>
                <w:lang w:val="en-GB"/>
              </w:rPr>
              <w:t>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704" w:type="dxa"/>
            <w:shd w:val="clear" w:color="auto" w:fill="auto"/>
          </w:tcPr>
          <w:p>
            <w:pPr>
              <w:pStyle w:val="3"/>
              <w:ind w:left="0"/>
              <w:jc w:val="center"/>
              <w:rPr>
                <w:lang w:val="en-GB"/>
              </w:rPr>
            </w:pPr>
            <w:r>
              <w:rPr>
                <w:rFonts w:hint="eastAsia"/>
                <w:lang w:val="en-GB"/>
              </w:rPr>
              <w:t>1</w:t>
            </w:r>
          </w:p>
        </w:tc>
        <w:tc>
          <w:tcPr>
            <w:tcW w:w="2835" w:type="dxa"/>
            <w:shd w:val="clear" w:color="auto" w:fill="auto"/>
            <w:vAlign w:val="center"/>
          </w:tcPr>
          <w:p>
            <w:pPr>
              <w:pStyle w:val="3"/>
              <w:ind w:left="0"/>
              <w:jc w:val="center"/>
              <w:rPr>
                <w:lang w:val="en-GB"/>
              </w:rPr>
            </w:pPr>
            <w:r>
              <w:rPr>
                <w:rFonts w:hint="eastAsia"/>
                <w:lang w:val="en-GB"/>
              </w:rPr>
              <w:t>整流器指示灯</w:t>
            </w:r>
          </w:p>
        </w:tc>
        <w:tc>
          <w:tcPr>
            <w:tcW w:w="6033" w:type="dxa"/>
            <w:shd w:val="clear" w:color="auto" w:fill="auto"/>
          </w:tcPr>
          <w:p>
            <w:pPr>
              <w:pStyle w:val="3"/>
              <w:ind w:left="0"/>
              <w:jc w:val="center"/>
              <w:rPr>
                <w:lang w:val="en-GB"/>
              </w:rPr>
            </w:pPr>
            <w:r>
              <w:rPr>
                <w:rFonts w:hint="eastAsia"/>
                <w:lang w:val="en-GB"/>
              </w:rPr>
              <w:t>整流器故障&amp;输入电压异常，亮红灯</w:t>
            </w:r>
          </w:p>
          <w:p>
            <w:pPr>
              <w:pStyle w:val="3"/>
              <w:ind w:left="0"/>
              <w:jc w:val="center"/>
              <w:rPr>
                <w:lang w:val="en-GB"/>
              </w:rPr>
            </w:pPr>
            <w:r>
              <w:rPr>
                <w:lang w:val="en-GB"/>
              </w:rPr>
              <w:t>整流器软启动</w:t>
            </w:r>
            <w:r>
              <w:rPr>
                <w:rFonts w:hint="eastAsia"/>
                <w:lang w:val="en-GB"/>
              </w:rPr>
              <w:t>，绿灯</w:t>
            </w:r>
            <w:r>
              <w:rPr>
                <w:lang w:val="en-GB"/>
              </w:rPr>
              <w:t>闪烁</w:t>
            </w:r>
          </w:p>
          <w:p>
            <w:pPr>
              <w:pStyle w:val="3"/>
              <w:ind w:left="0"/>
              <w:jc w:val="center"/>
              <w:rPr>
                <w:lang w:val="en-GB"/>
              </w:rPr>
            </w:pPr>
            <w:r>
              <w:rPr>
                <w:lang w:val="en-GB"/>
              </w:rPr>
              <w:t>整流器正常</w:t>
            </w:r>
            <w:r>
              <w:rPr>
                <w:rFonts w:hint="eastAsia"/>
                <w:lang w:val="en-GB"/>
              </w:rPr>
              <w:t>，亮绿灯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704" w:type="dxa"/>
            <w:shd w:val="clear" w:color="auto" w:fill="auto"/>
          </w:tcPr>
          <w:p>
            <w:pPr>
              <w:pStyle w:val="3"/>
              <w:ind w:left="0"/>
              <w:jc w:val="center"/>
              <w:rPr>
                <w:lang w:val="en-GB"/>
              </w:rPr>
            </w:pPr>
            <w:r>
              <w:rPr>
                <w:rFonts w:hint="eastAsia"/>
                <w:lang w:val="en-GB"/>
              </w:rPr>
              <w:t>2</w:t>
            </w:r>
          </w:p>
        </w:tc>
        <w:tc>
          <w:tcPr>
            <w:tcW w:w="2835" w:type="dxa"/>
            <w:shd w:val="clear" w:color="auto" w:fill="auto"/>
            <w:vAlign w:val="center"/>
          </w:tcPr>
          <w:p>
            <w:pPr>
              <w:pStyle w:val="3"/>
              <w:ind w:left="0"/>
              <w:jc w:val="center"/>
              <w:rPr>
                <w:lang w:val="en-GB"/>
              </w:rPr>
            </w:pPr>
            <w:r>
              <w:rPr>
                <w:rFonts w:hint="eastAsia"/>
                <w:lang w:val="en-GB"/>
              </w:rPr>
              <w:t>电池指示灯</w:t>
            </w:r>
          </w:p>
        </w:tc>
        <w:tc>
          <w:tcPr>
            <w:tcW w:w="6033" w:type="dxa"/>
            <w:shd w:val="clear" w:color="auto" w:fill="auto"/>
          </w:tcPr>
          <w:p>
            <w:pPr>
              <w:pStyle w:val="3"/>
              <w:ind w:left="0"/>
              <w:jc w:val="center"/>
              <w:rPr>
                <w:lang w:val="en-GB"/>
              </w:rPr>
            </w:pPr>
            <w:r>
              <w:rPr>
                <w:rFonts w:hint="eastAsia"/>
                <w:lang w:val="en-GB"/>
              </w:rPr>
              <w:t>电池没有接入&amp;充放电器异常，亮红灯</w:t>
            </w:r>
          </w:p>
          <w:p>
            <w:pPr>
              <w:pStyle w:val="3"/>
              <w:ind w:left="0"/>
              <w:jc w:val="center"/>
              <w:rPr>
                <w:lang w:val="en-GB"/>
              </w:rPr>
            </w:pPr>
            <w:r>
              <w:rPr>
                <w:rFonts w:hint="eastAsia"/>
                <w:lang w:val="en-GB"/>
              </w:rPr>
              <w:t>电池正常接入并且U</w:t>
            </w:r>
            <w:r>
              <w:rPr>
                <w:lang w:val="en-GB"/>
              </w:rPr>
              <w:t>PS</w:t>
            </w:r>
            <w:r>
              <w:rPr>
                <w:rFonts w:hint="eastAsia"/>
                <w:lang w:val="en-GB"/>
              </w:rPr>
              <w:t>识别到电池电压，不亮灯</w:t>
            </w:r>
          </w:p>
          <w:p>
            <w:pPr>
              <w:pStyle w:val="3"/>
              <w:ind w:left="0"/>
              <w:jc w:val="center"/>
              <w:rPr>
                <w:lang w:val="en-GB"/>
              </w:rPr>
            </w:pPr>
            <w:r>
              <w:rPr>
                <w:rFonts w:hint="eastAsia"/>
                <w:lang w:val="en-GB"/>
              </w:rPr>
              <w:t>电池放电状态，亮绿灯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704" w:type="dxa"/>
            <w:shd w:val="clear" w:color="auto" w:fill="auto"/>
          </w:tcPr>
          <w:p>
            <w:pPr>
              <w:pStyle w:val="3"/>
              <w:ind w:left="0"/>
              <w:jc w:val="center"/>
              <w:rPr>
                <w:lang w:val="en-GB"/>
              </w:rPr>
            </w:pPr>
            <w:r>
              <w:rPr>
                <w:rFonts w:hint="eastAsia"/>
                <w:lang w:val="en-GB"/>
              </w:rPr>
              <w:t>3</w:t>
            </w:r>
          </w:p>
        </w:tc>
        <w:tc>
          <w:tcPr>
            <w:tcW w:w="2835" w:type="dxa"/>
            <w:shd w:val="clear" w:color="auto" w:fill="auto"/>
            <w:vAlign w:val="center"/>
          </w:tcPr>
          <w:p>
            <w:pPr>
              <w:pStyle w:val="3"/>
              <w:ind w:left="0"/>
              <w:jc w:val="center"/>
              <w:rPr>
                <w:lang w:val="en-GB"/>
              </w:rPr>
            </w:pPr>
            <w:r>
              <w:rPr>
                <w:rFonts w:hint="eastAsia"/>
                <w:lang w:val="en-GB"/>
              </w:rPr>
              <w:t>逆变器指示灯</w:t>
            </w:r>
          </w:p>
        </w:tc>
        <w:tc>
          <w:tcPr>
            <w:tcW w:w="6033" w:type="dxa"/>
            <w:shd w:val="clear" w:color="auto" w:fill="auto"/>
          </w:tcPr>
          <w:p>
            <w:pPr>
              <w:pStyle w:val="3"/>
              <w:ind w:left="0"/>
              <w:jc w:val="center"/>
              <w:rPr>
                <w:lang w:val="en-GB"/>
              </w:rPr>
            </w:pPr>
            <w:r>
              <w:rPr>
                <w:rFonts w:hint="eastAsia"/>
                <w:lang w:val="en-GB"/>
              </w:rPr>
              <w:t>逆变器故障&amp;就绪开关未闭合，亮红灯</w:t>
            </w:r>
          </w:p>
          <w:p>
            <w:pPr>
              <w:pStyle w:val="3"/>
              <w:ind w:left="0"/>
              <w:jc w:val="center"/>
              <w:rPr>
                <w:lang w:val="en-GB"/>
              </w:rPr>
            </w:pPr>
            <w:r>
              <w:rPr>
                <w:rFonts w:hint="eastAsia"/>
                <w:lang w:val="en-GB"/>
              </w:rPr>
              <w:t>逆变器软启动，绿灯闪烁</w:t>
            </w:r>
          </w:p>
          <w:p>
            <w:pPr>
              <w:pStyle w:val="3"/>
              <w:ind w:left="0"/>
              <w:jc w:val="center"/>
              <w:rPr>
                <w:lang w:val="en-GB"/>
              </w:rPr>
            </w:pPr>
            <w:r>
              <w:rPr>
                <w:rFonts w:hint="eastAsia"/>
                <w:lang w:val="en-GB"/>
              </w:rPr>
              <w:t>就绪开关闭合逆变器未开启，不亮灯</w:t>
            </w:r>
          </w:p>
          <w:p>
            <w:pPr>
              <w:pStyle w:val="3"/>
              <w:ind w:left="0"/>
              <w:jc w:val="center"/>
              <w:rPr>
                <w:lang w:val="en-GB"/>
              </w:rPr>
            </w:pPr>
            <w:r>
              <w:rPr>
                <w:lang w:val="en-GB"/>
              </w:rPr>
              <w:t>逆变器正常供电</w:t>
            </w:r>
            <w:r>
              <w:rPr>
                <w:rFonts w:hint="eastAsia"/>
                <w:lang w:val="en-GB"/>
              </w:rPr>
              <w:t>，</w:t>
            </w:r>
            <w:r>
              <w:rPr>
                <w:lang w:val="en-GB"/>
              </w:rPr>
              <w:t>亮绿灯</w:t>
            </w:r>
          </w:p>
        </w:tc>
      </w:tr>
    </w:tbl>
    <w:p>
      <w:pPr>
        <w:pStyle w:val="5"/>
        <w:numPr>
          <w:ilvl w:val="2"/>
          <w:numId w:val="9"/>
        </w:numPr>
        <w:rPr>
          <w:lang w:val="en-GB"/>
        </w:rPr>
      </w:pPr>
      <w:bookmarkStart w:id="423" w:name="_Toc4125"/>
      <w:r>
        <w:rPr>
          <w:rFonts w:hint="eastAsia"/>
          <w:lang w:val="en-GB"/>
        </w:rPr>
        <w:t>旁路</w:t>
      </w:r>
      <w:r>
        <w:rPr>
          <w:lang w:val="en-GB"/>
        </w:rPr>
        <w:t>模块指示灯</w:t>
      </w:r>
      <w:bookmarkEnd w:id="423"/>
    </w:p>
    <w:p>
      <w:pPr>
        <w:pStyle w:val="3"/>
        <w:rPr>
          <w:lang w:val="en-GB"/>
        </w:rPr>
      </w:pPr>
      <w:r>
        <w:rPr>
          <w:rFonts w:hint="eastAsia"/>
          <w:lang w:val="en-GB"/>
        </w:rPr>
        <w:t>旁路模块只有一个指示灯，绿灯常亮表示旁路模块正常，不亮灯表示旁路故障或者旁路就绪开关未闭合</w:t>
      </w:r>
    </w:p>
    <w:p>
      <w:pPr>
        <w:pStyle w:val="3"/>
        <w:ind w:left="0"/>
        <w:jc w:val="center"/>
      </w:pPr>
      <w:r>
        <w:drawing>
          <wp:inline distT="0" distB="0" distL="0" distR="0">
            <wp:extent cx="2475230" cy="2301875"/>
            <wp:effectExtent l="0" t="0" r="1270" b="317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a:xfrm>
                      <a:off x="0" y="0"/>
                      <a:ext cx="2475230" cy="2301875"/>
                    </a:xfrm>
                    <a:prstGeom prst="rect">
                      <a:avLst/>
                    </a:prstGeom>
                    <a:noFill/>
                    <a:ln>
                      <a:noFill/>
                    </a:ln>
                  </pic:spPr>
                </pic:pic>
              </a:graphicData>
            </a:graphic>
          </wp:inline>
        </w:drawing>
      </w:r>
    </w:p>
    <w:p>
      <w:pPr>
        <w:pStyle w:val="83"/>
        <w:numPr>
          <w:ilvl w:val="6"/>
          <w:numId w:val="4"/>
        </w:numPr>
        <w:rPr>
          <w:lang w:val="en-GB"/>
        </w:rPr>
      </w:pPr>
      <w:r>
        <w:rPr>
          <w:rFonts w:hint="eastAsia"/>
          <w:lang w:val="en-GB"/>
        </w:rPr>
        <w:t>旁路指示灯</w:t>
      </w:r>
    </w:p>
    <w:p>
      <w:pPr>
        <w:pStyle w:val="4"/>
        <w:numPr>
          <w:ilvl w:val="1"/>
          <w:numId w:val="9"/>
        </w:numPr>
        <w:rPr>
          <w:szCs w:val="22"/>
        </w:rPr>
      </w:pPr>
      <w:bookmarkStart w:id="424" w:name="_Toc15785"/>
      <w:r>
        <w:rPr>
          <w:rFonts w:hint="eastAsia"/>
          <w:szCs w:val="22"/>
        </w:rPr>
        <w:t>触摸屏</w:t>
      </w:r>
      <w:bookmarkEnd w:id="420"/>
      <w:bookmarkStart w:id="425" w:name="_Hlt322965167"/>
      <w:bookmarkEnd w:id="425"/>
      <w:r>
        <w:rPr>
          <w:rFonts w:hint="eastAsia"/>
          <w:szCs w:val="22"/>
        </w:rPr>
        <w:t>介绍</w:t>
      </w:r>
      <w:bookmarkEnd w:id="421"/>
      <w:bookmarkEnd w:id="424"/>
      <w:bookmarkStart w:id="426" w:name="_Toc300671077"/>
      <w:bookmarkStart w:id="427" w:name="_Toc512794856"/>
    </w:p>
    <w:p>
      <w:pPr>
        <w:pStyle w:val="5"/>
        <w:numPr>
          <w:ilvl w:val="2"/>
          <w:numId w:val="9"/>
        </w:numPr>
        <w:rPr>
          <w:lang w:val="en-GB"/>
        </w:rPr>
      </w:pPr>
      <w:bookmarkStart w:id="428" w:name="_Toc13771"/>
      <w:r>
        <w:rPr>
          <w:rFonts w:hint="eastAsia"/>
          <w:lang w:val="en-GB"/>
        </w:rPr>
        <w:t>系统</w:t>
      </w:r>
      <w:bookmarkEnd w:id="426"/>
      <w:bookmarkEnd w:id="427"/>
      <w:r>
        <w:rPr>
          <w:rFonts w:hint="eastAsia"/>
          <w:lang w:val="en-GB"/>
        </w:rPr>
        <w:t>菜单</w:t>
      </w:r>
      <w:bookmarkEnd w:id="428"/>
    </w:p>
    <w:p>
      <w:pPr>
        <w:pStyle w:val="3"/>
        <w:rPr>
          <w:rFonts w:ascii="宋体" w:hAnsi="宋体"/>
          <w:szCs w:val="18"/>
        </w:rPr>
      </w:pPr>
      <w:r>
        <w:rPr>
          <w:rFonts w:ascii="宋体" w:hAnsi="宋体"/>
          <w:szCs w:val="18"/>
        </w:rPr>
        <w:t>UPS</w:t>
      </w:r>
      <w:r>
        <w:rPr>
          <w:rFonts w:hint="eastAsia" w:ascii="宋体" w:hAnsi="宋体"/>
          <w:szCs w:val="18"/>
        </w:rPr>
        <w:t>启动屏完成自检后，出现图4</w:t>
      </w:r>
      <w:r>
        <w:rPr>
          <w:rFonts w:ascii="宋体" w:hAnsi="宋体"/>
          <w:szCs w:val="18"/>
        </w:rPr>
        <w:t>-4</w:t>
      </w:r>
      <w:r>
        <w:rPr>
          <w:rFonts w:hint="eastAsia" w:ascii="宋体" w:hAnsi="宋体"/>
          <w:szCs w:val="18"/>
        </w:rPr>
        <w:t>所示为系统菜单。主显示屏划分为3个显示窗：系统信息窗、能量流图和主菜单。能量流图显示UPS的模拟图，包括UPS的主路交流输入、整流、逆变状态，以及旁路的状态，还有电池供电的状态。如果状态条为绿色，表示该部分正常工作；如果为灰色，表示未工作或者出现故障。</w:t>
      </w:r>
    </w:p>
    <w:p>
      <w:pPr>
        <w:pStyle w:val="3"/>
        <w:ind w:left="0"/>
        <w:jc w:val="center"/>
        <w:rPr>
          <w:rFonts w:ascii="宋体" w:hAnsi="宋体"/>
          <w:szCs w:val="18"/>
        </w:rPr>
      </w:pPr>
      <w:r>
        <w:rPr>
          <w:rFonts w:ascii="宋体" w:hAnsi="宋体"/>
          <w:szCs w:val="18"/>
        </w:rPr>
        <w:drawing>
          <wp:inline distT="0" distB="0" distL="0" distR="0">
            <wp:extent cx="3961130" cy="2969895"/>
            <wp:effectExtent l="0" t="0" r="1270" b="1905"/>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a:xfrm>
                      <a:off x="0" y="0"/>
                      <a:ext cx="3983909" cy="2986999"/>
                    </a:xfrm>
                    <a:prstGeom prst="rect">
                      <a:avLst/>
                    </a:prstGeom>
                    <a:noFill/>
                    <a:ln>
                      <a:noFill/>
                    </a:ln>
                  </pic:spPr>
                </pic:pic>
              </a:graphicData>
            </a:graphic>
          </wp:inline>
        </w:drawing>
      </w:r>
    </w:p>
    <w:p>
      <w:pPr>
        <w:pStyle w:val="83"/>
        <w:numPr>
          <w:ilvl w:val="6"/>
          <w:numId w:val="4"/>
        </w:numPr>
        <w:rPr>
          <w:lang w:val="en-GB"/>
        </w:rPr>
      </w:pPr>
      <w:r>
        <w:rPr>
          <w:rFonts w:hint="eastAsia"/>
        </w:rPr>
        <w:t>系统菜单</w:t>
      </w:r>
    </w:p>
    <w:p>
      <w:pPr>
        <w:pStyle w:val="5"/>
        <w:numPr>
          <w:ilvl w:val="2"/>
          <w:numId w:val="9"/>
        </w:numPr>
        <w:rPr>
          <w:lang w:val="en-GB"/>
        </w:rPr>
      </w:pPr>
      <w:bookmarkStart w:id="429" w:name="_Hlt296333600"/>
      <w:bookmarkEnd w:id="429"/>
      <w:bookmarkStart w:id="430" w:name="_Toc512794858"/>
      <w:bookmarkStart w:id="431" w:name="_Toc20034"/>
      <w:bookmarkStart w:id="432" w:name="_Toc300671078"/>
      <w:r>
        <w:rPr>
          <w:rFonts w:hint="eastAsia"/>
          <w:lang w:val="en-GB"/>
        </w:rPr>
        <w:t>操作菜单</w:t>
      </w:r>
      <w:bookmarkEnd w:id="430"/>
      <w:bookmarkEnd w:id="431"/>
      <w:bookmarkEnd w:id="432"/>
    </w:p>
    <w:p>
      <w:pPr>
        <w:pStyle w:val="3"/>
      </w:pPr>
      <w:r>
        <w:rPr>
          <w:rFonts w:hint="eastAsia"/>
        </w:rPr>
        <w:t>控制菜单界面如图4-</w:t>
      </w:r>
      <w:r>
        <w:t>5</w:t>
      </w:r>
      <w:r>
        <w:rPr>
          <w:rFonts w:hint="eastAsia"/>
        </w:rPr>
        <w:t>所示，可以执行：逆变开启、逆变关闭、故障清除、蜂鸣器消音、维护操作。维护操作需要管理员密码才能进入操作，必须我司服务人员才有权限进入操作。</w:t>
      </w:r>
    </w:p>
    <w:p>
      <w:pPr>
        <w:pStyle w:val="3"/>
        <w:ind w:left="0"/>
        <w:jc w:val="center"/>
      </w:pPr>
      <w:r>
        <w:drawing>
          <wp:inline distT="0" distB="0" distL="0" distR="0">
            <wp:extent cx="4082415" cy="3059430"/>
            <wp:effectExtent l="0" t="0" r="0" b="762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4105411" cy="3077013"/>
                    </a:xfrm>
                    <a:prstGeom prst="rect">
                      <a:avLst/>
                    </a:prstGeom>
                    <a:noFill/>
                    <a:ln>
                      <a:noFill/>
                    </a:ln>
                  </pic:spPr>
                </pic:pic>
              </a:graphicData>
            </a:graphic>
          </wp:inline>
        </w:drawing>
      </w:r>
    </w:p>
    <w:p>
      <w:pPr>
        <w:pStyle w:val="83"/>
        <w:numPr>
          <w:ilvl w:val="6"/>
          <w:numId w:val="4"/>
        </w:numPr>
      </w:pPr>
      <w:r>
        <w:rPr>
          <w:rFonts w:hint="eastAsia"/>
          <w:lang w:val="en-GB"/>
        </w:rPr>
        <w:t>操作菜单</w:t>
      </w:r>
    </w:p>
    <w:p>
      <w:pPr>
        <w:pStyle w:val="5"/>
        <w:numPr>
          <w:ilvl w:val="2"/>
          <w:numId w:val="9"/>
        </w:numPr>
        <w:rPr>
          <w:lang w:val="en-GB"/>
        </w:rPr>
      </w:pPr>
      <w:bookmarkStart w:id="433" w:name="_Toc14525"/>
      <w:bookmarkStart w:id="434" w:name="_Toc512794859"/>
      <w:r>
        <w:rPr>
          <w:rFonts w:hint="eastAsia"/>
          <w:lang w:val="en-GB"/>
        </w:rPr>
        <w:t>设置</w:t>
      </w:r>
      <w:r>
        <w:rPr>
          <w:lang w:val="en-GB"/>
        </w:rPr>
        <w:t>菜单</w:t>
      </w:r>
      <w:bookmarkEnd w:id="433"/>
    </w:p>
    <w:p>
      <w:pPr>
        <w:pStyle w:val="3"/>
        <w:rPr>
          <w:lang w:val="en-GB"/>
        </w:rPr>
      </w:pPr>
      <w:r>
        <w:t>设置菜单如图</w:t>
      </w:r>
      <w:r>
        <w:rPr>
          <w:rFonts w:hint="eastAsia"/>
        </w:rPr>
        <w:t>4</w:t>
      </w:r>
      <w:r>
        <w:t>-6所示</w:t>
      </w:r>
      <w:r>
        <w:rPr>
          <w:rFonts w:hint="eastAsia"/>
        </w:rPr>
        <w:t>，</w:t>
      </w:r>
      <w:r>
        <w:t>设置菜单有六个子页面</w:t>
      </w:r>
      <w:r>
        <w:rPr>
          <w:rFonts w:hint="eastAsia"/>
        </w:rPr>
        <w:t>，</w:t>
      </w:r>
      <w:r>
        <w:t>分别为系统设置</w:t>
      </w:r>
      <w:r>
        <w:rPr>
          <w:rFonts w:hint="eastAsia"/>
        </w:rPr>
        <w:t>，</w:t>
      </w:r>
      <w:r>
        <w:t>基本设置</w:t>
      </w:r>
      <w:r>
        <w:rPr>
          <w:rFonts w:hint="eastAsia"/>
        </w:rPr>
        <w:t>，</w:t>
      </w:r>
      <w:r>
        <w:t>通信设置</w:t>
      </w:r>
      <w:r>
        <w:rPr>
          <w:rFonts w:hint="eastAsia"/>
        </w:rPr>
        <w:t>，</w:t>
      </w:r>
      <w:r>
        <w:t>用户设置</w:t>
      </w:r>
      <w:r>
        <w:rPr>
          <w:rFonts w:hint="eastAsia"/>
        </w:rPr>
        <w:t>，</w:t>
      </w:r>
      <w:r>
        <w:t>电池设置</w:t>
      </w:r>
      <w:r>
        <w:rPr>
          <w:rFonts w:hint="eastAsia"/>
        </w:rPr>
        <w:t>，</w:t>
      </w:r>
      <w:r>
        <w:t>高级设置</w:t>
      </w:r>
      <w:r>
        <w:rPr>
          <w:rFonts w:hint="eastAsia"/>
        </w:rPr>
        <w:t>。</w:t>
      </w:r>
      <w:r>
        <w:t>用户可以分别点击进入页面查看已设置的内容</w:t>
      </w:r>
      <w:r>
        <w:rPr>
          <w:rFonts w:hint="eastAsia"/>
        </w:rPr>
        <w:t>，</w:t>
      </w:r>
      <w:r>
        <w:t>但是如果先要设置参数则必须点击左上角的小人</w:t>
      </w:r>
      <w:r>
        <w:rPr>
          <w:rFonts w:hint="eastAsia"/>
        </w:rPr>
        <w:t>，</w:t>
      </w:r>
      <w:r>
        <w:t>会出来一个弹框</w:t>
      </w:r>
      <w:r>
        <w:rPr>
          <w:rFonts w:hint="eastAsia"/>
        </w:rPr>
        <w:t>，</w:t>
      </w:r>
      <w:r>
        <w:t>输入管理员账号和密码之后</w:t>
      </w:r>
      <w:r>
        <w:rPr>
          <w:rFonts w:hint="eastAsia"/>
        </w:rPr>
        <w:t>，小人会变绿，则可以正常的设置参数了。用户设备通过我司服务工程师开启及参数设置之后，日常运行过程中无需再去设置参数。参数的设置涉及到机器的正确使用，因此管理员账户只有我司服务工程师才可以使用。</w:t>
      </w:r>
    </w:p>
    <w:p>
      <w:pPr>
        <w:pStyle w:val="3"/>
        <w:ind w:left="0"/>
        <w:jc w:val="center"/>
      </w:pPr>
      <w:r>
        <w:drawing>
          <wp:inline distT="0" distB="0" distL="0" distR="0">
            <wp:extent cx="4133850" cy="3101340"/>
            <wp:effectExtent l="0" t="0" r="0" b="381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a:xfrm>
                      <a:off x="0" y="0"/>
                      <a:ext cx="4163147" cy="3123189"/>
                    </a:xfrm>
                    <a:prstGeom prst="rect">
                      <a:avLst/>
                    </a:prstGeom>
                    <a:noFill/>
                    <a:ln>
                      <a:noFill/>
                    </a:ln>
                  </pic:spPr>
                </pic:pic>
              </a:graphicData>
            </a:graphic>
          </wp:inline>
        </w:drawing>
      </w:r>
    </w:p>
    <w:p>
      <w:pPr>
        <w:pStyle w:val="83"/>
        <w:numPr>
          <w:ilvl w:val="6"/>
          <w:numId w:val="4"/>
        </w:numPr>
      </w:pPr>
      <w:r>
        <w:rPr>
          <w:rFonts w:hint="eastAsia"/>
          <w:lang w:val="en-GB"/>
        </w:rPr>
        <w:t>设置菜单</w:t>
      </w:r>
    </w:p>
    <w:p>
      <w:pPr>
        <w:pStyle w:val="5"/>
        <w:numPr>
          <w:ilvl w:val="2"/>
          <w:numId w:val="9"/>
        </w:numPr>
        <w:rPr>
          <w:lang w:val="en-GB"/>
        </w:rPr>
      </w:pPr>
      <w:bookmarkStart w:id="435" w:name="_Toc31325"/>
      <w:r>
        <w:rPr>
          <w:rFonts w:hint="eastAsia"/>
          <w:lang w:val="en-GB"/>
        </w:rPr>
        <w:t>日志菜单</w:t>
      </w:r>
      <w:bookmarkEnd w:id="434"/>
      <w:bookmarkEnd w:id="435"/>
    </w:p>
    <w:p>
      <w:pPr>
        <w:pStyle w:val="3"/>
      </w:pPr>
      <w:r>
        <w:rPr>
          <w:rFonts w:hint="eastAsia"/>
        </w:rPr>
        <w:t>日志菜单界面如图4-</w:t>
      </w:r>
      <w:r>
        <w:t>7</w:t>
      </w:r>
      <w:r>
        <w:rPr>
          <w:rFonts w:hint="eastAsia"/>
        </w:rPr>
        <w:t>所示，可以查看当前记录和历史记录。I</w:t>
      </w:r>
      <w:r>
        <w:t>D0表示系统和旁路</w:t>
      </w:r>
      <w:r>
        <w:rPr>
          <w:rFonts w:hint="eastAsia"/>
        </w:rPr>
        <w:t>，</w:t>
      </w:r>
      <w:r>
        <w:t>MOD1表示模块一</w:t>
      </w:r>
      <w:r>
        <w:rPr>
          <w:rFonts w:hint="eastAsia"/>
        </w:rPr>
        <w:t>。</w:t>
      </w:r>
    </w:p>
    <w:p>
      <w:pPr>
        <w:pStyle w:val="3"/>
        <w:ind w:left="0"/>
        <w:jc w:val="center"/>
      </w:pPr>
      <w:r>
        <w:rPr>
          <w:rFonts w:ascii="宋体" w:hAnsi="宋体" w:cs="宋体"/>
        </w:rPr>
        <w:drawing>
          <wp:inline distT="0" distB="0" distL="0" distR="0">
            <wp:extent cx="3119755" cy="2340610"/>
            <wp:effectExtent l="0" t="0" r="4445" b="254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a:xfrm>
                      <a:off x="0" y="0"/>
                      <a:ext cx="3143909" cy="2358558"/>
                    </a:xfrm>
                    <a:prstGeom prst="rect">
                      <a:avLst/>
                    </a:prstGeom>
                    <a:noFill/>
                    <a:ln>
                      <a:noFill/>
                    </a:ln>
                  </pic:spPr>
                </pic:pic>
              </a:graphicData>
            </a:graphic>
          </wp:inline>
        </w:drawing>
      </w:r>
      <w:r>
        <w:rPr>
          <w:rFonts w:ascii="宋体" w:hAnsi="宋体" w:cs="宋体"/>
        </w:rPr>
        <w:drawing>
          <wp:inline distT="0" distB="0" distL="0" distR="0">
            <wp:extent cx="3130550" cy="2347595"/>
            <wp:effectExtent l="0" t="0" r="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a:xfrm>
                      <a:off x="0" y="0"/>
                      <a:ext cx="3156307" cy="2367229"/>
                    </a:xfrm>
                    <a:prstGeom prst="rect">
                      <a:avLst/>
                    </a:prstGeom>
                    <a:noFill/>
                    <a:ln>
                      <a:noFill/>
                    </a:ln>
                  </pic:spPr>
                </pic:pic>
              </a:graphicData>
            </a:graphic>
          </wp:inline>
        </w:drawing>
      </w:r>
    </w:p>
    <w:p>
      <w:pPr>
        <w:pStyle w:val="83"/>
        <w:numPr>
          <w:ilvl w:val="6"/>
          <w:numId w:val="4"/>
        </w:numPr>
      </w:pPr>
      <w:r>
        <w:rPr>
          <w:rFonts w:hint="eastAsia"/>
          <w:lang w:val="en-GB"/>
        </w:rPr>
        <w:t>日志菜单</w:t>
      </w:r>
    </w:p>
    <w:p>
      <w:pPr>
        <w:pStyle w:val="5"/>
        <w:numPr>
          <w:ilvl w:val="2"/>
          <w:numId w:val="9"/>
        </w:numPr>
        <w:rPr>
          <w:lang w:val="en-GB"/>
        </w:rPr>
      </w:pPr>
      <w:bookmarkStart w:id="436" w:name="_Toc512794861"/>
      <w:bookmarkStart w:id="437" w:name="_Toc7224"/>
      <w:r>
        <w:rPr>
          <w:rFonts w:hint="eastAsia"/>
          <w:lang w:val="en-GB"/>
        </w:rPr>
        <w:t>关于菜单</w:t>
      </w:r>
      <w:bookmarkEnd w:id="436"/>
      <w:bookmarkEnd w:id="437"/>
    </w:p>
    <w:p>
      <w:pPr>
        <w:widowControl w:val="0"/>
        <w:autoSpaceDE w:val="0"/>
        <w:autoSpaceDN w:val="0"/>
        <w:snapToGrid/>
        <w:spacing w:line="288" w:lineRule="auto"/>
        <w:ind w:left="680"/>
        <w:jc w:val="left"/>
        <w:rPr>
          <w:rFonts w:ascii="宋体" w:hAnsi="宋体"/>
          <w:sz w:val="18"/>
          <w:szCs w:val="18"/>
        </w:rPr>
      </w:pPr>
      <w:r>
        <w:rPr>
          <w:rFonts w:hint="eastAsia" w:ascii="宋体" w:hAnsi="宋体"/>
          <w:sz w:val="18"/>
          <w:szCs w:val="18"/>
        </w:rPr>
        <w:t>关于菜单，显示了旁路模块、监控、各主功率模块的软件版本号</w:t>
      </w:r>
      <w:r>
        <w:rPr>
          <w:rFonts w:hint="eastAsia" w:ascii="宋体" w:hAnsi="宋体" w:cs="宋体"/>
          <w:kern w:val="0"/>
          <w:sz w:val="18"/>
          <w:szCs w:val="18"/>
          <w:lang w:val="zh-CN"/>
        </w:rPr>
        <w:t>。无版本号的模块，表示模块未插入。</w:t>
      </w:r>
    </w:p>
    <w:p>
      <w:pPr>
        <w:pStyle w:val="5"/>
        <w:numPr>
          <w:ilvl w:val="2"/>
          <w:numId w:val="9"/>
        </w:numPr>
        <w:rPr>
          <w:lang w:val="en-GB"/>
        </w:rPr>
      </w:pPr>
      <w:bookmarkStart w:id="438" w:name="_Hlt280947631"/>
      <w:bookmarkEnd w:id="438"/>
      <w:bookmarkStart w:id="439" w:name="_Toc1191"/>
      <w:r>
        <w:rPr>
          <w:rFonts w:hint="eastAsia"/>
          <w:lang w:val="en-GB"/>
        </w:rPr>
        <w:t>菜单窗和数据窗</w:t>
      </w:r>
      <w:bookmarkEnd w:id="439"/>
    </w:p>
    <w:p>
      <w:pPr>
        <w:pStyle w:val="3"/>
      </w:pPr>
      <w:r>
        <w:rPr>
          <w:rFonts w:hint="eastAsia"/>
        </w:rPr>
        <w:t>点击功率流图可浏览</w:t>
      </w:r>
      <w:r>
        <w:t>UPS</w:t>
      </w:r>
      <w:r>
        <w:rPr>
          <w:rFonts w:hint="eastAsia"/>
        </w:rPr>
        <w:t>的相关参数，点击</w:t>
      </w:r>
      <w:r>
        <w:rPr>
          <w:rFonts w:hint="eastAsia"/>
          <w:szCs w:val="18"/>
        </w:rPr>
        <w:t>菜单窗可以</w:t>
      </w:r>
      <w:r>
        <w:rPr>
          <w:rFonts w:hint="eastAsia"/>
        </w:rPr>
        <w:t>进行相关功能设置，详细内容见</w:t>
      </w:r>
      <w:r>
        <w:rPr>
          <w:rFonts w:hint="eastAsia"/>
          <w:b/>
        </w:rPr>
        <w:t>表4</w:t>
      </w:r>
      <w:r>
        <w:rPr>
          <w:b/>
        </w:rPr>
        <w:t>-</w:t>
      </w:r>
      <w:r>
        <w:rPr>
          <w:rFonts w:hint="eastAsia"/>
          <w:b/>
        </w:rPr>
        <w:t>4</w:t>
      </w:r>
      <w:r>
        <w:rPr>
          <w:rFonts w:hint="eastAsia"/>
        </w:rPr>
        <w:t>。</w:t>
      </w:r>
    </w:p>
    <w:p>
      <w:pPr>
        <w:pStyle w:val="194"/>
        <w:numPr>
          <w:ilvl w:val="5"/>
          <w:numId w:val="9"/>
        </w:numPr>
        <w:rPr>
          <w:szCs w:val="22"/>
        </w:rPr>
      </w:pPr>
      <w:r>
        <w:rPr>
          <w:rFonts w:hint="eastAsia"/>
          <w:szCs w:val="22"/>
        </w:rPr>
        <w:t>菜单窗和数据窗项目描述</w:t>
      </w:r>
      <w:bookmarkStart w:id="440" w:name="_Hlt322952605"/>
      <w:bookmarkEnd w:id="440"/>
    </w:p>
    <w:tbl>
      <w:tblPr>
        <w:tblStyle w:val="50"/>
        <w:tblW w:w="9345"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1680"/>
        <w:gridCol w:w="6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right"/>
        </w:trPr>
        <w:tc>
          <w:tcPr>
            <w:tcW w:w="1050" w:type="dxa"/>
            <w:shd w:val="clear" w:color="auto" w:fill="D9D9D9"/>
            <w:vAlign w:val="center"/>
          </w:tcPr>
          <w:p>
            <w:pPr>
              <w:pStyle w:val="88"/>
              <w:rPr>
                <w:lang w:val="en-GB"/>
              </w:rPr>
            </w:pPr>
            <w:r>
              <w:rPr>
                <w:rFonts w:hint="eastAsia"/>
                <w:lang w:val="en-GB"/>
              </w:rPr>
              <w:t>菜单名称</w:t>
            </w:r>
          </w:p>
        </w:tc>
        <w:tc>
          <w:tcPr>
            <w:tcW w:w="1680" w:type="dxa"/>
            <w:shd w:val="clear" w:color="auto" w:fill="D9D9D9"/>
            <w:vAlign w:val="center"/>
          </w:tcPr>
          <w:p>
            <w:pPr>
              <w:pStyle w:val="88"/>
              <w:rPr>
                <w:lang w:val="en-GB"/>
              </w:rPr>
            </w:pPr>
            <w:r>
              <w:rPr>
                <w:rFonts w:hint="eastAsia"/>
                <w:lang w:val="en-GB"/>
              </w:rPr>
              <w:t>菜单项目</w:t>
            </w:r>
          </w:p>
        </w:tc>
        <w:tc>
          <w:tcPr>
            <w:tcW w:w="6615" w:type="dxa"/>
            <w:shd w:val="clear" w:color="auto" w:fill="D9D9D9"/>
            <w:vAlign w:val="center"/>
          </w:tcPr>
          <w:p>
            <w:pPr>
              <w:pStyle w:val="88"/>
              <w:rPr>
                <w:lang w:val="en-GB"/>
              </w:rPr>
            </w:pPr>
            <w:r>
              <w:rPr>
                <w:rFonts w:hint="eastAsia"/>
                <w:lang w:val="en-GB"/>
              </w:rPr>
              <w:t>释义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restart"/>
            <w:vAlign w:val="center"/>
          </w:tcPr>
          <w:p>
            <w:pPr>
              <w:pStyle w:val="73"/>
            </w:pPr>
            <w:r>
              <w:rPr>
                <w:rFonts w:hint="eastAsia"/>
              </w:rPr>
              <w:t>主路输入</w:t>
            </w:r>
          </w:p>
        </w:tc>
        <w:tc>
          <w:tcPr>
            <w:tcW w:w="1680" w:type="dxa"/>
            <w:vAlign w:val="center"/>
          </w:tcPr>
          <w:p>
            <w:pPr>
              <w:pStyle w:val="73"/>
            </w:pPr>
            <w:r>
              <w:rPr>
                <w:rFonts w:hint="eastAsia"/>
              </w:rPr>
              <w:t>相电压（V）</w:t>
            </w:r>
          </w:p>
        </w:tc>
        <w:tc>
          <w:tcPr>
            <w:tcW w:w="6615" w:type="dxa"/>
            <w:vAlign w:val="center"/>
          </w:tcPr>
          <w:p>
            <w:pPr>
              <w:pStyle w:val="73"/>
            </w:pPr>
            <w:r>
              <w:rPr>
                <w:rFonts w:hint="eastAsia"/>
              </w:rPr>
              <w:t>相电压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相电流（A）</w:t>
            </w:r>
          </w:p>
        </w:tc>
        <w:tc>
          <w:tcPr>
            <w:tcW w:w="6615" w:type="dxa"/>
            <w:vAlign w:val="center"/>
          </w:tcPr>
          <w:p>
            <w:pPr>
              <w:pStyle w:val="73"/>
            </w:pPr>
            <w:r>
              <w:rPr>
                <w:rFonts w:hint="eastAsia"/>
              </w:rPr>
              <w:t>相电流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频率</w:t>
            </w:r>
            <w:r>
              <w:t>（Hz）</w:t>
            </w:r>
          </w:p>
        </w:tc>
        <w:tc>
          <w:tcPr>
            <w:tcW w:w="6615" w:type="dxa"/>
            <w:vAlign w:val="center"/>
          </w:tcPr>
          <w:p>
            <w:pPr>
              <w:pStyle w:val="73"/>
            </w:pPr>
            <w:r>
              <w:rPr>
                <w:rFonts w:hint="eastAsia"/>
              </w:rPr>
              <w:t>输入频率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线电压</w:t>
            </w:r>
            <w:r>
              <w:t>（V）</w:t>
            </w:r>
          </w:p>
        </w:tc>
        <w:tc>
          <w:tcPr>
            <w:tcW w:w="6615" w:type="dxa"/>
            <w:vAlign w:val="center"/>
          </w:tcPr>
          <w:p>
            <w:pPr>
              <w:pStyle w:val="73"/>
            </w:pPr>
            <w:r>
              <w:rPr>
                <w:rFonts w:hint="eastAsia"/>
              </w:rPr>
              <w:t>线电压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功率因数</w:t>
            </w:r>
          </w:p>
        </w:tc>
        <w:tc>
          <w:tcPr>
            <w:tcW w:w="6615" w:type="dxa"/>
            <w:vAlign w:val="center"/>
          </w:tcPr>
          <w:p>
            <w:pPr>
              <w:pStyle w:val="73"/>
            </w:pPr>
            <w:r>
              <w:rPr>
                <w:rFonts w:hint="eastAsia"/>
              </w:rPr>
              <w:t>功率因数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restart"/>
            <w:vAlign w:val="center"/>
          </w:tcPr>
          <w:p>
            <w:pPr>
              <w:pStyle w:val="73"/>
            </w:pPr>
            <w:r>
              <w:rPr>
                <w:rFonts w:hint="eastAsia"/>
              </w:rPr>
              <w:t>旁路输入</w:t>
            </w:r>
          </w:p>
        </w:tc>
        <w:tc>
          <w:tcPr>
            <w:tcW w:w="1680" w:type="dxa"/>
            <w:vAlign w:val="center"/>
          </w:tcPr>
          <w:p>
            <w:pPr>
              <w:pStyle w:val="73"/>
            </w:pPr>
            <w:r>
              <w:rPr>
                <w:rFonts w:hint="eastAsia"/>
              </w:rPr>
              <w:t>相电压</w:t>
            </w:r>
            <w:r>
              <w:t>（V）</w:t>
            </w:r>
          </w:p>
        </w:tc>
        <w:tc>
          <w:tcPr>
            <w:tcW w:w="6615" w:type="dxa"/>
            <w:vAlign w:val="center"/>
          </w:tcPr>
          <w:p>
            <w:pPr>
              <w:pStyle w:val="73"/>
            </w:pPr>
            <w:r>
              <w:rPr>
                <w:rFonts w:hint="eastAsia"/>
              </w:rPr>
              <w:t>相电压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频率</w:t>
            </w:r>
            <w:r>
              <w:t>（Hz）</w:t>
            </w:r>
          </w:p>
        </w:tc>
        <w:tc>
          <w:tcPr>
            <w:tcW w:w="6615" w:type="dxa"/>
            <w:vAlign w:val="center"/>
          </w:tcPr>
          <w:p>
            <w:pPr>
              <w:pStyle w:val="73"/>
            </w:pPr>
            <w:r>
              <w:rPr>
                <w:rFonts w:hint="eastAsia"/>
              </w:rPr>
              <w:t>旁路频率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线电压</w:t>
            </w:r>
            <w:r>
              <w:t>（V）</w:t>
            </w:r>
          </w:p>
        </w:tc>
        <w:tc>
          <w:tcPr>
            <w:tcW w:w="6615" w:type="dxa"/>
            <w:vAlign w:val="center"/>
          </w:tcPr>
          <w:p>
            <w:pPr>
              <w:pStyle w:val="73"/>
            </w:pPr>
            <w:r>
              <w:rPr>
                <w:rFonts w:hint="eastAsia"/>
              </w:rPr>
              <w:t>线电压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restart"/>
            <w:vAlign w:val="center"/>
          </w:tcPr>
          <w:p>
            <w:pPr>
              <w:pStyle w:val="73"/>
            </w:pPr>
            <w:r>
              <w:rPr>
                <w:rFonts w:hint="eastAsia"/>
              </w:rPr>
              <w:t>交流输出</w:t>
            </w:r>
          </w:p>
        </w:tc>
        <w:tc>
          <w:tcPr>
            <w:tcW w:w="1680" w:type="dxa"/>
            <w:vAlign w:val="center"/>
          </w:tcPr>
          <w:p>
            <w:pPr>
              <w:pStyle w:val="73"/>
            </w:pPr>
            <w:r>
              <w:rPr>
                <w:rFonts w:hint="eastAsia"/>
              </w:rPr>
              <w:t>相电压（V）</w:t>
            </w:r>
          </w:p>
        </w:tc>
        <w:tc>
          <w:tcPr>
            <w:tcW w:w="6615" w:type="dxa"/>
            <w:vAlign w:val="center"/>
          </w:tcPr>
          <w:p>
            <w:pPr>
              <w:pStyle w:val="73"/>
            </w:pPr>
            <w:r>
              <w:rPr>
                <w:rFonts w:hint="eastAsia"/>
              </w:rPr>
              <w:t>相电压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相电流（A）</w:t>
            </w:r>
          </w:p>
        </w:tc>
        <w:tc>
          <w:tcPr>
            <w:tcW w:w="6615" w:type="dxa"/>
            <w:vAlign w:val="center"/>
          </w:tcPr>
          <w:p>
            <w:pPr>
              <w:pStyle w:val="73"/>
            </w:pPr>
            <w:r>
              <w:rPr>
                <w:rFonts w:hint="eastAsia"/>
              </w:rPr>
              <w:t>相电流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频率</w:t>
            </w:r>
            <w:r>
              <w:t>（Hz）</w:t>
            </w:r>
          </w:p>
        </w:tc>
        <w:tc>
          <w:tcPr>
            <w:tcW w:w="6615" w:type="dxa"/>
            <w:vAlign w:val="center"/>
          </w:tcPr>
          <w:p>
            <w:pPr>
              <w:pStyle w:val="73"/>
            </w:pPr>
            <w:r>
              <w:rPr>
                <w:rFonts w:hint="eastAsia"/>
              </w:rPr>
              <w:t>输出频率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线电压</w:t>
            </w:r>
            <w:r>
              <w:t>（V）</w:t>
            </w:r>
          </w:p>
        </w:tc>
        <w:tc>
          <w:tcPr>
            <w:tcW w:w="6615" w:type="dxa"/>
            <w:vAlign w:val="center"/>
          </w:tcPr>
          <w:p>
            <w:pPr>
              <w:pStyle w:val="73"/>
            </w:pPr>
            <w:r>
              <w:rPr>
                <w:rFonts w:hint="eastAsia"/>
              </w:rPr>
              <w:t>线电压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功率因数</w:t>
            </w:r>
          </w:p>
        </w:tc>
        <w:tc>
          <w:tcPr>
            <w:tcW w:w="6615" w:type="dxa"/>
            <w:vAlign w:val="center"/>
          </w:tcPr>
          <w:p>
            <w:pPr>
              <w:pStyle w:val="73"/>
            </w:pPr>
            <w:r>
              <w:rPr>
                <w:rFonts w:hint="eastAsia"/>
              </w:rPr>
              <w:t>功率因数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restart"/>
            <w:vAlign w:val="center"/>
          </w:tcPr>
          <w:p>
            <w:pPr>
              <w:pStyle w:val="73"/>
            </w:pPr>
            <w:r>
              <w:rPr>
                <w:rFonts w:hint="eastAsia"/>
              </w:rPr>
              <w:t>本机负载</w:t>
            </w:r>
          </w:p>
        </w:tc>
        <w:tc>
          <w:tcPr>
            <w:tcW w:w="1680" w:type="dxa"/>
            <w:vAlign w:val="center"/>
          </w:tcPr>
          <w:p>
            <w:pPr>
              <w:pStyle w:val="73"/>
            </w:pPr>
            <w:r>
              <w:rPr>
                <w:rFonts w:hint="eastAsia"/>
              </w:rPr>
              <w:t>视在功率</w:t>
            </w:r>
            <w:r>
              <w:t>（</w:t>
            </w:r>
            <w:r>
              <w:rPr>
                <w:rFonts w:hint="eastAsia"/>
              </w:rPr>
              <w:t>kVA</w:t>
            </w:r>
            <w:r>
              <w:t>）</w:t>
            </w:r>
          </w:p>
        </w:tc>
        <w:tc>
          <w:tcPr>
            <w:tcW w:w="6615" w:type="dxa"/>
            <w:vAlign w:val="center"/>
          </w:tcPr>
          <w:p>
            <w:pPr>
              <w:pStyle w:val="73"/>
            </w:pPr>
            <w:r>
              <w:t>Sout：</w:t>
            </w:r>
            <w:r>
              <w:rPr>
                <w:rFonts w:hint="eastAsia"/>
              </w:rPr>
              <w:t>视在功率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有功功率</w:t>
            </w:r>
            <w:r>
              <w:t>（kW）</w:t>
            </w:r>
          </w:p>
        </w:tc>
        <w:tc>
          <w:tcPr>
            <w:tcW w:w="6615" w:type="dxa"/>
            <w:vAlign w:val="center"/>
          </w:tcPr>
          <w:p>
            <w:pPr>
              <w:pStyle w:val="73"/>
            </w:pPr>
            <w:r>
              <w:t>Pout：</w:t>
            </w:r>
            <w:r>
              <w:rPr>
                <w:rFonts w:hint="eastAsia"/>
              </w:rPr>
              <w:t>有功功率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无功功率</w:t>
            </w:r>
            <w:r>
              <w:t>（</w:t>
            </w:r>
            <w:r>
              <w:rPr>
                <w:rFonts w:hint="eastAsia"/>
              </w:rPr>
              <w:t>kVA</w:t>
            </w:r>
            <w:r>
              <w:t>R）</w:t>
            </w:r>
          </w:p>
        </w:tc>
        <w:tc>
          <w:tcPr>
            <w:tcW w:w="6615" w:type="dxa"/>
            <w:vAlign w:val="center"/>
          </w:tcPr>
          <w:p>
            <w:pPr>
              <w:pStyle w:val="73"/>
            </w:pPr>
            <w:r>
              <w:t>Qout</w:t>
            </w:r>
            <w:r>
              <w:rPr>
                <w:rFonts w:hint="eastAsia"/>
              </w:rPr>
              <w:t>：无功功率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负载百分比</w:t>
            </w:r>
            <w:r>
              <w:t>（％）</w:t>
            </w:r>
          </w:p>
        </w:tc>
        <w:tc>
          <w:tcPr>
            <w:tcW w:w="6615" w:type="dxa"/>
            <w:vAlign w:val="center"/>
          </w:tcPr>
          <w:p>
            <w:pPr>
              <w:pStyle w:val="73"/>
            </w:pPr>
            <w:r>
              <w:rPr>
                <w:rFonts w:hint="eastAsia"/>
              </w:rPr>
              <w:t>负载（UPS额定负载百分比表示）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峰值比</w:t>
            </w:r>
          </w:p>
        </w:tc>
        <w:tc>
          <w:tcPr>
            <w:tcW w:w="6615" w:type="dxa"/>
            <w:vAlign w:val="center"/>
          </w:tcPr>
          <w:p>
            <w:pPr>
              <w:pStyle w:val="73"/>
            </w:pPr>
            <w:r>
              <w:rPr>
                <w:rFonts w:hint="eastAsia"/>
              </w:rPr>
              <w:t>输出电流峰值因素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restart"/>
            <w:vAlign w:val="center"/>
          </w:tcPr>
          <w:p>
            <w:pPr>
              <w:pStyle w:val="73"/>
            </w:pPr>
            <w:r>
              <w:rPr>
                <w:rFonts w:hint="eastAsia"/>
              </w:rPr>
              <w:t>电池数据</w:t>
            </w:r>
          </w:p>
        </w:tc>
        <w:tc>
          <w:tcPr>
            <w:tcW w:w="1680" w:type="dxa"/>
            <w:vAlign w:val="center"/>
          </w:tcPr>
          <w:p>
            <w:pPr>
              <w:pStyle w:val="73"/>
            </w:pPr>
            <w:r>
              <w:rPr>
                <w:rFonts w:hint="eastAsia"/>
              </w:rPr>
              <w:t>电池电压</w:t>
            </w:r>
            <w:r>
              <w:t>（V）</w:t>
            </w:r>
          </w:p>
        </w:tc>
        <w:tc>
          <w:tcPr>
            <w:tcW w:w="6615" w:type="dxa"/>
            <w:vAlign w:val="center"/>
          </w:tcPr>
          <w:p>
            <w:pPr>
              <w:pStyle w:val="73"/>
            </w:pPr>
            <w:r>
              <w:rPr>
                <w:rFonts w:hint="eastAsia"/>
              </w:rPr>
              <w:t>电池母线电压</w:t>
            </w:r>
          </w:p>
        </w:tc>
      </w:tr>
      <w:tr>
        <w:tblPrEx>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电池电流</w:t>
            </w:r>
            <w:r>
              <w:t>（A）</w:t>
            </w:r>
          </w:p>
        </w:tc>
        <w:tc>
          <w:tcPr>
            <w:tcW w:w="6615" w:type="dxa"/>
            <w:vAlign w:val="center"/>
          </w:tcPr>
          <w:p>
            <w:pPr>
              <w:pStyle w:val="73"/>
            </w:pPr>
            <w:r>
              <w:rPr>
                <w:rFonts w:hint="eastAsia"/>
              </w:rPr>
              <w:t>电池母线电流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剩余时间（Min</w:t>
            </w:r>
            <w:r>
              <w:t>.</w:t>
            </w:r>
            <w:r>
              <w:rPr>
                <w:rFonts w:hint="eastAsia"/>
              </w:rPr>
              <w:t>）</w:t>
            </w:r>
          </w:p>
        </w:tc>
        <w:tc>
          <w:tcPr>
            <w:tcW w:w="6615" w:type="dxa"/>
            <w:vAlign w:val="center"/>
          </w:tcPr>
          <w:p>
            <w:pPr>
              <w:pStyle w:val="73"/>
            </w:pPr>
            <w:r>
              <w:rPr>
                <w:rFonts w:hint="eastAsia"/>
              </w:rPr>
              <w:t>电池剩余后备时间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电池容量（％）</w:t>
            </w:r>
          </w:p>
        </w:tc>
        <w:tc>
          <w:tcPr>
            <w:tcW w:w="6615" w:type="dxa"/>
            <w:vAlign w:val="center"/>
          </w:tcPr>
          <w:p>
            <w:pPr>
              <w:pStyle w:val="73"/>
            </w:pPr>
            <w:r>
              <w:rPr>
                <w:rFonts w:hint="eastAsia"/>
              </w:rPr>
              <w:t>相对于新电池容量的百分比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电池正在均充</w:t>
            </w:r>
          </w:p>
        </w:tc>
        <w:tc>
          <w:tcPr>
            <w:tcW w:w="6615" w:type="dxa"/>
            <w:vAlign w:val="center"/>
          </w:tcPr>
          <w:p>
            <w:pPr>
              <w:pStyle w:val="73"/>
            </w:pPr>
            <w:r>
              <w:rPr>
                <w:rFonts w:hint="eastAsia"/>
              </w:rPr>
              <w:t>电池处于均充状态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电池正在浮充</w:t>
            </w:r>
          </w:p>
        </w:tc>
        <w:tc>
          <w:tcPr>
            <w:tcW w:w="6615" w:type="dxa"/>
            <w:vAlign w:val="center"/>
          </w:tcPr>
          <w:p>
            <w:pPr>
              <w:pStyle w:val="73"/>
            </w:pPr>
            <w:r>
              <w:rPr>
                <w:rFonts w:hint="eastAsia"/>
              </w:rPr>
              <w:t>电池处于浮充状态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电池尚未接入</w:t>
            </w:r>
          </w:p>
        </w:tc>
        <w:tc>
          <w:tcPr>
            <w:tcW w:w="6615" w:type="dxa"/>
            <w:vAlign w:val="center"/>
          </w:tcPr>
          <w:p>
            <w:pPr>
              <w:pStyle w:val="73"/>
            </w:pPr>
            <w:r>
              <w:rPr>
                <w:rFonts w:hint="eastAsia"/>
              </w:rPr>
              <w:t>电池未接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restart"/>
            <w:vAlign w:val="center"/>
          </w:tcPr>
          <w:p>
            <w:pPr>
              <w:pStyle w:val="73"/>
            </w:pPr>
            <w:r>
              <w:rPr>
                <w:rFonts w:hint="eastAsia"/>
              </w:rPr>
              <w:t>设置页面</w:t>
            </w:r>
          </w:p>
        </w:tc>
        <w:tc>
          <w:tcPr>
            <w:tcW w:w="1680" w:type="dxa"/>
            <w:vAlign w:val="center"/>
          </w:tcPr>
          <w:p>
            <w:pPr>
              <w:pStyle w:val="73"/>
            </w:pPr>
            <w:r>
              <w:t>系统设置</w:t>
            </w:r>
          </w:p>
        </w:tc>
        <w:tc>
          <w:tcPr>
            <w:tcW w:w="6615" w:type="dxa"/>
            <w:vAlign w:val="center"/>
          </w:tcPr>
          <w:p>
            <w:pPr>
              <w:pStyle w:val="73"/>
            </w:pPr>
            <w:r>
              <w:rPr>
                <w:rFonts w:hint="eastAsia"/>
              </w:rPr>
              <w:t>设置工作模式，输出线电压及输出频率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基本</w:t>
            </w:r>
            <w:r>
              <w:t>设置</w:t>
            </w:r>
          </w:p>
        </w:tc>
        <w:tc>
          <w:tcPr>
            <w:tcW w:w="6615" w:type="dxa"/>
            <w:vAlign w:val="center"/>
          </w:tcPr>
          <w:p>
            <w:pPr>
              <w:pStyle w:val="73"/>
            </w:pPr>
            <w:r>
              <w:rPr>
                <w:rFonts w:hint="eastAsia"/>
              </w:rPr>
              <w:t>设置U</w:t>
            </w:r>
            <w:r>
              <w:t>PS基本参数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通信设置</w:t>
            </w:r>
          </w:p>
        </w:tc>
        <w:tc>
          <w:tcPr>
            <w:tcW w:w="6615" w:type="dxa"/>
            <w:vAlign w:val="center"/>
          </w:tcPr>
          <w:p>
            <w:pPr>
              <w:pStyle w:val="73"/>
            </w:pPr>
            <w:r>
              <w:rPr>
                <w:rFonts w:hint="eastAsia"/>
              </w:rPr>
              <w:t>设置U</w:t>
            </w:r>
            <w:r>
              <w:t>PS地址及串口波特率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用户设置</w:t>
            </w:r>
          </w:p>
        </w:tc>
        <w:tc>
          <w:tcPr>
            <w:tcW w:w="6615" w:type="dxa"/>
            <w:vAlign w:val="center"/>
          </w:tcPr>
          <w:p>
            <w:pPr>
              <w:pStyle w:val="73"/>
            </w:pPr>
            <w:r>
              <w:rPr>
                <w:rFonts w:hint="eastAsia"/>
              </w:rPr>
              <w:t>设置时间及语言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电池设置</w:t>
            </w:r>
          </w:p>
        </w:tc>
        <w:tc>
          <w:tcPr>
            <w:tcW w:w="6615" w:type="dxa"/>
            <w:vAlign w:val="center"/>
          </w:tcPr>
          <w:p>
            <w:pPr>
              <w:pStyle w:val="73"/>
            </w:pPr>
            <w:r>
              <w:rPr>
                <w:rFonts w:hint="eastAsia"/>
              </w:rPr>
              <w:t>设置电池基本参数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高级</w:t>
            </w:r>
            <w:r>
              <w:t>设置</w:t>
            </w:r>
          </w:p>
        </w:tc>
        <w:tc>
          <w:tcPr>
            <w:tcW w:w="6615" w:type="dxa"/>
            <w:vAlign w:val="center"/>
          </w:tcPr>
          <w:p>
            <w:pPr>
              <w:pStyle w:val="73"/>
            </w:pPr>
            <w:r>
              <w:t>系统容量等参数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restart"/>
            <w:vAlign w:val="center"/>
          </w:tcPr>
          <w:p>
            <w:pPr>
              <w:pStyle w:val="73"/>
            </w:pPr>
            <w:r>
              <w:t>操作页面</w:t>
            </w:r>
          </w:p>
        </w:tc>
        <w:tc>
          <w:tcPr>
            <w:tcW w:w="1680" w:type="dxa"/>
            <w:vAlign w:val="center"/>
          </w:tcPr>
          <w:p>
            <w:pPr>
              <w:pStyle w:val="73"/>
            </w:pPr>
            <w:r>
              <w:rPr>
                <w:rFonts w:hint="eastAsia"/>
              </w:rPr>
              <w:t>逆变开启</w:t>
            </w:r>
          </w:p>
        </w:tc>
        <w:tc>
          <w:tcPr>
            <w:tcW w:w="6615" w:type="dxa"/>
            <w:vAlign w:val="center"/>
          </w:tcPr>
          <w:p>
            <w:pPr>
              <w:pStyle w:val="73"/>
            </w:pPr>
            <w:r>
              <w:rPr>
                <w:rFonts w:hint="eastAsia"/>
              </w:rPr>
              <w:t>开启逆变输出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逆变关闭</w:t>
            </w:r>
          </w:p>
        </w:tc>
        <w:tc>
          <w:tcPr>
            <w:tcW w:w="6615" w:type="dxa"/>
            <w:vAlign w:val="center"/>
          </w:tcPr>
          <w:p>
            <w:pPr>
              <w:pStyle w:val="73"/>
            </w:pPr>
            <w:r>
              <w:rPr>
                <w:rFonts w:hint="eastAsia"/>
              </w:rPr>
              <w:t>关闭逆变输出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故障清除</w:t>
            </w:r>
          </w:p>
        </w:tc>
        <w:tc>
          <w:tcPr>
            <w:tcW w:w="6615" w:type="dxa"/>
            <w:vAlign w:val="center"/>
          </w:tcPr>
          <w:p>
            <w:pPr>
              <w:pStyle w:val="73"/>
            </w:pPr>
            <w:r>
              <w:rPr>
                <w:rFonts w:hint="eastAsia"/>
              </w:rPr>
              <w:t>清除当前故障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蜂鸣器消音</w:t>
            </w:r>
          </w:p>
        </w:tc>
        <w:tc>
          <w:tcPr>
            <w:tcW w:w="6615" w:type="dxa"/>
            <w:vAlign w:val="center"/>
          </w:tcPr>
          <w:p>
            <w:pPr>
              <w:pStyle w:val="73"/>
            </w:pPr>
            <w:r>
              <w:rPr>
                <w:rFonts w:hint="eastAsia"/>
                <w:lang w:val="en-GB"/>
              </w:rPr>
              <w:t>声音告警时，可按此键消除告警声音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continue"/>
            <w:vAlign w:val="center"/>
          </w:tcPr>
          <w:p>
            <w:pPr>
              <w:pStyle w:val="73"/>
            </w:pPr>
          </w:p>
        </w:tc>
        <w:tc>
          <w:tcPr>
            <w:tcW w:w="1680" w:type="dxa"/>
            <w:vAlign w:val="center"/>
          </w:tcPr>
          <w:p>
            <w:pPr>
              <w:pStyle w:val="73"/>
            </w:pPr>
            <w:r>
              <w:rPr>
                <w:rFonts w:hint="eastAsia"/>
              </w:rPr>
              <w:t>维护操作</w:t>
            </w:r>
          </w:p>
        </w:tc>
        <w:tc>
          <w:tcPr>
            <w:tcW w:w="6615" w:type="dxa"/>
            <w:vAlign w:val="center"/>
          </w:tcPr>
          <w:p>
            <w:pPr>
              <w:pStyle w:val="73"/>
              <w:rPr>
                <w:lang w:val="en-GB"/>
              </w:rPr>
            </w:pPr>
            <w:r>
              <w:rPr>
                <w:rFonts w:hint="eastAsia"/>
                <w:lang w:val="en-GB"/>
              </w:rPr>
              <w:t>保护了电池浅放电测试，电池深度放电测试，强制均充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Align w:val="center"/>
          </w:tcPr>
          <w:p>
            <w:pPr>
              <w:pStyle w:val="73"/>
            </w:pPr>
            <w:r>
              <w:rPr>
                <w:rFonts w:hint="eastAsia"/>
              </w:rPr>
              <w:t>当前记录</w:t>
            </w:r>
          </w:p>
        </w:tc>
        <w:tc>
          <w:tcPr>
            <w:tcW w:w="1680" w:type="dxa"/>
            <w:vAlign w:val="center"/>
          </w:tcPr>
          <w:p>
            <w:pPr>
              <w:pStyle w:val="73"/>
            </w:pPr>
            <w:r>
              <w:rPr>
                <w:rFonts w:hint="eastAsia"/>
              </w:rPr>
              <w:t>（当前告警）</w:t>
            </w:r>
          </w:p>
        </w:tc>
        <w:tc>
          <w:tcPr>
            <w:tcW w:w="6615" w:type="dxa"/>
            <w:vAlign w:val="center"/>
          </w:tcPr>
          <w:p>
            <w:pPr>
              <w:pStyle w:val="73"/>
            </w:pPr>
            <w:r>
              <w:rPr>
                <w:rFonts w:hint="eastAsia"/>
              </w:rPr>
              <w:t>显示当前告警。</w:t>
            </w:r>
            <w:r>
              <w:rPr>
                <w:rFonts w:hint="eastAsia"/>
                <w:lang w:val="en-GB"/>
              </w:rPr>
              <w:t>UPS</w:t>
            </w:r>
            <w:r>
              <w:rPr>
                <w:rFonts w:hint="eastAsia"/>
              </w:rPr>
              <w:t>操作控制显示面板上触摸屏</w:t>
            </w:r>
            <w:r>
              <w:rPr>
                <w:rFonts w:hint="eastAsia"/>
                <w:lang w:val="en-GB"/>
              </w:rPr>
              <w:t>所显示的</w:t>
            </w:r>
            <w:r>
              <w:rPr>
                <w:rFonts w:hint="eastAsia"/>
              </w:rPr>
              <w:t>告警</w:t>
            </w:r>
            <w:r>
              <w:rPr>
                <w:rFonts w:hint="eastAsia"/>
                <w:lang w:val="en-GB"/>
              </w:rPr>
              <w:t>清单列表参见表4-</w:t>
            </w:r>
            <w:r>
              <w:rPr>
                <w:lang w:val="en-GB"/>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Align w:val="center"/>
          </w:tcPr>
          <w:p>
            <w:pPr>
              <w:pStyle w:val="73"/>
            </w:pPr>
            <w:r>
              <w:rPr>
                <w:rFonts w:hint="eastAsia"/>
              </w:rPr>
              <w:t>历史记录</w:t>
            </w:r>
          </w:p>
        </w:tc>
        <w:tc>
          <w:tcPr>
            <w:tcW w:w="1680" w:type="dxa"/>
            <w:vAlign w:val="center"/>
          </w:tcPr>
          <w:p>
            <w:pPr>
              <w:pStyle w:val="73"/>
            </w:pPr>
            <w:r>
              <w:t>（</w:t>
            </w:r>
            <w:r>
              <w:rPr>
                <w:rFonts w:hint="eastAsia"/>
              </w:rPr>
              <w:t>历史告警</w:t>
            </w:r>
            <w:r>
              <w:t>）</w:t>
            </w:r>
          </w:p>
        </w:tc>
        <w:tc>
          <w:tcPr>
            <w:tcW w:w="6615" w:type="dxa"/>
            <w:vAlign w:val="center"/>
          </w:tcPr>
          <w:p>
            <w:pPr>
              <w:pStyle w:val="73"/>
            </w:pPr>
            <w:r>
              <w:rPr>
                <w:rFonts w:hint="eastAsia"/>
              </w:rPr>
              <w:t>显示所有历史告警。</w:t>
            </w:r>
            <w:r>
              <w:rPr>
                <w:rFonts w:hint="eastAsia"/>
                <w:lang w:val="en-GB"/>
              </w:rPr>
              <w:t>UPS</w:t>
            </w:r>
            <w:r>
              <w:rPr>
                <w:rFonts w:hint="eastAsia"/>
              </w:rPr>
              <w:t>操作控制显示面板上触摸屏</w:t>
            </w:r>
            <w:r>
              <w:rPr>
                <w:rFonts w:hint="eastAsia"/>
                <w:lang w:val="en-GB"/>
              </w:rPr>
              <w:t>所显示的</w:t>
            </w:r>
            <w:r>
              <w:rPr>
                <w:rFonts w:hint="eastAsia"/>
              </w:rPr>
              <w:t>告警</w:t>
            </w:r>
            <w:r>
              <w:rPr>
                <w:rFonts w:hint="eastAsia"/>
                <w:lang w:val="en-GB"/>
              </w:rPr>
              <w:t>清单列表参见表</w:t>
            </w:r>
            <w:r>
              <w:t> </w:t>
            </w:r>
            <w:r>
              <w:rPr>
                <w:rFonts w:hint="eastAsia"/>
                <w:lang w:val="en-GB"/>
              </w:rPr>
              <w:t>4-</w:t>
            </w:r>
            <w:r>
              <w:rPr>
                <w:lang w:val="en-GB"/>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1050" w:type="dxa"/>
            <w:vMerge w:val="restart"/>
            <w:vAlign w:val="center"/>
          </w:tcPr>
          <w:p>
            <w:pPr>
              <w:pStyle w:val="73"/>
            </w:pPr>
            <w:r>
              <w:t>关于页面</w:t>
            </w:r>
          </w:p>
        </w:tc>
        <w:tc>
          <w:tcPr>
            <w:tcW w:w="1680" w:type="dxa"/>
            <w:vAlign w:val="center"/>
          </w:tcPr>
          <w:p>
            <w:pPr>
              <w:pStyle w:val="73"/>
            </w:pPr>
            <w:r>
              <w:t>UPS</w:t>
            </w:r>
            <w:r>
              <w:rPr>
                <w:rFonts w:hint="eastAsia"/>
              </w:rPr>
              <w:t>型号</w:t>
            </w:r>
          </w:p>
        </w:tc>
        <w:tc>
          <w:tcPr>
            <w:tcW w:w="6615" w:type="dxa"/>
            <w:vAlign w:val="center"/>
          </w:tcPr>
          <w:p>
            <w:pPr>
              <w:pStyle w:val="73"/>
            </w:pPr>
            <w:r>
              <w:rPr>
                <w:rFonts w:hint="eastAsia"/>
              </w:rPr>
              <w:t>提供</w:t>
            </w:r>
            <w:r>
              <w:t>UPS</w:t>
            </w:r>
            <w:r>
              <w:rPr>
                <w:rFonts w:hint="eastAsia"/>
              </w:rPr>
              <w:t>型号信息，例如：380</w:t>
            </w:r>
            <w:r>
              <w:t>V-</w:t>
            </w:r>
            <w:r>
              <w:rPr>
                <w:rFonts w:hint="eastAsia"/>
              </w:rPr>
              <w:t>5</w:t>
            </w:r>
            <w:r>
              <w:t xml:space="preserve">0Hz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right"/>
        </w:trPr>
        <w:tc>
          <w:tcPr>
            <w:tcW w:w="1050" w:type="dxa"/>
            <w:vMerge w:val="continue"/>
            <w:vAlign w:val="center"/>
          </w:tcPr>
          <w:p>
            <w:pPr>
              <w:pStyle w:val="73"/>
            </w:pPr>
          </w:p>
        </w:tc>
        <w:tc>
          <w:tcPr>
            <w:tcW w:w="1680" w:type="dxa"/>
            <w:vAlign w:val="center"/>
          </w:tcPr>
          <w:p>
            <w:pPr>
              <w:pStyle w:val="73"/>
            </w:pPr>
            <w:r>
              <w:t>版本号</w:t>
            </w:r>
          </w:p>
        </w:tc>
        <w:tc>
          <w:tcPr>
            <w:tcW w:w="6615" w:type="dxa"/>
            <w:vAlign w:val="center"/>
          </w:tcPr>
          <w:p>
            <w:pPr>
              <w:pStyle w:val="73"/>
            </w:pPr>
            <w:r>
              <w:t>监控、旁路以及各个模块的整流、逆变软件版本</w:t>
            </w:r>
          </w:p>
        </w:tc>
      </w:tr>
    </w:tbl>
    <w:p>
      <w:pPr>
        <w:pStyle w:val="5"/>
        <w:numPr>
          <w:ilvl w:val="2"/>
          <w:numId w:val="9"/>
        </w:numPr>
        <w:rPr>
          <w:lang w:val="en-GB"/>
        </w:rPr>
      </w:pPr>
      <w:bookmarkStart w:id="441" w:name="_Toc99771045"/>
      <w:bookmarkStart w:id="442" w:name="_Toc99422102"/>
      <w:bookmarkStart w:id="443" w:name="_Toc6859"/>
      <w:bookmarkStart w:id="444" w:name="_Toc512794863"/>
      <w:bookmarkStart w:id="445" w:name="_Toc300671080"/>
      <w:r>
        <w:rPr>
          <w:rFonts w:hint="eastAsia"/>
          <w:lang w:val="en-GB"/>
        </w:rPr>
        <w:t>提示窗</w:t>
      </w:r>
      <w:bookmarkEnd w:id="441"/>
      <w:bookmarkEnd w:id="442"/>
      <w:r>
        <w:rPr>
          <w:rFonts w:hint="eastAsia"/>
          <w:lang w:val="en-GB"/>
        </w:rPr>
        <w:t>信息</w:t>
      </w:r>
      <w:bookmarkEnd w:id="443"/>
      <w:bookmarkEnd w:id="444"/>
      <w:bookmarkEnd w:id="445"/>
    </w:p>
    <w:p>
      <w:pPr>
        <w:pStyle w:val="3"/>
        <w:ind w:firstLine="170"/>
      </w:pPr>
      <w:r>
        <w:rPr>
          <w:rFonts w:hint="eastAsia"/>
        </w:rPr>
        <w:t>系统运行时，当系统需要提醒用户注意某些系统状态，或需要用户对某一命令进行确认或进行其它操作时，系统会跳出提示窗，见表4</w:t>
      </w:r>
      <w:r>
        <w:t>-</w:t>
      </w:r>
      <w:r>
        <w:rPr>
          <w:rFonts w:hint="eastAsia"/>
        </w:rPr>
        <w:t>5。</w:t>
      </w:r>
    </w:p>
    <w:p>
      <w:pPr>
        <w:pStyle w:val="194"/>
        <w:numPr>
          <w:ilvl w:val="5"/>
          <w:numId w:val="9"/>
        </w:numPr>
        <w:rPr>
          <w:szCs w:val="22"/>
        </w:rPr>
      </w:pPr>
      <w:r>
        <w:rPr>
          <w:rFonts w:hint="eastAsia"/>
          <w:szCs w:val="22"/>
        </w:rPr>
        <w:t>提示窗信息及其意义</w:t>
      </w:r>
    </w:p>
    <w:tbl>
      <w:tblPr>
        <w:tblStyle w:val="50"/>
        <w:tblW w:w="9345"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5"/>
        <w:gridCol w:w="6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right"/>
        </w:trPr>
        <w:tc>
          <w:tcPr>
            <w:tcW w:w="2625" w:type="dxa"/>
            <w:shd w:val="clear" w:color="auto" w:fill="D9D9D9"/>
            <w:vAlign w:val="center"/>
          </w:tcPr>
          <w:p>
            <w:pPr>
              <w:pStyle w:val="88"/>
              <w:rPr>
                <w:lang w:val="en-GB"/>
              </w:rPr>
            </w:pPr>
            <w:r>
              <w:rPr>
                <w:rFonts w:hint="eastAsia"/>
                <w:lang w:val="en-GB"/>
              </w:rPr>
              <w:t>提示窗信息</w:t>
            </w:r>
          </w:p>
        </w:tc>
        <w:tc>
          <w:tcPr>
            <w:tcW w:w="6720" w:type="dxa"/>
            <w:shd w:val="clear" w:color="auto" w:fill="D9D9D9"/>
            <w:vAlign w:val="center"/>
          </w:tcPr>
          <w:p>
            <w:pPr>
              <w:pStyle w:val="88"/>
              <w:rPr>
                <w:lang w:val="en-GB"/>
              </w:rPr>
            </w:pPr>
            <w:r>
              <w:rPr>
                <w:rFonts w:hint="eastAsia"/>
                <w:lang w:val="en-GB"/>
              </w:rPr>
              <w:t>解释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625" w:type="dxa"/>
            <w:vAlign w:val="center"/>
          </w:tcPr>
          <w:p>
            <w:pPr>
              <w:pStyle w:val="73"/>
            </w:pPr>
            <w:r>
              <w:rPr>
                <w:rFonts w:hint="eastAsia"/>
              </w:rPr>
              <w:t>间断切换</w:t>
            </w:r>
          </w:p>
          <w:p>
            <w:pPr>
              <w:pStyle w:val="73"/>
              <w:rPr>
                <w:lang w:val="en-GB"/>
              </w:rPr>
            </w:pPr>
            <w:r>
              <w:rPr>
                <w:rFonts w:hint="eastAsia"/>
              </w:rPr>
              <w:t>请确认或取消</w:t>
            </w:r>
          </w:p>
        </w:tc>
        <w:tc>
          <w:tcPr>
            <w:tcW w:w="6720" w:type="dxa"/>
            <w:vAlign w:val="center"/>
          </w:tcPr>
          <w:p>
            <w:pPr>
              <w:pStyle w:val="73"/>
              <w:rPr>
                <w:lang w:val="en-GB"/>
              </w:rPr>
            </w:pPr>
            <w:r>
              <w:rPr>
                <w:rFonts w:hint="eastAsia"/>
                <w:lang w:val="en-GB"/>
              </w:rPr>
              <w:t>逆变器与旁路电源不同步，负载在旁路与逆变器之间的切换将导致短暂的负载供电中断。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625" w:type="dxa"/>
            <w:vAlign w:val="center"/>
          </w:tcPr>
          <w:p>
            <w:pPr>
              <w:pStyle w:val="73"/>
              <w:rPr>
                <w:lang w:val="en-GB"/>
              </w:rPr>
            </w:pPr>
            <w:r>
              <w:rPr>
                <w:rFonts w:hint="eastAsia"/>
                <w:lang w:val="en-GB"/>
              </w:rPr>
              <w:t>负载大于单机容量，无法完成切换</w:t>
            </w:r>
          </w:p>
        </w:tc>
        <w:tc>
          <w:tcPr>
            <w:tcW w:w="6720" w:type="dxa"/>
            <w:vAlign w:val="center"/>
          </w:tcPr>
          <w:p>
            <w:pPr>
              <w:pStyle w:val="73"/>
              <w:rPr>
                <w:lang w:val="en-GB"/>
              </w:rPr>
            </w:pPr>
            <w:r>
              <w:rPr>
                <w:rFonts w:hint="eastAsia"/>
                <w:lang w:val="en-GB"/>
              </w:rPr>
              <w:t>总负载必须小于单机容量，并机系统才能从旁路切换到逆变输出（负载电源中断）。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625" w:type="dxa"/>
            <w:vAlign w:val="center"/>
          </w:tcPr>
          <w:p>
            <w:pPr>
              <w:pStyle w:val="73"/>
              <w:rPr>
                <w:lang w:val="en-GB"/>
              </w:rPr>
            </w:pPr>
            <w:r>
              <w:rPr>
                <w:rFonts w:hint="eastAsia"/>
                <w:lang w:val="en-GB"/>
              </w:rPr>
              <w:t>旁路异常，关机导致断电</w:t>
            </w:r>
          </w:p>
          <w:p>
            <w:pPr>
              <w:pStyle w:val="73"/>
              <w:rPr>
                <w:lang w:val="en-GB"/>
              </w:rPr>
            </w:pPr>
            <w:r>
              <w:rPr>
                <w:rFonts w:hint="eastAsia"/>
                <w:lang w:val="en-GB"/>
              </w:rPr>
              <w:t>请确认或取消</w:t>
            </w:r>
          </w:p>
        </w:tc>
        <w:tc>
          <w:tcPr>
            <w:tcW w:w="6720" w:type="dxa"/>
            <w:vAlign w:val="center"/>
          </w:tcPr>
          <w:p>
            <w:pPr>
              <w:pStyle w:val="73"/>
              <w:rPr>
                <w:lang w:val="en-GB"/>
              </w:rPr>
            </w:pPr>
            <w:r>
              <w:rPr>
                <w:rFonts w:hint="eastAsia"/>
                <w:lang w:val="en-GB"/>
              </w:rPr>
              <w:t>旁路异常时，用户关闭逆变器会导致UPS无输出。等待用户确认或取消。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625" w:type="dxa"/>
            <w:vAlign w:val="center"/>
          </w:tcPr>
          <w:p>
            <w:pPr>
              <w:pStyle w:val="73"/>
              <w:rPr>
                <w:lang w:val="en-GB"/>
              </w:rPr>
            </w:pPr>
            <w:r>
              <w:rPr>
                <w:rFonts w:hint="eastAsia"/>
                <w:lang w:val="en-GB"/>
              </w:rPr>
              <w:t>负载过大，关机导致过载</w:t>
            </w:r>
          </w:p>
          <w:p>
            <w:pPr>
              <w:pStyle w:val="73"/>
              <w:rPr>
                <w:lang w:val="en-GB"/>
              </w:rPr>
            </w:pPr>
            <w:r>
              <w:rPr>
                <w:rFonts w:hint="eastAsia"/>
                <w:lang w:val="en-GB"/>
              </w:rPr>
              <w:t>请确认或取消</w:t>
            </w:r>
          </w:p>
        </w:tc>
        <w:tc>
          <w:tcPr>
            <w:tcW w:w="6720" w:type="dxa"/>
            <w:vAlign w:val="center"/>
          </w:tcPr>
          <w:p>
            <w:pPr>
              <w:pStyle w:val="73"/>
              <w:rPr>
                <w:lang w:val="en-GB"/>
              </w:rPr>
            </w:pPr>
            <w:r>
              <w:rPr>
                <w:rFonts w:hint="eastAsia"/>
                <w:lang w:val="en-GB"/>
              </w:rPr>
              <w:t>用户关闭此逆变器会导致并机系统其它逆变器过载。等待用户确认或取消。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625" w:type="dxa"/>
            <w:vAlign w:val="center"/>
          </w:tcPr>
          <w:p>
            <w:pPr>
              <w:pStyle w:val="73"/>
              <w:rPr>
                <w:lang w:val="en-GB"/>
              </w:rPr>
            </w:pPr>
            <w:r>
              <w:rPr>
                <w:rFonts w:hint="eastAsia"/>
                <w:lang w:val="en-GB"/>
              </w:rPr>
              <w:t>启动容量不足，无法承担当前负载</w:t>
            </w:r>
          </w:p>
        </w:tc>
        <w:tc>
          <w:tcPr>
            <w:tcW w:w="6720" w:type="dxa"/>
            <w:vAlign w:val="center"/>
          </w:tcPr>
          <w:p>
            <w:pPr>
              <w:pStyle w:val="73"/>
              <w:rPr>
                <w:lang w:val="en-GB"/>
              </w:rPr>
            </w:pPr>
            <w:r>
              <w:rPr>
                <w:rFonts w:hint="eastAsia"/>
                <w:lang w:val="en-GB"/>
              </w:rPr>
              <w:t>系统中可以开启的逆变器的模块不足以负担当前负载，用户需开启更多UPS。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625" w:type="dxa"/>
            <w:vAlign w:val="center"/>
          </w:tcPr>
          <w:p>
            <w:pPr>
              <w:pStyle w:val="73"/>
              <w:rPr>
                <w:lang w:val="en-GB"/>
              </w:rPr>
            </w:pPr>
            <w:r>
              <w:rPr>
                <w:rFonts w:hint="eastAsia"/>
                <w:lang w:val="en-GB"/>
              </w:rPr>
              <w:t>电池浅放电条件不满足，请检测电池和负载条件</w:t>
            </w:r>
          </w:p>
        </w:tc>
        <w:tc>
          <w:tcPr>
            <w:tcW w:w="6720" w:type="dxa"/>
            <w:vAlign w:val="center"/>
          </w:tcPr>
          <w:p>
            <w:pPr>
              <w:pStyle w:val="73"/>
              <w:rPr>
                <w:lang w:val="en-GB"/>
              </w:rPr>
            </w:pPr>
            <w:r>
              <w:rPr>
                <w:rFonts w:hint="eastAsia"/>
                <w:lang w:val="en-GB"/>
              </w:rPr>
              <w:t>用户应该检查电池是否处于浮充状态，以及电池是否充满，负载量是否大于</w:t>
            </w:r>
            <w:r>
              <w:rPr>
                <w:lang w:val="en-GB"/>
              </w:rPr>
              <w:t>20</w:t>
            </w:r>
            <w:r>
              <w:rPr>
                <w:rFonts w:hint="eastAsia"/>
                <w:lang w:val="en-G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625" w:type="dxa"/>
            <w:vAlign w:val="center"/>
          </w:tcPr>
          <w:p>
            <w:pPr>
              <w:pStyle w:val="73"/>
              <w:rPr>
                <w:lang w:val="en-GB"/>
              </w:rPr>
            </w:pPr>
            <w:r>
              <w:rPr>
                <w:rFonts w:hint="eastAsia"/>
                <w:lang w:val="en-GB"/>
              </w:rPr>
              <w:t>强制均充条件不满足，请检测电池状态</w:t>
            </w:r>
          </w:p>
        </w:tc>
        <w:tc>
          <w:tcPr>
            <w:tcW w:w="6720" w:type="dxa"/>
            <w:vAlign w:val="center"/>
          </w:tcPr>
          <w:p>
            <w:pPr>
              <w:pStyle w:val="73"/>
              <w:rPr>
                <w:lang w:val="en-GB"/>
              </w:rPr>
            </w:pPr>
            <w:r>
              <w:rPr>
                <w:rFonts w:hint="eastAsia"/>
                <w:lang w:val="en-GB"/>
              </w:rPr>
              <w:t>当用户选择强制均充命令，但均充条件不足时（如无电池，充电器故障等），系统提示该信息</w:t>
            </w:r>
          </w:p>
        </w:tc>
      </w:tr>
    </w:tbl>
    <w:p>
      <w:pPr>
        <w:pStyle w:val="5"/>
        <w:numPr>
          <w:ilvl w:val="2"/>
          <w:numId w:val="9"/>
        </w:numPr>
        <w:rPr>
          <w:lang w:val="en-GB"/>
        </w:rPr>
      </w:pPr>
      <w:bookmarkStart w:id="446" w:name="_Toc300671081"/>
      <w:bookmarkStart w:id="447" w:name="_Toc512794864"/>
      <w:bookmarkStart w:id="448" w:name="_Toc32186"/>
      <w:bookmarkStart w:id="449" w:name="_Toc99771044"/>
      <w:bookmarkStart w:id="450" w:name="_Toc99422101"/>
      <w:bookmarkStart w:id="451" w:name="_Toc43267906"/>
      <w:bookmarkStart w:id="452" w:name="_Toc181760609"/>
      <w:bookmarkStart w:id="453" w:name="_Toc181776175"/>
      <w:bookmarkStart w:id="454" w:name="_Toc212952011"/>
      <w:bookmarkStart w:id="455" w:name="_Toc512794865"/>
      <w:r>
        <w:rPr>
          <w:rFonts w:hint="eastAsia"/>
          <w:lang w:val="en-GB"/>
        </w:rPr>
        <w:t>告警列表</w:t>
      </w:r>
      <w:bookmarkEnd w:id="446"/>
      <w:bookmarkEnd w:id="447"/>
      <w:bookmarkEnd w:id="448"/>
      <w:bookmarkEnd w:id="449"/>
      <w:bookmarkEnd w:id="450"/>
    </w:p>
    <w:p>
      <w:pPr>
        <w:pStyle w:val="3"/>
        <w:ind w:left="425" w:firstLine="180" w:firstLineChars="100"/>
        <w:rPr>
          <w:lang w:val="en-GB"/>
        </w:rPr>
      </w:pPr>
      <w:r>
        <w:rPr>
          <w:rFonts w:hint="eastAsia"/>
          <w:lang w:val="en-GB"/>
        </w:rPr>
        <w:t>表4-6提供“历史记录”菜单和‘“当前记录”窗中可显示的所有</w:t>
      </w:r>
      <w:r>
        <w:rPr>
          <w:lang w:val="en-GB"/>
        </w:rPr>
        <w:t>UPS</w:t>
      </w:r>
      <w:r>
        <w:rPr>
          <w:rFonts w:hint="eastAsia"/>
        </w:rPr>
        <w:t>告警</w:t>
      </w:r>
      <w:r>
        <w:rPr>
          <w:rFonts w:hint="eastAsia"/>
          <w:lang w:val="en-GB"/>
        </w:rPr>
        <w:t>信息完整清单列表。告警前面如果有I</w:t>
      </w:r>
      <w:r>
        <w:rPr>
          <w:lang w:val="en-GB"/>
        </w:rPr>
        <w:t>D0</w:t>
      </w:r>
      <w:r>
        <w:rPr>
          <w:rFonts w:hint="eastAsia"/>
          <w:lang w:val="en-GB"/>
        </w:rPr>
        <w:t>，</w:t>
      </w:r>
      <w:r>
        <w:rPr>
          <w:lang w:val="en-GB"/>
        </w:rPr>
        <w:t>表示的是旁路模块</w:t>
      </w:r>
      <w:r>
        <w:rPr>
          <w:rFonts w:hint="eastAsia"/>
          <w:lang w:val="en-GB"/>
        </w:rPr>
        <w:t>和系统发生的告警，</w:t>
      </w:r>
      <w:r>
        <w:rPr>
          <w:lang w:val="en-GB"/>
        </w:rPr>
        <w:t>MOD</w:t>
      </w:r>
      <w:r>
        <w:rPr>
          <w:rFonts w:hint="eastAsia"/>
          <w:lang w:val="en-GB"/>
        </w:rPr>
        <w:t>*</w:t>
      </w:r>
      <w:r>
        <w:rPr>
          <w:lang w:val="en-GB"/>
        </w:rPr>
        <w:t>表示是功率模块</w:t>
      </w:r>
      <w:r>
        <w:rPr>
          <w:rFonts w:hint="eastAsia"/>
          <w:lang w:val="en-GB"/>
        </w:rPr>
        <w:t>，</w:t>
      </w:r>
      <w:r>
        <w:rPr>
          <w:lang w:val="en-GB"/>
        </w:rPr>
        <w:t>后面的数字就是表示具体的模块号</w:t>
      </w:r>
      <w:r>
        <w:rPr>
          <w:rFonts w:hint="eastAsia"/>
          <w:lang w:val="en-GB"/>
        </w:rPr>
        <w:t>。</w:t>
      </w:r>
    </w:p>
    <w:p>
      <w:pPr>
        <w:pStyle w:val="194"/>
        <w:numPr>
          <w:ilvl w:val="5"/>
          <w:numId w:val="9"/>
        </w:numPr>
      </w:pPr>
      <w:r>
        <w:rPr>
          <w:rFonts w:hint="eastAsia"/>
        </w:rPr>
        <w:t>告警清单</w:t>
      </w:r>
    </w:p>
    <w:tbl>
      <w:tblPr>
        <w:tblStyle w:val="50"/>
        <w:tblW w:w="9594"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3"/>
        <w:gridCol w:w="7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right"/>
        </w:trPr>
        <w:tc>
          <w:tcPr>
            <w:tcW w:w="2223" w:type="dxa"/>
            <w:shd w:val="clear" w:color="auto" w:fill="D9D9D9"/>
            <w:tcMar>
              <w:left w:w="28" w:type="dxa"/>
              <w:right w:w="28" w:type="dxa"/>
            </w:tcMar>
            <w:vAlign w:val="center"/>
          </w:tcPr>
          <w:p>
            <w:pPr>
              <w:pStyle w:val="88"/>
            </w:pPr>
            <w:r>
              <w:rPr>
                <w:rFonts w:hint="eastAsia"/>
              </w:rPr>
              <w:t>告警</w:t>
            </w:r>
          </w:p>
        </w:tc>
        <w:tc>
          <w:tcPr>
            <w:tcW w:w="7371" w:type="dxa"/>
            <w:shd w:val="clear" w:color="auto" w:fill="D9D9D9"/>
            <w:tcMar>
              <w:left w:w="28" w:type="dxa"/>
              <w:right w:w="28" w:type="dxa"/>
            </w:tcMar>
            <w:vAlign w:val="center"/>
          </w:tcPr>
          <w:p>
            <w:pPr>
              <w:pStyle w:val="88"/>
            </w:pPr>
            <w:r>
              <w:rPr>
                <w:rFonts w:hint="eastAsia"/>
              </w:rPr>
              <w:t>解释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主路相序反</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交流输入相序接反，需检测配线及输入的相序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整流器软启动失败</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由于直流母线电压低，整流器无法启动，整流器发生了故障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主路频率异常</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市电频率超出正常范围，导致整流器关闭。检查整流器输入电压和频率，以及市电输入的配线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输入缺零故障</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未检测到交流输入市电的零线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模块过温</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模块温度过高导致模块停止运行，检查U</w:t>
            </w:r>
            <w:r>
              <w:rPr>
                <w:rFonts w:ascii="Calibri" w:hAnsi="Calibri" w:eastAsia="宋体" w:cs="Times New Roman"/>
                <w:iCs w:val="0"/>
                <w:kern w:val="0"/>
                <w:lang w:val="en-GB"/>
              </w:rPr>
              <w:t>PS的</w:t>
            </w:r>
            <w:r>
              <w:rPr>
                <w:rFonts w:hint="eastAsia" w:ascii="Calibri" w:hAnsi="Calibri" w:eastAsia="宋体" w:cs="Times New Roman"/>
                <w:iCs w:val="0"/>
                <w:kern w:val="0"/>
                <w:lang w:val="en-GB"/>
              </w:rPr>
              <w:t>环境和通风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整流器故障</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整流器故障，整流器关闭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充电器故障</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电池充电器发生故障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电池无</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没有检测到电池，或者电池电压太低低于E</w:t>
            </w:r>
            <w:r>
              <w:rPr>
                <w:rFonts w:ascii="Calibri" w:hAnsi="Calibri" w:eastAsia="宋体" w:cs="Times New Roman"/>
                <w:iCs w:val="0"/>
                <w:kern w:val="0"/>
                <w:lang w:val="en-GB"/>
              </w:rPr>
              <w:t>OD点以下</w:t>
            </w:r>
            <w:r>
              <w:rPr>
                <w:rFonts w:hint="eastAsia" w:ascii="Calibri" w:hAnsi="Calibri" w:eastAsia="宋体" w:cs="Times New Roman"/>
                <w:iCs w:val="0"/>
                <w:kern w:val="0"/>
                <w:lang w:val="en-GB"/>
              </w:rPr>
              <w:t>，</w:t>
            </w:r>
            <w:r>
              <w:rPr>
                <w:rFonts w:ascii="Calibri" w:hAnsi="Calibri" w:eastAsia="宋体" w:cs="Times New Roman"/>
                <w:iCs w:val="0"/>
                <w:kern w:val="0"/>
                <w:lang w:val="en-GB"/>
              </w:rPr>
              <w:t>需</w:t>
            </w:r>
            <w:r>
              <w:rPr>
                <w:rFonts w:hint="eastAsia" w:ascii="Calibri" w:hAnsi="Calibri" w:eastAsia="宋体" w:cs="Times New Roman"/>
                <w:iCs w:val="0"/>
                <w:kern w:val="0"/>
                <w:lang w:val="en-GB"/>
              </w:rPr>
              <w:t>检查电池和电池接线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整流器过流</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市电输入时，整流器温度过高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放电器故障</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电池放电发生故障，需更换模块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电池接反</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重新连接电池，检查电池正负极接线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充电器过温</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充电器温度过高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电池端口短路</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电池端口有短路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主路电压异常</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市电电压超出正常范围，导致整流器关闭，检查整流器输入相电压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主路欠压</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市电欠压，降额运行，检查整流器输入电压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辅助电源掉电</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模块控制电源异常或无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输入电流超限</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电池放电时候的电流过大，只有电池模式会报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2223" w:type="dxa"/>
            <w:tcBorders>
              <w:bottom w:val="single" w:color="auto" w:sz="4" w:space="0"/>
            </w:tcBorders>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整流设置中</w:t>
            </w:r>
          </w:p>
        </w:tc>
        <w:tc>
          <w:tcPr>
            <w:tcW w:w="7371" w:type="dxa"/>
            <w:tcBorders>
              <w:bottom w:val="single" w:color="auto" w:sz="4" w:space="0"/>
            </w:tcBorders>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整流器启动并同步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逆变设置中</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逆变器启动并同步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逆变器不同步</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当逆变器和旁路相电压相角相差 6 度以上时，由逆变器软件程序触发此告警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逆变器故障</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逆变器输出电压超限，负载转旁路供电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输出过载</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负载超过额定值 105％时，出现此告警。过载状态清除时，告警自动恢复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输出过载超时</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UPS 发生过载，并且超出所允许的过载时间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输出电压异常</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输出电压异常，关闭逆变器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母线异常关机</w:t>
            </w:r>
          </w:p>
        </w:tc>
        <w:tc>
          <w:tcPr>
            <w:tcW w:w="7371"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直流母线电压过高导致整流器、逆变器和电池变换器关闭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2223" w:type="dxa"/>
            <w:tcBorders>
              <w:bottom w:val="single" w:color="auto" w:sz="4" w:space="0"/>
            </w:tcBorders>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机架内离散总线通讯异常</w:t>
            </w:r>
          </w:p>
        </w:tc>
        <w:tc>
          <w:tcPr>
            <w:tcW w:w="7371" w:type="dxa"/>
            <w:tcBorders>
              <w:bottom w:val="single" w:color="auto" w:sz="4" w:space="0"/>
            </w:tcBorders>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模块之间通讯断开发生这个告警，重新通讯正常后自动结束故障，旁路模块和功率模块都会报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2223" w:type="dxa"/>
            <w:tcBorders>
              <w:bottom w:val="single" w:color="auto" w:sz="4" w:space="0"/>
            </w:tcBorders>
            <w:tcMar>
              <w:left w:w="28" w:type="dxa"/>
              <w:right w:w="28" w:type="dxa"/>
            </w:tcMar>
            <w:vAlign w:val="center"/>
          </w:tcPr>
          <w:p>
            <w:pPr>
              <w:pStyle w:val="73"/>
              <w:rPr>
                <w:lang w:val="en-GB"/>
              </w:rPr>
            </w:pPr>
            <w:r>
              <w:rPr>
                <w:rFonts w:hint="eastAsia"/>
                <w:lang w:val="en-GB"/>
              </w:rPr>
              <w:t>机架间离散总线通讯异常</w:t>
            </w:r>
          </w:p>
        </w:tc>
        <w:tc>
          <w:tcPr>
            <w:tcW w:w="7371" w:type="dxa"/>
            <w:tcBorders>
              <w:bottom w:val="single" w:color="auto" w:sz="4" w:space="0"/>
            </w:tcBorders>
            <w:tcMar>
              <w:left w:w="28" w:type="dxa"/>
              <w:right w:w="28" w:type="dxa"/>
            </w:tcMar>
            <w:vAlign w:val="center"/>
          </w:tcPr>
          <w:p>
            <w:pPr>
              <w:pStyle w:val="73"/>
              <w:rPr>
                <w:lang w:val="en-GB"/>
              </w:rPr>
            </w:pPr>
            <w:r>
              <w:rPr>
                <w:rFonts w:hint="eastAsia"/>
                <w:lang w:val="en-GB"/>
              </w:rPr>
              <w:t>旁路模块与其他旁路模块之间通讯断开，</w:t>
            </w:r>
            <w:r>
              <w:rPr>
                <w:lang w:val="en-GB"/>
              </w:rPr>
              <w:t>会发生这个告警</w:t>
            </w:r>
            <w:r>
              <w:rPr>
                <w:rFonts w:hint="eastAsia"/>
                <w:lang w:val="en-GB"/>
              </w:rPr>
              <w:t>，</w:t>
            </w:r>
            <w:r>
              <w:rPr>
                <w:lang w:val="en-GB"/>
              </w:rPr>
              <w:t>只有旁路模块会报这个故障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风扇1异常</w:t>
            </w:r>
          </w:p>
        </w:tc>
        <w:tc>
          <w:tcPr>
            <w:tcW w:w="7371" w:type="dxa"/>
            <w:tcMar>
              <w:left w:w="28" w:type="dxa"/>
              <w:right w:w="28" w:type="dxa"/>
            </w:tcMar>
            <w:vAlign w:val="center"/>
          </w:tcPr>
          <w:p>
            <w:pPr>
              <w:adjustRightInd/>
              <w:snapToGrid/>
              <w:spacing w:line="240" w:lineRule="auto"/>
              <w:jc w:val="left"/>
              <w:rPr>
                <w:kern w:val="0"/>
                <w:sz w:val="16"/>
                <w:lang w:val="en-GB"/>
              </w:rPr>
            </w:pPr>
            <w:r>
              <w:rPr>
                <w:rFonts w:hint="eastAsia"/>
                <w:kern w:val="0"/>
                <w:sz w:val="16"/>
                <w:lang w:val="en-GB"/>
              </w:rPr>
              <w:t>散热风扇1出现异常，需要检查风扇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风扇</w:t>
            </w:r>
            <w:r>
              <w:rPr>
                <w:rFonts w:ascii="Calibri" w:hAnsi="Calibri" w:eastAsia="宋体" w:cs="Times New Roman"/>
                <w:iCs w:val="0"/>
                <w:kern w:val="0"/>
                <w:lang w:val="en-GB"/>
              </w:rPr>
              <w:t>2</w:t>
            </w:r>
            <w:r>
              <w:rPr>
                <w:rFonts w:hint="eastAsia" w:ascii="Calibri" w:hAnsi="Calibri" w:eastAsia="宋体" w:cs="Times New Roman"/>
                <w:iCs w:val="0"/>
                <w:kern w:val="0"/>
                <w:lang w:val="en-GB"/>
              </w:rPr>
              <w:t>异常</w:t>
            </w:r>
          </w:p>
        </w:tc>
        <w:tc>
          <w:tcPr>
            <w:tcW w:w="7371" w:type="dxa"/>
            <w:tcMar>
              <w:left w:w="28" w:type="dxa"/>
              <w:right w:w="28" w:type="dxa"/>
            </w:tcMar>
            <w:vAlign w:val="center"/>
          </w:tcPr>
          <w:p>
            <w:pPr>
              <w:rPr>
                <w:kern w:val="0"/>
                <w:sz w:val="16"/>
                <w:lang w:val="en-GB"/>
              </w:rPr>
            </w:pPr>
            <w:r>
              <w:rPr>
                <w:rFonts w:hint="eastAsia"/>
                <w:kern w:val="0"/>
                <w:sz w:val="16"/>
                <w:lang w:val="en-GB"/>
              </w:rPr>
              <w:t>散热风扇2出现异常，需要检查风扇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风扇</w:t>
            </w:r>
            <w:r>
              <w:rPr>
                <w:rFonts w:ascii="Calibri" w:hAnsi="Calibri" w:eastAsia="宋体" w:cs="Times New Roman"/>
                <w:iCs w:val="0"/>
                <w:kern w:val="0"/>
                <w:lang w:val="en-GB"/>
              </w:rPr>
              <w:t>3</w:t>
            </w:r>
            <w:r>
              <w:rPr>
                <w:rFonts w:hint="eastAsia" w:ascii="Calibri" w:hAnsi="Calibri" w:eastAsia="宋体" w:cs="Times New Roman"/>
                <w:iCs w:val="0"/>
                <w:kern w:val="0"/>
                <w:lang w:val="en-GB"/>
              </w:rPr>
              <w:t>异常</w:t>
            </w:r>
          </w:p>
        </w:tc>
        <w:tc>
          <w:tcPr>
            <w:tcW w:w="7371" w:type="dxa"/>
            <w:tcMar>
              <w:left w:w="28" w:type="dxa"/>
              <w:right w:w="28" w:type="dxa"/>
            </w:tcMar>
            <w:vAlign w:val="center"/>
          </w:tcPr>
          <w:p>
            <w:pPr>
              <w:rPr>
                <w:kern w:val="0"/>
                <w:sz w:val="16"/>
                <w:lang w:val="en-GB"/>
              </w:rPr>
            </w:pPr>
            <w:r>
              <w:rPr>
                <w:rFonts w:hint="eastAsia"/>
                <w:kern w:val="0"/>
                <w:sz w:val="16"/>
                <w:lang w:val="en-GB"/>
              </w:rPr>
              <w:t>散热风扇3出现异常，需要检查风扇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2223" w:type="dxa"/>
            <w:tcBorders>
              <w:bottom w:val="single" w:color="auto" w:sz="4" w:space="0"/>
            </w:tcBorders>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逆变继电器故障</w:t>
            </w:r>
          </w:p>
        </w:tc>
        <w:tc>
          <w:tcPr>
            <w:tcW w:w="7371" w:type="dxa"/>
            <w:tcBorders>
              <w:bottom w:val="single" w:color="auto" w:sz="4" w:space="0"/>
            </w:tcBorders>
            <w:tcMar>
              <w:left w:w="28" w:type="dxa"/>
              <w:right w:w="28" w:type="dxa"/>
            </w:tcMar>
            <w:vAlign w:val="center"/>
          </w:tcPr>
          <w:p>
            <w:pPr>
              <w:rPr>
                <w:kern w:val="0"/>
                <w:sz w:val="16"/>
                <w:lang w:val="en-GB"/>
              </w:rPr>
            </w:pPr>
            <w:r>
              <w:rPr>
                <w:rFonts w:hint="eastAsia"/>
                <w:kern w:val="0"/>
                <w:sz w:val="16"/>
                <w:lang w:val="en-GB"/>
              </w:rPr>
              <w:t>逆变器侧至少一个继电器断开或短路。此故障锁定直至下电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输出熔丝断</w:t>
            </w:r>
          </w:p>
        </w:tc>
        <w:tc>
          <w:tcPr>
            <w:tcW w:w="7371" w:type="dxa"/>
            <w:tcMar>
              <w:left w:w="28" w:type="dxa"/>
              <w:right w:w="28" w:type="dxa"/>
            </w:tcMar>
            <w:vAlign w:val="center"/>
          </w:tcPr>
          <w:p>
            <w:pPr>
              <w:rPr>
                <w:kern w:val="0"/>
                <w:sz w:val="16"/>
                <w:lang w:val="en-GB"/>
              </w:rPr>
            </w:pPr>
            <w:r>
              <w:rPr>
                <w:rFonts w:hint="eastAsia"/>
                <w:kern w:val="0"/>
                <w:sz w:val="16"/>
                <w:lang w:val="en-GB"/>
              </w:rPr>
              <w:t>表示模块的输出熔丝断开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bottom"/>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用户操作错误</w:t>
            </w:r>
          </w:p>
        </w:tc>
        <w:tc>
          <w:tcPr>
            <w:tcW w:w="7371" w:type="dxa"/>
            <w:tcMar>
              <w:left w:w="28" w:type="dxa"/>
              <w:right w:w="28" w:type="dxa"/>
            </w:tcMar>
            <w:vAlign w:val="bottom"/>
          </w:tcPr>
          <w:p>
            <w:pPr>
              <w:rPr>
                <w:kern w:val="0"/>
                <w:sz w:val="16"/>
                <w:lang w:val="en-GB"/>
              </w:rPr>
            </w:pPr>
            <w:r>
              <w:rPr>
                <w:rFonts w:hint="eastAsia"/>
                <w:kern w:val="0"/>
                <w:sz w:val="16"/>
                <w:lang w:val="en-GB"/>
              </w:rPr>
              <w:t>不正常的操作会报用户操作错误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Borders>
              <w:bottom w:val="single" w:color="auto" w:sz="4" w:space="0"/>
            </w:tcBorders>
            <w:tcMar>
              <w:left w:w="28" w:type="dxa"/>
              <w:right w:w="28" w:type="dxa"/>
            </w:tcMar>
            <w:vAlign w:val="bottom"/>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LBS激活</w:t>
            </w:r>
          </w:p>
        </w:tc>
        <w:tc>
          <w:tcPr>
            <w:tcW w:w="7371" w:type="dxa"/>
            <w:tcBorders>
              <w:bottom w:val="single" w:color="auto" w:sz="4" w:space="0"/>
            </w:tcBorders>
            <w:tcMar>
              <w:left w:w="28" w:type="dxa"/>
              <w:right w:w="28" w:type="dxa"/>
            </w:tcMar>
            <w:vAlign w:val="bottom"/>
          </w:tcPr>
          <w:p>
            <w:pPr>
              <w:rPr>
                <w:kern w:val="0"/>
                <w:sz w:val="16"/>
                <w:lang w:val="en-GB"/>
              </w:rPr>
            </w:pPr>
            <w:r>
              <w:rPr>
                <w:rFonts w:hint="eastAsia"/>
                <w:kern w:val="0"/>
                <w:sz w:val="16"/>
                <w:lang w:val="en-GB"/>
              </w:rPr>
              <w:t>LBS 设置生效。即 UPS 在双母线配置系统中作为一个 LBS 主机或从机运行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模块未就绪</w:t>
            </w:r>
          </w:p>
        </w:tc>
        <w:tc>
          <w:tcPr>
            <w:tcW w:w="7371" w:type="dxa"/>
            <w:tcMar>
              <w:left w:w="28" w:type="dxa"/>
              <w:right w:w="28" w:type="dxa"/>
            </w:tcMar>
            <w:vAlign w:val="center"/>
          </w:tcPr>
          <w:p>
            <w:pPr>
              <w:rPr>
                <w:kern w:val="0"/>
                <w:sz w:val="16"/>
                <w:lang w:val="en-GB"/>
              </w:rPr>
            </w:pPr>
            <w:r>
              <w:rPr>
                <w:rFonts w:hint="eastAsia"/>
                <w:kern w:val="0"/>
                <w:sz w:val="16"/>
                <w:lang w:val="en-GB"/>
              </w:rPr>
              <w:t>模块就绪开关未闭合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负载冲击转旁路</w:t>
            </w:r>
          </w:p>
        </w:tc>
        <w:tc>
          <w:tcPr>
            <w:tcW w:w="7371" w:type="dxa"/>
            <w:tcMar>
              <w:left w:w="28" w:type="dxa"/>
              <w:right w:w="28" w:type="dxa"/>
            </w:tcMar>
            <w:vAlign w:val="center"/>
          </w:tcPr>
          <w:p>
            <w:pPr>
              <w:rPr>
                <w:kern w:val="0"/>
                <w:sz w:val="16"/>
                <w:lang w:val="en-GB"/>
              </w:rPr>
            </w:pPr>
            <w:r>
              <w:rPr>
                <w:rFonts w:hint="eastAsia"/>
                <w:kern w:val="0"/>
                <w:sz w:val="16"/>
                <w:lang w:val="en-GB"/>
              </w:rPr>
              <w:t>负载冲击导致系统切换到旁路，UPS 可以自动恢复。按顺序开启负载以减少逆变器负载冲击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切换次数限制</w:t>
            </w:r>
          </w:p>
        </w:tc>
        <w:tc>
          <w:tcPr>
            <w:tcW w:w="7371" w:type="dxa"/>
            <w:tcMar>
              <w:left w:w="28" w:type="dxa"/>
              <w:right w:w="28" w:type="dxa"/>
            </w:tcMar>
            <w:vAlign w:val="center"/>
          </w:tcPr>
          <w:p>
            <w:pPr>
              <w:rPr>
                <w:kern w:val="0"/>
                <w:sz w:val="16"/>
                <w:lang w:val="en-GB"/>
              </w:rPr>
            </w:pPr>
            <w:r>
              <w:rPr>
                <w:rFonts w:hint="eastAsia"/>
                <w:kern w:val="0"/>
                <w:sz w:val="16"/>
                <w:lang w:val="en-GB"/>
              </w:rPr>
              <w:t>前 1 小时内过载切换次数超过设定值，导致负载停留在旁路供电状态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ECO切换次数限制</w:t>
            </w:r>
          </w:p>
        </w:tc>
        <w:tc>
          <w:tcPr>
            <w:tcW w:w="7371" w:type="dxa"/>
            <w:tcMar>
              <w:left w:w="28" w:type="dxa"/>
              <w:right w:w="28" w:type="dxa"/>
            </w:tcMar>
            <w:vAlign w:val="center"/>
          </w:tcPr>
          <w:p>
            <w:pPr>
              <w:rPr>
                <w:kern w:val="0"/>
                <w:sz w:val="16"/>
                <w:lang w:val="en-GB"/>
              </w:rPr>
            </w:pPr>
            <w:r>
              <w:rPr>
                <w:rFonts w:hint="eastAsia"/>
                <w:kern w:val="0"/>
                <w:sz w:val="16"/>
                <w:lang w:val="en-GB"/>
              </w:rPr>
              <w:t>前 1 小时内旁路供电和逆变供电切换次数超过设定值，导致负载停留在逆变供电状态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旁路晶闸管故障</w:t>
            </w:r>
          </w:p>
        </w:tc>
        <w:tc>
          <w:tcPr>
            <w:tcW w:w="7371" w:type="dxa"/>
            <w:tcMar>
              <w:left w:w="28" w:type="dxa"/>
              <w:right w:w="28" w:type="dxa"/>
            </w:tcMar>
            <w:vAlign w:val="center"/>
          </w:tcPr>
          <w:p>
            <w:pPr>
              <w:rPr>
                <w:kern w:val="0"/>
                <w:sz w:val="16"/>
                <w:lang w:val="en-GB"/>
              </w:rPr>
            </w:pPr>
            <w:r>
              <w:rPr>
                <w:rFonts w:hint="eastAsia"/>
                <w:kern w:val="0"/>
                <w:sz w:val="16"/>
                <w:lang w:val="en-GB"/>
              </w:rPr>
              <w:t>旁路侧至少一个静态开关断开或短路，此故障会关闭旁路供电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旁路异常关机</w:t>
            </w:r>
          </w:p>
        </w:tc>
        <w:tc>
          <w:tcPr>
            <w:tcW w:w="7371" w:type="dxa"/>
            <w:tcMar>
              <w:left w:w="28" w:type="dxa"/>
              <w:right w:w="28" w:type="dxa"/>
            </w:tcMar>
            <w:vAlign w:val="center"/>
          </w:tcPr>
          <w:p>
            <w:pPr>
              <w:rPr>
                <w:kern w:val="0"/>
                <w:sz w:val="16"/>
                <w:lang w:val="en-GB"/>
              </w:rPr>
            </w:pPr>
            <w:r>
              <w:rPr>
                <w:rFonts w:hint="eastAsia"/>
                <w:kern w:val="0"/>
                <w:sz w:val="16"/>
                <w:lang w:val="en-GB"/>
              </w:rPr>
              <w:t>旁路和逆变器电压均异常。负载供电中断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并机均流异常</w:t>
            </w:r>
          </w:p>
        </w:tc>
        <w:tc>
          <w:tcPr>
            <w:tcW w:w="7371" w:type="dxa"/>
            <w:tcMar>
              <w:left w:w="28" w:type="dxa"/>
              <w:right w:w="28" w:type="dxa"/>
            </w:tcMar>
            <w:vAlign w:val="center"/>
          </w:tcPr>
          <w:p>
            <w:pPr>
              <w:rPr>
                <w:kern w:val="0"/>
                <w:sz w:val="16"/>
                <w:lang w:val="en-GB"/>
              </w:rPr>
            </w:pPr>
            <w:r>
              <w:rPr>
                <w:rFonts w:hint="eastAsia"/>
                <w:kern w:val="0"/>
                <w:sz w:val="16"/>
                <w:lang w:val="en-GB"/>
              </w:rPr>
              <w:t>并机时系统不均流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PowerCAN通讯异常</w:t>
            </w:r>
          </w:p>
        </w:tc>
        <w:tc>
          <w:tcPr>
            <w:tcW w:w="7371" w:type="dxa"/>
            <w:tcMar>
              <w:left w:w="28" w:type="dxa"/>
              <w:right w:w="28" w:type="dxa"/>
            </w:tcMar>
            <w:vAlign w:val="center"/>
          </w:tcPr>
          <w:p>
            <w:pPr>
              <w:rPr>
                <w:kern w:val="0"/>
                <w:sz w:val="16"/>
                <w:lang w:val="en-GB"/>
              </w:rPr>
            </w:pPr>
            <w:r>
              <w:rPr>
                <w:rFonts w:hint="eastAsia"/>
                <w:kern w:val="0"/>
                <w:sz w:val="16"/>
                <w:lang w:val="en-GB"/>
              </w:rPr>
              <w:t>模块之间PowerCAN通讯异常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邻机请求转旁路</w:t>
            </w:r>
          </w:p>
        </w:tc>
        <w:tc>
          <w:tcPr>
            <w:tcW w:w="7371" w:type="dxa"/>
            <w:tcMar>
              <w:left w:w="28" w:type="dxa"/>
              <w:right w:w="28" w:type="dxa"/>
            </w:tcMar>
            <w:vAlign w:val="center"/>
          </w:tcPr>
          <w:p>
            <w:pPr>
              <w:rPr>
                <w:kern w:val="0"/>
                <w:sz w:val="16"/>
                <w:lang w:val="en-GB"/>
              </w:rPr>
            </w:pPr>
            <w:r>
              <w:rPr>
                <w:rFonts w:hint="eastAsia"/>
                <w:kern w:val="0"/>
                <w:sz w:val="16"/>
                <w:lang w:val="en-GB"/>
              </w:rPr>
              <w:t>并机时邻机需要转旁路运行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系统执行间断切换</w:t>
            </w:r>
          </w:p>
        </w:tc>
        <w:tc>
          <w:tcPr>
            <w:tcW w:w="7371" w:type="dxa"/>
            <w:tcMar>
              <w:left w:w="28" w:type="dxa"/>
              <w:right w:w="28" w:type="dxa"/>
            </w:tcMar>
            <w:vAlign w:val="center"/>
          </w:tcPr>
          <w:p>
            <w:pPr>
              <w:pStyle w:val="73"/>
              <w:rPr>
                <w:lang w:val="en-GB"/>
              </w:rPr>
            </w:pPr>
            <w:r>
              <w:rPr>
                <w:rFonts w:hint="eastAsia"/>
                <w:lang w:val="en-GB"/>
              </w:rPr>
              <w:t>与I</w:t>
            </w:r>
            <w:r>
              <w:rPr>
                <w:lang w:val="en-GB"/>
              </w:rPr>
              <w:t>D0</w:t>
            </w:r>
            <w:r>
              <w:rPr>
                <w:rFonts w:hint="eastAsia"/>
                <w:lang w:val="en-GB"/>
              </w:rPr>
              <w:t>旁路超跟踪或I</w:t>
            </w:r>
            <w:r>
              <w:rPr>
                <w:lang w:val="en-GB"/>
              </w:rPr>
              <w:t>DO模块超保护</w:t>
            </w:r>
            <w:r>
              <w:rPr>
                <w:rFonts w:hint="eastAsia"/>
                <w:lang w:val="en-GB"/>
              </w:rPr>
              <w:t>告警</w:t>
            </w:r>
            <w:r>
              <w:rPr>
                <w:lang w:val="en-GB"/>
              </w:rPr>
              <w:t>一起出现</w:t>
            </w:r>
            <w:r>
              <w:rPr>
                <w:rFonts w:hint="eastAsia"/>
                <w:lang w:val="en-GB"/>
              </w:rPr>
              <w:t>，</w:t>
            </w:r>
            <w:r>
              <w:rPr>
                <w:lang w:val="en-GB"/>
              </w:rPr>
              <w:t>表示旁路切逆变负载供电有间断</w:t>
            </w:r>
          </w:p>
          <w:p>
            <w:pPr>
              <w:pStyle w:val="73"/>
              <w:rPr>
                <w:lang w:val="en-GB"/>
              </w:rPr>
            </w:pPr>
            <w:r>
              <w:rPr>
                <w:rFonts w:hint="eastAsia"/>
                <w:lang w:val="en-GB"/>
              </w:rPr>
              <w:t>只有系统执行间断切换，</w:t>
            </w:r>
            <w:r>
              <w:rPr>
                <w:lang w:val="en-GB"/>
              </w:rPr>
              <w:t>不代表旁路切逆变负载有间断供电</w:t>
            </w:r>
            <w:r>
              <w:rPr>
                <w:rFonts w:hint="eastAsia"/>
                <w:lang w:val="en-GB"/>
              </w:rPr>
              <w:t>，</w:t>
            </w:r>
            <w:r>
              <w:rPr>
                <w:lang w:val="en-GB"/>
              </w:rPr>
              <w:t>只代表模块开机时间超过设计值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rPr>
            </w:pPr>
            <w:r>
              <w:rPr>
                <w:rFonts w:hint="eastAsia" w:ascii="Calibri" w:hAnsi="Calibri" w:eastAsia="宋体" w:cs="Times New Roman"/>
                <w:iCs w:val="0"/>
                <w:kern w:val="0"/>
              </w:rPr>
              <w:t>旁路过流</w:t>
            </w:r>
          </w:p>
        </w:tc>
        <w:tc>
          <w:tcPr>
            <w:tcW w:w="7371" w:type="dxa"/>
            <w:tcMar>
              <w:left w:w="28" w:type="dxa"/>
              <w:right w:w="28" w:type="dxa"/>
            </w:tcMar>
            <w:vAlign w:val="center"/>
          </w:tcPr>
          <w:p>
            <w:pPr>
              <w:rPr>
                <w:kern w:val="0"/>
                <w:sz w:val="16"/>
                <w:lang w:val="en-GB"/>
              </w:rPr>
            </w:pPr>
            <w:r>
              <w:rPr>
                <w:rFonts w:hint="eastAsia"/>
                <w:kern w:val="0"/>
                <w:sz w:val="16"/>
                <w:lang w:val="en-GB"/>
              </w:rPr>
              <w:t>旁路电流超过额定值的 135％。UPS 只告警，无动作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旁路反灌</w:t>
            </w:r>
          </w:p>
        </w:tc>
        <w:tc>
          <w:tcPr>
            <w:tcW w:w="7371" w:type="dxa"/>
            <w:tcMar>
              <w:left w:w="28" w:type="dxa"/>
              <w:right w:w="28" w:type="dxa"/>
            </w:tcMar>
            <w:vAlign w:val="center"/>
          </w:tcPr>
          <w:p>
            <w:pPr>
              <w:rPr>
                <w:kern w:val="0"/>
                <w:sz w:val="16"/>
                <w:lang w:val="en-GB"/>
              </w:rPr>
            </w:pPr>
            <w:r>
              <w:rPr>
                <w:rFonts w:hint="eastAsia"/>
                <w:kern w:val="0"/>
                <w:sz w:val="16"/>
                <w:lang w:val="en-GB"/>
              </w:rPr>
              <w:t>旁路S</w:t>
            </w:r>
            <w:r>
              <w:rPr>
                <w:kern w:val="0"/>
                <w:sz w:val="16"/>
                <w:lang w:val="en-GB"/>
              </w:rPr>
              <w:t>CR故障发生反灌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right"/>
        </w:trPr>
        <w:tc>
          <w:tcPr>
            <w:tcW w:w="2223" w:type="dxa"/>
            <w:tcBorders>
              <w:bottom w:val="single" w:color="auto" w:sz="4" w:space="0"/>
            </w:tcBorders>
            <w:tcMar>
              <w:left w:w="28" w:type="dxa"/>
              <w:right w:w="28" w:type="dxa"/>
            </w:tcMar>
            <w:vAlign w:val="center"/>
          </w:tcPr>
          <w:p>
            <w:pPr>
              <w:pStyle w:val="88"/>
              <w:jc w:val="left"/>
              <w:rPr>
                <w:rFonts w:ascii="Calibri" w:hAnsi="Calibri" w:eastAsia="宋体" w:cs="Times New Roman"/>
                <w:iCs w:val="0"/>
                <w:kern w:val="0"/>
                <w:lang w:val="en-GB"/>
              </w:rPr>
            </w:pPr>
            <w:r>
              <w:rPr>
                <w:rFonts w:hint="eastAsia" w:ascii="Calibri" w:hAnsi="Calibri" w:eastAsia="宋体" w:cs="Times New Roman"/>
                <w:iCs w:val="0"/>
                <w:kern w:val="0"/>
                <w:lang w:val="en-GB"/>
              </w:rPr>
              <w:t>旁路晶闸管故障</w:t>
            </w:r>
          </w:p>
        </w:tc>
        <w:tc>
          <w:tcPr>
            <w:tcW w:w="7371" w:type="dxa"/>
            <w:tcBorders>
              <w:bottom w:val="single" w:color="auto" w:sz="4" w:space="0"/>
            </w:tcBorders>
            <w:tcMar>
              <w:left w:w="28" w:type="dxa"/>
              <w:right w:w="28" w:type="dxa"/>
            </w:tcMar>
            <w:vAlign w:val="center"/>
          </w:tcPr>
          <w:p>
            <w:pPr>
              <w:rPr>
                <w:kern w:val="0"/>
                <w:sz w:val="16"/>
                <w:lang w:val="en-GB"/>
              </w:rPr>
            </w:pPr>
            <w:r>
              <w:rPr>
                <w:rFonts w:hint="eastAsia"/>
                <w:kern w:val="0"/>
                <w:sz w:val="16"/>
                <w:lang w:val="en-GB"/>
              </w:rPr>
              <w:t>旁路侧至少一个静态开关断开或短路。此故障锁定直至下电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旁路SCR风扇异常</w:t>
            </w:r>
          </w:p>
        </w:tc>
        <w:tc>
          <w:tcPr>
            <w:tcW w:w="7371" w:type="dxa"/>
            <w:tcMar>
              <w:left w:w="28" w:type="dxa"/>
              <w:right w:w="28" w:type="dxa"/>
            </w:tcMar>
            <w:vAlign w:val="center"/>
          </w:tcPr>
          <w:p>
            <w:pPr>
              <w:pStyle w:val="73"/>
              <w:rPr>
                <w:lang w:val="en-GB"/>
              </w:rPr>
            </w:pPr>
            <w:r>
              <w:rPr>
                <w:rFonts w:hint="eastAsia"/>
                <w:lang w:val="en-GB"/>
              </w:rPr>
              <w:t>旁路侧SCR风扇异常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电池接地故障</w:t>
            </w:r>
          </w:p>
        </w:tc>
        <w:tc>
          <w:tcPr>
            <w:tcW w:w="7371" w:type="dxa"/>
            <w:tcMar>
              <w:left w:w="28" w:type="dxa"/>
              <w:right w:w="28" w:type="dxa"/>
            </w:tcMar>
            <w:vAlign w:val="center"/>
          </w:tcPr>
          <w:p>
            <w:pPr>
              <w:pStyle w:val="73"/>
              <w:rPr>
                <w:lang w:val="en-GB"/>
              </w:rPr>
            </w:pPr>
            <w:r>
              <w:rPr>
                <w:rFonts w:hint="eastAsia"/>
                <w:lang w:val="en-GB"/>
              </w:rPr>
              <w:t>电池接地故障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外部输出隔离变压器过温</w:t>
            </w:r>
          </w:p>
        </w:tc>
        <w:tc>
          <w:tcPr>
            <w:tcW w:w="7371" w:type="dxa"/>
            <w:tcMar>
              <w:left w:w="28" w:type="dxa"/>
              <w:right w:w="28" w:type="dxa"/>
            </w:tcMar>
            <w:vAlign w:val="center"/>
          </w:tcPr>
          <w:p>
            <w:pPr>
              <w:pStyle w:val="73"/>
              <w:rPr>
                <w:lang w:val="en-GB"/>
              </w:rPr>
            </w:pPr>
            <w:r>
              <w:rPr>
                <w:lang w:val="en-GB"/>
              </w:rPr>
              <w:t>外部输出的</w:t>
            </w:r>
            <w:r>
              <w:rPr>
                <w:rFonts w:hint="eastAsia"/>
                <w:lang w:val="en-GB"/>
              </w:rPr>
              <w:t>变压</w:t>
            </w:r>
            <w:r>
              <w:rPr>
                <w:lang w:val="en-GB"/>
              </w:rPr>
              <w:t>器温度超限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旁路过温</w:t>
            </w:r>
          </w:p>
        </w:tc>
        <w:tc>
          <w:tcPr>
            <w:tcW w:w="7371" w:type="dxa"/>
            <w:tcMar>
              <w:left w:w="28" w:type="dxa"/>
              <w:right w:w="28" w:type="dxa"/>
            </w:tcMar>
            <w:vAlign w:val="center"/>
          </w:tcPr>
          <w:p>
            <w:pPr>
              <w:pStyle w:val="73"/>
              <w:rPr>
                <w:lang w:val="en-GB"/>
              </w:rPr>
            </w:pPr>
            <w:r>
              <w:rPr>
                <w:lang w:val="en-GB"/>
              </w:rPr>
              <w:t>旁路温度超限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旁路相序反</w:t>
            </w:r>
          </w:p>
        </w:tc>
        <w:tc>
          <w:tcPr>
            <w:tcW w:w="7371" w:type="dxa"/>
            <w:tcMar>
              <w:left w:w="28" w:type="dxa"/>
              <w:right w:w="28" w:type="dxa"/>
            </w:tcMar>
            <w:vAlign w:val="center"/>
          </w:tcPr>
          <w:p>
            <w:pPr>
              <w:pStyle w:val="73"/>
              <w:rPr>
                <w:lang w:val="en-GB"/>
              </w:rPr>
            </w:pPr>
            <w:r>
              <w:rPr>
                <w:rFonts w:hint="eastAsia"/>
                <w:lang w:val="en-GB"/>
              </w:rPr>
              <w:t>旁路电压相序反，检查确认 UPS 旁路电源相序是否正确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ParaPowerCAN通讯异常</w:t>
            </w:r>
          </w:p>
        </w:tc>
        <w:tc>
          <w:tcPr>
            <w:tcW w:w="7371" w:type="dxa"/>
            <w:tcMar>
              <w:left w:w="28" w:type="dxa"/>
              <w:right w:w="28" w:type="dxa"/>
            </w:tcMar>
            <w:vAlign w:val="center"/>
          </w:tcPr>
          <w:p>
            <w:pPr>
              <w:pStyle w:val="73"/>
              <w:rPr>
                <w:lang w:val="en-GB"/>
              </w:rPr>
            </w:pPr>
            <w:r>
              <w:rPr>
                <w:rFonts w:hint="eastAsia"/>
                <w:lang w:val="en-GB"/>
              </w:rPr>
              <w:t>并机之间CAN通讯异常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邻机旁路晶闸管故障</w:t>
            </w:r>
          </w:p>
        </w:tc>
        <w:tc>
          <w:tcPr>
            <w:tcW w:w="7371" w:type="dxa"/>
            <w:tcMar>
              <w:left w:w="28" w:type="dxa"/>
              <w:right w:w="28" w:type="dxa"/>
            </w:tcMar>
            <w:vAlign w:val="center"/>
          </w:tcPr>
          <w:p>
            <w:pPr>
              <w:pStyle w:val="73"/>
              <w:rPr>
                <w:lang w:val="en-GB"/>
              </w:rPr>
            </w:pPr>
            <w:r>
              <w:rPr>
                <w:lang w:val="en-GB"/>
              </w:rPr>
              <w:t>并机时</w:t>
            </w:r>
            <w:r>
              <w:rPr>
                <w:rFonts w:hint="eastAsia"/>
                <w:lang w:val="en-GB"/>
              </w:rPr>
              <w:t>邻</w:t>
            </w:r>
            <w:r>
              <w:rPr>
                <w:lang w:val="en-GB"/>
              </w:rPr>
              <w:t>机的旁路晶闸管故障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系统主路熔丝断</w:t>
            </w:r>
          </w:p>
        </w:tc>
        <w:tc>
          <w:tcPr>
            <w:tcW w:w="7371" w:type="dxa"/>
            <w:tcMar>
              <w:left w:w="28" w:type="dxa"/>
              <w:right w:w="28" w:type="dxa"/>
            </w:tcMar>
            <w:vAlign w:val="center"/>
          </w:tcPr>
          <w:p>
            <w:pPr>
              <w:pStyle w:val="73"/>
              <w:rPr>
                <w:lang w:val="en-GB"/>
              </w:rPr>
            </w:pPr>
            <w:r>
              <w:rPr>
                <w:rFonts w:hint="eastAsia"/>
              </w:rPr>
              <w:t>表示系统的主路输入熔丝断开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旁路熔丝断</w:t>
            </w:r>
          </w:p>
        </w:tc>
        <w:tc>
          <w:tcPr>
            <w:tcW w:w="7371" w:type="dxa"/>
            <w:tcMar>
              <w:left w:w="28" w:type="dxa"/>
              <w:right w:w="28" w:type="dxa"/>
            </w:tcMar>
            <w:vAlign w:val="center"/>
          </w:tcPr>
          <w:p>
            <w:pPr>
              <w:pStyle w:val="73"/>
            </w:pPr>
            <w:r>
              <w:rPr>
                <w:rFonts w:hint="eastAsia"/>
              </w:rPr>
              <w:t>表示旁路模块的输入熔丝断开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输出熔丝断</w:t>
            </w:r>
          </w:p>
        </w:tc>
        <w:tc>
          <w:tcPr>
            <w:tcW w:w="7371" w:type="dxa"/>
            <w:tcMar>
              <w:left w:w="28" w:type="dxa"/>
              <w:right w:w="28" w:type="dxa"/>
            </w:tcMar>
            <w:vAlign w:val="center"/>
          </w:tcPr>
          <w:p>
            <w:pPr>
              <w:pStyle w:val="73"/>
              <w:rPr>
                <w:lang w:val="en-GB"/>
              </w:rPr>
            </w:pPr>
            <w:r>
              <w:rPr>
                <w:rFonts w:hint="eastAsia"/>
                <w:lang w:val="en-GB"/>
              </w:rPr>
              <w:t>表示模块的输出熔丝断开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并机连接线异常</w:t>
            </w:r>
          </w:p>
        </w:tc>
        <w:tc>
          <w:tcPr>
            <w:tcW w:w="7371" w:type="dxa"/>
            <w:tcMar>
              <w:left w:w="28" w:type="dxa"/>
              <w:right w:w="28" w:type="dxa"/>
            </w:tcMar>
            <w:vAlign w:val="center"/>
          </w:tcPr>
          <w:p>
            <w:pPr>
              <w:pStyle w:val="73"/>
              <w:rPr>
                <w:lang w:val="en-GB"/>
              </w:rPr>
            </w:pPr>
            <w:r>
              <w:rPr>
                <w:lang w:val="en-GB"/>
              </w:rPr>
              <w:t>并机的通讯信号断开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失去冗余</w:t>
            </w:r>
          </w:p>
        </w:tc>
        <w:tc>
          <w:tcPr>
            <w:tcW w:w="7371" w:type="dxa"/>
            <w:tcMar>
              <w:left w:w="28" w:type="dxa"/>
              <w:right w:w="28" w:type="dxa"/>
            </w:tcMar>
            <w:vAlign w:val="center"/>
          </w:tcPr>
          <w:p>
            <w:pPr>
              <w:pStyle w:val="73"/>
              <w:rPr>
                <w:lang w:val="en-GB"/>
              </w:rPr>
            </w:pPr>
            <w:r>
              <w:rPr>
                <w:lang w:val="en-GB"/>
              </w:rPr>
              <w:t>设置有冗余的模块</w:t>
            </w:r>
            <w:r>
              <w:rPr>
                <w:rFonts w:hint="eastAsia"/>
                <w:lang w:val="en-GB"/>
              </w:rPr>
              <w:t>，</w:t>
            </w:r>
            <w:r>
              <w:rPr>
                <w:lang w:val="en-GB"/>
              </w:rPr>
              <w:t>由于</w:t>
            </w:r>
            <w:r>
              <w:rPr>
                <w:rFonts w:hint="eastAsia"/>
                <w:lang w:val="en-GB"/>
              </w:rPr>
              <w:t>有</w:t>
            </w:r>
            <w:r>
              <w:rPr>
                <w:lang w:val="en-GB"/>
              </w:rPr>
              <w:t>模块故障</w:t>
            </w:r>
            <w:r>
              <w:rPr>
                <w:rFonts w:hint="eastAsia"/>
                <w:lang w:val="en-GB"/>
              </w:rPr>
              <w:t>，</w:t>
            </w:r>
            <w:r>
              <w:rPr>
                <w:lang w:val="en-GB"/>
              </w:rPr>
              <w:t>没有冗余模块了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容量过载</w:t>
            </w:r>
          </w:p>
        </w:tc>
        <w:tc>
          <w:tcPr>
            <w:tcW w:w="7371" w:type="dxa"/>
            <w:tcMar>
              <w:left w:w="28" w:type="dxa"/>
              <w:right w:w="28" w:type="dxa"/>
            </w:tcMar>
            <w:vAlign w:val="center"/>
          </w:tcPr>
          <w:p>
            <w:pPr>
              <w:pStyle w:val="73"/>
              <w:rPr>
                <w:lang w:val="en-GB"/>
              </w:rPr>
            </w:pPr>
            <w:r>
              <w:rPr>
                <w:lang w:val="en-GB"/>
              </w:rPr>
              <w:t>负载超过系统容量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上抽风风扇异常</w:t>
            </w:r>
          </w:p>
        </w:tc>
        <w:tc>
          <w:tcPr>
            <w:tcW w:w="7371" w:type="dxa"/>
            <w:tcMar>
              <w:left w:w="28" w:type="dxa"/>
              <w:right w:w="28" w:type="dxa"/>
            </w:tcMar>
            <w:vAlign w:val="center"/>
          </w:tcPr>
          <w:p>
            <w:pPr>
              <w:pStyle w:val="73"/>
              <w:rPr>
                <w:lang w:val="en-GB"/>
              </w:rPr>
            </w:pPr>
            <w:r>
              <w:rPr>
                <w:lang w:val="en-GB"/>
              </w:rPr>
              <w:t>上抽风的风扇故障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旁路接管</w:t>
            </w:r>
          </w:p>
        </w:tc>
        <w:tc>
          <w:tcPr>
            <w:tcW w:w="7371" w:type="dxa"/>
            <w:tcMar>
              <w:left w:w="28" w:type="dxa"/>
              <w:right w:w="28" w:type="dxa"/>
            </w:tcMar>
            <w:vAlign w:val="center"/>
          </w:tcPr>
          <w:p>
            <w:pPr>
              <w:pStyle w:val="73"/>
              <w:rPr>
                <w:lang w:val="en-GB"/>
              </w:rPr>
            </w:pPr>
            <w:r>
              <w:rPr>
                <w:lang w:val="en-GB"/>
              </w:rPr>
              <w:t>只有一个功率模块在线</w:t>
            </w:r>
            <w:r>
              <w:rPr>
                <w:rFonts w:hint="eastAsia"/>
                <w:lang w:val="en-GB"/>
              </w:rPr>
              <w:t>，</w:t>
            </w:r>
            <w:r>
              <w:rPr>
                <w:lang w:val="en-GB"/>
              </w:rPr>
              <w:t>并且输出电压有异常的时候</w:t>
            </w:r>
            <w:r>
              <w:rPr>
                <w:rFonts w:hint="eastAsia"/>
                <w:lang w:val="en-GB"/>
              </w:rPr>
              <w:t>，</w:t>
            </w:r>
            <w:r>
              <w:rPr>
                <w:lang w:val="en-GB"/>
              </w:rPr>
              <w:t>报旁路接管</w:t>
            </w:r>
            <w:r>
              <w:rPr>
                <w:rFonts w:hint="eastAsia"/>
                <w:lang w:val="en-GB"/>
              </w:rPr>
              <w:t>，</w:t>
            </w:r>
            <w:r>
              <w:rPr>
                <w:lang w:val="en-GB"/>
              </w:rPr>
              <w:t>系统转旁路供电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BCB状态异常</w:t>
            </w:r>
          </w:p>
        </w:tc>
        <w:tc>
          <w:tcPr>
            <w:tcW w:w="7371" w:type="dxa"/>
            <w:tcMar>
              <w:left w:w="28" w:type="dxa"/>
              <w:right w:w="28" w:type="dxa"/>
            </w:tcMar>
            <w:vAlign w:val="center"/>
          </w:tcPr>
          <w:p>
            <w:pPr>
              <w:pStyle w:val="73"/>
              <w:rPr>
                <w:lang w:val="en-GB"/>
              </w:rPr>
            </w:pPr>
            <w:r>
              <w:rPr>
                <w:rFonts w:hint="eastAsia"/>
                <w:lang w:val="en-GB"/>
              </w:rPr>
              <w:t>B</w:t>
            </w:r>
            <w:r>
              <w:rPr>
                <w:lang w:val="en-GB"/>
              </w:rPr>
              <w:t>CB的状态异常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旁路缺零故障</w:t>
            </w:r>
          </w:p>
        </w:tc>
        <w:tc>
          <w:tcPr>
            <w:tcW w:w="7371" w:type="dxa"/>
            <w:tcMar>
              <w:left w:w="28" w:type="dxa"/>
              <w:right w:w="28" w:type="dxa"/>
            </w:tcMar>
            <w:vAlign w:val="center"/>
          </w:tcPr>
          <w:p>
            <w:pPr>
              <w:pStyle w:val="73"/>
            </w:pPr>
            <w:r>
              <w:rPr>
                <w:rFonts w:hint="eastAsia"/>
              </w:rPr>
              <w:t>旁路输入缺零线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旁路过流超时</w:t>
            </w:r>
          </w:p>
        </w:tc>
        <w:tc>
          <w:tcPr>
            <w:tcW w:w="7371" w:type="dxa"/>
            <w:tcMar>
              <w:left w:w="28" w:type="dxa"/>
              <w:right w:w="28" w:type="dxa"/>
            </w:tcMar>
            <w:vAlign w:val="center"/>
          </w:tcPr>
          <w:p>
            <w:pPr>
              <w:pStyle w:val="73"/>
              <w:rPr>
                <w:lang w:val="en-GB"/>
              </w:rPr>
            </w:pPr>
            <w:r>
              <w:rPr>
                <w:lang w:val="en-GB"/>
              </w:rPr>
              <w:t>旁路电流过大</w:t>
            </w:r>
            <w:r>
              <w:rPr>
                <w:rFonts w:hint="eastAsia"/>
                <w:lang w:val="en-GB"/>
              </w:rPr>
              <w:t>，</w:t>
            </w:r>
            <w:r>
              <w:rPr>
                <w:lang w:val="en-GB"/>
              </w:rPr>
              <w:t>超过允许时间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旁路设置中</w:t>
            </w:r>
          </w:p>
        </w:tc>
        <w:tc>
          <w:tcPr>
            <w:tcW w:w="7371" w:type="dxa"/>
            <w:tcMar>
              <w:left w:w="28" w:type="dxa"/>
              <w:right w:w="28" w:type="dxa"/>
            </w:tcMar>
            <w:vAlign w:val="center"/>
          </w:tcPr>
          <w:p>
            <w:pPr>
              <w:pStyle w:val="73"/>
              <w:rPr>
                <w:rFonts w:cs="Arial"/>
                <w:szCs w:val="18"/>
              </w:rPr>
            </w:pPr>
            <w:r>
              <w:rPr>
                <w:rFonts w:hint="eastAsia" w:cs="Arial"/>
                <w:szCs w:val="18"/>
              </w:rPr>
              <w:t>旁路模块启动并同步</w:t>
            </w:r>
          </w:p>
        </w:tc>
      </w:tr>
      <w:tr>
        <w:tblPrEx>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输入空开断开</w:t>
            </w:r>
          </w:p>
        </w:tc>
        <w:tc>
          <w:tcPr>
            <w:tcW w:w="7371" w:type="dxa"/>
            <w:tcMar>
              <w:left w:w="28" w:type="dxa"/>
              <w:right w:w="28" w:type="dxa"/>
            </w:tcMar>
            <w:vAlign w:val="center"/>
          </w:tcPr>
          <w:p>
            <w:pPr>
              <w:pStyle w:val="73"/>
              <w:rPr>
                <w:rFonts w:cs="Arial"/>
                <w:szCs w:val="18"/>
              </w:rPr>
            </w:pPr>
            <w:r>
              <w:rPr>
                <w:rFonts w:hint="eastAsia" w:cs="Arial"/>
                <w:szCs w:val="18"/>
              </w:rPr>
              <w:t>主路输入空开断开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旁路空开断开</w:t>
            </w:r>
          </w:p>
        </w:tc>
        <w:tc>
          <w:tcPr>
            <w:tcW w:w="7371" w:type="dxa"/>
            <w:tcMar>
              <w:left w:w="28" w:type="dxa"/>
              <w:right w:w="28" w:type="dxa"/>
            </w:tcMar>
            <w:vAlign w:val="center"/>
          </w:tcPr>
          <w:p>
            <w:pPr>
              <w:pStyle w:val="73"/>
              <w:rPr>
                <w:rFonts w:cs="Arial"/>
                <w:szCs w:val="18"/>
              </w:rPr>
            </w:pPr>
            <w:r>
              <w:rPr>
                <w:rFonts w:hint="eastAsia" w:cs="Arial"/>
                <w:szCs w:val="18"/>
              </w:rPr>
              <w:t>旁路输入空开断开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维修空开断开</w:t>
            </w:r>
          </w:p>
        </w:tc>
        <w:tc>
          <w:tcPr>
            <w:tcW w:w="7371" w:type="dxa"/>
            <w:tcMar>
              <w:left w:w="28" w:type="dxa"/>
              <w:right w:w="28" w:type="dxa"/>
            </w:tcMar>
            <w:vAlign w:val="center"/>
          </w:tcPr>
          <w:p>
            <w:pPr>
              <w:pStyle w:val="73"/>
              <w:rPr>
                <w:rFonts w:cs="Arial"/>
                <w:szCs w:val="18"/>
              </w:rPr>
            </w:pPr>
            <w:r>
              <w:rPr>
                <w:rFonts w:hint="eastAsia" w:cs="Arial"/>
                <w:szCs w:val="18"/>
              </w:rPr>
              <w:t>维修旁路开关断开</w:t>
            </w:r>
          </w:p>
        </w:tc>
      </w:tr>
      <w:tr>
        <w:tblPrEx>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维修空开闭合</w:t>
            </w:r>
          </w:p>
        </w:tc>
        <w:tc>
          <w:tcPr>
            <w:tcW w:w="7371" w:type="dxa"/>
            <w:tcMar>
              <w:left w:w="28" w:type="dxa"/>
              <w:right w:w="28" w:type="dxa"/>
            </w:tcMar>
            <w:vAlign w:val="center"/>
          </w:tcPr>
          <w:p>
            <w:pPr>
              <w:pStyle w:val="73"/>
              <w:rPr>
                <w:rFonts w:cs="Arial"/>
                <w:szCs w:val="18"/>
              </w:rPr>
            </w:pPr>
            <w:r>
              <w:rPr>
                <w:rFonts w:hint="eastAsia" w:cs="Arial"/>
                <w:szCs w:val="18"/>
              </w:rPr>
              <w:t>维修旁路开关闭合</w:t>
            </w:r>
          </w:p>
        </w:tc>
      </w:tr>
      <w:tr>
        <w:tblPrEx>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输出空开断开</w:t>
            </w:r>
          </w:p>
        </w:tc>
        <w:tc>
          <w:tcPr>
            <w:tcW w:w="7371" w:type="dxa"/>
            <w:tcMar>
              <w:left w:w="28" w:type="dxa"/>
              <w:right w:w="28" w:type="dxa"/>
            </w:tcMar>
            <w:vAlign w:val="center"/>
          </w:tcPr>
          <w:p>
            <w:pPr>
              <w:pStyle w:val="73"/>
              <w:rPr>
                <w:rFonts w:cs="Arial"/>
                <w:szCs w:val="18"/>
              </w:rPr>
            </w:pPr>
            <w:r>
              <w:rPr>
                <w:rFonts w:hint="eastAsia" w:cs="Arial"/>
                <w:szCs w:val="18"/>
              </w:rPr>
              <w:t>UPS 输出开关断开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发电机接入</w:t>
            </w:r>
          </w:p>
        </w:tc>
        <w:tc>
          <w:tcPr>
            <w:tcW w:w="7371" w:type="dxa"/>
            <w:tcMar>
              <w:left w:w="28" w:type="dxa"/>
              <w:right w:w="28" w:type="dxa"/>
            </w:tcMar>
            <w:vAlign w:val="center"/>
          </w:tcPr>
          <w:p>
            <w:pPr>
              <w:pStyle w:val="73"/>
              <w:rPr>
                <w:rFonts w:cs="Arial"/>
                <w:szCs w:val="18"/>
              </w:rPr>
            </w:pPr>
            <w:r>
              <w:rPr>
                <w:rFonts w:hint="eastAsia" w:cs="Arial"/>
                <w:szCs w:val="18"/>
              </w:rPr>
              <w:t>发电机接入UPS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BCB闭合</w:t>
            </w:r>
          </w:p>
        </w:tc>
        <w:tc>
          <w:tcPr>
            <w:tcW w:w="7371" w:type="dxa"/>
            <w:tcMar>
              <w:left w:w="28" w:type="dxa"/>
              <w:right w:w="28" w:type="dxa"/>
            </w:tcMar>
            <w:vAlign w:val="center"/>
          </w:tcPr>
          <w:p>
            <w:pPr>
              <w:pStyle w:val="73"/>
              <w:rPr>
                <w:lang w:val="en-GB"/>
              </w:rPr>
            </w:pPr>
            <w:r>
              <w:rPr>
                <w:rFonts w:hint="eastAsia"/>
                <w:lang w:val="en-GB"/>
              </w:rPr>
              <w:t>电池开关状态（闭合）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BCB断开</w:t>
            </w:r>
          </w:p>
        </w:tc>
        <w:tc>
          <w:tcPr>
            <w:tcW w:w="7371" w:type="dxa"/>
            <w:tcMar>
              <w:left w:w="28" w:type="dxa"/>
              <w:right w:w="28" w:type="dxa"/>
            </w:tcMar>
            <w:vAlign w:val="center"/>
          </w:tcPr>
          <w:p>
            <w:pPr>
              <w:pStyle w:val="73"/>
              <w:rPr>
                <w:lang w:val="en-GB"/>
              </w:rPr>
            </w:pPr>
            <w:r>
              <w:rPr>
                <w:rFonts w:hint="eastAsia"/>
                <w:lang w:val="en-GB"/>
              </w:rPr>
              <w:t>电池开关状态（断开）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故障清除</w:t>
            </w:r>
          </w:p>
        </w:tc>
        <w:tc>
          <w:tcPr>
            <w:tcW w:w="7371" w:type="dxa"/>
            <w:tcMar>
              <w:left w:w="28" w:type="dxa"/>
              <w:right w:w="28" w:type="dxa"/>
            </w:tcMar>
            <w:vAlign w:val="center"/>
          </w:tcPr>
          <w:p>
            <w:pPr>
              <w:pStyle w:val="73"/>
              <w:rPr>
                <w:lang w:val="en-GB"/>
              </w:rPr>
            </w:pPr>
            <w:r>
              <w:rPr>
                <w:rFonts w:hint="eastAsia"/>
                <w:lang w:val="en-GB"/>
              </w:rPr>
              <w:t>点击操作菜单中的故障清除按钮，可进行故障复位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紧急关机</w:t>
            </w:r>
          </w:p>
        </w:tc>
        <w:tc>
          <w:tcPr>
            <w:tcW w:w="7371" w:type="dxa"/>
            <w:tcMar>
              <w:left w:w="28" w:type="dxa"/>
              <w:right w:w="28" w:type="dxa"/>
            </w:tcMar>
            <w:vAlign w:val="center"/>
          </w:tcPr>
          <w:p>
            <w:pPr>
              <w:pStyle w:val="73"/>
              <w:rPr>
                <w:lang w:val="en-GB"/>
              </w:rPr>
            </w:pPr>
            <w:r>
              <w:rPr>
                <w:rFonts w:hint="eastAsia"/>
                <w:lang w:val="en-GB"/>
              </w:rPr>
              <w:t>直接按面板 EPO 开关或收到外部紧急停机命令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电池放电终止</w:t>
            </w:r>
          </w:p>
        </w:tc>
        <w:tc>
          <w:tcPr>
            <w:tcW w:w="7371" w:type="dxa"/>
            <w:tcMar>
              <w:left w:w="28" w:type="dxa"/>
              <w:right w:w="28" w:type="dxa"/>
            </w:tcMar>
            <w:vAlign w:val="center"/>
          </w:tcPr>
          <w:p>
            <w:pPr>
              <w:pStyle w:val="73"/>
              <w:rPr>
                <w:lang w:val="en-GB"/>
              </w:rPr>
            </w:pPr>
            <w:r>
              <w:rPr>
                <w:rFonts w:hint="eastAsia"/>
                <w:lang w:val="en-GB"/>
              </w:rPr>
              <w:t>电池放电到达终止电压，逆变器关闭。检查市电停电状态，尽快恢复市电</w:t>
            </w:r>
          </w:p>
        </w:tc>
      </w:tr>
      <w:tr>
        <w:tblPrEx>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电池需维护</w:t>
            </w:r>
          </w:p>
        </w:tc>
        <w:tc>
          <w:tcPr>
            <w:tcW w:w="7371" w:type="dxa"/>
            <w:tcMar>
              <w:left w:w="28" w:type="dxa"/>
              <w:right w:w="28" w:type="dxa"/>
            </w:tcMar>
            <w:vAlign w:val="center"/>
          </w:tcPr>
          <w:p>
            <w:pPr>
              <w:pStyle w:val="73"/>
              <w:rPr>
                <w:lang w:val="en-GB"/>
              </w:rPr>
            </w:pPr>
            <w:r>
              <w:rPr>
                <w:rFonts w:hint="eastAsia"/>
                <w:lang w:val="en-GB"/>
              </w:rPr>
              <w:t>电池测试失败，需更换电池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电池电压低预告警</w:t>
            </w:r>
          </w:p>
        </w:tc>
        <w:tc>
          <w:tcPr>
            <w:tcW w:w="7371" w:type="dxa"/>
            <w:tcMar>
              <w:left w:w="28" w:type="dxa"/>
              <w:right w:w="28" w:type="dxa"/>
            </w:tcMar>
            <w:vAlign w:val="center"/>
          </w:tcPr>
          <w:p>
            <w:pPr>
              <w:pStyle w:val="73"/>
              <w:rPr>
                <w:lang w:val="en-GB"/>
              </w:rPr>
            </w:pPr>
            <w:r>
              <w:rPr>
                <w:rFonts w:hint="eastAsia"/>
                <w:lang w:val="en-GB"/>
              </w:rPr>
              <w:t>电池到达放电终止电压前出现电池电压低预告警，请及时做好负载断电的准备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自动开机</w:t>
            </w:r>
          </w:p>
        </w:tc>
        <w:tc>
          <w:tcPr>
            <w:tcW w:w="7371" w:type="dxa"/>
            <w:tcMar>
              <w:left w:w="28" w:type="dxa"/>
              <w:right w:w="28" w:type="dxa"/>
            </w:tcMar>
            <w:vAlign w:val="center"/>
          </w:tcPr>
          <w:p>
            <w:pPr>
              <w:pStyle w:val="73"/>
              <w:rPr>
                <w:lang w:val="en-GB"/>
              </w:rPr>
            </w:pPr>
            <w:r>
              <w:rPr>
                <w:rFonts w:hint="eastAsia"/>
                <w:lang w:val="en-GB"/>
              </w:rPr>
              <w:t>电池放电终止导致 UPS 关闭，市电恢复时，逆变器自动启动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强制均充</w:t>
            </w:r>
          </w:p>
        </w:tc>
        <w:tc>
          <w:tcPr>
            <w:tcW w:w="7371" w:type="dxa"/>
            <w:tcMar>
              <w:left w:w="28" w:type="dxa"/>
              <w:right w:w="28" w:type="dxa"/>
            </w:tcMar>
            <w:vAlign w:val="center"/>
          </w:tcPr>
          <w:p>
            <w:pPr>
              <w:pStyle w:val="73"/>
              <w:rPr>
                <w:lang w:val="en-GB"/>
              </w:rPr>
            </w:pPr>
            <w:r>
              <w:rPr>
                <w:rFonts w:hint="eastAsia"/>
                <w:lang w:val="en-GB"/>
              </w:rPr>
              <w:t>通过面板操作，强制电池进入均充状态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电池浅放电测试中</w:t>
            </w:r>
          </w:p>
        </w:tc>
        <w:tc>
          <w:tcPr>
            <w:tcW w:w="7371" w:type="dxa"/>
            <w:tcMar>
              <w:left w:w="28" w:type="dxa"/>
              <w:right w:w="28" w:type="dxa"/>
            </w:tcMar>
            <w:vAlign w:val="center"/>
          </w:tcPr>
          <w:p>
            <w:pPr>
              <w:pStyle w:val="73"/>
              <w:rPr>
                <w:lang w:val="en-GB"/>
              </w:rPr>
            </w:pPr>
            <w:r>
              <w:rPr>
                <w:rFonts w:hint="eastAsia"/>
                <w:lang w:val="en-GB"/>
              </w:rPr>
              <w:t>通过面板操作，进行电池浅放电测试（20％容量放电）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电池周期浅放电测试中</w:t>
            </w:r>
          </w:p>
        </w:tc>
        <w:tc>
          <w:tcPr>
            <w:tcW w:w="7371" w:type="dxa"/>
            <w:tcMar>
              <w:left w:w="28" w:type="dxa"/>
              <w:right w:w="28" w:type="dxa"/>
            </w:tcMar>
            <w:vAlign w:val="center"/>
          </w:tcPr>
          <w:p>
            <w:pPr>
              <w:pStyle w:val="73"/>
              <w:rPr>
                <w:lang w:val="en-GB"/>
              </w:rPr>
            </w:pPr>
            <w:r>
              <w:rPr>
                <w:rFonts w:hint="eastAsia"/>
                <w:lang w:val="en-GB"/>
              </w:rPr>
              <w:t>正在定期自动电池浅放电测试（20％容量放电）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电池深度放电测试中</w:t>
            </w:r>
          </w:p>
        </w:tc>
        <w:tc>
          <w:tcPr>
            <w:tcW w:w="7371" w:type="dxa"/>
            <w:tcMar>
              <w:left w:w="28" w:type="dxa"/>
              <w:right w:w="28" w:type="dxa"/>
            </w:tcMar>
            <w:vAlign w:val="center"/>
          </w:tcPr>
          <w:p>
            <w:pPr>
              <w:pStyle w:val="73"/>
              <w:rPr>
                <w:lang w:val="en-GB"/>
              </w:rPr>
            </w:pPr>
            <w:r>
              <w:rPr>
                <w:rFonts w:hint="eastAsia"/>
                <w:lang w:val="en-GB"/>
              </w:rPr>
              <w:t>通过面板操作，进行电池深度放电测试（100％容量放电）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MonCAN通讯异常</w:t>
            </w:r>
          </w:p>
        </w:tc>
        <w:tc>
          <w:tcPr>
            <w:tcW w:w="7371" w:type="dxa"/>
            <w:tcMar>
              <w:left w:w="28" w:type="dxa"/>
              <w:right w:w="28" w:type="dxa"/>
            </w:tcMar>
            <w:vAlign w:val="center"/>
          </w:tcPr>
          <w:p>
            <w:pPr>
              <w:pStyle w:val="73"/>
              <w:rPr>
                <w:lang w:val="en-GB"/>
              </w:rPr>
            </w:pPr>
            <w:r>
              <w:rPr>
                <w:rFonts w:hint="eastAsia"/>
                <w:lang w:val="en-GB"/>
              </w:rPr>
              <w:t>内部监控与模块之前的通讯异常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整流DSP在线升级</w:t>
            </w:r>
          </w:p>
        </w:tc>
        <w:tc>
          <w:tcPr>
            <w:tcW w:w="7371" w:type="dxa"/>
            <w:tcMar>
              <w:left w:w="28" w:type="dxa"/>
              <w:right w:w="28" w:type="dxa"/>
            </w:tcMar>
            <w:vAlign w:val="center"/>
          </w:tcPr>
          <w:p>
            <w:pPr>
              <w:pStyle w:val="73"/>
              <w:rPr>
                <w:lang w:val="en-GB"/>
              </w:rPr>
            </w:pPr>
            <w:r>
              <w:rPr>
                <w:rFonts w:hint="eastAsia"/>
                <w:lang w:val="en-GB"/>
              </w:rPr>
              <w:t>正在升级功率模块整流DSP软件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逆变DSP在线升级</w:t>
            </w:r>
          </w:p>
        </w:tc>
        <w:tc>
          <w:tcPr>
            <w:tcW w:w="7371" w:type="dxa"/>
            <w:tcMar>
              <w:left w:w="28" w:type="dxa"/>
              <w:right w:w="28" w:type="dxa"/>
            </w:tcMar>
            <w:vAlign w:val="center"/>
          </w:tcPr>
          <w:p>
            <w:pPr>
              <w:pStyle w:val="73"/>
              <w:rPr>
                <w:lang w:val="en-GB"/>
              </w:rPr>
            </w:pPr>
            <w:r>
              <w:rPr>
                <w:rFonts w:hint="eastAsia"/>
                <w:lang w:val="en-GB"/>
              </w:rPr>
              <w:t>正在升级功率模块逆变DSP软件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监控在线升级</w:t>
            </w:r>
          </w:p>
        </w:tc>
        <w:tc>
          <w:tcPr>
            <w:tcW w:w="7371" w:type="dxa"/>
            <w:tcMar>
              <w:left w:w="28" w:type="dxa"/>
              <w:right w:w="28" w:type="dxa"/>
            </w:tcMar>
            <w:vAlign w:val="center"/>
          </w:tcPr>
          <w:p>
            <w:pPr>
              <w:pStyle w:val="73"/>
              <w:rPr>
                <w:lang w:val="en-GB"/>
              </w:rPr>
            </w:pPr>
            <w:r>
              <w:rPr>
                <w:rFonts w:hint="eastAsia"/>
                <w:lang w:val="en-GB"/>
              </w:rPr>
              <w:t>正在升级监控软件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旁路DSP在线升级</w:t>
            </w:r>
          </w:p>
        </w:tc>
        <w:tc>
          <w:tcPr>
            <w:tcW w:w="7371" w:type="dxa"/>
            <w:tcMar>
              <w:left w:w="28" w:type="dxa"/>
              <w:right w:w="28" w:type="dxa"/>
            </w:tcMar>
            <w:vAlign w:val="center"/>
          </w:tcPr>
          <w:p>
            <w:pPr>
              <w:pStyle w:val="73"/>
              <w:rPr>
                <w:lang w:val="en-GB"/>
              </w:rPr>
            </w:pPr>
            <w:r>
              <w:rPr>
                <w:rFonts w:hint="eastAsia"/>
                <w:lang w:val="en-GB"/>
              </w:rPr>
              <w:t>正在升级旁路模块DSP软件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整流FPGA在线升级</w:t>
            </w:r>
          </w:p>
        </w:tc>
        <w:tc>
          <w:tcPr>
            <w:tcW w:w="7371" w:type="dxa"/>
            <w:tcMar>
              <w:left w:w="28" w:type="dxa"/>
              <w:right w:w="28" w:type="dxa"/>
            </w:tcMar>
            <w:vAlign w:val="center"/>
          </w:tcPr>
          <w:p>
            <w:pPr>
              <w:pStyle w:val="73"/>
              <w:rPr>
                <w:lang w:val="en-GB"/>
              </w:rPr>
            </w:pPr>
            <w:r>
              <w:rPr>
                <w:rFonts w:hint="eastAsia"/>
                <w:lang w:val="en-GB"/>
              </w:rPr>
              <w:t>正在升级功率模块整流FPGA软件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逆变FPGA在线升级</w:t>
            </w:r>
          </w:p>
        </w:tc>
        <w:tc>
          <w:tcPr>
            <w:tcW w:w="7371" w:type="dxa"/>
            <w:tcMar>
              <w:left w:w="28" w:type="dxa"/>
              <w:right w:w="28" w:type="dxa"/>
            </w:tcMar>
            <w:vAlign w:val="center"/>
          </w:tcPr>
          <w:p>
            <w:pPr>
              <w:pStyle w:val="73"/>
              <w:rPr>
                <w:lang w:val="en-GB"/>
              </w:rPr>
            </w:pPr>
            <w:r>
              <w:rPr>
                <w:rFonts w:hint="eastAsia"/>
                <w:lang w:val="en-GB"/>
              </w:rPr>
              <w:t>正在升级功率模块逆变FPGA软件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旁路FPGA在线升级</w:t>
            </w:r>
          </w:p>
        </w:tc>
        <w:tc>
          <w:tcPr>
            <w:tcW w:w="7371" w:type="dxa"/>
            <w:tcMar>
              <w:left w:w="28" w:type="dxa"/>
              <w:right w:w="28" w:type="dxa"/>
            </w:tcMar>
            <w:vAlign w:val="center"/>
          </w:tcPr>
          <w:p>
            <w:pPr>
              <w:pStyle w:val="73"/>
              <w:rPr>
                <w:lang w:val="en-GB"/>
              </w:rPr>
            </w:pPr>
            <w:r>
              <w:rPr>
                <w:rFonts w:hint="eastAsia"/>
                <w:lang w:val="en-GB"/>
              </w:rPr>
              <w:t>正在升级旁路模块FPGA软件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远程开机</w:t>
            </w:r>
          </w:p>
        </w:tc>
        <w:tc>
          <w:tcPr>
            <w:tcW w:w="7371" w:type="dxa"/>
            <w:tcMar>
              <w:left w:w="28" w:type="dxa"/>
              <w:right w:w="28" w:type="dxa"/>
            </w:tcMar>
            <w:vAlign w:val="center"/>
          </w:tcPr>
          <w:p>
            <w:pPr>
              <w:pStyle w:val="73"/>
              <w:rPr>
                <w:lang w:val="en-GB"/>
              </w:rPr>
            </w:pPr>
            <w:r>
              <w:rPr>
                <w:rFonts w:hint="eastAsia"/>
                <w:lang w:val="en-GB"/>
              </w:rPr>
              <w:t>通过远程通讯命令开启逆变器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远程开机失败</w:t>
            </w:r>
          </w:p>
        </w:tc>
        <w:tc>
          <w:tcPr>
            <w:tcW w:w="7371" w:type="dxa"/>
            <w:tcMar>
              <w:left w:w="28" w:type="dxa"/>
              <w:right w:w="28" w:type="dxa"/>
            </w:tcMar>
            <w:vAlign w:val="center"/>
          </w:tcPr>
          <w:p>
            <w:pPr>
              <w:pStyle w:val="73"/>
              <w:rPr>
                <w:lang w:val="en-GB"/>
              </w:rPr>
            </w:pPr>
            <w:r>
              <w:rPr>
                <w:rFonts w:hint="eastAsia"/>
                <w:lang w:val="en-GB"/>
              </w:rPr>
              <w:t>逆变器不允许远程开机。原因可能是无效操作（维修开关闭合），直流母线或整流器未准备好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right"/>
        </w:trPr>
        <w:tc>
          <w:tcPr>
            <w:tcW w:w="2223" w:type="dxa"/>
            <w:tcMar>
              <w:left w:w="28" w:type="dxa"/>
              <w:right w:w="28" w:type="dxa"/>
            </w:tcMar>
            <w:vAlign w:val="center"/>
          </w:tcPr>
          <w:p>
            <w:pPr>
              <w:pStyle w:val="73"/>
              <w:rPr>
                <w:lang w:val="en-GB"/>
              </w:rPr>
            </w:pPr>
            <w:r>
              <w:rPr>
                <w:rFonts w:hint="eastAsia"/>
                <w:lang w:val="en-GB"/>
              </w:rPr>
              <w:t>远程关机</w:t>
            </w:r>
          </w:p>
        </w:tc>
        <w:tc>
          <w:tcPr>
            <w:tcW w:w="7371" w:type="dxa"/>
            <w:tcMar>
              <w:left w:w="28" w:type="dxa"/>
              <w:right w:w="28" w:type="dxa"/>
            </w:tcMar>
            <w:vAlign w:val="center"/>
          </w:tcPr>
          <w:p>
            <w:pPr>
              <w:rPr>
                <w:kern w:val="0"/>
                <w:sz w:val="16"/>
                <w:lang w:val="en-GB"/>
              </w:rPr>
            </w:pPr>
            <w:r>
              <w:rPr>
                <w:rFonts w:hint="eastAsia"/>
                <w:kern w:val="0"/>
                <w:sz w:val="16"/>
                <w:lang w:val="en-GB"/>
              </w:rPr>
              <w:t>通过远程通讯命令关闭逆变器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手动开机失败</w:t>
            </w:r>
          </w:p>
        </w:tc>
        <w:tc>
          <w:tcPr>
            <w:tcW w:w="7371" w:type="dxa"/>
            <w:tcMar>
              <w:left w:w="28" w:type="dxa"/>
              <w:right w:w="28" w:type="dxa"/>
            </w:tcMar>
            <w:vAlign w:val="center"/>
          </w:tcPr>
          <w:p>
            <w:pPr>
              <w:rPr>
                <w:kern w:val="0"/>
                <w:sz w:val="16"/>
                <w:lang w:val="en-GB"/>
              </w:rPr>
            </w:pPr>
            <w:r>
              <w:rPr>
                <w:rFonts w:hint="eastAsia"/>
                <w:kern w:val="0"/>
                <w:sz w:val="16"/>
                <w:lang w:val="en-GB"/>
              </w:rPr>
              <w:t>逆变器不允许开机。原因可能是无效操作（维修开关闭合），直流母线或整流器未准备好</w:t>
            </w:r>
          </w:p>
        </w:tc>
      </w:tr>
      <w:tr>
        <w:tblPrEx>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手动关机</w:t>
            </w:r>
          </w:p>
        </w:tc>
        <w:tc>
          <w:tcPr>
            <w:tcW w:w="7371" w:type="dxa"/>
            <w:tcMar>
              <w:left w:w="28" w:type="dxa"/>
              <w:right w:w="28" w:type="dxa"/>
            </w:tcMar>
            <w:vAlign w:val="center"/>
          </w:tcPr>
          <w:p>
            <w:pPr>
              <w:pStyle w:val="73"/>
              <w:rPr>
                <w:lang w:val="en-GB"/>
              </w:rPr>
            </w:pPr>
            <w:r>
              <w:rPr>
                <w:rFonts w:hint="eastAsia"/>
                <w:lang w:val="en-GB"/>
              </w:rPr>
              <w:t>通过面板按键手动关闭逆变器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手动开机</w:t>
            </w:r>
          </w:p>
        </w:tc>
        <w:tc>
          <w:tcPr>
            <w:tcW w:w="7371" w:type="dxa"/>
            <w:tcMar>
              <w:left w:w="28" w:type="dxa"/>
              <w:right w:w="28" w:type="dxa"/>
            </w:tcMar>
            <w:vAlign w:val="center"/>
          </w:tcPr>
          <w:p>
            <w:pPr>
              <w:pStyle w:val="73"/>
              <w:rPr>
                <w:lang w:val="en-GB"/>
              </w:rPr>
            </w:pPr>
            <w:r>
              <w:rPr>
                <w:rFonts w:hint="eastAsia"/>
                <w:lang w:val="en-GB"/>
              </w:rPr>
              <w:t>通过面板按钮手动开启逆变器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告警消音</w:t>
            </w:r>
          </w:p>
        </w:tc>
        <w:tc>
          <w:tcPr>
            <w:tcW w:w="7371" w:type="dxa"/>
            <w:tcMar>
              <w:left w:w="28" w:type="dxa"/>
              <w:right w:w="28" w:type="dxa"/>
            </w:tcMar>
            <w:vAlign w:val="center"/>
          </w:tcPr>
          <w:p>
            <w:pPr>
              <w:pStyle w:val="73"/>
              <w:rPr>
                <w:lang w:val="en-GB"/>
              </w:rPr>
            </w:pPr>
            <w:r>
              <w:rPr>
                <w:rFonts w:hint="eastAsia"/>
                <w:lang w:val="en-GB"/>
              </w:rPr>
              <w:t>点击面板的蜂鸣器消音按钮，可进行告警消音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均不供电</w:t>
            </w:r>
          </w:p>
        </w:tc>
        <w:tc>
          <w:tcPr>
            <w:tcW w:w="7371" w:type="dxa"/>
            <w:tcMar>
              <w:left w:w="28" w:type="dxa"/>
              <w:right w:w="28" w:type="dxa"/>
            </w:tcMar>
            <w:vAlign w:val="center"/>
          </w:tcPr>
          <w:p>
            <w:pPr>
              <w:pStyle w:val="73"/>
              <w:rPr>
                <w:lang w:val="en-GB"/>
              </w:rPr>
            </w:pPr>
            <w:r>
              <w:rPr>
                <w:rFonts w:hint="eastAsia"/>
                <w:lang w:val="en-GB"/>
              </w:rPr>
              <w:t>UPS 关机，输出中断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bookmarkStart w:id="456" w:name="_Hlt322612708"/>
            <w:bookmarkEnd w:id="456"/>
            <w:bookmarkStart w:id="457" w:name="_Hlt212629655"/>
            <w:bookmarkEnd w:id="457"/>
            <w:bookmarkStart w:id="458" w:name="_Hlt133392101"/>
            <w:bookmarkEnd w:id="458"/>
            <w:bookmarkStart w:id="459" w:name="_Hlt133807182"/>
            <w:bookmarkEnd w:id="459"/>
            <w:bookmarkStart w:id="460" w:name="_Hlt322940144"/>
            <w:bookmarkEnd w:id="460"/>
            <w:bookmarkStart w:id="461" w:name="_Hlt133392099"/>
            <w:bookmarkEnd w:id="461"/>
            <w:bookmarkStart w:id="462" w:name="_Hlt241809714"/>
            <w:bookmarkEnd w:id="462"/>
            <w:r>
              <w:rPr>
                <w:rFonts w:hint="eastAsia"/>
                <w:lang w:val="en-GB"/>
              </w:rPr>
              <w:t>旁路供电</w:t>
            </w:r>
          </w:p>
        </w:tc>
        <w:tc>
          <w:tcPr>
            <w:tcW w:w="7371" w:type="dxa"/>
            <w:tcMar>
              <w:left w:w="28" w:type="dxa"/>
              <w:right w:w="28" w:type="dxa"/>
            </w:tcMar>
            <w:vAlign w:val="center"/>
          </w:tcPr>
          <w:p>
            <w:pPr>
              <w:pStyle w:val="73"/>
              <w:rPr>
                <w:lang w:val="en-GB"/>
              </w:rPr>
            </w:pPr>
            <w:r>
              <w:rPr>
                <w:rFonts w:hint="eastAsia"/>
                <w:lang w:val="en-GB"/>
              </w:rPr>
              <w:t>UPS 处于旁路模式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主路逆变供电</w:t>
            </w:r>
          </w:p>
        </w:tc>
        <w:tc>
          <w:tcPr>
            <w:tcW w:w="7371" w:type="dxa"/>
            <w:tcMar>
              <w:left w:w="28" w:type="dxa"/>
              <w:right w:w="28" w:type="dxa"/>
            </w:tcMar>
            <w:vAlign w:val="center"/>
          </w:tcPr>
          <w:p>
            <w:pPr>
              <w:pStyle w:val="73"/>
              <w:rPr>
                <w:lang w:val="en-GB"/>
              </w:rPr>
            </w:pPr>
            <w:r>
              <w:rPr>
                <w:rFonts w:hint="eastAsia"/>
                <w:lang w:val="en-GB"/>
              </w:rPr>
              <w:t>UPS 处于市电逆变供电模式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电池逆变供电</w:t>
            </w:r>
          </w:p>
        </w:tc>
        <w:tc>
          <w:tcPr>
            <w:tcW w:w="7371" w:type="dxa"/>
            <w:tcMar>
              <w:left w:w="28" w:type="dxa"/>
              <w:right w:w="28" w:type="dxa"/>
            </w:tcMar>
            <w:vAlign w:val="center"/>
          </w:tcPr>
          <w:p>
            <w:pPr>
              <w:pStyle w:val="73"/>
              <w:rPr>
                <w:lang w:val="en-GB"/>
              </w:rPr>
            </w:pPr>
            <w:r>
              <w:rPr>
                <w:rFonts w:hint="eastAsia"/>
                <w:lang w:val="en-GB"/>
              </w:rPr>
              <w:t>UPS 处于电池逆变供电模式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输出禁止</w:t>
            </w:r>
          </w:p>
        </w:tc>
        <w:tc>
          <w:tcPr>
            <w:tcW w:w="7371" w:type="dxa"/>
            <w:tcMar>
              <w:left w:w="28" w:type="dxa"/>
              <w:right w:w="28" w:type="dxa"/>
            </w:tcMar>
            <w:vAlign w:val="center"/>
          </w:tcPr>
          <w:p>
            <w:pPr>
              <w:pStyle w:val="73"/>
              <w:rPr>
                <w:lang w:val="en-GB"/>
              </w:rPr>
            </w:pPr>
            <w:r>
              <w:rPr>
                <w:rFonts w:hint="eastAsia"/>
                <w:lang w:val="en-GB"/>
              </w:rPr>
              <w:t>UPS 由于电池放电至截止电压关机，输出中断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电池过温</w:t>
            </w:r>
          </w:p>
        </w:tc>
        <w:tc>
          <w:tcPr>
            <w:tcW w:w="7371" w:type="dxa"/>
            <w:tcMar>
              <w:left w:w="28" w:type="dxa"/>
              <w:right w:w="28" w:type="dxa"/>
            </w:tcMar>
            <w:vAlign w:val="center"/>
          </w:tcPr>
          <w:p>
            <w:pPr>
              <w:pStyle w:val="73"/>
              <w:rPr>
                <w:lang w:val="en-GB"/>
              </w:rPr>
            </w:pPr>
            <w:r>
              <w:rPr>
                <w:rFonts w:hint="eastAsia"/>
                <w:lang w:val="en-GB"/>
              </w:rPr>
              <w:t>电池温度过高。检查电池温度和通风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环境过温</w:t>
            </w:r>
          </w:p>
        </w:tc>
        <w:tc>
          <w:tcPr>
            <w:tcW w:w="7371" w:type="dxa"/>
            <w:tcMar>
              <w:left w:w="28" w:type="dxa"/>
              <w:right w:w="28" w:type="dxa"/>
            </w:tcMar>
            <w:vAlign w:val="center"/>
          </w:tcPr>
          <w:p>
            <w:pPr>
              <w:pStyle w:val="73"/>
              <w:rPr>
                <w:lang w:val="en-GB"/>
              </w:rPr>
            </w:pPr>
            <w:r>
              <w:rPr>
                <w:rFonts w:hint="eastAsia"/>
                <w:lang w:val="en-GB"/>
              </w:rPr>
              <w:t>环境温度过高。检查 UPS 室的通风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均充超时</w:t>
            </w:r>
          </w:p>
        </w:tc>
        <w:tc>
          <w:tcPr>
            <w:tcW w:w="7371" w:type="dxa"/>
            <w:tcMar>
              <w:left w:w="28" w:type="dxa"/>
              <w:right w:w="28" w:type="dxa"/>
            </w:tcMar>
            <w:vAlign w:val="center"/>
          </w:tcPr>
          <w:p>
            <w:pPr>
              <w:pStyle w:val="73"/>
              <w:rPr>
                <w:lang w:val="en-GB"/>
              </w:rPr>
            </w:pPr>
            <w:r>
              <w:rPr>
                <w:rFonts w:hint="eastAsia"/>
                <w:lang w:val="en-GB"/>
              </w:rPr>
              <w:t>电池均充状态时，超过设定的均充时间阀值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旁路超跟踪</w:t>
            </w:r>
          </w:p>
        </w:tc>
        <w:tc>
          <w:tcPr>
            <w:tcW w:w="7371" w:type="dxa"/>
            <w:tcMar>
              <w:left w:w="28" w:type="dxa"/>
              <w:right w:w="28" w:type="dxa"/>
            </w:tcMar>
            <w:vAlign w:val="center"/>
          </w:tcPr>
          <w:p>
            <w:pPr>
              <w:pStyle w:val="73"/>
              <w:rPr>
                <w:lang w:val="en-GB"/>
              </w:rPr>
            </w:pPr>
            <w:r>
              <w:rPr>
                <w:rFonts w:hint="eastAsia"/>
                <w:lang w:val="en-GB"/>
              </w:rPr>
              <w:t>旁路电压振幅或频率超出正常范围时，由逆变器软件程序触发此告警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旁路超保护</w:t>
            </w:r>
          </w:p>
        </w:tc>
        <w:tc>
          <w:tcPr>
            <w:tcW w:w="7371" w:type="dxa"/>
            <w:tcMar>
              <w:left w:w="28" w:type="dxa"/>
              <w:right w:w="28" w:type="dxa"/>
            </w:tcMar>
            <w:vAlign w:val="center"/>
          </w:tcPr>
          <w:p>
            <w:pPr>
              <w:pStyle w:val="73"/>
              <w:rPr>
                <w:lang w:val="en-GB"/>
              </w:rPr>
            </w:pPr>
            <w:r>
              <w:rPr>
                <w:rFonts w:hint="eastAsia"/>
                <w:lang w:val="en-GB"/>
              </w:rPr>
              <w:t>旁路电压振幅或频率过高时，由逆变器软件程序触发此告警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旁路无效</w:t>
            </w:r>
          </w:p>
        </w:tc>
        <w:tc>
          <w:tcPr>
            <w:tcW w:w="7371" w:type="dxa"/>
            <w:tcMar>
              <w:left w:w="28" w:type="dxa"/>
              <w:right w:w="28" w:type="dxa"/>
            </w:tcMar>
            <w:vAlign w:val="center"/>
          </w:tcPr>
          <w:p>
            <w:pPr>
              <w:pStyle w:val="73"/>
              <w:rPr>
                <w:lang w:val="en-GB"/>
              </w:rPr>
            </w:pPr>
            <w:r>
              <w:rPr>
                <w:rFonts w:hint="eastAsia"/>
                <w:lang w:val="en-GB"/>
              </w:rPr>
              <w:t>旁路就绪开关未闭合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故障清除</w:t>
            </w:r>
          </w:p>
        </w:tc>
        <w:tc>
          <w:tcPr>
            <w:tcW w:w="7371" w:type="dxa"/>
            <w:tcMar>
              <w:left w:w="28" w:type="dxa"/>
              <w:right w:w="28" w:type="dxa"/>
            </w:tcMar>
            <w:vAlign w:val="center"/>
          </w:tcPr>
          <w:p>
            <w:pPr>
              <w:pStyle w:val="73"/>
              <w:rPr>
                <w:lang w:val="en-GB"/>
              </w:rPr>
            </w:pPr>
            <w:r>
              <w:rPr>
                <w:rFonts w:hint="eastAsia"/>
                <w:lang w:val="en-GB"/>
              </w:rPr>
              <w:t>点击操作菜单中的故障清除按钮，可进行故障复位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2223" w:type="dxa"/>
            <w:tcMar>
              <w:left w:w="28" w:type="dxa"/>
              <w:right w:w="28" w:type="dxa"/>
            </w:tcMar>
            <w:vAlign w:val="center"/>
          </w:tcPr>
          <w:p>
            <w:pPr>
              <w:pStyle w:val="73"/>
              <w:rPr>
                <w:lang w:val="en-GB"/>
              </w:rPr>
            </w:pPr>
            <w:r>
              <w:rPr>
                <w:rFonts w:hint="eastAsia"/>
                <w:lang w:val="en-GB"/>
              </w:rPr>
              <w:t>充电器需关闭</w:t>
            </w:r>
          </w:p>
        </w:tc>
        <w:tc>
          <w:tcPr>
            <w:tcW w:w="7371" w:type="dxa"/>
            <w:tcMar>
              <w:left w:w="28" w:type="dxa"/>
              <w:right w:w="28" w:type="dxa"/>
            </w:tcMar>
            <w:vAlign w:val="center"/>
          </w:tcPr>
          <w:p>
            <w:pPr>
              <w:pStyle w:val="73"/>
              <w:rPr>
                <w:lang w:val="en-GB"/>
              </w:rPr>
            </w:pPr>
            <w:r>
              <w:rPr>
                <w:rFonts w:hint="eastAsia"/>
                <w:lang w:val="en-GB"/>
              </w:rPr>
              <w:t>锂电池B</w:t>
            </w:r>
            <w:r>
              <w:rPr>
                <w:lang w:val="en-GB"/>
              </w:rPr>
              <w:t>MS传递给</w:t>
            </w:r>
            <w:r>
              <w:rPr>
                <w:rFonts w:hint="eastAsia"/>
                <w:lang w:val="en-GB"/>
              </w:rPr>
              <w:t>U</w:t>
            </w:r>
            <w:r>
              <w:rPr>
                <w:lang w:val="en-GB"/>
              </w:rPr>
              <w:t>PS</w:t>
            </w:r>
            <w:r>
              <w:rPr>
                <w:rFonts w:hint="eastAsia"/>
                <w:lang w:val="en-GB"/>
              </w:rPr>
              <w:t>，</w:t>
            </w:r>
            <w:r>
              <w:rPr>
                <w:lang w:val="en-GB"/>
              </w:rPr>
              <w:t>要求</w:t>
            </w:r>
            <w:r>
              <w:rPr>
                <w:rFonts w:hint="eastAsia"/>
                <w:lang w:val="en-GB"/>
              </w:rPr>
              <w:t>U</w:t>
            </w:r>
            <w:r>
              <w:rPr>
                <w:lang w:val="en-GB"/>
              </w:rPr>
              <w:t>PS关闭充电器</w:t>
            </w:r>
          </w:p>
        </w:tc>
      </w:tr>
    </w:tbl>
    <w:p>
      <w:pPr>
        <w:pStyle w:val="73"/>
        <w:rPr>
          <w:lang w:val="en-GB"/>
        </w:rPr>
        <w:sectPr>
          <w:headerReference r:id="rId22" w:type="default"/>
          <w:type w:val="continuous"/>
          <w:pgSz w:w="11907" w:h="16840"/>
          <w:pgMar w:top="1304" w:right="1134" w:bottom="1134" w:left="737" w:header="851" w:footer="737" w:gutter="0"/>
          <w:cols w:space="720" w:num="1"/>
        </w:sectPr>
      </w:pPr>
    </w:p>
    <w:p>
      <w:pPr>
        <w:pStyle w:val="2"/>
        <w:numPr>
          <w:ilvl w:val="0"/>
          <w:numId w:val="9"/>
        </w:numPr>
      </w:pPr>
      <w:bookmarkStart w:id="463" w:name="_Toc27078"/>
      <w:r>
        <w:rPr>
          <w:rFonts w:hint="eastAsia"/>
        </w:rPr>
        <w:t>操作</w:t>
      </w:r>
      <w:bookmarkEnd w:id="451"/>
      <w:bookmarkEnd w:id="452"/>
      <w:bookmarkEnd w:id="453"/>
      <w:bookmarkEnd w:id="454"/>
      <w:r>
        <w:rPr>
          <w:rFonts w:hint="eastAsia"/>
        </w:rPr>
        <w:t>步骤</w:t>
      </w:r>
      <w:bookmarkEnd w:id="455"/>
      <w:bookmarkEnd w:id="463"/>
    </w:p>
    <w:p>
      <w:pPr>
        <w:pStyle w:val="3"/>
        <w:ind w:firstLine="40"/>
      </w:pPr>
      <w:bookmarkStart w:id="464" w:name="_Toc106419105"/>
      <w:bookmarkStart w:id="465" w:name="_Toc43267907"/>
      <w:bookmarkStart w:id="466" w:name="_Toc101847543"/>
      <w:bookmarkStart w:id="467" w:name="_Toc43197590"/>
      <w:r>
        <w:rPr>
          <w:rFonts w:hint="eastAsia"/>
        </w:rPr>
        <w:t>本章详细介绍UPS的日常操作注意事项和详细操作</w:t>
      </w:r>
      <w:bookmarkStart w:id="468" w:name="_Hlt322958526"/>
      <w:bookmarkEnd w:id="468"/>
      <w:r>
        <w:rPr>
          <w:rFonts w:hint="eastAsia"/>
        </w:rPr>
        <w:t>步骤。</w:t>
      </w:r>
      <w:bookmarkStart w:id="469" w:name="_Toc212952012"/>
      <w:bookmarkStart w:id="470" w:name="_Toc181776176"/>
      <w:bookmarkStart w:id="471" w:name="_Toc512794866"/>
      <w:bookmarkStart w:id="472" w:name="_Toc181760610"/>
    </w:p>
    <w:p>
      <w:pPr>
        <w:pStyle w:val="4"/>
        <w:numPr>
          <w:ilvl w:val="1"/>
          <w:numId w:val="9"/>
        </w:numPr>
        <w:rPr>
          <w:szCs w:val="22"/>
        </w:rPr>
      </w:pPr>
      <w:bookmarkStart w:id="473" w:name="_Toc6211"/>
      <w:r>
        <w:rPr>
          <w:rFonts w:hint="eastAsia"/>
          <w:szCs w:val="22"/>
        </w:rPr>
        <w:t>注意事项</w:t>
      </w:r>
      <w:bookmarkEnd w:id="473"/>
    </w:p>
    <w:tbl>
      <w:tblPr>
        <w:tblStyle w:val="50"/>
        <w:tblW w:w="9393"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right"/>
        </w:trPr>
        <w:tc>
          <w:tcPr>
            <w:tcW w:w="9393" w:type="dxa"/>
            <w:vAlign w:val="center"/>
          </w:tcPr>
          <w:p>
            <w:pPr>
              <w:pStyle w:val="72"/>
              <w:spacing w:before="36" w:beforeLines="15" w:line="276" w:lineRule="auto"/>
              <w:jc w:val="both"/>
              <w:rPr>
                <w:rStyle w:val="87"/>
              </w:rPr>
            </w:pPr>
            <w:r>
              <w:rPr>
                <w:rStyle w:val="87"/>
              </w:rPr>
              <w:drawing>
                <wp:inline distT="0" distB="0" distL="0" distR="0">
                  <wp:extent cx="315595" cy="267970"/>
                  <wp:effectExtent l="0" t="0" r="8255" b="0"/>
                  <wp:docPr id="72" name="图片 72" descr="图形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图形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315595" cy="267970"/>
                          </a:xfrm>
                          <a:prstGeom prst="rect">
                            <a:avLst/>
                          </a:prstGeom>
                          <a:noFill/>
                          <a:ln>
                            <a:noFill/>
                          </a:ln>
                        </pic:spPr>
                      </pic:pic>
                    </a:graphicData>
                  </a:graphic>
                </wp:inline>
              </w:drawing>
            </w:r>
            <w:r>
              <w:rPr>
                <w:rStyle w:val="87"/>
                <w:rFonts w:hint="eastAsia"/>
              </w:rPr>
              <w:t>重要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right"/>
        </w:trPr>
        <w:tc>
          <w:tcPr>
            <w:tcW w:w="9393" w:type="dxa"/>
            <w:vAlign w:val="center"/>
          </w:tcPr>
          <w:p>
            <w:pPr>
              <w:pStyle w:val="73"/>
            </w:pPr>
            <w:r>
              <w:rPr>
                <w:rFonts w:hint="eastAsia"/>
              </w:rPr>
              <w:t>必须由授权工程师进行首次上电启动和调试后，用户才可进行相关操作。</w:t>
            </w:r>
          </w:p>
        </w:tc>
      </w:tr>
    </w:tbl>
    <w:p>
      <w:pPr>
        <w:pStyle w:val="79"/>
      </w:pPr>
    </w:p>
    <w:tbl>
      <w:tblPr>
        <w:tblStyle w:val="50"/>
        <w:tblW w:w="9393"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right"/>
        </w:trPr>
        <w:tc>
          <w:tcPr>
            <w:tcW w:w="9393" w:type="dxa"/>
            <w:vAlign w:val="center"/>
          </w:tcPr>
          <w:p>
            <w:pPr>
              <w:pStyle w:val="72"/>
              <w:spacing w:before="36" w:beforeLines="15" w:line="276" w:lineRule="auto"/>
              <w:jc w:val="both"/>
              <w:rPr>
                <w:rStyle w:val="87"/>
              </w:rPr>
            </w:pPr>
            <w:r>
              <w:rPr>
                <w:rStyle w:val="87"/>
              </w:rPr>
              <w:drawing>
                <wp:inline distT="0" distB="0" distL="0" distR="0">
                  <wp:extent cx="646430" cy="283845"/>
                  <wp:effectExtent l="0" t="0" r="1270" b="1905"/>
                  <wp:docPr id="71" name="图片 71"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6430" cy="283845"/>
                          </a:xfrm>
                          <a:prstGeom prst="rect">
                            <a:avLst/>
                          </a:prstGeom>
                          <a:noFill/>
                          <a:ln>
                            <a:noFill/>
                          </a:ln>
                        </pic:spPr>
                      </pic:pic>
                    </a:graphicData>
                  </a:graphic>
                </wp:inline>
              </w:drawing>
            </w:r>
            <w:r>
              <w:rPr>
                <w:rStyle w:val="87"/>
                <w:rFonts w:hint="eastAsia"/>
              </w:rPr>
              <w:t>警告：危险市电和</w:t>
            </w:r>
            <w:r>
              <w:rPr>
                <w:rStyle w:val="87"/>
              </w:rPr>
              <w:t>/</w:t>
            </w:r>
            <w:r>
              <w:rPr>
                <w:rStyle w:val="87"/>
                <w:rFonts w:hint="eastAsia"/>
              </w:rPr>
              <w:t>或电池电压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right"/>
        </w:trPr>
        <w:tc>
          <w:tcPr>
            <w:tcW w:w="9393" w:type="dxa"/>
            <w:vAlign w:val="center"/>
          </w:tcPr>
          <w:p>
            <w:pPr>
              <w:pStyle w:val="73"/>
            </w:pPr>
            <w:r>
              <w:rPr>
                <w:rFonts w:hint="eastAsia"/>
              </w:rPr>
              <w:t>1．需工具才可打开的保护盖板/内门后面的部件为用户不可操作部件。只有合格维护人员才允许打开此类保护盖板/内门。</w:t>
            </w:r>
          </w:p>
          <w:p>
            <w:pPr>
              <w:pStyle w:val="73"/>
            </w:pPr>
            <w:r>
              <w:rPr>
                <w:rFonts w:hint="eastAsia"/>
              </w:rPr>
              <w:t>2．任何时候UPS的交流输入和输出接线端子都带有危险电压。若机柜安装有EMC滤波器，该滤波器也会带有危险电压。</w:t>
            </w:r>
          </w:p>
        </w:tc>
      </w:tr>
    </w:tbl>
    <w:p>
      <w:pPr>
        <w:pStyle w:val="79"/>
      </w:pPr>
    </w:p>
    <w:p>
      <w:pPr>
        <w:pStyle w:val="3"/>
      </w:pPr>
      <w:r>
        <w:rPr>
          <w:rFonts w:hint="eastAsia"/>
        </w:rPr>
        <w:t>1．操作步骤中所涉及的所有监控面和</w:t>
      </w:r>
      <w:r>
        <w:t>LED</w:t>
      </w:r>
      <w:r>
        <w:rPr>
          <w:rFonts w:hint="eastAsia"/>
        </w:rPr>
        <w:t>显示参见</w:t>
      </w:r>
      <w:r>
        <w:rPr>
          <w:rFonts w:hint="eastAsia"/>
          <w:b/>
        </w:rPr>
        <w:t>第四章控制与显示</w:t>
      </w:r>
      <w:r>
        <w:rPr>
          <w:rFonts w:hint="eastAsia"/>
        </w:rPr>
        <w:t>。</w:t>
      </w:r>
    </w:p>
    <w:p>
      <w:pPr>
        <w:pStyle w:val="3"/>
      </w:pPr>
      <w:r>
        <w:rPr>
          <w:rFonts w:hint="eastAsia"/>
        </w:rPr>
        <w:t>2．运行操作时，可能随时出现蜂鸣器告警。</w:t>
      </w:r>
    </w:p>
    <w:p>
      <w:pPr>
        <w:pStyle w:val="3"/>
      </w:pPr>
      <w:r>
        <w:rPr>
          <w:rFonts w:hint="eastAsia"/>
        </w:rPr>
        <w:t>3．当UPS采用传统的铅酸电池时，UPS系统提供均充充电的可选功能。当选用铅酸电池时，在市电长时间断电后恢复供电时，电池充电电压要比正常充电电压高。这是正常的，几个小时充电后，电池充电电压将恢复正常值。</w:t>
      </w:r>
    </w:p>
    <w:p>
      <w:pPr>
        <w:pStyle w:val="83"/>
        <w:numPr>
          <w:ilvl w:val="6"/>
          <w:numId w:val="10"/>
        </w:numPr>
        <w:ind w:left="3828"/>
        <w:jc w:val="left"/>
        <w:sectPr>
          <w:headerReference r:id="rId23" w:type="default"/>
          <w:type w:val="continuous"/>
          <w:pgSz w:w="11907" w:h="16840"/>
          <w:pgMar w:top="1304" w:right="1134" w:bottom="1134" w:left="737" w:header="851" w:footer="737" w:gutter="0"/>
          <w:cols w:space="720" w:num="1"/>
        </w:sectPr>
      </w:pPr>
    </w:p>
    <w:p>
      <w:pPr>
        <w:pStyle w:val="4"/>
        <w:numPr>
          <w:ilvl w:val="1"/>
          <w:numId w:val="9"/>
        </w:numPr>
        <w:rPr>
          <w:szCs w:val="22"/>
        </w:rPr>
      </w:pPr>
      <w:bookmarkStart w:id="474" w:name="_Toc24925"/>
      <w:r>
        <w:rPr>
          <w:rFonts w:hint="eastAsia"/>
          <w:szCs w:val="22"/>
        </w:rPr>
        <w:t>UPS开机步骤</w:t>
      </w:r>
      <w:bookmarkEnd w:id="474"/>
    </w:p>
    <w:p>
      <w:pPr>
        <w:pStyle w:val="3"/>
        <w:ind w:firstLine="29"/>
      </w:pPr>
      <w:r>
        <w:t>UPS</w:t>
      </w:r>
      <w:r>
        <w:rPr>
          <w:rFonts w:hint="eastAsia"/>
        </w:rPr>
        <w:t>必须安装完毕，并由授权工程师调试正常，且外部电源输入开关已闭合，方可执行开机步骤。</w:t>
      </w:r>
    </w:p>
    <w:p>
      <w:pPr>
        <w:pStyle w:val="5"/>
        <w:numPr>
          <w:ilvl w:val="2"/>
          <w:numId w:val="9"/>
        </w:numPr>
        <w:rPr>
          <w:szCs w:val="22"/>
          <w:lang w:val="en-GB"/>
        </w:rPr>
      </w:pPr>
      <w:bookmarkStart w:id="475" w:name="_Toc17169"/>
      <w:r>
        <w:rPr>
          <w:rFonts w:hint="eastAsia"/>
          <w:szCs w:val="22"/>
          <w:lang w:val="en-GB"/>
        </w:rPr>
        <w:t>正常模式开机步骤</w:t>
      </w:r>
      <w:bookmarkEnd w:id="475"/>
    </w:p>
    <w:tbl>
      <w:tblPr>
        <w:tblStyle w:val="50"/>
        <w:tblW w:w="9356"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56" w:type="dxa"/>
            <w:tcBorders>
              <w:bottom w:val="nil"/>
            </w:tcBorders>
            <w:vAlign w:val="center"/>
          </w:tcPr>
          <w:p>
            <w:pPr>
              <w:pStyle w:val="72"/>
              <w:spacing w:before="36" w:beforeLines="15" w:line="276" w:lineRule="auto"/>
              <w:jc w:val="both"/>
              <w:rPr>
                <w:rStyle w:val="87"/>
              </w:rPr>
            </w:pPr>
            <w:r>
              <w:rPr>
                <w:rStyle w:val="87"/>
              </w:rPr>
              <w:drawing>
                <wp:inline distT="0" distB="0" distL="0" distR="0">
                  <wp:extent cx="646430" cy="283845"/>
                  <wp:effectExtent l="0" t="0" r="1270" b="1905"/>
                  <wp:docPr id="69" name="图片 69"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6430" cy="283845"/>
                          </a:xfrm>
                          <a:prstGeom prst="rect">
                            <a:avLst/>
                          </a:prstGeom>
                          <a:noFill/>
                          <a:ln>
                            <a:noFill/>
                          </a:ln>
                        </pic:spPr>
                      </pic:pic>
                    </a:graphicData>
                  </a:graphic>
                </wp:inline>
              </w:drawing>
            </w:r>
            <w:r>
              <w:rPr>
                <w:rStyle w:val="87"/>
                <w:rFonts w:hint="eastAsia"/>
              </w:rPr>
              <w:t>警告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56" w:type="dxa"/>
            <w:vAlign w:val="center"/>
          </w:tcPr>
          <w:p>
            <w:pPr>
              <w:pStyle w:val="73"/>
              <w:rPr>
                <w:i/>
                <w:lang w:val="en-GB"/>
              </w:rPr>
            </w:pPr>
            <w:r>
              <w:rPr>
                <w:rFonts w:hint="eastAsia"/>
                <w:lang w:val="en-GB"/>
              </w:rPr>
              <w:t>此操作步骤将使UPS输出端子带电</w:t>
            </w:r>
            <w:r>
              <w:rPr>
                <w:rFonts w:hint="eastAsia"/>
              </w:rPr>
              <w:t>。如有负载与</w:t>
            </w:r>
            <w:r>
              <w:t>UPS</w:t>
            </w:r>
            <w:r>
              <w:rPr>
                <w:rFonts w:hint="eastAsia"/>
              </w:rPr>
              <w:t>输出端子相连接，请向用户确认给负载供电是否安全。如果负载尚未准备好接受供电，</w:t>
            </w:r>
            <w:r>
              <w:rPr>
                <w:rFonts w:hint="eastAsia"/>
                <w:lang w:val="en-GB"/>
              </w:rPr>
              <w:t>请断开下级负载连接开关，并在负载连接处贴上警告标签。</w:t>
            </w:r>
          </w:p>
        </w:tc>
      </w:tr>
    </w:tbl>
    <w:p>
      <w:pPr>
        <w:pStyle w:val="3"/>
      </w:pPr>
      <w:r>
        <w:rPr>
          <w:rFonts w:hint="eastAsia"/>
        </w:rPr>
        <w:t>以下开机步骤适用于在</w:t>
      </w:r>
      <w:r>
        <w:t>UPS</w:t>
      </w:r>
      <w:r>
        <w:rPr>
          <w:rFonts w:hint="eastAsia"/>
        </w:rPr>
        <w:t>处于完全断电状态下对</w:t>
      </w:r>
      <w:r>
        <w:t>UPS</w:t>
      </w:r>
      <w:r>
        <w:rPr>
          <w:rFonts w:hint="eastAsia"/>
        </w:rPr>
        <w:t>进行开机。</w:t>
      </w:r>
    </w:p>
    <w:p>
      <w:pPr>
        <w:pStyle w:val="3"/>
      </w:pPr>
      <w:r>
        <w:rPr>
          <w:rFonts w:hint="eastAsia"/>
        </w:rPr>
        <w:t>1．打开UPS前门，确认内部维修旁路开关Q3为断开状态，接入电缆与接线排可靠连接。</w:t>
      </w:r>
    </w:p>
    <w:tbl>
      <w:tblPr>
        <w:tblStyle w:val="50"/>
        <w:tblW w:w="9356"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56" w:type="dxa"/>
            <w:tcBorders>
              <w:bottom w:val="nil"/>
            </w:tcBorders>
            <w:vAlign w:val="center"/>
          </w:tcPr>
          <w:p>
            <w:pPr>
              <w:pStyle w:val="72"/>
              <w:spacing w:before="36" w:beforeLines="15" w:line="276" w:lineRule="auto"/>
              <w:jc w:val="both"/>
            </w:pPr>
            <w:r>
              <w:drawing>
                <wp:inline distT="0" distB="0" distL="0" distR="0">
                  <wp:extent cx="725170" cy="315595"/>
                  <wp:effectExtent l="0" t="0" r="0" b="8255"/>
                  <wp:docPr id="68" name="图片 68"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rPr>
              <w:t>警告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56" w:type="dxa"/>
            <w:vAlign w:val="center"/>
          </w:tcPr>
          <w:p>
            <w:pPr>
              <w:pStyle w:val="73"/>
              <w:rPr>
                <w:i/>
                <w:lang w:val="en-GB"/>
              </w:rPr>
            </w:pPr>
            <w:r>
              <w:rPr>
                <w:rFonts w:hint="eastAsia"/>
                <w:lang w:val="en-GB"/>
              </w:rPr>
              <w:t>所有涉及维修旁路开关断开或闭合的操作应在3秒内完成，以免误报故障。</w:t>
            </w:r>
          </w:p>
        </w:tc>
      </w:tr>
    </w:tbl>
    <w:p>
      <w:pPr>
        <w:pStyle w:val="3"/>
        <w:rPr>
          <w:kern w:val="0"/>
        </w:rPr>
      </w:pPr>
      <w:r>
        <w:rPr>
          <w:rFonts w:hint="eastAsia"/>
          <w:kern w:val="0"/>
        </w:rPr>
        <w:t>2．依次</w:t>
      </w:r>
      <w:r>
        <w:rPr>
          <w:rFonts w:hint="eastAsia"/>
          <w:kern w:val="0"/>
          <w:lang w:val="en-GB"/>
        </w:rPr>
        <w:t>闭合</w:t>
      </w:r>
      <w:r>
        <w:rPr>
          <w:rFonts w:hint="eastAsia"/>
          <w:lang w:val="en-GB"/>
        </w:rPr>
        <w:t>旁路输入开关Q2（如有）、主路输入开关Q1、</w:t>
      </w:r>
      <w:r>
        <w:rPr>
          <w:rFonts w:hint="eastAsia"/>
          <w:kern w:val="0"/>
        </w:rPr>
        <w:t>输出开关</w:t>
      </w:r>
      <w:r>
        <w:rPr>
          <w:kern w:val="0"/>
        </w:rPr>
        <w:t>Q</w:t>
      </w:r>
      <w:r>
        <w:rPr>
          <w:rFonts w:hint="eastAsia"/>
          <w:kern w:val="0"/>
        </w:rPr>
        <w:t>5和</w:t>
      </w:r>
      <w:r>
        <w:rPr>
          <w:rFonts w:hint="eastAsia"/>
        </w:rPr>
        <w:t>外置电池开关</w:t>
      </w:r>
      <w:r>
        <w:rPr>
          <w:rFonts w:hint="eastAsia"/>
          <w:kern w:val="0"/>
        </w:rPr>
        <w:t>。</w:t>
      </w:r>
    </w:p>
    <w:p>
      <w:pPr>
        <w:pStyle w:val="3"/>
      </w:pPr>
      <w:r>
        <w:rPr>
          <w:rFonts w:hint="eastAsia"/>
          <w:lang w:val="en-GB"/>
        </w:rPr>
        <w:t>此时，系统上电</w:t>
      </w:r>
      <w:r>
        <w:rPr>
          <w:rFonts w:hint="eastAsia"/>
        </w:rPr>
        <w:t>，屏幕出现启动屏。</w:t>
      </w:r>
    </w:p>
    <w:p>
      <w:pPr>
        <w:pStyle w:val="3"/>
        <w:rPr>
          <w:kern w:val="0"/>
        </w:rPr>
      </w:pPr>
      <w:r>
        <w:rPr>
          <w:rFonts w:hint="eastAsia"/>
          <w:kern w:val="0"/>
        </w:rPr>
        <w:t>约25秒后，</w:t>
      </w:r>
      <w:r>
        <w:rPr>
          <w:rFonts w:hint="eastAsia"/>
          <w:szCs w:val="18"/>
        </w:rPr>
        <w:t>需确认触摸屏是否显示</w:t>
      </w:r>
      <w:r>
        <w:rPr>
          <w:rFonts w:hint="eastAsia"/>
        </w:rPr>
        <w:t>旁路与主路输入供电正常，反之则检查开关Q2和Q1是否已经闭合</w:t>
      </w:r>
      <w:r>
        <w:rPr>
          <w:rFonts w:hint="eastAsia"/>
          <w:szCs w:val="18"/>
        </w:rPr>
        <w:t>。整流器启动，功率模块面板上的</w:t>
      </w:r>
      <w:r>
        <w:rPr>
          <w:rFonts w:hint="eastAsia"/>
        </w:rPr>
        <w:t>整流器指示灯（REC）呈绿色闪烁。</w:t>
      </w:r>
      <w:r>
        <w:rPr>
          <w:rFonts w:hint="eastAsia"/>
          <w:szCs w:val="18"/>
        </w:rPr>
        <w:t>整流器进入正常运行状态后约 30s，</w:t>
      </w:r>
      <w:r>
        <w:rPr>
          <w:rFonts w:hint="eastAsia"/>
        </w:rPr>
        <w:t>整流器指示灯（REC）呈绿色稳态常亮。初始化后，</w:t>
      </w:r>
      <w:r>
        <w:rPr>
          <w:rFonts w:hint="eastAsia"/>
          <w:szCs w:val="18"/>
        </w:rPr>
        <w:t>旁路静态开关闭合，</w:t>
      </w:r>
      <w:r>
        <w:rPr>
          <w:rFonts w:hint="eastAsia"/>
          <w:kern w:val="0"/>
        </w:rPr>
        <w:t>系统由旁路供电，主界面中的能量流图中各状态条颜色如下图5-1所示。</w:t>
      </w:r>
    </w:p>
    <w:p>
      <w:pPr>
        <w:pStyle w:val="3"/>
        <w:jc w:val="center"/>
      </w:pPr>
      <w:r>
        <w:rPr>
          <w:rFonts w:hint="eastAsia"/>
        </w:rPr>
        <w:drawing>
          <wp:inline distT="0" distB="0" distL="0" distR="0">
            <wp:extent cx="4083050" cy="2301875"/>
            <wp:effectExtent l="0" t="0" r="0" b="3175"/>
            <wp:docPr id="67" name="图片 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a:xfrm>
                      <a:off x="0" y="0"/>
                      <a:ext cx="4083050" cy="2301875"/>
                    </a:xfrm>
                    <a:prstGeom prst="rect">
                      <a:avLst/>
                    </a:prstGeom>
                    <a:noFill/>
                    <a:ln>
                      <a:noFill/>
                    </a:ln>
                  </pic:spPr>
                </pic:pic>
              </a:graphicData>
            </a:graphic>
          </wp:inline>
        </w:drawing>
      </w:r>
    </w:p>
    <w:p>
      <w:pPr>
        <w:pStyle w:val="83"/>
        <w:numPr>
          <w:ilvl w:val="6"/>
          <w:numId w:val="4"/>
        </w:numPr>
        <w:rPr>
          <w:lang w:val="en-GB"/>
        </w:rPr>
      </w:pPr>
      <w:r>
        <w:rPr>
          <w:rFonts w:hint="eastAsia"/>
          <w:lang w:val="en-GB"/>
        </w:rPr>
        <w:t>旁路供电运行功率流图</w:t>
      </w:r>
    </w:p>
    <w:p>
      <w:pPr>
        <w:pStyle w:val="3"/>
      </w:pPr>
      <w:r>
        <w:rPr>
          <w:rFonts w:hint="eastAsia"/>
        </w:rPr>
        <w:t>3．进入控制菜单界面，点击“</w:t>
      </w:r>
      <w:r>
        <w:t>逆变开启</w:t>
      </w:r>
      <w:r>
        <w:rPr>
          <w:rFonts w:ascii="宋体" w:hAnsi="宋体"/>
        </w:rPr>
        <w:t>”并点击确定。</w:t>
      </w:r>
    </w:p>
    <w:p>
      <w:pPr>
        <w:pStyle w:val="3"/>
      </w:pPr>
      <w:r>
        <w:rPr>
          <w:rFonts w:hint="eastAsia"/>
        </w:rPr>
        <w:t>逆变器启动，</w:t>
      </w:r>
      <w:r>
        <w:rPr>
          <w:rFonts w:hint="eastAsia"/>
          <w:szCs w:val="18"/>
        </w:rPr>
        <w:t>功率模块面板上的逆变</w:t>
      </w:r>
      <w:r>
        <w:rPr>
          <w:rFonts w:hint="eastAsia"/>
        </w:rPr>
        <w:t>器指示灯（INV）呈绿色闪烁。逆变器正常运行后，UPS从旁路供电状态切换到逆变器供电状态，</w:t>
      </w:r>
      <w:r>
        <w:rPr>
          <w:rFonts w:hint="eastAsia"/>
          <w:szCs w:val="18"/>
        </w:rPr>
        <w:t>逆变</w:t>
      </w:r>
      <w:r>
        <w:rPr>
          <w:rFonts w:hint="eastAsia"/>
        </w:rPr>
        <w:t>器指示灯（INV）呈绿色常亮。能量流图中的逆变器状态条变绿，如图5-2所示。</w:t>
      </w:r>
    </w:p>
    <w:p>
      <w:pPr>
        <w:pStyle w:val="3"/>
        <w:jc w:val="center"/>
      </w:pPr>
      <w:r>
        <w:rPr>
          <w:rFonts w:hint="eastAsia"/>
        </w:rPr>
        <w:drawing>
          <wp:inline distT="0" distB="0" distL="0" distR="0">
            <wp:extent cx="4130675" cy="2332990"/>
            <wp:effectExtent l="0" t="0" r="3175" b="0"/>
            <wp:docPr id="66" name="图片 6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4130675" cy="2332990"/>
                    </a:xfrm>
                    <a:prstGeom prst="rect">
                      <a:avLst/>
                    </a:prstGeom>
                    <a:noFill/>
                    <a:ln>
                      <a:noFill/>
                    </a:ln>
                  </pic:spPr>
                </pic:pic>
              </a:graphicData>
            </a:graphic>
          </wp:inline>
        </w:drawing>
      </w:r>
    </w:p>
    <w:p>
      <w:pPr>
        <w:pStyle w:val="83"/>
        <w:numPr>
          <w:ilvl w:val="6"/>
          <w:numId w:val="4"/>
        </w:numPr>
        <w:rPr>
          <w:lang w:val="en-GB"/>
        </w:rPr>
      </w:pPr>
      <w:r>
        <w:rPr>
          <w:rFonts w:hint="eastAsia"/>
          <w:lang w:val="en-GB"/>
        </w:rPr>
        <w:t>正常模式运行功率流图</w:t>
      </w:r>
    </w:p>
    <w:p>
      <w:pPr>
        <w:pStyle w:val="5"/>
        <w:numPr>
          <w:ilvl w:val="2"/>
          <w:numId w:val="9"/>
        </w:numPr>
        <w:rPr>
          <w:szCs w:val="22"/>
          <w:lang w:val="en-GB"/>
        </w:rPr>
      </w:pPr>
      <w:bookmarkStart w:id="476" w:name="_Toc30428"/>
      <w:r>
        <w:rPr>
          <w:rFonts w:hint="eastAsia"/>
          <w:szCs w:val="22"/>
          <w:lang w:val="en-GB"/>
        </w:rPr>
        <w:t>经济运行（ECO）模式开机步骤</w:t>
      </w:r>
      <w:bookmarkEnd w:id="476"/>
    </w:p>
    <w:p>
      <w:pPr>
        <w:pStyle w:val="3"/>
        <w:rPr>
          <w:kern w:val="0"/>
          <w:lang w:val="en-GB"/>
        </w:rPr>
      </w:pPr>
      <w:r>
        <w:rPr>
          <w:rFonts w:hint="eastAsia"/>
          <w:kern w:val="0"/>
          <w:lang w:val="en-GB"/>
        </w:rPr>
        <w:t>仅适用于服务工程师已设置ECO模式的单机系统。</w:t>
      </w:r>
    </w:p>
    <w:p>
      <w:pPr>
        <w:pStyle w:val="3"/>
      </w:pPr>
      <w:r>
        <w:rPr>
          <w:rFonts w:hint="eastAsia"/>
        </w:rPr>
        <w:t>1．打开UPS前门，确认内部维修旁路开关Q3为断开状态，接入电缆与接线排可靠连接。</w:t>
      </w:r>
    </w:p>
    <w:tbl>
      <w:tblPr>
        <w:tblStyle w:val="50"/>
        <w:tblW w:w="9323"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2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23" w:type="dxa"/>
            <w:tcBorders>
              <w:bottom w:val="nil"/>
            </w:tcBorders>
            <w:vAlign w:val="center"/>
          </w:tcPr>
          <w:p>
            <w:pPr>
              <w:pStyle w:val="72"/>
              <w:spacing w:before="36" w:beforeLines="15" w:line="276" w:lineRule="auto"/>
              <w:jc w:val="both"/>
            </w:pPr>
            <w:r>
              <w:drawing>
                <wp:inline distT="0" distB="0" distL="0" distR="0">
                  <wp:extent cx="725170" cy="315595"/>
                  <wp:effectExtent l="0" t="0" r="0" b="8255"/>
                  <wp:docPr id="65" name="图片 65"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rPr>
              <w:t>警告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23" w:type="dxa"/>
            <w:vAlign w:val="center"/>
          </w:tcPr>
          <w:p>
            <w:pPr>
              <w:pStyle w:val="73"/>
              <w:rPr>
                <w:i/>
                <w:lang w:val="en-GB"/>
              </w:rPr>
            </w:pPr>
            <w:r>
              <w:rPr>
                <w:rFonts w:hint="eastAsia"/>
                <w:lang w:val="en-GB"/>
              </w:rPr>
              <w:t>所有涉及维修旁路开关断开或闭合的操作应在3秒钟内完成，以免误报故障。</w:t>
            </w:r>
          </w:p>
        </w:tc>
      </w:tr>
    </w:tbl>
    <w:p>
      <w:pPr>
        <w:pStyle w:val="3"/>
      </w:pPr>
      <w:r>
        <w:rPr>
          <w:rFonts w:hint="eastAsia"/>
        </w:rPr>
        <w:t>2．依次</w:t>
      </w:r>
      <w:r>
        <w:rPr>
          <w:rFonts w:hint="eastAsia"/>
          <w:lang w:val="en-GB"/>
        </w:rPr>
        <w:t>闭合旁路开关Q2（如有）、主路输入开关Q1、</w:t>
      </w:r>
      <w:r>
        <w:rPr>
          <w:rFonts w:hint="eastAsia"/>
        </w:rPr>
        <w:t>输出开关Q5和所有外部输出隔离开关（如有）。</w:t>
      </w:r>
    </w:p>
    <w:p>
      <w:pPr>
        <w:pStyle w:val="3"/>
      </w:pPr>
      <w:r>
        <w:rPr>
          <w:rFonts w:hint="eastAsia"/>
          <w:lang w:val="en-GB"/>
        </w:rPr>
        <w:t>此时，系统上电</w:t>
      </w:r>
      <w:r>
        <w:rPr>
          <w:rFonts w:hint="eastAsia"/>
        </w:rPr>
        <w:t>，屏幕出现启动屏。</w:t>
      </w:r>
    </w:p>
    <w:p>
      <w:pPr>
        <w:pStyle w:val="3"/>
        <w:rPr>
          <w:kern w:val="0"/>
        </w:rPr>
      </w:pPr>
      <w:r>
        <w:rPr>
          <w:rFonts w:hint="eastAsia"/>
          <w:kern w:val="0"/>
        </w:rPr>
        <w:t>约25秒后，</w:t>
      </w:r>
      <w:r>
        <w:rPr>
          <w:rFonts w:hint="eastAsia"/>
          <w:szCs w:val="18"/>
        </w:rPr>
        <w:t>需确认触摸屏是否显示</w:t>
      </w:r>
      <w:r>
        <w:rPr>
          <w:rFonts w:hint="eastAsia"/>
        </w:rPr>
        <w:t>旁路与主路输入供电正常，反之则检查开关Q2和Q1是否已经闭合</w:t>
      </w:r>
      <w:r>
        <w:rPr>
          <w:rFonts w:hint="eastAsia"/>
          <w:szCs w:val="18"/>
        </w:rPr>
        <w:t>。</w:t>
      </w:r>
      <w:r>
        <w:rPr>
          <w:rFonts w:hint="eastAsia"/>
          <w:kern w:val="0"/>
        </w:rPr>
        <w:t>此时整流器启动，</w:t>
      </w:r>
      <w:r>
        <w:rPr>
          <w:rFonts w:hint="eastAsia"/>
          <w:szCs w:val="18"/>
        </w:rPr>
        <w:t>功率模块面板上的</w:t>
      </w:r>
      <w:r>
        <w:rPr>
          <w:rFonts w:hint="eastAsia"/>
        </w:rPr>
        <w:t>整流器指示灯（REC）呈绿色闪烁</w:t>
      </w:r>
      <w:r>
        <w:rPr>
          <w:rFonts w:hint="eastAsia"/>
          <w:kern w:val="0"/>
        </w:rPr>
        <w:t>，同时旁路静态开关闭合，约30秒后，</w:t>
      </w:r>
      <w:r>
        <w:rPr>
          <w:rFonts w:hint="eastAsia"/>
        </w:rPr>
        <w:t>整流器指示灯（REC）呈绿色常亮</w:t>
      </w:r>
      <w:r>
        <w:rPr>
          <w:rFonts w:hint="eastAsia"/>
          <w:kern w:val="0"/>
        </w:rPr>
        <w:t>，整流启动完成。</w:t>
      </w:r>
    </w:p>
    <w:p>
      <w:pPr>
        <w:pStyle w:val="3"/>
      </w:pPr>
      <w:r>
        <w:rPr>
          <w:rFonts w:hint="eastAsia"/>
        </w:rPr>
        <w:t>3．进入控制菜单界面，点击“</w:t>
      </w:r>
      <w:r>
        <w:t>逆变开启</w:t>
      </w:r>
      <w:r>
        <w:rPr>
          <w:rFonts w:ascii="宋体" w:hAnsi="宋体"/>
        </w:rPr>
        <w:t>”并点击确定。</w:t>
      </w:r>
    </w:p>
    <w:p>
      <w:pPr>
        <w:pStyle w:val="3"/>
        <w:rPr>
          <w:lang w:val="en-GB"/>
        </w:rPr>
      </w:pPr>
      <w:r>
        <w:rPr>
          <w:rFonts w:hint="eastAsia"/>
        </w:rPr>
        <w:t>逆变器启动，</w:t>
      </w:r>
      <w:r>
        <w:rPr>
          <w:rFonts w:hint="eastAsia"/>
          <w:szCs w:val="18"/>
        </w:rPr>
        <w:t>功率模块面板上的逆变</w:t>
      </w:r>
      <w:r>
        <w:rPr>
          <w:rFonts w:hint="eastAsia"/>
        </w:rPr>
        <w:t>器指示灯（INV）呈绿色闪烁。此时UPS处于ECO模式下，旁路供电。</w:t>
      </w:r>
    </w:p>
    <w:p>
      <w:pPr>
        <w:pStyle w:val="5"/>
        <w:numPr>
          <w:ilvl w:val="2"/>
          <w:numId w:val="9"/>
        </w:numPr>
        <w:rPr>
          <w:szCs w:val="22"/>
          <w:lang w:val="en-GB"/>
        </w:rPr>
      </w:pPr>
      <w:bookmarkStart w:id="477" w:name="_Toc24823"/>
      <w:r>
        <w:rPr>
          <w:rFonts w:hint="eastAsia"/>
          <w:szCs w:val="22"/>
          <w:lang w:val="en-GB"/>
        </w:rPr>
        <w:t>电池模式开机（电池冷启动）步骤</w:t>
      </w:r>
      <w:bookmarkEnd w:id="477"/>
    </w:p>
    <w:p>
      <w:pPr>
        <w:pStyle w:val="3"/>
        <w:rPr>
          <w:lang w:val="en-GB"/>
        </w:rPr>
      </w:pPr>
      <w:r>
        <w:rPr>
          <w:rFonts w:hint="eastAsia"/>
          <w:lang w:val="en-GB"/>
        </w:rPr>
        <w:t>1．检查确认电池已连接好，保证电池电压送至电池接入端口。</w:t>
      </w:r>
    </w:p>
    <w:p>
      <w:pPr>
        <w:pStyle w:val="3"/>
        <w:rPr>
          <w:lang w:val="en-GB"/>
        </w:rPr>
      </w:pPr>
      <w:r>
        <w:rPr>
          <w:rFonts w:hint="eastAsia"/>
          <w:lang w:val="en-GB"/>
        </w:rPr>
        <w:t>2</w:t>
      </w:r>
      <w:r>
        <w:rPr>
          <w:rFonts w:hint="eastAsia"/>
        </w:rPr>
        <w:t>．打开</w:t>
      </w:r>
      <w:r>
        <w:rPr>
          <w:rFonts w:hint="eastAsia"/>
          <w:lang w:val="en-GB"/>
        </w:rPr>
        <w:t>UPS</w:t>
      </w:r>
      <w:r>
        <w:rPr>
          <w:rFonts w:hint="eastAsia"/>
        </w:rPr>
        <w:t>前门，按下旁路模块前面板上的电池冷启动按钮约8秒后（见图5</w:t>
      </w:r>
      <w:r>
        <w:rPr>
          <w:rFonts w:hint="eastAsia"/>
          <w:lang w:val="en-GB"/>
        </w:rPr>
        <w:t>-</w:t>
      </w:r>
      <w:r>
        <w:rPr>
          <w:rFonts w:hint="eastAsia"/>
        </w:rPr>
        <w:t>3）。</w:t>
      </w:r>
    </w:p>
    <w:p>
      <w:pPr>
        <w:pStyle w:val="3"/>
      </w:pPr>
      <w:r>
        <w:rPr>
          <w:rFonts w:hint="eastAsia"/>
        </w:rPr>
        <w:t>此时，触摸显示屏启动，功率模块面板上的电池指示灯（BAT）呈绿色闪烁。约</w:t>
      </w:r>
      <w:r>
        <w:rPr>
          <w:rFonts w:hint="eastAsia"/>
          <w:lang w:val="en-GB"/>
        </w:rPr>
        <w:t>30</w:t>
      </w:r>
      <w:r>
        <w:rPr>
          <w:rFonts w:hint="eastAsia"/>
        </w:rPr>
        <w:t>秒后，整流器启动完毕，电池指示灯停止闪烁，呈绿色常亮。</w:t>
      </w:r>
    </w:p>
    <w:p>
      <w:pPr>
        <w:pStyle w:val="86"/>
        <w:ind w:left="0"/>
      </w:pPr>
      <w:r>
        <w:pict>
          <v:shape id="文本框 125" o:spid="_x0000_s2064" o:spt="202" type="#_x0000_t202" style="position:absolute;left:0pt;margin-left:338.6pt;margin-top:138.3pt;height:23.3pt;width:97.5pt;z-index:25166540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">
            <v:path/>
            <v:fill on="f" focussize="0,0"/>
            <v:stroke on="f" joinstyle="miter"/>
            <v:imagedata o:title=""/>
            <o:lock v:ext="edit"/>
            <v:textbox>
              <w:txbxContent>
                <w:p>
                  <w:pPr>
                    <w:rPr>
                      <w:b/>
                      <w:bCs/>
                    </w:rPr>
                  </w:pPr>
                  <w:r>
                    <w:rPr>
                      <w:rFonts w:hint="eastAsia"/>
                      <w:b/>
                      <w:bCs/>
                    </w:rPr>
                    <w:t>电池冷启动按钮</w:t>
                  </w:r>
                </w:p>
              </w:txbxContent>
            </v:textbox>
          </v:shape>
        </w:pict>
      </w:r>
      <w:r>
        <w:pict>
          <v:line id="_x0000_s2076" o:spid="_x0000_s2076" o:spt="20" style="position:absolute;left:0pt;flip:y;margin-left:270.1pt;margin-top:149.55pt;height:31.8pt;width:73.15pt;z-index:251664384;mso-width-relative:page;mso-height-relative:page;" coordsize="21600,21600" o:gfxdata="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fkh76NkAAAALAQAADwAAAAAAAAABACAAAAAiAAAAZHJzL2Rvd25yZXYueG1sUEsBAhQA&#10;FAAAAAgAh07iQHv5Qk3xAQAAvAMAAA4AAAAAAAAAAQAgAAAAKAEAAGRycy9lMm9Eb2MueG1sUEsF&#10;BgAAAAAGAAYAWQEAAIsFAAAAAA==&#10;">
            <v:path arrowok="t"/>
            <v:fill focussize="0,0"/>
            <v:stroke/>
            <v:imagedata o:title=""/>
            <o:lock v:ext="edit"/>
          </v:line>
        </w:pict>
      </w:r>
      <w:r>
        <w:rPr>
          <w:rFonts w:hint="eastAsia"/>
        </w:rPr>
        <w:drawing>
          <wp:inline distT="0" distB="0" distL="0" distR="0">
            <wp:extent cx="2159635" cy="3042920"/>
            <wp:effectExtent l="0" t="0" r="0" b="508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a:xfrm>
                      <a:off x="0" y="0"/>
                      <a:ext cx="2159635" cy="3042920"/>
                    </a:xfrm>
                    <a:prstGeom prst="rect">
                      <a:avLst/>
                    </a:prstGeom>
                    <a:noFill/>
                    <a:ln>
                      <a:noFill/>
                    </a:ln>
                  </pic:spPr>
                </pic:pic>
              </a:graphicData>
            </a:graphic>
          </wp:inline>
        </w:drawing>
      </w:r>
    </w:p>
    <w:p>
      <w:pPr>
        <w:pStyle w:val="83"/>
        <w:numPr>
          <w:ilvl w:val="6"/>
          <w:numId w:val="4"/>
        </w:numPr>
        <w:rPr>
          <w:lang w:val="en-GB"/>
        </w:rPr>
      </w:pPr>
      <w:r>
        <w:rPr>
          <w:rFonts w:hint="eastAsia"/>
          <w:lang w:val="en-GB"/>
        </w:rPr>
        <w:t>电池启动按钮位置</w:t>
      </w:r>
    </w:p>
    <w:tbl>
      <w:tblPr>
        <w:tblStyle w:val="50"/>
        <w:tblW w:w="9343"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43" w:type="dxa"/>
            <w:vAlign w:val="center"/>
          </w:tcPr>
          <w:p>
            <w:pPr>
              <w:pStyle w:val="72"/>
              <w:spacing w:before="36" w:beforeLines="15" w:line="276" w:lineRule="auto"/>
              <w:jc w:val="both"/>
            </w:pPr>
            <w:r>
              <w:drawing>
                <wp:inline distT="0" distB="0" distL="0" distR="0">
                  <wp:extent cx="362585" cy="315595"/>
                  <wp:effectExtent l="0" t="0" r="0" b="8255"/>
                  <wp:docPr id="63" name="图片 63"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r="49825"/>
                          <a:stretch>
                            <a:fillRect/>
                          </a:stretch>
                        </pic:blipFill>
                        <pic:spPr>
                          <a:xfrm>
                            <a:off x="0" y="0"/>
                            <a:ext cx="362585" cy="315595"/>
                          </a:xfrm>
                          <a:prstGeom prst="rect">
                            <a:avLst/>
                          </a:prstGeom>
                          <a:noFill/>
                          <a:ln>
                            <a:noFill/>
                          </a:ln>
                        </pic:spPr>
                      </pic:pic>
                    </a:graphicData>
                  </a:graphic>
                </wp:inline>
              </w:drawing>
            </w:r>
            <w:r>
              <w:rPr>
                <w:rFonts w:hint="eastAsia" w:ascii="黑体" w:eastAsia="黑体"/>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43" w:type="dxa"/>
            <w:tcMar>
              <w:top w:w="28" w:type="dxa"/>
            </w:tcMar>
            <w:vAlign w:val="center"/>
          </w:tcPr>
          <w:p>
            <w:pPr>
              <w:pStyle w:val="73"/>
            </w:pPr>
            <w:r>
              <w:rPr>
                <w:rFonts w:hint="eastAsia"/>
              </w:rPr>
              <w:t>执行步骤2后，如出现下列任一情况，需将电池开关断开或确定电池开关已自动脱扣，处于断开状态。在电池开关断开1分钟后，才能进行系统重新上电操作。</w:t>
            </w:r>
          </w:p>
          <w:p>
            <w:pPr>
              <w:pStyle w:val="73"/>
              <w:numPr>
                <w:ilvl w:val="0"/>
                <w:numId w:val="11"/>
              </w:numPr>
              <w:tabs>
                <w:tab w:val="left" w:pos="420"/>
                <w:tab w:val="clear" w:pos="780"/>
              </w:tabs>
              <w:ind w:left="420" w:hanging="420"/>
            </w:pPr>
            <w:r>
              <w:rPr>
                <w:rFonts w:hint="eastAsia"/>
              </w:rPr>
              <w:t>因紧急情况按下EPO开关</w:t>
            </w:r>
          </w:p>
          <w:p>
            <w:pPr>
              <w:pStyle w:val="73"/>
              <w:numPr>
                <w:ilvl w:val="0"/>
                <w:numId w:val="11"/>
              </w:numPr>
              <w:tabs>
                <w:tab w:val="left" w:pos="420"/>
                <w:tab w:val="clear" w:pos="780"/>
              </w:tabs>
              <w:ind w:left="420" w:hanging="420"/>
            </w:pPr>
            <w:r>
              <w:rPr>
                <w:rFonts w:hint="eastAsia"/>
              </w:rPr>
              <w:t>系统调试时发生故障</w:t>
            </w:r>
          </w:p>
          <w:p>
            <w:pPr>
              <w:pStyle w:val="73"/>
              <w:numPr>
                <w:ilvl w:val="0"/>
                <w:numId w:val="11"/>
              </w:numPr>
              <w:tabs>
                <w:tab w:val="left" w:pos="420"/>
                <w:tab w:val="clear" w:pos="780"/>
              </w:tabs>
              <w:ind w:left="420" w:hanging="420"/>
            </w:pPr>
            <w:r>
              <w:rPr>
                <w:rFonts w:hint="eastAsia" w:ascii="宋体" w:hAnsi="宋体" w:cs="宋体"/>
              </w:rPr>
              <w:t>当电池电压过低，低于3</w:t>
            </w:r>
            <w:r>
              <w:rPr>
                <w:rFonts w:ascii="宋体" w:hAnsi="宋体" w:cs="宋体"/>
              </w:rPr>
              <w:t>00V</w:t>
            </w:r>
            <w:r>
              <w:rPr>
                <w:rFonts w:hint="eastAsia" w:ascii="宋体" w:hAnsi="宋体" w:cs="宋体"/>
              </w:rPr>
              <w:t>以下时，可能出现电池冷启动不成功的情况，此时禁止长时间或频繁按住冷启动按钮，否则会有导致机器故障的风险！请及时联系客户服务工程师予以提供帮助。</w:t>
            </w:r>
          </w:p>
        </w:tc>
      </w:tr>
    </w:tbl>
    <w:p>
      <w:pPr>
        <w:pStyle w:val="3"/>
        <w:rPr>
          <w:lang w:val="en-GB"/>
        </w:rPr>
      </w:pPr>
      <w:r>
        <w:rPr>
          <w:rFonts w:hint="eastAsia"/>
          <w:lang w:val="en-GB"/>
        </w:rPr>
        <w:t>3．</w:t>
      </w:r>
      <w:r>
        <w:rPr>
          <w:rFonts w:hint="eastAsia"/>
        </w:rPr>
        <w:t>进入控制菜单界面，点击“</w:t>
      </w:r>
      <w:r>
        <w:t>逆变开启</w:t>
      </w:r>
      <w:r>
        <w:rPr>
          <w:rFonts w:ascii="宋体" w:hAnsi="宋体"/>
        </w:rPr>
        <w:t>”并点击确定</w:t>
      </w:r>
      <w:r>
        <w:rPr>
          <w:rFonts w:hint="eastAsia"/>
          <w:lang w:val="en-GB"/>
        </w:rPr>
        <w:t>。</w:t>
      </w:r>
    </w:p>
    <w:p>
      <w:pPr>
        <w:pStyle w:val="3"/>
      </w:pPr>
      <w:r>
        <w:rPr>
          <w:rFonts w:hint="eastAsia"/>
        </w:rPr>
        <w:t>逆变器启动，功率模块上的逆变器指示灯（INV）呈绿色闪烁。逆变器启动完成后，逆变器指示灯（INV）呈绿色常亮，此时UPS以电池模式运行。</w:t>
      </w:r>
    </w:p>
    <w:p>
      <w:pPr>
        <w:pStyle w:val="4"/>
        <w:numPr>
          <w:ilvl w:val="1"/>
          <w:numId w:val="9"/>
        </w:numPr>
        <w:rPr>
          <w:szCs w:val="22"/>
        </w:rPr>
      </w:pPr>
      <w:bookmarkStart w:id="478" w:name="_Toc8609"/>
      <w:r>
        <w:rPr>
          <w:rFonts w:hint="eastAsia"/>
          <w:szCs w:val="22"/>
        </w:rPr>
        <w:t>运行模式切换步骤</w:t>
      </w:r>
      <w:bookmarkEnd w:id="478"/>
    </w:p>
    <w:p>
      <w:pPr>
        <w:pStyle w:val="5"/>
        <w:numPr>
          <w:ilvl w:val="2"/>
          <w:numId w:val="9"/>
        </w:numPr>
        <w:rPr>
          <w:szCs w:val="22"/>
          <w:lang w:val="en-GB"/>
        </w:rPr>
      </w:pPr>
      <w:bookmarkStart w:id="479" w:name="_Toc29800"/>
      <w:r>
        <w:rPr>
          <w:rFonts w:hint="eastAsia"/>
          <w:szCs w:val="22"/>
          <w:lang w:val="en-GB"/>
        </w:rPr>
        <w:t>运行模式种类</w:t>
      </w:r>
      <w:bookmarkEnd w:id="479"/>
    </w:p>
    <w:p>
      <w:pPr>
        <w:pStyle w:val="3"/>
      </w:pPr>
      <w:r>
        <w:rPr>
          <w:lang w:val="en-GB"/>
        </w:rPr>
        <w:t>UPS</w:t>
      </w:r>
      <w:r>
        <w:rPr>
          <w:rFonts w:hint="eastAsia"/>
          <w:lang w:val="en-GB"/>
        </w:rPr>
        <w:t>有以下运行模式</w:t>
      </w:r>
      <w:r>
        <w:rPr>
          <w:rFonts w:hint="eastAsia"/>
        </w:rPr>
        <w:t>：</w:t>
      </w:r>
    </w:p>
    <w:p>
      <w:pPr>
        <w:pStyle w:val="3"/>
        <w:numPr>
          <w:ilvl w:val="0"/>
          <w:numId w:val="12"/>
        </w:numPr>
        <w:ind w:left="680" w:firstLine="0"/>
      </w:pPr>
      <w:r>
        <w:rPr>
          <w:rFonts w:hint="eastAsia"/>
        </w:rPr>
        <w:t>正常模式</w:t>
      </w:r>
    </w:p>
    <w:p>
      <w:pPr>
        <w:pStyle w:val="3"/>
        <w:numPr>
          <w:ilvl w:val="0"/>
          <w:numId w:val="12"/>
        </w:numPr>
        <w:ind w:left="680" w:firstLine="0"/>
      </w:pPr>
      <w:r>
        <w:rPr>
          <w:rFonts w:hint="eastAsia"/>
        </w:rPr>
        <w:t>电池模式</w:t>
      </w:r>
    </w:p>
    <w:p>
      <w:pPr>
        <w:pStyle w:val="3"/>
        <w:numPr>
          <w:ilvl w:val="0"/>
          <w:numId w:val="12"/>
        </w:numPr>
        <w:ind w:left="680" w:firstLine="0"/>
      </w:pPr>
      <w:r>
        <w:rPr>
          <w:rFonts w:hint="eastAsia"/>
        </w:rPr>
        <w:t>旁路模式</w:t>
      </w:r>
    </w:p>
    <w:p>
      <w:pPr>
        <w:pStyle w:val="3"/>
        <w:numPr>
          <w:ilvl w:val="0"/>
          <w:numId w:val="12"/>
        </w:numPr>
        <w:ind w:left="680" w:firstLine="0"/>
      </w:pPr>
      <w:r>
        <w:rPr>
          <w:rFonts w:hint="eastAsia"/>
        </w:rPr>
        <w:t>维修模式</w:t>
      </w:r>
    </w:p>
    <w:p>
      <w:pPr>
        <w:pStyle w:val="3"/>
        <w:numPr>
          <w:ilvl w:val="0"/>
          <w:numId w:val="12"/>
        </w:numPr>
        <w:ind w:left="680" w:firstLine="0"/>
        <w:rPr>
          <w:lang w:val="en-GB"/>
        </w:rPr>
      </w:pPr>
      <w:r>
        <w:rPr>
          <w:rFonts w:hint="eastAsia"/>
        </w:rPr>
        <w:t>经济（ECO）模式</w:t>
      </w:r>
    </w:p>
    <w:p>
      <w:pPr>
        <w:pStyle w:val="3"/>
        <w:numPr>
          <w:ilvl w:val="0"/>
          <w:numId w:val="12"/>
        </w:numPr>
        <w:ind w:left="680" w:firstLine="0"/>
        <w:rPr>
          <w:lang w:val="en-GB"/>
        </w:rPr>
      </w:pPr>
      <w:r>
        <w:rPr>
          <w:rFonts w:hint="eastAsia"/>
        </w:rPr>
        <w:t>模块N+X冗余模式</w:t>
      </w:r>
    </w:p>
    <w:p>
      <w:pPr>
        <w:pStyle w:val="3"/>
        <w:numPr>
          <w:ilvl w:val="0"/>
          <w:numId w:val="12"/>
        </w:numPr>
        <w:ind w:left="680" w:firstLine="0"/>
      </w:pPr>
      <w:r>
        <w:rPr>
          <w:rFonts w:hint="eastAsia"/>
        </w:rPr>
        <w:t>自动开机模式</w:t>
      </w:r>
    </w:p>
    <w:p>
      <w:pPr>
        <w:pStyle w:val="3"/>
        <w:numPr>
          <w:ilvl w:val="0"/>
          <w:numId w:val="12"/>
        </w:numPr>
        <w:ind w:left="680" w:firstLine="0"/>
      </w:pPr>
      <w:r>
        <w:rPr>
          <w:rFonts w:hint="eastAsia"/>
        </w:rPr>
        <w:t>频率变换器模式</w:t>
      </w:r>
    </w:p>
    <w:p>
      <w:pPr>
        <w:pStyle w:val="3"/>
        <w:numPr>
          <w:ilvl w:val="0"/>
          <w:numId w:val="12"/>
        </w:numPr>
        <w:ind w:left="680" w:firstLine="0"/>
      </w:pPr>
      <w:r>
        <w:rPr>
          <w:rFonts w:hint="eastAsia"/>
        </w:rPr>
        <w:t>休眠模式</w:t>
      </w:r>
    </w:p>
    <w:p>
      <w:pPr>
        <w:pStyle w:val="3"/>
        <w:numPr>
          <w:ilvl w:val="0"/>
          <w:numId w:val="12"/>
        </w:numPr>
        <w:ind w:left="680" w:firstLine="0"/>
      </w:pPr>
      <w:r>
        <w:rPr>
          <w:rFonts w:hint="eastAsia"/>
        </w:rPr>
        <w:t>双母线（LBS）系统模式</w:t>
      </w:r>
    </w:p>
    <w:p>
      <w:pPr>
        <w:pStyle w:val="6"/>
        <w:numPr>
          <w:ilvl w:val="3"/>
          <w:numId w:val="0"/>
        </w:numPr>
        <w:spacing w:before="200" w:after="80"/>
        <w:ind w:left="680"/>
      </w:pPr>
      <w:r>
        <w:rPr>
          <w:rFonts w:hint="eastAsia"/>
        </w:rPr>
        <w:t>正常模式</w:t>
      </w:r>
    </w:p>
    <w:p>
      <w:pPr>
        <w:pStyle w:val="3"/>
      </w:pPr>
      <w:r>
        <w:rPr>
          <w:rFonts w:hint="eastAsia"/>
        </w:rPr>
        <w:t>如图5-4所示，市电先经UPS整流器整流，再经逆变器输出不间断的交流电为负载供电。同时通过充电器给电池充电。</w:t>
      </w:r>
    </w:p>
    <w:p>
      <w:pPr>
        <w:pStyle w:val="86"/>
        <w:ind w:left="0"/>
      </w:pPr>
      <w:r>
        <w:object>
          <v:shape id="_x0000_i1028" o:spt="75" type="#_x0000_t75" style="height:111.4pt;width:424.5pt;" o:ole="t" filled="f" o:preferrelative="t" stroked="f" coordsize="21600,21600">
            <v:path/>
            <v:fill on="f" focussize="0,0"/>
            <v:stroke on="f" joinstyle="miter"/>
            <v:imagedata r:id="rId94" o:title=""/>
            <o:lock v:ext="edit" aspectratio="t"/>
            <w10:wrap type="none"/>
            <w10:anchorlock/>
          </v:shape>
          <o:OLEObject Type="Embed" ProgID="Visio.Drawing.11" ShapeID="_x0000_i1028" DrawAspect="Content" ObjectID="_1468075728" r:id="rId93">
            <o:LockedField>false</o:LockedField>
          </o:OLEObject>
        </w:object>
      </w:r>
    </w:p>
    <w:p>
      <w:pPr>
        <w:pStyle w:val="83"/>
        <w:numPr>
          <w:ilvl w:val="6"/>
          <w:numId w:val="4"/>
        </w:numPr>
        <w:rPr>
          <w:lang w:val="en-GB"/>
        </w:rPr>
      </w:pPr>
      <w:r>
        <w:rPr>
          <w:rFonts w:hint="eastAsia"/>
          <w:lang w:val="en-GB"/>
        </w:rPr>
        <w:t>正常模式运行示意图</w:t>
      </w:r>
    </w:p>
    <w:p>
      <w:pPr>
        <w:pStyle w:val="6"/>
        <w:numPr>
          <w:ilvl w:val="3"/>
          <w:numId w:val="0"/>
        </w:numPr>
        <w:spacing w:before="200" w:after="80"/>
        <w:ind w:left="680"/>
        <w:rPr>
          <w:szCs w:val="22"/>
        </w:rPr>
      </w:pPr>
      <w:r>
        <w:rPr>
          <w:rFonts w:hint="eastAsia"/>
          <w:szCs w:val="22"/>
        </w:rPr>
        <w:t>电池模式</w:t>
      </w:r>
    </w:p>
    <w:p>
      <w:pPr>
        <w:pStyle w:val="3"/>
      </w:pPr>
      <w:r>
        <w:rPr>
          <w:rFonts w:hint="eastAsia"/>
        </w:rPr>
        <w:t>如图5-5所示，电池通过整流器与逆变器给负载提供后备电源的运行模式为电池模式。市电停电时，系统自动转电池模式运行，负载电源不会间断。此后当市电恢复时，系统自动切换回正常模式，无需任何人工干预，且负载电源不中断。</w:t>
      </w:r>
    </w:p>
    <w:p>
      <w:pPr>
        <w:pStyle w:val="3"/>
        <w:ind w:left="0"/>
        <w:jc w:val="center"/>
      </w:pPr>
      <w:r>
        <w:object>
          <v:shape id="_x0000_i1029" o:spt="75" type="#_x0000_t75" style="height:149.65pt;width:411.4pt;" o:ole="t" filled="f" o:preferrelative="t" stroked="f" coordsize="21600,21600">
            <v:path/>
            <v:fill on="f" focussize="0,0"/>
            <v:stroke on="f" joinstyle="miter"/>
            <v:imagedata r:id="rId96" o:title=""/>
            <o:lock v:ext="edit" aspectratio="t"/>
            <w10:wrap type="none"/>
            <w10:anchorlock/>
          </v:shape>
          <o:OLEObject Type="Embed" ProgID="Visio.Drawing.11" ShapeID="_x0000_i1029" DrawAspect="Content" ObjectID="_1468075729" r:id="rId95">
            <o:LockedField>false</o:LockedField>
          </o:OLEObject>
        </w:object>
      </w:r>
    </w:p>
    <w:p>
      <w:pPr>
        <w:pStyle w:val="83"/>
        <w:numPr>
          <w:ilvl w:val="6"/>
          <w:numId w:val="4"/>
        </w:numPr>
        <w:rPr>
          <w:lang w:val="en-GB"/>
        </w:rPr>
      </w:pPr>
      <w:r>
        <w:rPr>
          <w:rFonts w:hint="eastAsia"/>
          <w:lang w:val="en-GB"/>
        </w:rPr>
        <w:t>电池模式运行示意图</w:t>
      </w:r>
    </w:p>
    <w:p>
      <w:pPr>
        <w:pStyle w:val="3"/>
      </w:pPr>
      <w:r>
        <w:rPr>
          <w:rFonts w:hint="eastAsia"/>
        </w:rPr>
        <w:t>注：也可使用电池冷启动功能在市电停电时直接从电池（已充电）模式启动</w:t>
      </w:r>
      <w:r>
        <w:t>UPS</w:t>
      </w:r>
      <w:r>
        <w:rPr>
          <w:rFonts w:hint="eastAsia"/>
        </w:rPr>
        <w:t>。因而可独立使用电池电源，提高</w:t>
      </w:r>
      <w:r>
        <w:t>UPS</w:t>
      </w:r>
      <w:r>
        <w:rPr>
          <w:rFonts w:hint="eastAsia"/>
        </w:rPr>
        <w:t>的使用率。</w:t>
      </w:r>
    </w:p>
    <w:p>
      <w:pPr>
        <w:pStyle w:val="6"/>
        <w:numPr>
          <w:ilvl w:val="3"/>
          <w:numId w:val="0"/>
        </w:numPr>
        <w:spacing w:before="200" w:after="80"/>
        <w:ind w:left="680"/>
        <w:rPr>
          <w:szCs w:val="22"/>
        </w:rPr>
      </w:pPr>
      <w:r>
        <w:rPr>
          <w:rFonts w:hint="eastAsia"/>
          <w:szCs w:val="22"/>
        </w:rPr>
        <w:t>旁路模式</w:t>
      </w:r>
    </w:p>
    <w:p>
      <w:pPr>
        <w:pStyle w:val="3"/>
      </w:pPr>
      <w:r>
        <w:rPr>
          <w:rFonts w:hint="eastAsia"/>
        </w:rPr>
        <w:t>如图5-6所示，正常模式下，如遇逆变器故障、逆变器过载或手动关闭逆变器，负载将从逆变器侧切换到旁路电源侧，负载电源不中断。如切换过程中逆变器与旁路不同步，将出现负载电源瞬时间断，负载电源间断时间小于20</w:t>
      </w:r>
      <w:r>
        <w:t>ms</w:t>
      </w:r>
      <w:r>
        <w:rPr>
          <w:rFonts w:hint="eastAsia"/>
        </w:rPr>
        <w:t>。</w:t>
      </w:r>
    </w:p>
    <w:p>
      <w:pPr>
        <w:pStyle w:val="3"/>
        <w:ind w:left="0"/>
        <w:jc w:val="center"/>
      </w:pPr>
      <w:r>
        <w:object>
          <v:shape id="_x0000_i1030" o:spt="75" type="#_x0000_t75" style="height:61.15pt;width:444.4pt;" o:ole="t" filled="f" o:preferrelative="t" stroked="f" coordsize="21600,21600">
            <v:path/>
            <v:fill on="f" focussize="0,0"/>
            <v:stroke on="f" joinstyle="miter"/>
            <v:imagedata r:id="rId98" o:title=""/>
            <o:lock v:ext="edit" aspectratio="t"/>
            <w10:wrap type="none"/>
            <w10:anchorlock/>
          </v:shape>
          <o:OLEObject Type="Embed" ProgID="Visio.Drawing.11" ShapeID="_x0000_i1030" DrawAspect="Content" ObjectID="_1468075730" r:id="rId97">
            <o:LockedField>false</o:LockedField>
          </o:OLEObject>
        </w:object>
      </w:r>
    </w:p>
    <w:p>
      <w:pPr>
        <w:pStyle w:val="86"/>
      </w:pPr>
    </w:p>
    <w:p>
      <w:pPr>
        <w:pStyle w:val="83"/>
        <w:numPr>
          <w:ilvl w:val="6"/>
          <w:numId w:val="4"/>
        </w:numPr>
        <w:rPr>
          <w:lang w:val="en-GB"/>
        </w:rPr>
      </w:pPr>
      <w:r>
        <w:rPr>
          <w:rFonts w:hint="eastAsia"/>
          <w:lang w:val="en-GB"/>
        </w:rPr>
        <w:t>旁路模式运行示意图</w:t>
      </w:r>
    </w:p>
    <w:p>
      <w:pPr>
        <w:pStyle w:val="6"/>
        <w:numPr>
          <w:ilvl w:val="3"/>
          <w:numId w:val="0"/>
        </w:numPr>
        <w:spacing w:before="200" w:after="80"/>
        <w:ind w:left="680"/>
        <w:rPr>
          <w:szCs w:val="22"/>
        </w:rPr>
      </w:pPr>
      <w:r>
        <w:rPr>
          <w:rFonts w:hint="eastAsia"/>
          <w:szCs w:val="22"/>
        </w:rPr>
        <w:t>维修模式</w:t>
      </w:r>
    </w:p>
    <w:p>
      <w:pPr>
        <w:pStyle w:val="3"/>
      </w:pPr>
      <w:r>
        <w:rPr>
          <w:rFonts w:hint="eastAsia"/>
        </w:rPr>
        <w:t>如图5-7所示，如需对</w:t>
      </w:r>
      <w:r>
        <w:t>UPS</w:t>
      </w:r>
      <w:r>
        <w:rPr>
          <w:rFonts w:hint="eastAsia"/>
        </w:rPr>
        <w:t>进行维护和维修，可通过手动维修旁路开关将负载切换到维修旁路，负载电源不中断。维修旁路开关位于UPS单机内，容量满足单机总负载容量要求。</w:t>
      </w:r>
    </w:p>
    <w:p>
      <w:pPr>
        <w:pStyle w:val="3"/>
        <w:ind w:left="0"/>
        <w:jc w:val="center"/>
      </w:pPr>
    </w:p>
    <w:p>
      <w:pPr>
        <w:pStyle w:val="3"/>
        <w:ind w:left="0"/>
        <w:jc w:val="center"/>
      </w:pPr>
      <w:r>
        <w:object>
          <v:shape id="_x0000_i1031" o:spt="75" type="#_x0000_t75" style="height:76.9pt;width:432pt;" o:ole="t" filled="f" o:preferrelative="t" stroked="f" coordsize="21600,21600">
            <v:path/>
            <v:fill on="f" focussize="0,0"/>
            <v:stroke on="f" joinstyle="miter"/>
            <v:imagedata r:id="rId100" o:title=""/>
            <o:lock v:ext="edit" aspectratio="t"/>
            <w10:wrap type="none"/>
            <w10:anchorlock/>
          </v:shape>
          <o:OLEObject Type="Embed" ProgID="Visio.Drawing.11" ShapeID="_x0000_i1031" DrawAspect="Content" ObjectID="_1468075731" r:id="rId99">
            <o:LockedField>false</o:LockedField>
          </o:OLEObject>
        </w:object>
      </w:r>
    </w:p>
    <w:p>
      <w:pPr>
        <w:pStyle w:val="83"/>
        <w:numPr>
          <w:ilvl w:val="6"/>
          <w:numId w:val="4"/>
        </w:numPr>
        <w:rPr>
          <w:lang w:val="en-GB"/>
        </w:rPr>
      </w:pPr>
      <w:r>
        <w:rPr>
          <w:rFonts w:hint="eastAsia"/>
          <w:lang w:val="en-GB"/>
        </w:rPr>
        <w:t>维修模式运行示意图</w:t>
      </w:r>
    </w:p>
    <w:p>
      <w:pPr>
        <w:pStyle w:val="6"/>
        <w:numPr>
          <w:ilvl w:val="3"/>
          <w:numId w:val="0"/>
        </w:numPr>
        <w:spacing w:before="200" w:after="80"/>
        <w:ind w:left="680"/>
        <w:rPr>
          <w:szCs w:val="22"/>
          <w:lang w:val="en-GB"/>
        </w:rPr>
      </w:pPr>
      <w:r>
        <w:rPr>
          <w:rFonts w:hint="eastAsia"/>
          <w:szCs w:val="22"/>
          <w:lang w:val="en-GB"/>
        </w:rPr>
        <w:t>经济运行（ECO）模式</w:t>
      </w:r>
    </w:p>
    <w:p>
      <w:pPr>
        <w:pStyle w:val="3"/>
      </w:pPr>
      <w:r>
        <w:rPr>
          <w:rFonts w:hint="eastAsia"/>
        </w:rPr>
        <w:t>如图5-8所示，选择ECO模式运行时，除维修旁路开关外，所有相关电源开关及电池开关均处于闭合状态，负载电源优先由旁路提供，以达到节能的目的。当旁路电源在正常频率和电压范围（可设置）时，负载电源由旁路提供，逆变器处于后备状态。当超出此范围时，系统将会切换到逆变器输出，切换时间小于20</w:t>
      </w:r>
      <w:r>
        <w:t>ms</w:t>
      </w:r>
      <w:r>
        <w:rPr>
          <w:rFonts w:hint="eastAsia"/>
        </w:rPr>
        <w:t>。此工作模式下，仍能正常通过充电器对电池进行充电。</w:t>
      </w:r>
    </w:p>
    <w:p>
      <w:pPr>
        <w:pStyle w:val="3"/>
        <w:ind w:left="0"/>
        <w:jc w:val="center"/>
      </w:pPr>
      <w:r>
        <w:object>
          <v:shape id="_x0000_i1032" o:spt="75" type="#_x0000_t75" style="height:168pt;width:442.15pt;" o:ole="t" filled="f" o:preferrelative="t" stroked="f" coordsize="21600,21600">
            <v:path/>
            <v:fill on="f" focussize="0,0"/>
            <v:stroke on="f" joinstyle="miter"/>
            <v:imagedata r:id="rId102" o:title=""/>
            <o:lock v:ext="edit" aspectratio="t"/>
            <w10:wrap type="none"/>
            <w10:anchorlock/>
          </v:shape>
          <o:OLEObject Type="Embed" ProgID="Visio.Drawing.11" ShapeID="_x0000_i1032" DrawAspect="Content" ObjectID="_1468075732" r:id="rId101">
            <o:LockedField>false</o:LockedField>
          </o:OLEObject>
        </w:object>
      </w:r>
    </w:p>
    <w:p>
      <w:pPr>
        <w:pStyle w:val="83"/>
        <w:numPr>
          <w:ilvl w:val="6"/>
          <w:numId w:val="4"/>
        </w:numPr>
        <w:rPr>
          <w:lang w:val="en-GB"/>
        </w:rPr>
      </w:pPr>
      <w:r>
        <w:rPr>
          <w:rFonts w:hint="eastAsia"/>
          <w:lang w:val="en-GB"/>
        </w:rPr>
        <w:t>ECO模式</w:t>
      </w:r>
    </w:p>
    <w:p>
      <w:pPr>
        <w:pStyle w:val="3"/>
      </w:pPr>
      <w:r>
        <w:rPr>
          <w:rFonts w:hint="eastAsia"/>
        </w:rPr>
        <w:t>如需使用ECO模式，应通过操作控制显示面板进行相应的设置。在ECO模式时，正常情况下，负载由旁路市电进行供电，此时逆变器指示灯闪烁，而相应的告警显示为“旁路供电”, 切换间断时间不超过20ms。</w:t>
      </w:r>
    </w:p>
    <w:tbl>
      <w:tblPr>
        <w:tblStyle w:val="50"/>
        <w:tblW w:w="9360"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9360" w:type="dxa"/>
            <w:vAlign w:val="center"/>
          </w:tcPr>
          <w:p>
            <w:pPr>
              <w:pStyle w:val="72"/>
              <w:spacing w:before="36" w:beforeLines="15" w:line="276" w:lineRule="auto"/>
              <w:jc w:val="both"/>
            </w:pPr>
            <w:r>
              <w:drawing>
                <wp:inline distT="0" distB="0" distL="0" distR="0">
                  <wp:extent cx="646430" cy="283845"/>
                  <wp:effectExtent l="0" t="0" r="1270" b="1905"/>
                  <wp:docPr id="62" name="图片 62"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6430" cy="283845"/>
                          </a:xfrm>
                          <a:prstGeom prst="rect">
                            <a:avLst/>
                          </a:prstGeom>
                          <a:noFill/>
                          <a:ln>
                            <a:noFill/>
                          </a:ln>
                        </pic:spPr>
                      </pic:pic>
                    </a:graphicData>
                  </a:graphic>
                </wp:inline>
              </w:drawing>
            </w:r>
            <w:r>
              <w:rPr>
                <w:rStyle w:val="87"/>
                <w:rFonts w:hint="eastAsia"/>
              </w:rPr>
              <w:t>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9360" w:type="dxa"/>
            <w:vAlign w:val="center"/>
          </w:tcPr>
          <w:p>
            <w:pPr>
              <w:pStyle w:val="73"/>
            </w:pPr>
            <w:r>
              <w:rPr>
                <w:rFonts w:hint="eastAsia"/>
              </w:rPr>
              <w:t>ECO模式下，负载无市电电压畸变保护。</w:t>
            </w:r>
          </w:p>
        </w:tc>
      </w:tr>
    </w:tbl>
    <w:p>
      <w:pPr>
        <w:pStyle w:val="6"/>
        <w:numPr>
          <w:ilvl w:val="3"/>
          <w:numId w:val="0"/>
        </w:numPr>
        <w:spacing w:before="200" w:after="80"/>
        <w:ind w:left="680"/>
        <w:rPr>
          <w:szCs w:val="22"/>
        </w:rPr>
      </w:pPr>
      <w:r>
        <w:rPr>
          <w:rFonts w:hint="eastAsia"/>
          <w:szCs w:val="22"/>
        </w:rPr>
        <w:t>模块N+X冗余模式</w:t>
      </w:r>
    </w:p>
    <w:p>
      <w:pPr>
        <w:pStyle w:val="3"/>
        <w:rPr>
          <w:lang w:val="en-GB"/>
        </w:rPr>
      </w:pPr>
      <w:r>
        <w:rPr>
          <w:rFonts w:hint="eastAsia"/>
        </w:rPr>
        <w:t>模块化UPS提供N+X模块冗余功能。</w:t>
      </w:r>
      <w:r>
        <w:rPr>
          <w:rFonts w:hint="eastAsia"/>
          <w:lang w:val="en-GB"/>
        </w:rPr>
        <w:t>其中N表示UPS内模块的基本个数， X表示模块的冗余个数。用户可以根据实际负载大小及重要性来选择基本模块个数和冗余模块个数。在该模式下，即使有模块出现故障，剩下的模块仍有充足的裕量给负载供电。</w:t>
      </w:r>
    </w:p>
    <w:p>
      <w:pPr>
        <w:pStyle w:val="6"/>
        <w:numPr>
          <w:ilvl w:val="3"/>
          <w:numId w:val="0"/>
        </w:numPr>
        <w:spacing w:before="200" w:after="80"/>
        <w:ind w:left="680"/>
        <w:rPr>
          <w:szCs w:val="22"/>
        </w:rPr>
      </w:pPr>
      <w:r>
        <w:rPr>
          <w:rFonts w:hint="eastAsia"/>
          <w:szCs w:val="22"/>
        </w:rPr>
        <w:t>自动开机模式</w:t>
      </w:r>
    </w:p>
    <w:p>
      <w:pPr>
        <w:pStyle w:val="3"/>
        <w:rPr>
          <w:lang w:val="en-GB"/>
        </w:rPr>
      </w:pPr>
      <w:r>
        <w:rPr>
          <w:rFonts w:hint="eastAsia"/>
        </w:rPr>
        <w:t>UPS</w:t>
      </w:r>
      <w:r>
        <w:rPr>
          <w:rFonts w:hint="eastAsia"/>
          <w:lang w:val="en-GB"/>
        </w:rPr>
        <w:t>提供自动开机功能，即市电停电时间过长，电池放电至终止电压导致逆变器关机后，如市电恢复，经一定的延时时间后，UPS会自动开机。该功能及自动开机的延时时间可由服务工程师设置。</w:t>
      </w:r>
    </w:p>
    <w:p>
      <w:pPr>
        <w:pStyle w:val="3"/>
        <w:rPr>
          <w:lang w:val="en-GB"/>
        </w:rPr>
      </w:pPr>
      <w:r>
        <w:rPr>
          <w:rFonts w:hint="eastAsia"/>
          <w:lang w:val="en-GB"/>
        </w:rPr>
        <w:t>自动开机延时过程中，</w:t>
      </w:r>
      <w:r>
        <w:rPr>
          <w:lang w:val="en-GB"/>
        </w:rPr>
        <w:t>UPS</w:t>
      </w:r>
      <w:r>
        <w:rPr>
          <w:rFonts w:hint="eastAsia"/>
          <w:lang w:val="en-GB"/>
        </w:rPr>
        <w:t>给电池充电，以防止市电再次停电给负载设备带来断电危险。</w:t>
      </w:r>
    </w:p>
    <w:p>
      <w:pPr>
        <w:pStyle w:val="6"/>
        <w:numPr>
          <w:ilvl w:val="3"/>
          <w:numId w:val="0"/>
        </w:numPr>
        <w:spacing w:before="200" w:after="80"/>
        <w:ind w:left="680"/>
        <w:rPr>
          <w:szCs w:val="22"/>
        </w:rPr>
      </w:pPr>
      <w:r>
        <w:rPr>
          <w:rFonts w:hint="eastAsia"/>
          <w:szCs w:val="22"/>
        </w:rPr>
        <w:t>频率变换器模式</w:t>
      </w:r>
    </w:p>
    <w:p>
      <w:pPr>
        <w:pStyle w:val="3"/>
        <w:rPr>
          <w:lang w:val="en-GB"/>
        </w:rPr>
      </w:pPr>
      <w:r>
        <w:rPr>
          <w:lang w:val="en-GB"/>
        </w:rPr>
        <w:t>UPS</w:t>
      </w:r>
      <w:r>
        <w:rPr>
          <w:rFonts w:hint="eastAsia"/>
          <w:lang w:val="en-GB"/>
        </w:rPr>
        <w:t>可设置为频率变换器模式，提供50</w:t>
      </w:r>
      <w:r>
        <w:rPr>
          <w:lang w:val="en-GB"/>
        </w:rPr>
        <w:t>Hz</w:t>
      </w:r>
      <w:r>
        <w:rPr>
          <w:rFonts w:hint="eastAsia"/>
          <w:lang w:val="en-GB"/>
        </w:rPr>
        <w:t>或60</w:t>
      </w:r>
      <w:r>
        <w:rPr>
          <w:lang w:val="en-GB"/>
        </w:rPr>
        <w:t>Hz</w:t>
      </w:r>
      <w:r>
        <w:rPr>
          <w:rFonts w:hint="eastAsia"/>
          <w:lang w:val="en-GB"/>
        </w:rPr>
        <w:t>的稳定输出频率。输入频率范围为40</w:t>
      </w:r>
      <w:r>
        <w:rPr>
          <w:lang w:val="en-GB"/>
        </w:rPr>
        <w:t>Hz</w:t>
      </w:r>
      <w:r>
        <w:rPr>
          <w:rFonts w:hint="eastAsia"/>
          <w:lang w:val="en-GB"/>
        </w:rPr>
        <w:t>～70</w:t>
      </w:r>
      <w:r>
        <w:rPr>
          <w:lang w:val="en-GB"/>
        </w:rPr>
        <w:t>Hz</w:t>
      </w:r>
      <w:r>
        <w:rPr>
          <w:rFonts w:hint="eastAsia"/>
          <w:lang w:val="en-GB"/>
        </w:rPr>
        <w:t>。该模式下，要求断开维修</w:t>
      </w:r>
      <w:r>
        <w:rPr>
          <w:rFonts w:hint="eastAsia"/>
        </w:rPr>
        <w:t>开关</w:t>
      </w:r>
      <w:r>
        <w:rPr>
          <w:rFonts w:hint="eastAsia"/>
          <w:lang w:val="en-GB"/>
        </w:rPr>
        <w:t>，静态旁路无效，电池为可选，根据是否需要以电池模式运行来确定是否选用电池。</w:t>
      </w:r>
    </w:p>
    <w:p>
      <w:pPr>
        <w:pStyle w:val="6"/>
        <w:numPr>
          <w:ilvl w:val="3"/>
          <w:numId w:val="0"/>
        </w:numPr>
        <w:spacing w:before="200" w:after="80"/>
        <w:ind w:left="680"/>
        <w:rPr>
          <w:szCs w:val="22"/>
          <w:lang w:val="en-GB"/>
        </w:rPr>
      </w:pPr>
      <w:r>
        <w:rPr>
          <w:rFonts w:hint="eastAsia"/>
          <w:szCs w:val="22"/>
          <w:lang w:val="en-GB"/>
        </w:rPr>
        <w:t>休眠</w:t>
      </w:r>
      <w:r>
        <w:rPr>
          <w:rFonts w:hint="eastAsia"/>
          <w:szCs w:val="22"/>
        </w:rPr>
        <w:t>模式</w:t>
      </w:r>
    </w:p>
    <w:p>
      <w:pPr>
        <w:pStyle w:val="3"/>
        <w:rPr>
          <w:lang w:val="en-GB"/>
        </w:rPr>
      </w:pPr>
      <w:r>
        <w:rPr>
          <w:rFonts w:hint="eastAsia"/>
          <w:lang w:val="en-GB"/>
        </w:rPr>
        <w:t>所谓休眠模式，即当系统负载较轻时，在保证负载供电情况下，将1个或几个功率模块的逆变器关闭处于待机状态，使休眠的功率模块数最大化，未休眠的模块给负载供电，能使系统的效率最高。休眠模式需由服务工程师通过后台软件设置。该模式对系统内的功率模块地址有限制：当有</w:t>
      </w:r>
      <w:r>
        <w:rPr>
          <w:lang w:val="en-GB"/>
        </w:rPr>
        <w:t>2</w:t>
      </w:r>
      <w:r>
        <w:rPr>
          <w:rFonts w:hint="eastAsia"/>
          <w:lang w:val="en-GB"/>
        </w:rPr>
        <w:t>个功率模块时，功率模块地址依次为</w:t>
      </w:r>
      <w:r>
        <w:rPr>
          <w:lang w:val="en-GB"/>
        </w:rPr>
        <w:t>1</w:t>
      </w:r>
      <w:r>
        <w:rPr>
          <w:rFonts w:hint="eastAsia"/>
          <w:lang w:val="en-GB"/>
        </w:rPr>
        <w:t>、</w:t>
      </w:r>
      <w:r>
        <w:rPr>
          <w:lang w:val="en-GB"/>
        </w:rPr>
        <w:t>2</w:t>
      </w:r>
      <w:r>
        <w:rPr>
          <w:rFonts w:hint="eastAsia"/>
          <w:lang w:val="en-GB"/>
        </w:rPr>
        <w:t>；以此类推，当有10个功率模块时，功率模块地址依次为</w:t>
      </w:r>
      <w:r>
        <w:rPr>
          <w:lang w:val="en-GB"/>
        </w:rPr>
        <w:t>1</w:t>
      </w:r>
      <w:r>
        <w:rPr>
          <w:rFonts w:hint="eastAsia"/>
          <w:lang w:val="en-GB"/>
        </w:rPr>
        <w:t>-10。</w:t>
      </w:r>
    </w:p>
    <w:tbl>
      <w:tblPr>
        <w:tblStyle w:val="50"/>
        <w:tblW w:w="9356"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56" w:type="dxa"/>
            <w:vAlign w:val="center"/>
          </w:tcPr>
          <w:p>
            <w:pPr>
              <w:pStyle w:val="3"/>
              <w:ind w:left="0"/>
            </w:pPr>
            <w:r>
              <w:drawing>
                <wp:inline distT="0" distB="0" distL="0" distR="0">
                  <wp:extent cx="315595" cy="267970"/>
                  <wp:effectExtent l="0" t="0" r="8255" b="0"/>
                  <wp:docPr id="61" name="图片 61" descr="图形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形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315595" cy="267970"/>
                          </a:xfrm>
                          <a:prstGeom prst="rect">
                            <a:avLst/>
                          </a:prstGeom>
                          <a:noFill/>
                          <a:ln>
                            <a:noFill/>
                          </a:ln>
                        </pic:spPr>
                      </pic:pic>
                    </a:graphicData>
                  </a:graphic>
                </wp:inline>
              </w:drawing>
            </w:r>
            <w:r>
              <w:rPr>
                <w:rStyle w:val="87"/>
                <w:rFonts w:hint="eastAsia"/>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56" w:type="dxa"/>
            <w:vAlign w:val="center"/>
          </w:tcPr>
          <w:p>
            <w:pPr>
              <w:pStyle w:val="3"/>
              <w:ind w:left="0"/>
              <w:rPr>
                <w:kern w:val="0"/>
                <w:sz w:val="16"/>
              </w:rPr>
            </w:pPr>
            <w:r>
              <w:rPr>
                <w:rFonts w:hint="eastAsia"/>
                <w:kern w:val="0"/>
                <w:sz w:val="16"/>
              </w:rPr>
              <w:t>休眠模式下，应避免负载陡变，否则可能导致</w:t>
            </w:r>
            <w:r>
              <w:rPr>
                <w:kern w:val="0"/>
                <w:sz w:val="16"/>
              </w:rPr>
              <w:t>UPS</w:t>
            </w:r>
            <w:r>
              <w:rPr>
                <w:rFonts w:hint="eastAsia"/>
                <w:kern w:val="0"/>
                <w:sz w:val="16"/>
              </w:rPr>
              <w:t>切换到旁路模式。</w:t>
            </w:r>
          </w:p>
        </w:tc>
      </w:tr>
    </w:tbl>
    <w:p>
      <w:pPr>
        <w:pStyle w:val="6"/>
        <w:numPr>
          <w:ilvl w:val="3"/>
          <w:numId w:val="0"/>
        </w:numPr>
        <w:spacing w:before="200" w:after="80"/>
        <w:ind w:left="680"/>
        <w:rPr>
          <w:szCs w:val="22"/>
        </w:rPr>
      </w:pPr>
      <w:r>
        <w:rPr>
          <w:rFonts w:hint="eastAsia"/>
          <w:szCs w:val="22"/>
        </w:rPr>
        <w:t>双母线系统模式</w:t>
      </w:r>
    </w:p>
    <w:p>
      <w:pPr>
        <w:pStyle w:val="3"/>
      </w:pPr>
      <w:r>
        <w:rPr>
          <w:rFonts w:hint="eastAsia"/>
        </w:rPr>
        <w:t>双母线系统由两个独立的UPS系统组成，各UPS系统由一个UPS单机组成。双母线系统可靠性高，适用于带多个输入端子的负载。对于单输入负载，可以加入一个可选配的静态切换开关（STS）来给负载供电。双母线系统模式详见7</w:t>
      </w:r>
      <w:r>
        <w:t xml:space="preserve">.5 </w:t>
      </w:r>
      <w:r>
        <w:rPr>
          <w:rFonts w:hint="eastAsia"/>
        </w:rPr>
        <w:t>双母线系统的安装。</w:t>
      </w:r>
    </w:p>
    <w:p>
      <w:pPr>
        <w:pStyle w:val="5"/>
        <w:numPr>
          <w:ilvl w:val="2"/>
          <w:numId w:val="9"/>
        </w:numPr>
        <w:rPr>
          <w:szCs w:val="22"/>
          <w:lang w:val="en-GB"/>
        </w:rPr>
      </w:pPr>
      <w:bookmarkStart w:id="480" w:name="_Toc18608"/>
      <w:r>
        <w:rPr>
          <w:rFonts w:hint="eastAsia"/>
          <w:szCs w:val="22"/>
          <w:lang w:val="en-GB"/>
        </w:rPr>
        <w:t>正常模式到电池模式的切换</w:t>
      </w:r>
      <w:bookmarkEnd w:id="480"/>
    </w:p>
    <w:p>
      <w:pPr>
        <w:pStyle w:val="3"/>
      </w:pPr>
      <w:r>
        <w:rPr>
          <w:rFonts w:hint="eastAsia"/>
        </w:rPr>
        <w:t>断开</w:t>
      </w:r>
      <w:r>
        <w:rPr>
          <w:rFonts w:hint="eastAsia"/>
          <w:kern w:val="0"/>
        </w:rPr>
        <w:t>外部电源开关</w:t>
      </w:r>
      <w:r>
        <w:rPr>
          <w:rFonts w:hint="eastAsia"/>
        </w:rPr>
        <w:t>，UPS进入电池模式。如需将UPS切换回正常模式，闭合</w:t>
      </w:r>
      <w:r>
        <w:rPr>
          <w:rFonts w:hint="eastAsia"/>
          <w:kern w:val="0"/>
        </w:rPr>
        <w:t>外部电源开关，</w:t>
      </w:r>
      <w:r>
        <w:rPr>
          <w:rFonts w:hint="eastAsia"/>
        </w:rPr>
        <w:t>等待数秒后</w:t>
      </w:r>
      <w:r>
        <w:rPr>
          <w:rFonts w:hint="eastAsia"/>
          <w:kern w:val="0"/>
        </w:rPr>
        <w:t>市电重新供入</w:t>
      </w:r>
      <w:r>
        <w:rPr>
          <w:rFonts w:hint="eastAsia"/>
        </w:rPr>
        <w:t>。10秒后，整流器自动重启，UPS恢复正常模式。</w:t>
      </w:r>
    </w:p>
    <w:p>
      <w:pPr>
        <w:pStyle w:val="5"/>
        <w:numPr>
          <w:ilvl w:val="2"/>
          <w:numId w:val="9"/>
        </w:numPr>
        <w:rPr>
          <w:szCs w:val="22"/>
          <w:lang w:val="en-GB"/>
        </w:rPr>
      </w:pPr>
      <w:bookmarkStart w:id="481" w:name="_Toc1328"/>
      <w:r>
        <w:rPr>
          <w:rFonts w:hint="eastAsia"/>
          <w:szCs w:val="22"/>
          <w:lang w:val="en-GB"/>
        </w:rPr>
        <w:t>正常模式到旁路模式的切换</w:t>
      </w:r>
      <w:bookmarkEnd w:id="481"/>
    </w:p>
    <w:p>
      <w:pPr>
        <w:pStyle w:val="3"/>
      </w:pPr>
      <w:r>
        <w:rPr>
          <w:rFonts w:hint="eastAsia"/>
        </w:rPr>
        <w:t>进入控制菜单界面，点击“</w:t>
      </w:r>
      <w:r>
        <w:t>逆变关闭</w:t>
      </w:r>
      <w:r>
        <w:rPr>
          <w:rFonts w:ascii="宋体" w:hAnsi="宋体"/>
        </w:rPr>
        <w:t>”并点击确定。功率模块面板上的</w:t>
      </w:r>
      <w:r>
        <w:rPr>
          <w:rFonts w:hint="eastAsia"/>
        </w:rPr>
        <w:t>逆变器指示灯（INV）灭，则可将UPS切换到旁路模式。</w:t>
      </w:r>
    </w:p>
    <w:tbl>
      <w:tblPr>
        <w:tblStyle w:val="50"/>
        <w:tblW w:w="9356"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56" w:type="dxa"/>
            <w:tcBorders>
              <w:bottom w:val="nil"/>
            </w:tcBorders>
            <w:vAlign w:val="center"/>
          </w:tcPr>
          <w:p>
            <w:pPr>
              <w:pStyle w:val="72"/>
              <w:spacing w:before="36" w:beforeLines="15" w:line="276" w:lineRule="auto"/>
              <w:jc w:val="both"/>
              <w:rPr>
                <w:rStyle w:val="87"/>
              </w:rPr>
            </w:pPr>
            <w:r>
              <w:rPr>
                <w:rStyle w:val="87"/>
              </w:rPr>
              <w:drawing>
                <wp:inline distT="0" distB="0" distL="0" distR="0">
                  <wp:extent cx="315595" cy="267970"/>
                  <wp:effectExtent l="0" t="0" r="8255" b="0"/>
                  <wp:docPr id="60" name="图片 60" descr="图形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形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315595" cy="267970"/>
                          </a:xfrm>
                          <a:prstGeom prst="rect">
                            <a:avLst/>
                          </a:prstGeom>
                          <a:noFill/>
                          <a:ln>
                            <a:noFill/>
                          </a:ln>
                        </pic:spPr>
                      </pic:pic>
                    </a:graphicData>
                  </a:graphic>
                </wp:inline>
              </w:drawing>
            </w:r>
            <w:r>
              <w:rPr>
                <w:rStyle w:val="87"/>
                <w:rFonts w:hint="eastAsia"/>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56" w:type="dxa"/>
            <w:vAlign w:val="center"/>
          </w:tcPr>
          <w:p>
            <w:pPr>
              <w:pStyle w:val="73"/>
              <w:rPr>
                <w:i/>
                <w:lang w:val="en-GB"/>
              </w:rPr>
            </w:pPr>
            <w:r>
              <w:rPr>
                <w:rFonts w:hint="eastAsia"/>
                <w:lang w:val="en-GB"/>
              </w:rPr>
              <w:t>旁路模式下，负载的供电由市电电源直接提供，而非逆变器输出的纯净电源。</w:t>
            </w:r>
          </w:p>
        </w:tc>
      </w:tr>
    </w:tbl>
    <w:p>
      <w:pPr>
        <w:pStyle w:val="5"/>
        <w:numPr>
          <w:ilvl w:val="2"/>
          <w:numId w:val="9"/>
        </w:numPr>
        <w:rPr>
          <w:szCs w:val="22"/>
          <w:lang w:val="en-GB"/>
        </w:rPr>
      </w:pPr>
      <w:bookmarkStart w:id="482" w:name="_Toc1566"/>
      <w:r>
        <w:rPr>
          <w:rFonts w:hint="eastAsia"/>
          <w:szCs w:val="22"/>
          <w:lang w:val="en-GB"/>
        </w:rPr>
        <w:t>旁路模式到正常模式的切换</w:t>
      </w:r>
      <w:bookmarkEnd w:id="482"/>
    </w:p>
    <w:p>
      <w:pPr>
        <w:pStyle w:val="3"/>
      </w:pPr>
      <w:r>
        <w:rPr>
          <w:rFonts w:hint="eastAsia"/>
        </w:rPr>
        <w:t>旁路模式下，进入控制菜单界面，点击“</w:t>
      </w:r>
      <w:r>
        <w:t>逆变开启</w:t>
      </w:r>
      <w:r>
        <w:rPr>
          <w:rFonts w:ascii="宋体" w:hAnsi="宋体"/>
        </w:rPr>
        <w:t>”并点击确定</w:t>
      </w:r>
      <w:r>
        <w:rPr>
          <w:rFonts w:hint="eastAsia"/>
        </w:rPr>
        <w:t>，逆变器开始启动，</w:t>
      </w:r>
      <w:r>
        <w:rPr>
          <w:rFonts w:ascii="宋体" w:hAnsi="宋体"/>
        </w:rPr>
        <w:t>功率模块面板上的</w:t>
      </w:r>
      <w:r>
        <w:rPr>
          <w:rFonts w:hint="eastAsia"/>
        </w:rPr>
        <w:t>逆变器指示灯（INV）呈绿色闪烁，直到</w:t>
      </w:r>
      <w:r>
        <w:rPr>
          <w:rFonts w:hint="eastAsia"/>
          <w:lang w:val="en-GB"/>
        </w:rPr>
        <w:t>逆变器指示灯呈绿色常亮，此时</w:t>
      </w:r>
      <w:r>
        <w:t>UPS</w:t>
      </w:r>
      <w:r>
        <w:rPr>
          <w:rFonts w:hint="eastAsia"/>
        </w:rPr>
        <w:t>切换到正常模式。</w:t>
      </w:r>
    </w:p>
    <w:p>
      <w:pPr>
        <w:pStyle w:val="5"/>
        <w:numPr>
          <w:ilvl w:val="2"/>
          <w:numId w:val="9"/>
        </w:numPr>
        <w:rPr>
          <w:szCs w:val="22"/>
          <w:lang w:val="en-GB"/>
        </w:rPr>
      </w:pPr>
      <w:bookmarkStart w:id="483" w:name="_Toc30904"/>
      <w:r>
        <w:rPr>
          <w:rFonts w:hint="eastAsia"/>
          <w:szCs w:val="22"/>
          <w:lang w:val="en-GB"/>
        </w:rPr>
        <w:t>正常模式到维修模式的切换</w:t>
      </w:r>
      <w:bookmarkEnd w:id="483"/>
    </w:p>
    <w:p>
      <w:pPr>
        <w:pStyle w:val="3"/>
      </w:pPr>
      <w:r>
        <w:t>UPS</w:t>
      </w:r>
      <w:r>
        <w:rPr>
          <w:rFonts w:hint="eastAsia"/>
          <w:lang w:val="en-GB"/>
        </w:rPr>
        <w:t>处于正常模式运行时，使用</w:t>
      </w:r>
      <w:r>
        <w:rPr>
          <w:rFonts w:hint="eastAsia"/>
        </w:rPr>
        <w:t>此操作步骤可将负载从逆变</w:t>
      </w:r>
      <w:r>
        <w:rPr>
          <w:rFonts w:hint="eastAsia"/>
          <w:lang w:val="en-GB"/>
        </w:rPr>
        <w:t>输出供电切换到维修旁路输出供电。</w:t>
      </w:r>
    </w:p>
    <w:tbl>
      <w:tblPr>
        <w:tblStyle w:val="50"/>
        <w:tblW w:w="9356"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56" w:type="dxa"/>
            <w:tcBorders>
              <w:bottom w:val="nil"/>
            </w:tcBorders>
            <w:vAlign w:val="center"/>
          </w:tcPr>
          <w:p>
            <w:pPr>
              <w:pStyle w:val="72"/>
              <w:spacing w:before="36" w:beforeLines="15" w:line="276" w:lineRule="auto"/>
              <w:jc w:val="both"/>
              <w:rPr>
                <w:rStyle w:val="87"/>
              </w:rPr>
            </w:pPr>
            <w:r>
              <w:rPr>
                <w:rStyle w:val="87"/>
              </w:rPr>
              <w:drawing>
                <wp:inline distT="0" distB="0" distL="0" distR="0">
                  <wp:extent cx="315595" cy="267970"/>
                  <wp:effectExtent l="0" t="0" r="8255" b="0"/>
                  <wp:docPr id="59" name="图片 59" descr="图形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形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315595" cy="267970"/>
                          </a:xfrm>
                          <a:prstGeom prst="rect">
                            <a:avLst/>
                          </a:prstGeom>
                          <a:noFill/>
                          <a:ln>
                            <a:noFill/>
                          </a:ln>
                        </pic:spPr>
                      </pic:pic>
                    </a:graphicData>
                  </a:graphic>
                </wp:inline>
              </w:drawing>
            </w:r>
            <w:r>
              <w:rPr>
                <w:rStyle w:val="87"/>
                <w:rFonts w:hint="eastAsia"/>
              </w:rPr>
              <w:t>小心：负载供电中断危险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56" w:type="dxa"/>
            <w:vAlign w:val="center"/>
          </w:tcPr>
          <w:p>
            <w:pPr>
              <w:pStyle w:val="73"/>
              <w:rPr>
                <w:i/>
                <w:lang w:val="en-GB"/>
              </w:rPr>
            </w:pPr>
            <w:r>
              <w:rPr>
                <w:rFonts w:hint="eastAsia"/>
                <w:lang w:val="en-GB"/>
              </w:rPr>
              <w:t>执行切换操作前，请首先查看</w:t>
            </w:r>
            <w:r>
              <w:rPr>
                <w:lang w:val="en-GB"/>
              </w:rPr>
              <w:t>触摸屏</w:t>
            </w:r>
            <w:r>
              <w:rPr>
                <w:rFonts w:hint="eastAsia"/>
                <w:lang w:val="en-GB"/>
              </w:rPr>
              <w:t>信息，确保旁路正常，且逆变器与旁路同步。如未满足此条件，则可能造成负载供电短时中断。</w:t>
            </w:r>
          </w:p>
        </w:tc>
      </w:tr>
    </w:tbl>
    <w:p>
      <w:pPr>
        <w:pStyle w:val="79"/>
      </w:pPr>
    </w:p>
    <w:p>
      <w:pPr>
        <w:pStyle w:val="3"/>
      </w:pPr>
      <w:r>
        <w:rPr>
          <w:rFonts w:hint="eastAsia"/>
        </w:rPr>
        <w:t>1．进入控制菜单界面，点击“</w:t>
      </w:r>
      <w:r>
        <w:t>逆变关闭</w:t>
      </w:r>
      <w:r>
        <w:rPr>
          <w:rFonts w:ascii="宋体" w:hAnsi="宋体"/>
        </w:rPr>
        <w:t>”并点击确定</w:t>
      </w:r>
      <w:r>
        <w:rPr>
          <w:rFonts w:hint="eastAsia"/>
        </w:rPr>
        <w:t>。</w:t>
      </w:r>
      <w:r>
        <w:rPr>
          <w:rFonts w:ascii="宋体" w:hAnsi="宋体"/>
        </w:rPr>
        <w:t>功率模块面板上的</w:t>
      </w:r>
      <w:r>
        <w:rPr>
          <w:rFonts w:hint="eastAsia"/>
        </w:rPr>
        <w:t>逆变器指示灯（INV）灭，旁路模块面板指示灯（RUN）亮，蜂鸣器告警，负载切换到静态旁路，逆变器关闭。</w:t>
      </w:r>
    </w:p>
    <w:tbl>
      <w:tblPr>
        <w:tblStyle w:val="50"/>
        <w:tblW w:w="9356"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56" w:type="dxa"/>
            <w:tcBorders>
              <w:bottom w:val="nil"/>
            </w:tcBorders>
            <w:vAlign w:val="center"/>
          </w:tcPr>
          <w:p>
            <w:pPr>
              <w:pStyle w:val="72"/>
              <w:spacing w:before="36" w:beforeLines="15" w:line="276" w:lineRule="auto"/>
              <w:jc w:val="both"/>
            </w:pPr>
            <w:r>
              <w:drawing>
                <wp:inline distT="0" distB="0" distL="0" distR="0">
                  <wp:extent cx="362585" cy="315595"/>
                  <wp:effectExtent l="0" t="0" r="0" b="8255"/>
                  <wp:docPr id="58" name="图片 58"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r="49123"/>
                          <a:stretch>
                            <a:fillRect/>
                          </a:stretch>
                        </pic:blipFill>
                        <pic:spPr>
                          <a:xfrm>
                            <a:off x="0" y="0"/>
                            <a:ext cx="362585" cy="315595"/>
                          </a:xfrm>
                          <a:prstGeom prst="rect">
                            <a:avLst/>
                          </a:prstGeom>
                          <a:noFill/>
                          <a:ln>
                            <a:noFill/>
                          </a:ln>
                        </pic:spPr>
                      </pic:pic>
                    </a:graphicData>
                  </a:graphic>
                </wp:inline>
              </w:drawing>
            </w:r>
            <w:r>
              <w:rPr>
                <w:rFonts w:hint="eastAsia"/>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56" w:type="dxa"/>
            <w:tcBorders>
              <w:top w:val="single" w:color="auto" w:sz="6" w:space="0"/>
              <w:left w:val="single" w:color="auto" w:sz="6" w:space="0"/>
              <w:bottom w:val="single" w:color="auto" w:sz="6" w:space="0"/>
              <w:right w:val="single" w:color="auto" w:sz="6" w:space="0"/>
            </w:tcBorders>
            <w:vAlign w:val="center"/>
          </w:tcPr>
          <w:p>
            <w:pPr>
              <w:pStyle w:val="73"/>
              <w:rPr>
                <w:i/>
                <w:lang w:val="en-GB"/>
              </w:rPr>
            </w:pPr>
            <w:r>
              <w:rPr>
                <w:rFonts w:hint="eastAsia"/>
                <w:lang w:val="en-GB"/>
              </w:rPr>
              <w:t>进入控制菜单界面内，点击“蜂鸣器消音”可进行告警消音</w:t>
            </w:r>
            <w:r>
              <w:rPr>
                <w:rFonts w:hint="eastAsia"/>
              </w:rPr>
              <w:t>，</w:t>
            </w:r>
            <w:r>
              <w:rPr>
                <w:rFonts w:hint="eastAsia"/>
                <w:lang w:val="en-GB"/>
              </w:rPr>
              <w:t>但触摸屏的告警信息显示仍然存在</w:t>
            </w:r>
            <w:r>
              <w:rPr>
                <w:rFonts w:hint="eastAsia"/>
              </w:rPr>
              <w:t>，</w:t>
            </w:r>
            <w:r>
              <w:rPr>
                <w:rFonts w:hint="eastAsia"/>
                <w:lang w:val="en-GB"/>
              </w:rPr>
              <w:t>直到告警状态消除。</w:t>
            </w:r>
          </w:p>
        </w:tc>
      </w:tr>
    </w:tbl>
    <w:p>
      <w:pPr>
        <w:pStyle w:val="79"/>
        <w:rPr>
          <w:lang w:val="en-GB"/>
        </w:rPr>
      </w:pPr>
    </w:p>
    <w:p>
      <w:pPr>
        <w:pStyle w:val="3"/>
      </w:pPr>
      <w:r>
        <w:rPr>
          <w:rFonts w:hint="eastAsia"/>
        </w:rPr>
        <w:t>2．闭合内部维修旁路开关Q3。</w:t>
      </w:r>
    </w:p>
    <w:p>
      <w:pPr>
        <w:pStyle w:val="3"/>
      </w:pPr>
      <w:r>
        <w:rPr>
          <w:rFonts w:hint="eastAsia"/>
        </w:rPr>
        <w:t>3．此时维修旁路与UPS的静态旁路并联。</w:t>
      </w:r>
    </w:p>
    <w:p>
      <w:pPr>
        <w:pStyle w:val="3"/>
      </w:pPr>
      <w:r>
        <w:rPr>
          <w:rFonts w:hint="eastAsia"/>
        </w:rPr>
        <w:t>4．当前记录显示“维修空开闭合”。</w:t>
      </w:r>
    </w:p>
    <w:p>
      <w:pPr>
        <w:pStyle w:val="3"/>
      </w:pPr>
      <w:r>
        <w:rPr>
          <w:rFonts w:hint="eastAsia"/>
        </w:rPr>
        <w:t>5．断开输出开关Q5。</w:t>
      </w:r>
    </w:p>
    <w:tbl>
      <w:tblPr>
        <w:tblStyle w:val="50"/>
        <w:tblW w:w="9356"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56" w:type="dxa"/>
            <w:tcBorders>
              <w:bottom w:val="nil"/>
            </w:tcBorders>
            <w:vAlign w:val="center"/>
          </w:tcPr>
          <w:p>
            <w:pPr>
              <w:pStyle w:val="72"/>
              <w:spacing w:before="36" w:beforeLines="15" w:line="276" w:lineRule="auto"/>
              <w:jc w:val="both"/>
            </w:pPr>
            <w:r>
              <w:drawing>
                <wp:inline distT="0" distB="0" distL="0" distR="0">
                  <wp:extent cx="362585" cy="315595"/>
                  <wp:effectExtent l="0" t="0" r="0" b="8255"/>
                  <wp:docPr id="57" name="图片 57"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r="49123"/>
                          <a:stretch>
                            <a:fillRect/>
                          </a:stretch>
                        </pic:blipFill>
                        <pic:spPr>
                          <a:xfrm>
                            <a:off x="0" y="0"/>
                            <a:ext cx="362585" cy="315595"/>
                          </a:xfrm>
                          <a:prstGeom prst="rect">
                            <a:avLst/>
                          </a:prstGeom>
                          <a:noFill/>
                          <a:ln>
                            <a:noFill/>
                          </a:ln>
                        </pic:spPr>
                      </pic:pic>
                    </a:graphicData>
                  </a:graphic>
                </wp:inline>
              </w:drawing>
            </w:r>
            <w:r>
              <w:rPr>
                <w:rFonts w:hint="eastAsia"/>
              </w:rPr>
              <w:t>小心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56" w:type="dxa"/>
            <w:tcBorders>
              <w:top w:val="single" w:color="auto" w:sz="6" w:space="0"/>
              <w:left w:val="single" w:color="auto" w:sz="6" w:space="0"/>
              <w:bottom w:val="single" w:color="auto" w:sz="6" w:space="0"/>
              <w:right w:val="single" w:color="auto" w:sz="6" w:space="0"/>
            </w:tcBorders>
            <w:vAlign w:val="center"/>
          </w:tcPr>
          <w:p>
            <w:pPr>
              <w:pStyle w:val="73"/>
              <w:rPr>
                <w:i/>
                <w:lang w:val="en-GB"/>
              </w:rPr>
            </w:pPr>
            <w:r>
              <w:rPr>
                <w:rFonts w:hint="eastAsia"/>
                <w:lang w:val="en-GB"/>
              </w:rPr>
              <w:t>UPS处于维修旁路模式时，负载没有市电异常保护。</w:t>
            </w:r>
          </w:p>
        </w:tc>
      </w:tr>
    </w:tbl>
    <w:p>
      <w:pPr>
        <w:pStyle w:val="79"/>
      </w:pPr>
    </w:p>
    <w:p>
      <w:pPr>
        <w:pStyle w:val="3"/>
        <w:rPr>
          <w:lang w:val="en-GB"/>
        </w:rPr>
      </w:pPr>
      <w:r>
        <w:rPr>
          <w:rFonts w:hint="eastAsia"/>
        </w:rPr>
        <w:t>6</w:t>
      </w:r>
      <w:r>
        <w:rPr>
          <w:rFonts w:hint="eastAsia"/>
          <w:lang w:val="en-GB"/>
        </w:rPr>
        <w:t>．按下机柜面板上的EPO按钮，可以进一步停止整流器、逆变器、静态开关和电池的运行。但是不影响维修旁路向负载的正常供电。</w:t>
      </w:r>
    </w:p>
    <w:tbl>
      <w:tblPr>
        <w:tblStyle w:val="50"/>
        <w:tblW w:w="9356"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56" w:type="dxa"/>
            <w:tcBorders>
              <w:bottom w:val="nil"/>
            </w:tcBorders>
            <w:vAlign w:val="center"/>
          </w:tcPr>
          <w:p>
            <w:pPr>
              <w:pStyle w:val="72"/>
              <w:spacing w:before="36" w:beforeLines="15" w:line="276" w:lineRule="auto"/>
              <w:jc w:val="both"/>
            </w:pPr>
            <w:r>
              <w:drawing>
                <wp:inline distT="0" distB="0" distL="0" distR="0">
                  <wp:extent cx="362585" cy="315595"/>
                  <wp:effectExtent l="0" t="0" r="0" b="8255"/>
                  <wp:docPr id="56" name="图片 56"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r="49123"/>
                          <a:stretch>
                            <a:fillRect/>
                          </a:stretch>
                        </pic:blipFill>
                        <pic:spPr>
                          <a:xfrm>
                            <a:off x="0" y="0"/>
                            <a:ext cx="362585" cy="315595"/>
                          </a:xfrm>
                          <a:prstGeom prst="rect">
                            <a:avLst/>
                          </a:prstGeom>
                          <a:noFill/>
                          <a:ln>
                            <a:noFill/>
                          </a:ln>
                        </pic:spPr>
                      </pic:pic>
                    </a:graphicData>
                  </a:graphic>
                </wp:inline>
              </w:drawing>
            </w:r>
            <w:r>
              <w:rPr>
                <w:rFonts w:hint="eastAsia"/>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56" w:type="dxa"/>
            <w:vAlign w:val="center"/>
          </w:tcPr>
          <w:p>
            <w:pPr>
              <w:pStyle w:val="73"/>
              <w:rPr>
                <w:i/>
                <w:lang w:val="en-GB"/>
              </w:rPr>
            </w:pPr>
            <w:r>
              <w:rPr>
                <w:rFonts w:hint="eastAsia"/>
                <w:lang w:val="en-GB"/>
              </w:rPr>
              <w:t>维修模式下，负载的供电由市电电源直接提供，而非逆变器输出的纯净电源。</w:t>
            </w:r>
          </w:p>
        </w:tc>
      </w:tr>
    </w:tbl>
    <w:p>
      <w:pPr>
        <w:pStyle w:val="79"/>
      </w:pPr>
    </w:p>
    <w:p>
      <w:pPr>
        <w:pStyle w:val="3"/>
        <w:rPr>
          <w:lang w:val="en-GB"/>
        </w:rPr>
      </w:pPr>
      <w:r>
        <w:rPr>
          <w:rFonts w:hint="eastAsia"/>
        </w:rPr>
        <w:t>7</w:t>
      </w:r>
      <w:r>
        <w:rPr>
          <w:rFonts w:hint="eastAsia"/>
          <w:lang w:val="en-GB"/>
        </w:rPr>
        <w:t>．断开外置电池的开关。</w:t>
      </w:r>
    </w:p>
    <w:p>
      <w:pPr>
        <w:pStyle w:val="3"/>
        <w:rPr>
          <w:lang w:val="en-GB"/>
        </w:rPr>
      </w:pPr>
      <w:r>
        <w:rPr>
          <w:rFonts w:hint="eastAsia"/>
        </w:rPr>
        <w:t>8</w:t>
      </w:r>
      <w:r>
        <w:rPr>
          <w:rFonts w:hint="eastAsia"/>
          <w:lang w:val="en-GB"/>
        </w:rPr>
        <w:t>．断开主路输入开关Q1与旁路输入开关Q2（如有）。</w:t>
      </w:r>
      <w:r>
        <w:rPr>
          <w:rFonts w:hint="eastAsia"/>
          <w:kern w:val="0"/>
        </w:rPr>
        <w:t>此时，所有内部电源关闭，触摸屏显示关闭。</w:t>
      </w:r>
    </w:p>
    <w:tbl>
      <w:tblPr>
        <w:tblStyle w:val="50"/>
        <w:tblW w:w="9347"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47" w:type="dxa"/>
            <w:tcBorders>
              <w:bottom w:val="nil"/>
            </w:tcBorders>
            <w:vAlign w:val="center"/>
          </w:tcPr>
          <w:p>
            <w:pPr>
              <w:pStyle w:val="72"/>
              <w:spacing w:before="36" w:beforeLines="15" w:line="276" w:lineRule="auto"/>
              <w:jc w:val="both"/>
            </w:pPr>
            <w:r>
              <w:drawing>
                <wp:inline distT="0" distB="0" distL="0" distR="0">
                  <wp:extent cx="725170" cy="315595"/>
                  <wp:effectExtent l="0" t="0" r="0" b="8255"/>
                  <wp:docPr id="55" name="图片 55"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rPr>
              <w:t>警告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47" w:type="dxa"/>
            <w:tcBorders>
              <w:top w:val="single" w:color="auto" w:sz="6" w:space="0"/>
              <w:left w:val="single" w:color="auto" w:sz="6" w:space="0"/>
              <w:bottom w:val="single" w:color="auto" w:sz="6" w:space="0"/>
              <w:right w:val="single" w:color="auto" w:sz="6" w:space="0"/>
            </w:tcBorders>
            <w:vAlign w:val="center"/>
          </w:tcPr>
          <w:p>
            <w:pPr>
              <w:pStyle w:val="73"/>
            </w:pPr>
            <w:r>
              <w:rPr>
                <w:rFonts w:hint="eastAsia"/>
              </w:rPr>
              <w:t>如需维护，等约10分钟，使内部直流母线电容电压放电后再维修。</w:t>
            </w:r>
          </w:p>
          <w:p>
            <w:pPr>
              <w:pStyle w:val="73"/>
              <w:rPr>
                <w:i/>
                <w:lang w:val="en-GB"/>
              </w:rPr>
            </w:pPr>
            <w:r>
              <w:rPr>
                <w:rFonts w:hint="eastAsia"/>
                <w:lang w:val="en-GB"/>
              </w:rPr>
              <w:t>即使主路输入开关、旁路输入开关与电池开关断开，UPS部分电路仍然带电。因此，仅允许合格人员进行UPS维修。</w:t>
            </w:r>
          </w:p>
        </w:tc>
      </w:tr>
    </w:tbl>
    <w:p>
      <w:pPr>
        <w:pStyle w:val="79"/>
      </w:pPr>
    </w:p>
    <w:p>
      <w:pPr>
        <w:pStyle w:val="3"/>
        <w:rPr>
          <w:rFonts w:ascii="宋体" w:hAnsi="宋体"/>
        </w:rPr>
      </w:pPr>
      <w:r>
        <w:rPr>
          <w:rFonts w:hint="eastAsia"/>
        </w:rPr>
        <w:t>此时，负载电源由维修旁路提供。</w:t>
      </w:r>
    </w:p>
    <w:p>
      <w:pPr>
        <w:pStyle w:val="5"/>
        <w:numPr>
          <w:ilvl w:val="2"/>
          <w:numId w:val="9"/>
        </w:numPr>
        <w:rPr>
          <w:szCs w:val="22"/>
          <w:lang w:val="en-GB"/>
        </w:rPr>
      </w:pPr>
      <w:bookmarkStart w:id="484" w:name="_Toc13996"/>
      <w:r>
        <w:rPr>
          <w:rFonts w:hint="eastAsia"/>
          <w:szCs w:val="22"/>
          <w:lang w:val="en-GB"/>
        </w:rPr>
        <w:t>维修模式到正常模式的切换</w:t>
      </w:r>
      <w:bookmarkEnd w:id="484"/>
    </w:p>
    <w:p>
      <w:pPr>
        <w:pStyle w:val="3"/>
        <w:rPr>
          <w:lang w:val="en-GB"/>
        </w:rPr>
      </w:pPr>
      <w:r>
        <w:rPr>
          <w:rFonts w:hint="eastAsia"/>
          <w:lang w:val="en-GB"/>
        </w:rPr>
        <w:t>以下操作步骤将使负载从维修旁路供电状态切换回市电逆变供电状态。</w:t>
      </w:r>
    </w:p>
    <w:p>
      <w:pPr>
        <w:pStyle w:val="3"/>
      </w:pPr>
      <w:r>
        <w:rPr>
          <w:rFonts w:hint="eastAsia"/>
        </w:rPr>
        <w:t>1．闭合输出开关Q5。</w:t>
      </w:r>
    </w:p>
    <w:p>
      <w:pPr>
        <w:pStyle w:val="3"/>
      </w:pPr>
      <w:r>
        <w:rPr>
          <w:rFonts w:hint="eastAsia"/>
        </w:rPr>
        <w:t>2．先后闭合旁路输入开关Q2（如有）和主路输入开关Q1。</w:t>
      </w:r>
    </w:p>
    <w:p>
      <w:pPr>
        <w:pStyle w:val="3"/>
      </w:pPr>
      <w:r>
        <w:rPr>
          <w:rFonts w:hint="eastAsia"/>
        </w:rPr>
        <w:t>3．待触摸屏启动完成，切换至当前记录界面，直到确认记录显示“旁路供电”的信息。</w:t>
      </w:r>
    </w:p>
    <w:tbl>
      <w:tblPr>
        <w:tblStyle w:val="50"/>
        <w:tblW w:w="9320"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2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20" w:type="dxa"/>
            <w:vAlign w:val="center"/>
          </w:tcPr>
          <w:p>
            <w:pPr>
              <w:pStyle w:val="72"/>
              <w:spacing w:before="36" w:beforeLines="15" w:line="276" w:lineRule="auto"/>
              <w:jc w:val="both"/>
            </w:pPr>
            <w:r>
              <w:drawing>
                <wp:inline distT="0" distB="0" distL="0" distR="0">
                  <wp:extent cx="725170" cy="315595"/>
                  <wp:effectExtent l="0" t="0" r="0" b="8255"/>
                  <wp:docPr id="54" name="图片 54"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rPr>
              <w:t>警告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20" w:type="dxa"/>
            <w:vAlign w:val="center"/>
          </w:tcPr>
          <w:p>
            <w:pPr>
              <w:pStyle w:val="73"/>
              <w:jc w:val="both"/>
              <w:rPr>
                <w:lang w:val="en-GB"/>
              </w:rPr>
            </w:pPr>
            <w:r>
              <w:rPr>
                <w:rFonts w:hint="eastAsia"/>
                <w:lang w:val="en-GB"/>
              </w:rPr>
              <w:t>必须先开旁路，再断开维修旁路开关，否则会造成输出负载掉电。</w:t>
            </w:r>
          </w:p>
        </w:tc>
      </w:tr>
    </w:tbl>
    <w:p>
      <w:pPr>
        <w:pStyle w:val="79"/>
      </w:pPr>
    </w:p>
    <w:p>
      <w:pPr>
        <w:pStyle w:val="3"/>
      </w:pPr>
      <w:r>
        <w:rPr>
          <w:rFonts w:hint="eastAsia"/>
        </w:rPr>
        <w:t>4．断开内部维修旁路开关Q3。</w:t>
      </w:r>
    </w:p>
    <w:p>
      <w:pPr>
        <w:pStyle w:val="3"/>
      </w:pPr>
      <w:r>
        <w:rPr>
          <w:rFonts w:hint="eastAsia"/>
        </w:rPr>
        <w:t>5. 闭合外置电池开关</w:t>
      </w:r>
    </w:p>
    <w:p>
      <w:pPr>
        <w:pStyle w:val="3"/>
      </w:pPr>
      <w:r>
        <w:rPr>
          <w:rFonts w:hint="eastAsia"/>
        </w:rPr>
        <w:t>6．进入控制菜单界面点击“逆变开启”并确认。逆变器启动，模块上的逆变器指示灯（INV）呈绿色闪烁。逆变器运行正常后，逆变器指示灯（INV）常亮，能量流图中逆变状态条变绿，UPS从旁路供电状态切换到逆变器供电状态。</w:t>
      </w:r>
    </w:p>
    <w:p>
      <w:pPr>
        <w:pStyle w:val="4"/>
        <w:numPr>
          <w:ilvl w:val="1"/>
          <w:numId w:val="9"/>
        </w:numPr>
        <w:rPr>
          <w:szCs w:val="22"/>
          <w:lang w:val="en-GB"/>
        </w:rPr>
      </w:pPr>
      <w:bookmarkStart w:id="485" w:name="_Toc6587"/>
      <w:r>
        <w:rPr>
          <w:rFonts w:hint="eastAsia"/>
          <w:szCs w:val="22"/>
          <w:lang w:val="en-GB"/>
        </w:rPr>
        <w:t>UPS关机步骤</w:t>
      </w:r>
      <w:bookmarkEnd w:id="485"/>
    </w:p>
    <w:p>
      <w:pPr>
        <w:pStyle w:val="5"/>
        <w:numPr>
          <w:ilvl w:val="2"/>
          <w:numId w:val="9"/>
        </w:numPr>
        <w:rPr>
          <w:szCs w:val="22"/>
          <w:lang w:val="en-GB"/>
        </w:rPr>
      </w:pPr>
      <w:bookmarkStart w:id="486" w:name="_Toc16188"/>
      <w:r>
        <w:rPr>
          <w:rFonts w:hint="eastAsia"/>
          <w:szCs w:val="22"/>
          <w:lang w:val="en-GB"/>
        </w:rPr>
        <w:t>UPS完全下电</w:t>
      </w:r>
      <w:bookmarkEnd w:id="486"/>
    </w:p>
    <w:p>
      <w:pPr>
        <w:pStyle w:val="3"/>
        <w:ind w:firstLine="170"/>
        <w:rPr>
          <w:kern w:val="0"/>
        </w:rPr>
      </w:pPr>
      <w:r>
        <w:rPr>
          <w:rFonts w:hint="eastAsia"/>
          <w:kern w:val="0"/>
        </w:rPr>
        <w:t>UPS完全</w:t>
      </w:r>
      <w:r>
        <w:rPr>
          <w:rFonts w:hint="eastAsia"/>
          <w:kern w:val="0"/>
          <w:lang w:val="en-GB"/>
        </w:rPr>
        <w:t>关机</w:t>
      </w:r>
      <w:r>
        <w:rPr>
          <w:rFonts w:hint="eastAsia"/>
          <w:kern w:val="0"/>
        </w:rPr>
        <w:t>及使负载断电时应遵循此步骤。所有电源开关、</w:t>
      </w:r>
      <w:r>
        <w:rPr>
          <w:rFonts w:hint="eastAsia"/>
        </w:rPr>
        <w:t>隔离开关和</w:t>
      </w:r>
      <w:r>
        <w:rPr>
          <w:rFonts w:hint="eastAsia"/>
          <w:kern w:val="0"/>
        </w:rPr>
        <w:t>断路器均断开，UPS不再给负载供电。</w:t>
      </w:r>
    </w:p>
    <w:tbl>
      <w:tblPr>
        <w:tblStyle w:val="50"/>
        <w:tblW w:w="9407"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40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407" w:type="dxa"/>
            <w:vAlign w:val="center"/>
          </w:tcPr>
          <w:p>
            <w:pPr>
              <w:pStyle w:val="72"/>
              <w:spacing w:before="36" w:beforeLines="15" w:line="276" w:lineRule="auto"/>
              <w:jc w:val="both"/>
              <w:rPr>
                <w:rStyle w:val="87"/>
              </w:rPr>
            </w:pPr>
            <w:r>
              <w:rPr>
                <w:rStyle w:val="87"/>
              </w:rPr>
              <w:drawing>
                <wp:inline distT="0" distB="0" distL="0" distR="0">
                  <wp:extent cx="315595" cy="267970"/>
                  <wp:effectExtent l="0" t="0" r="8255" b="0"/>
                  <wp:docPr id="53" name="图片 53" descr="图形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形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315595" cy="267970"/>
                          </a:xfrm>
                          <a:prstGeom prst="rect">
                            <a:avLst/>
                          </a:prstGeom>
                          <a:noFill/>
                          <a:ln>
                            <a:noFill/>
                          </a:ln>
                        </pic:spPr>
                      </pic:pic>
                    </a:graphicData>
                  </a:graphic>
                </wp:inline>
              </w:drawing>
            </w:r>
            <w:r>
              <w:rPr>
                <w:rStyle w:val="87"/>
                <w:rFonts w:hint="eastAsia"/>
              </w:rPr>
              <w:t>小心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407" w:type="dxa"/>
            <w:vAlign w:val="center"/>
          </w:tcPr>
          <w:p>
            <w:pPr>
              <w:pStyle w:val="73"/>
              <w:rPr>
                <w:lang w:val="en-GB"/>
              </w:rPr>
            </w:pPr>
            <w:r>
              <w:rPr>
                <w:rFonts w:hint="eastAsia"/>
              </w:rPr>
              <w:t>下列步骤将切断负载电源，负载完全掉电。</w:t>
            </w:r>
          </w:p>
        </w:tc>
      </w:tr>
    </w:tbl>
    <w:p>
      <w:pPr>
        <w:pStyle w:val="79"/>
        <w:rPr>
          <w:lang w:val="en-GB"/>
        </w:rPr>
      </w:pPr>
    </w:p>
    <w:p>
      <w:pPr>
        <w:pStyle w:val="3"/>
        <w:rPr>
          <w:lang w:val="en-GB"/>
        </w:rPr>
      </w:pPr>
      <w:r>
        <w:rPr>
          <w:rFonts w:hint="eastAsia"/>
        </w:rPr>
        <w:t>1．进入触摸屏控制菜单界面点击“逆变关闭”并确认</w:t>
      </w:r>
      <w:r>
        <w:rPr>
          <w:rFonts w:hint="eastAsia"/>
          <w:lang w:val="en-GB"/>
        </w:rPr>
        <w:t>，停止UPS的逆变器运行，然后按下EPO按钮，可以停止整流器、静态开关和电池的运行。</w:t>
      </w:r>
    </w:p>
    <w:p>
      <w:pPr>
        <w:pStyle w:val="3"/>
        <w:rPr>
          <w:lang w:val="en-GB"/>
        </w:rPr>
      </w:pPr>
      <w:r>
        <w:rPr>
          <w:rFonts w:hint="eastAsia"/>
        </w:rPr>
        <w:t>2</w:t>
      </w:r>
      <w:r>
        <w:rPr>
          <w:rFonts w:hint="eastAsia"/>
          <w:lang w:val="en-GB"/>
        </w:rPr>
        <w:t>．断开外置电池的开关。</w:t>
      </w:r>
    </w:p>
    <w:p>
      <w:pPr>
        <w:pStyle w:val="3"/>
        <w:rPr>
          <w:kern w:val="0"/>
        </w:rPr>
      </w:pPr>
      <w:r>
        <w:rPr>
          <w:rFonts w:hint="eastAsia"/>
        </w:rPr>
        <w:t>3</w:t>
      </w:r>
      <w:r>
        <w:rPr>
          <w:rFonts w:hint="eastAsia"/>
          <w:lang w:val="en-GB"/>
        </w:rPr>
        <w:t>．断开主路输入开关Q1、旁路输入开关Q2（如有）、输出开关Q5。</w:t>
      </w:r>
      <w:r>
        <w:rPr>
          <w:rFonts w:hint="eastAsia"/>
          <w:kern w:val="0"/>
        </w:rPr>
        <w:t>此时，所有内部电源关闭，触摸屏显示关闭。</w:t>
      </w:r>
    </w:p>
    <w:tbl>
      <w:tblPr>
        <w:tblStyle w:val="50"/>
        <w:tblW w:w="9407"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40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98" w:hRule="atLeast"/>
          <w:jc w:val="right"/>
        </w:trPr>
        <w:tc>
          <w:tcPr>
            <w:tcW w:w="9407" w:type="dxa"/>
            <w:tcBorders>
              <w:bottom w:val="nil"/>
            </w:tcBorders>
            <w:vAlign w:val="center"/>
          </w:tcPr>
          <w:p>
            <w:pPr>
              <w:pStyle w:val="72"/>
              <w:spacing w:before="36" w:beforeLines="15" w:line="276" w:lineRule="auto"/>
              <w:jc w:val="both"/>
              <w:rPr>
                <w:rStyle w:val="87"/>
              </w:rPr>
            </w:pPr>
            <w:r>
              <w:rPr>
                <w:rStyle w:val="87"/>
              </w:rPr>
              <w:drawing>
                <wp:inline distT="0" distB="0" distL="0" distR="0">
                  <wp:extent cx="646430" cy="283845"/>
                  <wp:effectExtent l="0" t="0" r="1270" b="1905"/>
                  <wp:docPr id="52" name="图片 52"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6430" cy="283845"/>
                          </a:xfrm>
                          <a:prstGeom prst="rect">
                            <a:avLst/>
                          </a:prstGeom>
                          <a:noFill/>
                          <a:ln>
                            <a:noFill/>
                          </a:ln>
                        </pic:spPr>
                      </pic:pic>
                    </a:graphicData>
                  </a:graphic>
                </wp:inline>
              </w:drawing>
            </w:r>
            <w:r>
              <w:rPr>
                <w:rStyle w:val="87"/>
                <w:rFonts w:hint="eastAsia"/>
              </w:rPr>
              <w:t>警告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407" w:type="dxa"/>
            <w:vAlign w:val="center"/>
          </w:tcPr>
          <w:p>
            <w:pPr>
              <w:pStyle w:val="73"/>
            </w:pPr>
            <w:r>
              <w:t>UPS</w:t>
            </w:r>
            <w:r>
              <w:rPr>
                <w:rFonts w:hint="eastAsia"/>
              </w:rPr>
              <w:t>完全下电后，电池端子仍然有危险电压。</w:t>
            </w:r>
          </w:p>
          <w:p>
            <w:pPr>
              <w:pStyle w:val="73"/>
            </w:pPr>
            <w:r>
              <w:rPr>
                <w:rFonts w:hint="eastAsia" w:ascii="宋体" w:hAnsi="宋体" w:cs="宋体"/>
              </w:rPr>
              <w:t>U</w:t>
            </w:r>
            <w:r>
              <w:rPr>
                <w:rFonts w:ascii="宋体" w:hAnsi="宋体" w:cs="宋体"/>
              </w:rPr>
              <w:t>PS</w:t>
            </w:r>
            <w:r>
              <w:rPr>
                <w:rFonts w:hint="eastAsia" w:ascii="宋体" w:hAnsi="宋体" w:cs="宋体"/>
              </w:rPr>
              <w:t>完全下电超过一周时间，必须确保电池开关处于断开状态，保证U</w:t>
            </w:r>
            <w:r>
              <w:rPr>
                <w:rFonts w:ascii="宋体" w:hAnsi="宋体" w:cs="宋体"/>
              </w:rPr>
              <w:t>PS</w:t>
            </w:r>
            <w:r>
              <w:rPr>
                <w:rFonts w:hint="eastAsia" w:ascii="宋体" w:hAnsi="宋体" w:cs="宋体"/>
              </w:rPr>
              <w:t>与电池完全脱离。原因是U</w:t>
            </w:r>
            <w:r>
              <w:rPr>
                <w:rFonts w:ascii="宋体" w:hAnsi="宋体" w:cs="宋体"/>
              </w:rPr>
              <w:t>PS</w:t>
            </w:r>
            <w:r>
              <w:rPr>
                <w:rFonts w:hint="eastAsia" w:ascii="宋体" w:hAnsi="宋体" w:cs="宋体"/>
              </w:rPr>
              <w:t>内部会产生一定的漏电流，会将电池的电量慢慢消耗掉，严重损害电池的性能和寿命。</w:t>
            </w:r>
          </w:p>
        </w:tc>
      </w:tr>
    </w:tbl>
    <w:p>
      <w:pPr>
        <w:pStyle w:val="5"/>
        <w:numPr>
          <w:ilvl w:val="2"/>
          <w:numId w:val="9"/>
        </w:numPr>
        <w:rPr>
          <w:lang w:val="en-GB"/>
        </w:rPr>
      </w:pPr>
      <w:bookmarkStart w:id="487" w:name="_Toc12889"/>
      <w:r>
        <w:rPr>
          <w:rFonts w:hint="eastAsia"/>
        </w:rPr>
        <w:t>UPS完全</w:t>
      </w:r>
      <w:r>
        <w:rPr>
          <w:rFonts w:hint="eastAsia"/>
          <w:lang w:val="en-GB"/>
        </w:rPr>
        <w:t>下电但继续给负载供电</w:t>
      </w:r>
      <w:bookmarkEnd w:id="487"/>
    </w:p>
    <w:p>
      <w:pPr>
        <w:pStyle w:val="3"/>
      </w:pPr>
      <w:r>
        <w:rPr>
          <w:rFonts w:hint="eastAsia"/>
        </w:rPr>
        <w:t>此操作步骤适于将</w:t>
      </w:r>
      <w:r>
        <w:t>UPS</w:t>
      </w:r>
      <w:r>
        <w:rPr>
          <w:rFonts w:hint="eastAsia"/>
        </w:rPr>
        <w:t>完全断电，但继续维持负载供电。请参考</w:t>
      </w:r>
      <w:r>
        <w:rPr>
          <w:rFonts w:hint="eastAsia"/>
          <w:b/>
        </w:rPr>
        <w:t>5</w:t>
      </w:r>
      <w:r>
        <w:rPr>
          <w:rFonts w:hint="eastAsia"/>
          <w:b/>
          <w:i/>
        </w:rPr>
        <w:t>.</w:t>
      </w:r>
      <w:r>
        <w:rPr>
          <w:b/>
          <w:i/>
        </w:rPr>
        <w:t>3</w:t>
      </w:r>
      <w:r>
        <w:rPr>
          <w:rFonts w:hint="eastAsia"/>
          <w:b/>
          <w:i/>
        </w:rPr>
        <w:t xml:space="preserve">.5 </w:t>
      </w:r>
      <w:r>
        <w:rPr>
          <w:rFonts w:hint="eastAsia"/>
          <w:b/>
          <w:i/>
          <w:lang w:val="en-GB"/>
        </w:rPr>
        <w:t>正常模式到维修模式的切换</w:t>
      </w:r>
      <w:r>
        <w:rPr>
          <w:rFonts w:hint="eastAsia"/>
          <w:b/>
          <w:lang w:val="en-GB"/>
        </w:rPr>
        <w:t>的操作步骤</w:t>
      </w:r>
      <w:r>
        <w:rPr>
          <w:rFonts w:hint="eastAsia"/>
          <w:lang w:val="en-GB"/>
        </w:rPr>
        <w:t>。</w:t>
      </w:r>
    </w:p>
    <w:p>
      <w:pPr>
        <w:pStyle w:val="4"/>
        <w:numPr>
          <w:ilvl w:val="1"/>
          <w:numId w:val="9"/>
        </w:numPr>
        <w:rPr>
          <w:szCs w:val="22"/>
          <w:lang w:val="en-GB"/>
        </w:rPr>
      </w:pPr>
      <w:bookmarkStart w:id="488" w:name="_Toc32533"/>
      <w:r>
        <w:rPr>
          <w:rFonts w:hint="eastAsia"/>
          <w:szCs w:val="22"/>
          <w:lang w:val="en-GB"/>
        </w:rPr>
        <w:t>紧急停机（EPO）步骤</w:t>
      </w:r>
      <w:bookmarkEnd w:id="488"/>
    </w:p>
    <w:p>
      <w:pPr>
        <w:pStyle w:val="3"/>
      </w:pPr>
      <w:r>
        <w:rPr>
          <w:rFonts w:hint="eastAsia"/>
        </w:rPr>
        <w:t>UPS面板按键或远程EPO干接点提供紧急停机（EPO）开关，用于在紧急情况下（如火灾、水灾等）关闭</w:t>
      </w:r>
      <w:r>
        <w:t>UPS</w:t>
      </w:r>
      <w:r>
        <w:rPr>
          <w:rFonts w:hint="eastAsia"/>
        </w:rPr>
        <w:t>。如需执行紧急停机，您只需按下EPO开关即可，系统将关闭整流器、逆变器，并迅速切断负载供电</w:t>
      </w:r>
      <w:r>
        <w:t>（</w:t>
      </w:r>
      <w:r>
        <w:rPr>
          <w:rFonts w:hint="eastAsia"/>
        </w:rPr>
        <w:t>包括逆变和旁路输出</w:t>
      </w:r>
      <w:r>
        <w:t>）</w:t>
      </w:r>
      <w:r>
        <w:rPr>
          <w:rFonts w:hint="eastAsia"/>
        </w:rPr>
        <w:t>，且电池停止充电或放电。</w:t>
      </w:r>
    </w:p>
    <w:p>
      <w:pPr>
        <w:pStyle w:val="3"/>
      </w:pPr>
      <w:r>
        <w:rPr>
          <w:rFonts w:hint="eastAsia"/>
        </w:rPr>
        <w:t>紧急停机后，UPS仍有市电输入，UPS控制电路仍带电，但UPS输出已关闭。如需彻底断开</w:t>
      </w:r>
      <w:r>
        <w:t>UPS</w:t>
      </w:r>
      <w:r>
        <w:rPr>
          <w:rFonts w:hint="eastAsia"/>
        </w:rPr>
        <w:t>的市电电源，需首先断开UPS的外部市电输入开关及外置电池开关。</w:t>
      </w:r>
    </w:p>
    <w:p>
      <w:pPr>
        <w:pStyle w:val="4"/>
        <w:numPr>
          <w:ilvl w:val="1"/>
          <w:numId w:val="9"/>
        </w:numPr>
        <w:rPr>
          <w:szCs w:val="22"/>
        </w:rPr>
      </w:pPr>
      <w:bookmarkStart w:id="489" w:name="_Toc29659"/>
      <w:r>
        <w:rPr>
          <w:rFonts w:hint="eastAsia"/>
          <w:szCs w:val="22"/>
        </w:rPr>
        <w:t>UPS复位步骤</w:t>
      </w:r>
      <w:bookmarkEnd w:id="489"/>
    </w:p>
    <w:p>
      <w:pPr>
        <w:pStyle w:val="3"/>
      </w:pPr>
      <w:r>
        <w:rPr>
          <w:rFonts w:hint="eastAsia"/>
        </w:rPr>
        <w:t>当使用了紧急停机（EPO）或逆变器过温、过载关机、电池过压和直流母线过压等原因导致UPS关机后，根据触摸屏上提示的告警信息采取措施清除故障后，使用以下UPS复位步骤使UPS恢复正常工作状态。</w:t>
      </w:r>
    </w:p>
    <w:p>
      <w:pPr>
        <w:pStyle w:val="3"/>
      </w:pPr>
      <w:r>
        <w:rPr>
          <w:rFonts w:hint="eastAsia"/>
        </w:rPr>
        <w:t>用户确认故障已清除并无远程EPO信号后，执行以下步骤：</w:t>
      </w:r>
    </w:p>
    <w:p>
      <w:pPr>
        <w:pStyle w:val="3"/>
        <w:rPr>
          <w:kern w:val="0"/>
        </w:rPr>
      </w:pPr>
      <w:r>
        <w:rPr>
          <w:rFonts w:hint="eastAsia"/>
          <w:kern w:val="0"/>
        </w:rPr>
        <w:t>1．</w:t>
      </w:r>
      <w:r>
        <w:rPr>
          <w:rFonts w:hint="eastAsia"/>
        </w:rPr>
        <w:t>进入触摸屏控制菜单界面点击“故障清除”并确认</w:t>
      </w:r>
      <w:r>
        <w:rPr>
          <w:rFonts w:hint="eastAsia"/>
          <w:kern w:val="0"/>
        </w:rPr>
        <w:t>，使系统退出紧急关机状态/异常关机状态。</w:t>
      </w:r>
    </w:p>
    <w:p>
      <w:pPr>
        <w:pStyle w:val="3"/>
        <w:rPr>
          <w:kern w:val="0"/>
          <w:lang w:val="en-GB"/>
        </w:rPr>
      </w:pPr>
      <w:r>
        <w:rPr>
          <w:rFonts w:hint="eastAsia"/>
          <w:kern w:val="0"/>
        </w:rPr>
        <w:t>2．</w:t>
      </w:r>
      <w:r>
        <w:rPr>
          <w:rFonts w:hint="eastAsia"/>
        </w:rPr>
        <w:t>待整流器开启完毕后（功率模块面板上的整流器指示灯REC常亮），进入控制菜单界面点击“逆变开启”并确认。逆变器运行正常后，UPS从旁路供电状态切换到逆变器供电状态，功率模块面板上的逆变器指示灯（INV）常亮。</w:t>
      </w:r>
    </w:p>
    <w:tbl>
      <w:tblPr>
        <w:tblStyle w:val="50"/>
        <w:tblW w:w="9356"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56" w:type="dxa"/>
            <w:vAlign w:val="center"/>
          </w:tcPr>
          <w:p>
            <w:pPr>
              <w:pStyle w:val="72"/>
              <w:spacing w:before="36" w:beforeLines="15" w:line="276" w:lineRule="auto"/>
              <w:jc w:val="both"/>
            </w:pPr>
            <w:r>
              <w:drawing>
                <wp:inline distT="0" distB="0" distL="0" distR="0">
                  <wp:extent cx="362585" cy="315595"/>
                  <wp:effectExtent l="0" t="0" r="0" b="8255"/>
                  <wp:docPr id="51" name="图片 51"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r="49123"/>
                          <a:stretch>
                            <a:fillRect/>
                          </a:stretch>
                        </pic:blipFill>
                        <pic:spPr>
                          <a:xfrm>
                            <a:off x="0" y="0"/>
                            <a:ext cx="362585" cy="315595"/>
                          </a:xfrm>
                          <a:prstGeom prst="rect">
                            <a:avLst/>
                          </a:prstGeom>
                          <a:noFill/>
                          <a:ln>
                            <a:noFill/>
                          </a:ln>
                        </pic:spPr>
                      </pic:pic>
                    </a:graphicData>
                  </a:graphic>
                </wp:inline>
              </w:drawing>
            </w:r>
            <w:r>
              <w:rPr>
                <w:rFonts w:hint="eastAsia"/>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56" w:type="dxa"/>
            <w:vAlign w:val="center"/>
          </w:tcPr>
          <w:p>
            <w:pPr>
              <w:pStyle w:val="73"/>
              <w:rPr>
                <w:lang w:val="en-GB"/>
              </w:rPr>
            </w:pPr>
            <w:r>
              <w:rPr>
                <w:rFonts w:hint="eastAsia"/>
              </w:rPr>
              <w:t>整流器重启，旁路给负载供电。当整流器进入正常运行状态时（约30秒后），告警指示灯转闪烁或熄灭（接入电池时）。</w:t>
            </w:r>
          </w:p>
          <w:p>
            <w:pPr>
              <w:pStyle w:val="73"/>
              <w:rPr>
                <w:lang w:val="en-GB"/>
              </w:rPr>
            </w:pPr>
            <w:r>
              <w:rPr>
                <w:rFonts w:hint="eastAsia"/>
                <w:lang w:val="en-GB"/>
              </w:rPr>
              <w:t>过温信号消失后5分钟，当过温故障消除时，整流器自动开机。</w:t>
            </w:r>
          </w:p>
        </w:tc>
      </w:tr>
    </w:tbl>
    <w:p>
      <w:pPr>
        <w:pStyle w:val="79"/>
      </w:pPr>
    </w:p>
    <w:p>
      <w:pPr>
        <w:pStyle w:val="3"/>
        <w:rPr>
          <w:rFonts w:eastAsia="Century Schoolbook" w:cs="Arial"/>
          <w:sz w:val="20"/>
        </w:rPr>
      </w:pPr>
      <w:r>
        <w:rPr>
          <w:rFonts w:hint="eastAsia"/>
        </w:rPr>
        <w:t>3．若按下</w:t>
      </w:r>
      <w:r>
        <w:t>EPO</w:t>
      </w:r>
      <w:r>
        <w:rPr>
          <w:rFonts w:hint="eastAsia"/>
        </w:rPr>
        <w:t>按钮后，关闭UPS的市电输入，</w:t>
      </w:r>
      <w:r>
        <w:t>UPS</w:t>
      </w:r>
      <w:r>
        <w:rPr>
          <w:rFonts w:hint="eastAsia"/>
        </w:rPr>
        <w:t>完全关机。当市电输入恢复时，UPS将启动并进入旁路模式运行，恢复输出。</w:t>
      </w:r>
    </w:p>
    <w:tbl>
      <w:tblPr>
        <w:tblStyle w:val="50"/>
        <w:tblW w:w="9356"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56" w:type="dxa"/>
            <w:tcBorders>
              <w:bottom w:val="nil"/>
            </w:tcBorders>
            <w:vAlign w:val="center"/>
          </w:tcPr>
          <w:p>
            <w:pPr>
              <w:pStyle w:val="72"/>
              <w:spacing w:before="36" w:beforeLines="15" w:line="276" w:lineRule="auto"/>
              <w:jc w:val="both"/>
            </w:pPr>
            <w:r>
              <w:drawing>
                <wp:inline distT="0" distB="0" distL="0" distR="0">
                  <wp:extent cx="725170" cy="315595"/>
                  <wp:effectExtent l="0" t="0" r="0" b="8255"/>
                  <wp:docPr id="50" name="图片 50"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rPr>
              <w:t>警告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56" w:type="dxa"/>
            <w:tcBorders>
              <w:top w:val="single" w:color="auto" w:sz="6" w:space="0"/>
              <w:left w:val="single" w:color="auto" w:sz="6" w:space="0"/>
              <w:bottom w:val="single" w:color="auto" w:sz="6" w:space="0"/>
              <w:right w:val="single" w:color="auto" w:sz="6" w:space="0"/>
            </w:tcBorders>
            <w:vAlign w:val="center"/>
          </w:tcPr>
          <w:p>
            <w:pPr>
              <w:pStyle w:val="73"/>
              <w:rPr>
                <w:i/>
                <w:lang w:val="en-GB"/>
              </w:rPr>
            </w:pPr>
            <w:r>
              <w:rPr>
                <w:rFonts w:hint="eastAsia"/>
              </w:rPr>
              <w:t>如维修旁路开关位于ON位置，且UPS有市电输入，则UPS有输出。</w:t>
            </w:r>
          </w:p>
        </w:tc>
      </w:tr>
    </w:tbl>
    <w:p>
      <w:pPr>
        <w:pStyle w:val="4"/>
        <w:numPr>
          <w:ilvl w:val="1"/>
          <w:numId w:val="9"/>
        </w:numPr>
        <w:rPr>
          <w:szCs w:val="22"/>
        </w:rPr>
      </w:pPr>
      <w:bookmarkStart w:id="490" w:name="_Toc23815"/>
      <w:r>
        <w:rPr>
          <w:rFonts w:hint="eastAsia"/>
          <w:szCs w:val="22"/>
          <w:lang w:val="en-GB"/>
        </w:rPr>
        <w:t>自动开机</w:t>
      </w:r>
      <w:bookmarkEnd w:id="490"/>
    </w:p>
    <w:p>
      <w:pPr>
        <w:pStyle w:val="3"/>
      </w:pPr>
      <w:r>
        <w:rPr>
          <w:rFonts w:hint="eastAsia"/>
        </w:rPr>
        <w:t>市电停电时，UPS通过电池给负载供电，直至电池放电至电池放电终止电压</w:t>
      </w:r>
      <w:r>
        <w:t>（EOD）</w:t>
      </w:r>
      <w:r>
        <w:rPr>
          <w:rFonts w:hint="eastAsia"/>
        </w:rPr>
        <w:t>，UPS停止输出。</w:t>
      </w:r>
    </w:p>
    <w:p>
      <w:pPr>
        <w:pStyle w:val="3"/>
      </w:pPr>
      <w:r>
        <w:rPr>
          <w:rFonts w:hint="eastAsia"/>
        </w:rPr>
        <w:t>满足以下条件后，UPS将自动重新启动，恢复输出供电。</w:t>
      </w:r>
    </w:p>
    <w:p>
      <w:pPr>
        <w:pStyle w:val="114"/>
        <w:numPr>
          <w:ilvl w:val="8"/>
          <w:numId w:val="13"/>
        </w:numPr>
        <w:ind w:left="680" w:firstLine="0"/>
      </w:pPr>
      <w:r>
        <w:rPr>
          <w:rFonts w:hint="eastAsia"/>
        </w:rPr>
        <w:t>UPS已设置自动开机为使能；</w:t>
      </w:r>
    </w:p>
    <w:p>
      <w:pPr>
        <w:pStyle w:val="114"/>
        <w:numPr>
          <w:ilvl w:val="8"/>
          <w:numId w:val="13"/>
        </w:numPr>
        <w:ind w:left="680" w:firstLine="0"/>
      </w:pPr>
      <w:r>
        <w:rPr>
          <w:rFonts w:hint="eastAsia"/>
        </w:rPr>
        <w:t>经自动开机延时后（缺省设置为10分种），UPS自动开启旁路，然后开启逆变。自动开机延时过程中，UPS给电池充电，以防止市电再次停电给负载设备带来断电危险</w:t>
      </w:r>
    </w:p>
    <w:p>
      <w:pPr>
        <w:pStyle w:val="3"/>
      </w:pPr>
      <w:r>
        <w:rPr>
          <w:rFonts w:hint="eastAsia"/>
        </w:rPr>
        <w:t>如UPS未设置自动开机功能，用户可先进入控制菜单界面点击“故障清除”并确认</w:t>
      </w:r>
      <w:r>
        <w:rPr>
          <w:rFonts w:hint="eastAsia"/>
          <w:kern w:val="0"/>
          <w:lang w:val="en-GB"/>
        </w:rPr>
        <w:t>，</w:t>
      </w:r>
      <w:r>
        <w:rPr>
          <w:rFonts w:hint="eastAsia"/>
        </w:rPr>
        <w:t>整流器开启完毕后再点击“逆变开启”并确认</w:t>
      </w:r>
      <w:r>
        <w:rPr>
          <w:rFonts w:hint="eastAsia"/>
          <w:kern w:val="0"/>
          <w:lang w:val="en-GB"/>
        </w:rPr>
        <w:t>，即可</w:t>
      </w:r>
      <w:r>
        <w:rPr>
          <w:rFonts w:hint="eastAsia"/>
        </w:rPr>
        <w:t>手动启动UPS。</w:t>
      </w:r>
    </w:p>
    <w:tbl>
      <w:tblPr>
        <w:tblStyle w:val="50"/>
        <w:tblW w:w="9389"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8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89" w:type="dxa"/>
            <w:vAlign w:val="center"/>
          </w:tcPr>
          <w:p>
            <w:pPr>
              <w:pStyle w:val="72"/>
              <w:spacing w:before="36" w:beforeLines="15" w:line="276" w:lineRule="auto"/>
              <w:jc w:val="both"/>
              <w:rPr>
                <w:rStyle w:val="87"/>
              </w:rPr>
            </w:pPr>
            <w:r>
              <w:rPr>
                <w:rStyle w:val="87"/>
              </w:rPr>
              <w:drawing>
                <wp:inline distT="0" distB="0" distL="0" distR="0">
                  <wp:extent cx="315595" cy="267970"/>
                  <wp:effectExtent l="0" t="0" r="8255" b="0"/>
                  <wp:docPr id="49" name="图片 49" descr="图形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形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315595" cy="267970"/>
                          </a:xfrm>
                          <a:prstGeom prst="rect">
                            <a:avLst/>
                          </a:prstGeom>
                          <a:noFill/>
                          <a:ln>
                            <a:noFill/>
                          </a:ln>
                        </pic:spPr>
                      </pic:pic>
                    </a:graphicData>
                  </a:graphic>
                </wp:inline>
              </w:drawing>
            </w:r>
            <w:r>
              <w:rPr>
                <w:rStyle w:val="87"/>
                <w:rFonts w:hint="eastAsia"/>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89" w:type="dxa"/>
            <w:vAlign w:val="center"/>
          </w:tcPr>
          <w:p>
            <w:pPr>
              <w:pStyle w:val="73"/>
              <w:rPr>
                <w:lang w:val="en-GB"/>
              </w:rPr>
            </w:pPr>
            <w:r>
              <w:rPr>
                <w:rFonts w:hint="eastAsia"/>
              </w:rPr>
              <w:t>自动开机过程中，手动开机无效。自动开机须通过后台软件由</w:t>
            </w:r>
            <w:r>
              <w:rPr>
                <w:rFonts w:hint="eastAsia"/>
                <w:lang w:val="en-GB" w:eastAsia="zh-CN"/>
              </w:rPr>
              <w:t>本</w:t>
            </w:r>
            <w:r>
              <w:rPr>
                <w:rFonts w:hint="eastAsia"/>
                <w:lang w:val="en-GB"/>
              </w:rPr>
              <w:t>授权服务工程师</w:t>
            </w:r>
            <w:r>
              <w:rPr>
                <w:rFonts w:hint="eastAsia"/>
              </w:rPr>
              <w:t>设置。</w:t>
            </w:r>
          </w:p>
        </w:tc>
      </w:tr>
    </w:tbl>
    <w:p>
      <w:pPr>
        <w:pStyle w:val="79"/>
        <w:rPr>
          <w:lang w:val="en-GB"/>
        </w:rPr>
      </w:pPr>
    </w:p>
    <w:p>
      <w:pPr>
        <w:pStyle w:val="2"/>
        <w:numPr>
          <w:ilvl w:val="0"/>
          <w:numId w:val="10"/>
        </w:numPr>
        <w:ind w:left="0"/>
        <w:sectPr>
          <w:type w:val="continuous"/>
          <w:pgSz w:w="11907" w:h="16840"/>
          <w:pgMar w:top="1304" w:right="1134" w:bottom="1134" w:left="737" w:header="851" w:footer="737" w:gutter="0"/>
          <w:cols w:space="720" w:num="1"/>
        </w:sectPr>
      </w:pPr>
    </w:p>
    <w:p>
      <w:pPr>
        <w:pStyle w:val="2"/>
        <w:numPr>
          <w:ilvl w:val="0"/>
          <w:numId w:val="9"/>
        </w:numPr>
        <w:rPr>
          <w:lang w:val="en-GB"/>
        </w:rPr>
      </w:pPr>
      <w:bookmarkStart w:id="491" w:name="_Toc3822"/>
      <w:r>
        <w:rPr>
          <w:rFonts w:hint="eastAsia"/>
        </w:rPr>
        <w:t>电池</w:t>
      </w:r>
      <w:bookmarkEnd w:id="491"/>
    </w:p>
    <w:p>
      <w:pPr>
        <w:pStyle w:val="4"/>
        <w:numPr>
          <w:ilvl w:val="1"/>
          <w:numId w:val="9"/>
        </w:numPr>
        <w:rPr>
          <w:lang w:val="en-GB"/>
        </w:rPr>
      </w:pPr>
      <w:bookmarkStart w:id="492" w:name="_Toc24985"/>
      <w:r>
        <w:rPr>
          <w:rFonts w:hint="eastAsia"/>
          <w:szCs w:val="22"/>
          <w:lang w:val="en-GB"/>
        </w:rPr>
        <w:t>简介</w:t>
      </w:r>
      <w:bookmarkEnd w:id="492"/>
    </w:p>
    <w:p>
      <w:pPr>
        <w:pStyle w:val="3"/>
      </w:pPr>
      <w:r>
        <w:rPr>
          <w:rFonts w:hint="eastAsia"/>
        </w:rPr>
        <w:t>UPS电池组由若干电池串联而成，为UPS逆变器提供额定直流输入电压。所要求的电池后备时间（即市电中断时，电池给负载供电持续时间）受各电池的安时数限制，因此，有时需将几组电池并联。为配合UPS的安装，通常电池被安装于专门设计的电池柜或电池架内。在保养或维修时，必须将电池与UPS断开。这一操作可通过合适容量的电池开关实现。此开关必须尽可能靠近电池安装，与UPS之间的功率和信号电缆走线距离应尽可能短。如采用多组电池并联以增加电池后备时间，必须配有分切装置，以便对一电池组进行维护操作而不影响其余电池组的正常运行。</w:t>
      </w:r>
    </w:p>
    <w:p>
      <w:pPr>
        <w:pStyle w:val="4"/>
        <w:numPr>
          <w:ilvl w:val="1"/>
          <w:numId w:val="9"/>
        </w:numPr>
        <w:rPr>
          <w:szCs w:val="22"/>
          <w:lang w:val="en-GB"/>
        </w:rPr>
      </w:pPr>
      <w:bookmarkStart w:id="493" w:name="_Toc30256"/>
      <w:r>
        <w:rPr>
          <w:rFonts w:hint="eastAsia"/>
          <w:szCs w:val="22"/>
          <w:lang w:val="en-GB"/>
        </w:rPr>
        <w:t>安全</w:t>
      </w:r>
      <w:bookmarkEnd w:id="493"/>
    </w:p>
    <w:p>
      <w:pPr>
        <w:pStyle w:val="3"/>
      </w:pPr>
      <w:r>
        <w:rPr>
          <w:rFonts w:hint="eastAsia"/>
        </w:rPr>
        <w:t>操作UPS的电池时，应格外小心。当所有电池单体相连时，电池组电压可达480Vdc，有致命危险。请遵守高压操作安全事项，只有合格人员才可进行电池的安装和维护操作。在安全方面，首先要考虑的是将电池安装于带锁的柜内或专门设计的专用电池室内，以便将电池与人员隔离（合格的维护工程师除外）。</w:t>
      </w:r>
    </w:p>
    <w:p>
      <w:pPr>
        <w:pStyle w:val="3"/>
      </w:pPr>
      <w:r>
        <w:rPr>
          <w:rFonts w:hint="eastAsia"/>
        </w:rPr>
        <w:t>电池维护前，需确认电池开关已断开。</w:t>
      </w:r>
    </w:p>
    <w:tbl>
      <w:tblPr>
        <w:tblStyle w:val="50"/>
        <w:tblW w:w="9364"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blHeader/>
          <w:jc w:val="right"/>
        </w:trPr>
        <w:tc>
          <w:tcPr>
            <w:tcW w:w="9364" w:type="dxa"/>
            <w:vAlign w:val="center"/>
          </w:tcPr>
          <w:p>
            <w:pPr>
              <w:pStyle w:val="72"/>
              <w:spacing w:before="46" w:beforeLines="15" w:line="276" w:lineRule="auto"/>
              <w:jc w:val="both"/>
              <w:rPr>
                <w:rStyle w:val="87"/>
              </w:rPr>
            </w:pPr>
            <w:r>
              <w:rPr>
                <w:rStyle w:val="87"/>
              </w:rPr>
              <w:drawing>
                <wp:inline distT="0" distB="0" distL="0" distR="0">
                  <wp:extent cx="646430" cy="283845"/>
                  <wp:effectExtent l="0" t="0" r="1270" b="1905"/>
                  <wp:docPr id="48" name="图片 48"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6430" cy="283845"/>
                          </a:xfrm>
                          <a:prstGeom prst="rect">
                            <a:avLst/>
                          </a:prstGeom>
                          <a:noFill/>
                          <a:ln>
                            <a:noFill/>
                          </a:ln>
                        </pic:spPr>
                      </pic:pic>
                    </a:graphicData>
                  </a:graphic>
                </wp:inline>
              </w:drawing>
            </w:r>
            <w:r>
              <w:rPr>
                <w:rStyle w:val="87"/>
                <w:rFonts w:hint="eastAsia"/>
              </w:rPr>
              <w:t>警告：保护盖板后存在危险电池电压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9364" w:type="dxa"/>
            <w:vAlign w:val="center"/>
          </w:tcPr>
          <w:p>
            <w:pPr>
              <w:pStyle w:val="72"/>
              <w:spacing w:before="46" w:beforeLines="15" w:line="276" w:lineRule="auto"/>
              <w:jc w:val="both"/>
              <w:rPr>
                <w:rStyle w:val="87"/>
              </w:rPr>
            </w:pPr>
            <w:r>
              <w:rPr>
                <w:rStyle w:val="87"/>
                <w:rFonts w:hint="eastAsia"/>
              </w:rPr>
              <w:t>1．需工具才可打开的保护盖板后的部件为用户不可操作部件。只有合格维护人员才允许打开此类保护盖板。</w:t>
            </w:r>
          </w:p>
          <w:p>
            <w:pPr>
              <w:pStyle w:val="72"/>
              <w:spacing w:before="46" w:beforeLines="15" w:line="276" w:lineRule="auto"/>
              <w:jc w:val="both"/>
              <w:rPr>
                <w:rStyle w:val="87"/>
              </w:rPr>
            </w:pPr>
            <w:r>
              <w:rPr>
                <w:rStyle w:val="87"/>
                <w:rFonts w:hint="eastAsia"/>
              </w:rPr>
              <w:t>2．操作与外置电池连接的铜排前，请确保铜排不带电。</w:t>
            </w:r>
          </w:p>
          <w:p>
            <w:pPr>
              <w:pStyle w:val="72"/>
              <w:spacing w:before="46" w:beforeLines="15" w:line="276" w:lineRule="auto"/>
              <w:jc w:val="both"/>
              <w:rPr>
                <w:rStyle w:val="87"/>
              </w:rPr>
            </w:pPr>
            <w:r>
              <w:rPr>
                <w:rStyle w:val="87"/>
                <w:rFonts w:hint="eastAsia"/>
              </w:rPr>
              <w:t>3．使用电池时，应时刻注意以下安全注意事项：</w:t>
            </w:r>
          </w:p>
        </w:tc>
      </w:tr>
    </w:tbl>
    <w:p>
      <w:pPr>
        <w:pStyle w:val="3"/>
      </w:pPr>
      <w:r>
        <w:rPr>
          <w:rFonts w:hint="eastAsia"/>
        </w:rPr>
        <w:t>1）蓄电池的连接必须保证牢固可靠。完成电池连接后，所有接线端子与电池间的连接都需要校正，并应满足电池厂家提供的说明资料或用户手册中对力矩的要求。所有接线端子和电池间的连接每年至少应检查紧固一次。否则可能引起火灾!</w:t>
      </w:r>
    </w:p>
    <w:p>
      <w:pPr>
        <w:pStyle w:val="3"/>
      </w:pPr>
      <w:r>
        <w:rPr>
          <w:rFonts w:hint="eastAsia"/>
        </w:rPr>
        <w:t>2）收货和使用前必须检验电池外观。如果包装破损，电池端子有脏污、腐蚀、生锈或外壳有破裂、变形、漏液等现象，应以新品更换，否则可能造成电池容量降低、漏电、起火等事故。</w:t>
      </w:r>
    </w:p>
    <w:p>
      <w:pPr>
        <w:pStyle w:val="3"/>
      </w:pPr>
      <w:r>
        <w:rPr>
          <w:rFonts w:hint="eastAsia"/>
        </w:rPr>
        <w:t>3）由于蓄电池很重，请用正确的方法搬运和吊装蓄电池，以防发生人身伤害或拉伤蓄电池端子，严重时可能导致着火。</w:t>
      </w:r>
    </w:p>
    <w:p>
      <w:pPr>
        <w:pStyle w:val="3"/>
      </w:pPr>
      <w:r>
        <w:rPr>
          <w:rFonts w:hint="eastAsia"/>
        </w:rPr>
        <w:t>4）电池的连接端子不可承受任何外力，如电缆的拉力或扭力，否则可能破坏蓄电池内部的连接，严重时可能导致着火。</w:t>
      </w:r>
    </w:p>
    <w:p>
      <w:pPr>
        <w:pStyle w:val="3"/>
      </w:pPr>
      <w:r>
        <w:rPr>
          <w:rFonts w:hint="eastAsia"/>
        </w:rPr>
        <w:t>5）蓄电池应安装、储存在清洁、阴凉、干燥的环境中。请不要把蓄电池安装在密闭的电池仓或密闭的房间内，电池房通风至少应满足EN50272-2001的要求，否则可能会导致电池鼓胀、着火，甚至造成人身伤害。</w:t>
      </w:r>
    </w:p>
    <w:p>
      <w:pPr>
        <w:pStyle w:val="3"/>
      </w:pPr>
      <w:r>
        <w:rPr>
          <w:rFonts w:hint="eastAsia"/>
        </w:rPr>
        <w:t>6）蓄电池的安装位置必须远离变压器等发热产品，不可以在靠近火源的地方使用或保管蓄电池，更不要焚烧蓄电池或将蓄电池放入火中加热，否则可能导致蓄电池漏液、鼓胀、火灾或爆炸。</w:t>
      </w:r>
    </w:p>
    <w:p>
      <w:pPr>
        <w:pStyle w:val="3"/>
      </w:pPr>
      <w:r>
        <w:rPr>
          <w:rFonts w:hint="eastAsia"/>
        </w:rPr>
        <w:t>7）请勿在蓄电池的正、负极端子间直接连接任何导体。操作电池时，需取下戒指、手表、项链、手镯和其它任何金属饰物，并且确定所使用的工具（如扳手等）均以绝缘体包覆，否则可能导致蓄电池燃烧，甚至造成人员伤亡或爆炸。</w:t>
      </w:r>
    </w:p>
    <w:p>
      <w:pPr>
        <w:pStyle w:val="3"/>
      </w:pPr>
      <w:r>
        <w:rPr>
          <w:rFonts w:hint="eastAsia"/>
        </w:rPr>
        <w:t>8）请不要分解、改造、破坏蓄电池，否则可能导致电池短路、漏液和人身伤害。</w:t>
      </w:r>
    </w:p>
    <w:p>
      <w:pPr>
        <w:pStyle w:val="3"/>
      </w:pPr>
      <w:r>
        <w:rPr>
          <w:rFonts w:hint="eastAsia"/>
        </w:rPr>
        <w:t>9）电池外壳的清洁请使用拧干的湿抹布。为防止产生静电和发生火花危险，请不要使用干布或掸子等擦拭电池。不要使用信（天）那水、汽油、挥发油等有机溶剂清洁电池，否则可能造成电池外壳开裂；最坏的情况可能引起火灾。</w:t>
      </w:r>
    </w:p>
    <w:p>
      <w:pPr>
        <w:pStyle w:val="3"/>
      </w:pPr>
      <w:r>
        <w:rPr>
          <w:rFonts w:hint="eastAsia"/>
        </w:rPr>
        <w:t>10）蓄电池内部含有稀硫酸，正常使用时稀硫酸全部被吸附在电池内部的隔板和极板中，但当电池破损时可能会从电池中泄漏。因此，操作蓄电池时必须使用护目镜、橡胶手套和围裙等个人防护用品；否则，如果稀硫酸进入眼睛可能导致失明，而附着在皮肤上时则可能造成烫伤。</w:t>
      </w:r>
    </w:p>
    <w:p>
      <w:pPr>
        <w:pStyle w:val="3"/>
      </w:pPr>
    </w:p>
    <w:p>
      <w:pPr>
        <w:pStyle w:val="3"/>
      </w:pPr>
      <w:r>
        <w:rPr>
          <w:rFonts w:hint="eastAsia"/>
        </w:rPr>
        <w:t>11）在蓄电池寿命末期，蓄电池可能发生内部短路、电解液枯竭或正极板栅腐蚀等故障。如果在这种状态下继续使用，蓄电池可能发生热失控、鼓胀和漏液，请在成为这种状态前更换蓄电池。</w:t>
      </w:r>
    </w:p>
    <w:p>
      <w:pPr>
        <w:pStyle w:val="3"/>
      </w:pPr>
      <w:r>
        <w:rPr>
          <w:rFonts w:hint="eastAsia"/>
        </w:rPr>
        <w:t>12）连接或断开电池端子连接电缆前，应断开充电电源。</w:t>
      </w:r>
    </w:p>
    <w:p>
      <w:pPr>
        <w:pStyle w:val="3"/>
      </w:pPr>
      <w:r>
        <w:rPr>
          <w:rFonts w:hint="eastAsia"/>
        </w:rPr>
        <w:t>13）检查电池是否意外接地。如果电池意外接地，请清除大地电源。接触已接地电池的任何一部分均有电击危险。</w:t>
      </w:r>
    </w:p>
    <w:p>
      <w:pPr>
        <w:pStyle w:val="3"/>
      </w:pPr>
      <w:r>
        <w:rPr>
          <w:rFonts w:hint="eastAsia"/>
        </w:rPr>
        <w:t>14）电池放电结束后，UPS长时间无交流输入，必须断开电池开关，否则电池会通过UPS端口小电阻进行放电损坏电池。</w:t>
      </w:r>
    </w:p>
    <w:p>
      <w:pPr>
        <w:pStyle w:val="4"/>
        <w:numPr>
          <w:ilvl w:val="1"/>
          <w:numId w:val="9"/>
        </w:numPr>
      </w:pPr>
      <w:bookmarkStart w:id="494" w:name="_Toc24661"/>
      <w:r>
        <w:rPr>
          <w:rFonts w:hint="eastAsia"/>
        </w:rPr>
        <w:t>UPS电池</w:t>
      </w:r>
      <w:bookmarkEnd w:id="494"/>
    </w:p>
    <w:p>
      <w:pPr>
        <w:pStyle w:val="3"/>
      </w:pPr>
      <w:r>
        <w:rPr>
          <w:rFonts w:hint="eastAsia"/>
        </w:rPr>
        <w:t>UPS电池常采用阀控式电池。目前，“阀控式”通常指的是过去所说的“密封式”和“免维护”。阀控式电池并未完全密封，特别是在过充电的情况下，会有气体排出。所排出的气体量比注水电池少，但在电池的安装设计方面，应考虑电池温升的情况，留有足够空间以获得良好的通风。同样，阀控式电池也并非免维护。必须保持阀控式电池的清洁，并应定期检查其连接是否可靠，是否被腐蚀。蓄电池的并联建议不要超过四组，不同种类、名称、新旧程度的蓄电池不允许混合使用，否则由于电池的不一致性可能导致个别电池被多次的过放电和欠充电，最终单个电池提前失效，引起整组电池备电不足。</w:t>
      </w:r>
    </w:p>
    <w:p>
      <w:pPr>
        <w:pStyle w:val="3"/>
      </w:pPr>
      <w:r>
        <w:rPr>
          <w:rFonts w:hint="eastAsia"/>
        </w:rPr>
        <w:t>电池必须在完全充电状态下进行储存。在运输途中或保存期内因自放电会损失一部分容量，使用前请补充电。储存时请注意周围温度不要超过－</w:t>
      </w:r>
      <w:r>
        <w:t>15</w:t>
      </w:r>
      <w:r>
        <w:rPr>
          <w:rFonts w:hint="eastAsia"/>
        </w:rPr>
        <w:t>℃～</w:t>
      </w:r>
      <w:r>
        <w:rPr>
          <w:rFonts w:hint="eastAsia" w:ascii="宋体" w:hAnsi="宋体"/>
        </w:rPr>
        <w:t>＋</w:t>
      </w:r>
      <w:r>
        <w:t>45</w:t>
      </w:r>
      <w:r>
        <w:rPr>
          <w:rFonts w:hint="eastAsia"/>
        </w:rPr>
        <w:t>℃范围，最适宜温度是20℃～25℃。为了弥补电池储存期间的自放电，一般认为电池放置三个月需要补充电，不同电池可能稍有不同，具体请遵循电池厂家要求。</w:t>
      </w:r>
    </w:p>
    <w:p>
      <w:pPr>
        <w:pStyle w:val="3"/>
      </w:pPr>
      <w:r>
        <w:rPr>
          <w:rFonts w:hint="eastAsia"/>
        </w:rPr>
        <w:t>对电池后备时间进行现场测试前对电池进行完全充电至关重要。测试可能需要数天才能完成，因此应在对电池进行不间断浮充至少一星期后才能进行测试。</w:t>
      </w:r>
    </w:p>
    <w:p>
      <w:pPr>
        <w:pStyle w:val="3"/>
      </w:pPr>
      <w:r>
        <w:rPr>
          <w:rFonts w:hint="eastAsia"/>
        </w:rPr>
        <w:t>通常在运行了数周或两到三个充放电循环后，电池的性能将会得到提高。为避免对电池过充电或欠充电，请按照电池厂家提供资料中要求的均浮充电压和温度补偿系数设置电池管理参数。放电以后请迅速充电。</w:t>
      </w:r>
    </w:p>
    <w:p>
      <w:pPr>
        <w:pStyle w:val="4"/>
        <w:numPr>
          <w:ilvl w:val="1"/>
          <w:numId w:val="9"/>
        </w:numPr>
      </w:pPr>
      <w:bookmarkStart w:id="495" w:name="_Toc282"/>
      <w:r>
        <w:rPr>
          <w:rFonts w:hint="eastAsia"/>
        </w:rPr>
        <w:t>电池管理</w:t>
      </w:r>
      <w:bookmarkEnd w:id="495"/>
    </w:p>
    <w:p>
      <w:pPr>
        <w:pStyle w:val="3"/>
      </w:pPr>
      <w:r>
        <w:rPr>
          <w:rFonts w:hint="eastAsia"/>
        </w:rPr>
        <w:t>以下电池管理功能由服务工程师使用后台软件进行设置。</w:t>
      </w:r>
    </w:p>
    <w:p>
      <w:pPr>
        <w:pStyle w:val="3"/>
        <w:rPr>
          <w:rFonts w:ascii="Arial" w:hAnsi="Arial" w:eastAsia="黑体"/>
          <w:vanish/>
          <w:kern w:val="0"/>
          <w:sz w:val="21"/>
          <w:szCs w:val="20"/>
          <w:lang w:val="en-GB"/>
        </w:rPr>
      </w:pPr>
    </w:p>
    <w:p>
      <w:pPr>
        <w:pStyle w:val="5"/>
        <w:numPr>
          <w:ilvl w:val="2"/>
          <w:numId w:val="9"/>
        </w:numPr>
        <w:rPr>
          <w:szCs w:val="22"/>
          <w:lang w:val="en-GB"/>
        </w:rPr>
      </w:pPr>
      <w:bookmarkStart w:id="496" w:name="_Toc15452"/>
      <w:r>
        <w:rPr>
          <w:rFonts w:hint="eastAsia"/>
          <w:szCs w:val="22"/>
          <w:lang w:val="en-GB"/>
        </w:rPr>
        <w:t>一般功能</w:t>
      </w:r>
      <w:bookmarkEnd w:id="496"/>
    </w:p>
    <w:p>
      <w:pPr>
        <w:pStyle w:val="3"/>
      </w:pPr>
      <w:r>
        <w:rPr>
          <w:rFonts w:hint="eastAsia"/>
          <w:lang w:val="en-GB"/>
        </w:rPr>
        <w:t>1．</w:t>
      </w:r>
      <w:r>
        <w:rPr>
          <w:rFonts w:hint="eastAsia"/>
        </w:rPr>
        <w:t>恒流均充</w:t>
      </w:r>
    </w:p>
    <w:p>
      <w:pPr>
        <w:pStyle w:val="3"/>
      </w:pPr>
      <w:r>
        <w:rPr>
          <w:rFonts w:hint="eastAsia"/>
        </w:rPr>
        <w:t>充电电流可设置。</w:t>
      </w:r>
    </w:p>
    <w:p>
      <w:pPr>
        <w:pStyle w:val="3"/>
      </w:pPr>
      <w:r>
        <w:rPr>
          <w:rFonts w:hint="eastAsia"/>
        </w:rPr>
        <w:t>2．恒压均充</w:t>
      </w:r>
    </w:p>
    <w:p>
      <w:pPr>
        <w:pStyle w:val="3"/>
      </w:pPr>
      <w:r>
        <w:rPr>
          <w:rFonts w:hint="eastAsia"/>
        </w:rPr>
        <w:t>可根据电池类型设置均充电压。</w:t>
      </w:r>
    </w:p>
    <w:p>
      <w:pPr>
        <w:pStyle w:val="3"/>
      </w:pPr>
      <w:r>
        <w:rPr>
          <w:rFonts w:hint="eastAsia"/>
        </w:rPr>
        <w:t>对于阀控式铅酸蓄电池，最大均充电压应不超过</w:t>
      </w:r>
      <w:r>
        <w:t>2.4V</w:t>
      </w:r>
      <w:r>
        <w:rPr>
          <w:rFonts w:hint="eastAsia"/>
        </w:rPr>
        <w:t>/单体。</w:t>
      </w:r>
    </w:p>
    <w:p>
      <w:pPr>
        <w:pStyle w:val="3"/>
      </w:pPr>
      <w:r>
        <w:rPr>
          <w:rFonts w:hint="eastAsia"/>
        </w:rPr>
        <w:t>3．浮充</w:t>
      </w:r>
    </w:p>
    <w:p>
      <w:pPr>
        <w:pStyle w:val="3"/>
      </w:pPr>
      <w:r>
        <w:rPr>
          <w:rFonts w:hint="eastAsia"/>
        </w:rPr>
        <w:t>可根据电池类型设置浮充电压。</w:t>
      </w:r>
    </w:p>
    <w:p>
      <w:pPr>
        <w:pStyle w:val="3"/>
      </w:pPr>
      <w:r>
        <w:rPr>
          <w:rFonts w:hint="eastAsia"/>
        </w:rPr>
        <w:t>对于阀控式铅酸电池，浮充电压应在</w:t>
      </w:r>
      <w:r>
        <w:t>2.2V</w:t>
      </w:r>
      <w:r>
        <w:rPr>
          <w:rFonts w:hint="eastAsia"/>
        </w:rPr>
        <w:t>/单体与</w:t>
      </w:r>
      <w:r>
        <w:t>2.3V</w:t>
      </w:r>
      <w:r>
        <w:rPr>
          <w:rFonts w:hint="eastAsia"/>
        </w:rPr>
        <w:t>/单体之间。</w:t>
      </w:r>
    </w:p>
    <w:p>
      <w:pPr>
        <w:pStyle w:val="3"/>
      </w:pPr>
      <w:r>
        <w:rPr>
          <w:rFonts w:hint="eastAsia"/>
        </w:rPr>
        <w:t>4．自动转浮充</w:t>
      </w:r>
    </w:p>
    <w:p>
      <w:pPr>
        <w:pStyle w:val="3"/>
      </w:pPr>
      <w:r>
        <w:rPr>
          <w:rFonts w:hint="eastAsia"/>
        </w:rPr>
        <w:t>当充电电流小于“转浮充充电电流”，或者小于0.5A时，充电器会从均充自动转至浮充；如果均充时间超过“最大均充时间”限制，此时充电器也会被强制转为浮充，以保护电池。</w:t>
      </w:r>
    </w:p>
    <w:p>
      <w:pPr>
        <w:pStyle w:val="3"/>
      </w:pPr>
      <w:r>
        <w:rPr>
          <w:rFonts w:hint="eastAsia"/>
        </w:rPr>
        <w:t>5．浮充温度补偿（可选）</w:t>
      </w:r>
    </w:p>
    <w:p>
      <w:pPr>
        <w:pStyle w:val="3"/>
      </w:pPr>
      <w:r>
        <w:rPr>
          <w:rFonts w:hint="eastAsia"/>
        </w:rPr>
        <w:t>可根据电池类型设置温度补偿系数。此功能必须与电池温度检测装置一起使用，需选配</w:t>
      </w:r>
      <w:r>
        <w:rPr>
          <w:rFonts w:hint="eastAsia"/>
          <w:lang w:eastAsia="zh-CN"/>
        </w:rPr>
        <w:t>本</w:t>
      </w:r>
      <w:r>
        <w:rPr>
          <w:rFonts w:hint="eastAsia"/>
        </w:rPr>
        <w:t>的电池温度传感器标准选件。</w:t>
      </w:r>
    </w:p>
    <w:p>
      <w:pPr>
        <w:pStyle w:val="3"/>
      </w:pPr>
      <w:r>
        <w:rPr>
          <w:rFonts w:hint="eastAsia"/>
        </w:rPr>
        <w:t>6．电池放电终止保护</w:t>
      </w:r>
    </w:p>
    <w:p>
      <w:pPr>
        <w:pStyle w:val="3"/>
      </w:pPr>
      <w:r>
        <w:rPr>
          <w:rFonts w:hint="eastAsia"/>
        </w:rPr>
        <w:t>当电池电压降至电池放电终止电压，电池变换器自动关闭，避免电池过放电。电池放电终止电压可设：对于阀控式铅酸蓄电池，设置范围为1.6</w:t>
      </w:r>
      <w:r>
        <w:t>V</w:t>
      </w:r>
      <w:r>
        <w:rPr>
          <w:rFonts w:hint="eastAsia"/>
        </w:rPr>
        <w:t>/单体</w:t>
      </w:r>
      <w:r>
        <w:rPr>
          <w:rFonts w:ascii="宋体" w:hAnsi="宋体"/>
        </w:rPr>
        <w:t>～</w:t>
      </w:r>
      <w:r>
        <w:rPr>
          <w:rFonts w:hint="eastAsia"/>
        </w:rPr>
        <w:t>1.85V/单体。</w:t>
      </w:r>
    </w:p>
    <w:p>
      <w:pPr>
        <w:pStyle w:val="3"/>
      </w:pPr>
      <w:r>
        <w:rPr>
          <w:rFonts w:hint="eastAsia"/>
        </w:rPr>
        <w:t>7．电池低电压告警时间</w:t>
      </w:r>
    </w:p>
    <w:p>
      <w:pPr>
        <w:pStyle w:val="3"/>
      </w:pPr>
      <w:r>
        <w:rPr>
          <w:rFonts w:hint="eastAsia"/>
        </w:rPr>
        <w:t>设置范围：电池放电终止前</w:t>
      </w:r>
      <w:r>
        <w:t>3</w:t>
      </w:r>
      <w:r>
        <w:rPr>
          <w:rFonts w:hint="eastAsia"/>
        </w:rPr>
        <w:t>分钟</w:t>
      </w:r>
      <w:r>
        <w:t>～60</w:t>
      </w:r>
      <w:r>
        <w:rPr>
          <w:rFonts w:hint="eastAsia"/>
        </w:rPr>
        <w:t>分钟，缺省设置为</w:t>
      </w:r>
      <w:r>
        <w:t>5</w:t>
      </w:r>
      <w:r>
        <w:rPr>
          <w:rFonts w:hint="eastAsia"/>
        </w:rPr>
        <w:t>分钟。</w:t>
      </w:r>
    </w:p>
    <w:p>
      <w:pPr>
        <w:pStyle w:val="3"/>
      </w:pPr>
      <w:r>
        <w:rPr>
          <w:rFonts w:hint="eastAsia"/>
        </w:rPr>
        <w:t>8．最大电池放电时间</w:t>
      </w:r>
    </w:p>
    <w:p>
      <w:pPr>
        <w:pStyle w:val="3"/>
      </w:pPr>
      <w:r>
        <w:rPr>
          <w:rFonts w:hint="eastAsia"/>
        </w:rPr>
        <w:t>当电池在长时间小电流放电的情况下，会过度放电，甚至可能对电池造成不可恢复的损坏，因此设定一个放电保护时间以保护电池。具体时间限制可由服务工程师通过后台设置。</w:t>
      </w:r>
    </w:p>
    <w:p>
      <w:pPr>
        <w:pStyle w:val="3"/>
      </w:pPr>
      <w:r>
        <w:rPr>
          <w:rFonts w:hint="eastAsia"/>
        </w:rPr>
        <w:t>9．最大均充时间保护</w:t>
      </w:r>
    </w:p>
    <w:p>
      <w:pPr>
        <w:pStyle w:val="3"/>
      </w:pPr>
      <w:r>
        <w:rPr>
          <w:rFonts w:hint="eastAsia"/>
        </w:rPr>
        <w:t>为防止电池被长期均充而导致过充，进而对电池造成损坏，而设定一个保护时间。具体时间限制可由服务工程师通过后台设置。</w:t>
      </w:r>
    </w:p>
    <w:p>
      <w:pPr>
        <w:pStyle w:val="5"/>
        <w:numPr>
          <w:ilvl w:val="2"/>
          <w:numId w:val="9"/>
        </w:numPr>
        <w:rPr>
          <w:szCs w:val="22"/>
          <w:lang w:val="en-GB"/>
        </w:rPr>
      </w:pPr>
      <w:bookmarkStart w:id="497" w:name="_Toc16468"/>
      <w:r>
        <w:rPr>
          <w:rFonts w:hint="eastAsia"/>
          <w:szCs w:val="22"/>
          <w:lang w:val="en-GB"/>
        </w:rPr>
        <w:t>高级功能</w:t>
      </w:r>
      <w:bookmarkEnd w:id="497"/>
    </w:p>
    <w:p>
      <w:pPr>
        <w:pStyle w:val="3"/>
      </w:pPr>
      <w:r>
        <w:rPr>
          <w:rFonts w:hint="eastAsia"/>
        </w:rPr>
        <w:t>UPS提供电池维护测试功能。电池定期自动放电，每次放电量为电池额定容量的20</w:t>
      </w:r>
      <w:r>
        <w:t>％</w:t>
      </w:r>
      <w:r>
        <w:rPr>
          <w:rFonts w:hint="eastAsia"/>
        </w:rPr>
        <w:t>，实际负载必须超过UPS标称容量的20</w:t>
      </w:r>
      <w:r>
        <w:t>％</w:t>
      </w:r>
      <w:r>
        <w:rPr>
          <w:rFonts w:hint="eastAsia"/>
        </w:rPr>
        <w:t>。如果负载低于20</w:t>
      </w:r>
      <w:r>
        <w:t>％</w:t>
      </w:r>
      <w:r>
        <w:rPr>
          <w:rFonts w:hint="eastAsia"/>
        </w:rPr>
        <w:t>，则无法执行自动放电维护。自动放电间隔时间30天</w:t>
      </w:r>
      <w:r>
        <w:rPr>
          <w:rFonts w:ascii="宋体" w:hAnsi="宋体"/>
        </w:rPr>
        <w:t>～</w:t>
      </w:r>
      <w:r>
        <w:rPr>
          <w:rFonts w:hint="eastAsia"/>
        </w:rPr>
        <w:t>360天可设。电池维护测试功能可禁止。操作步骤详见5</w:t>
      </w:r>
      <w:r>
        <w:t>.4</w:t>
      </w:r>
      <w:r>
        <w:rPr>
          <w:rFonts w:hint="eastAsia"/>
        </w:rPr>
        <w:t>章节内容。</w:t>
      </w:r>
    </w:p>
    <w:p>
      <w:pPr>
        <w:pStyle w:val="4"/>
        <w:numPr>
          <w:ilvl w:val="1"/>
          <w:numId w:val="9"/>
        </w:numPr>
        <w:rPr>
          <w:lang w:val="en-GB"/>
        </w:rPr>
      </w:pPr>
      <w:bookmarkStart w:id="498" w:name="_Toc10210"/>
      <w:r>
        <w:rPr>
          <w:rFonts w:hint="eastAsia"/>
          <w:lang w:val="en-GB"/>
        </w:rPr>
        <w:t>电池保护</w:t>
      </w:r>
      <w:bookmarkEnd w:id="498"/>
    </w:p>
    <w:p>
      <w:pPr>
        <w:pStyle w:val="3"/>
        <w:rPr>
          <w:lang w:val="en-GB"/>
        </w:rPr>
      </w:pPr>
      <w:r>
        <w:rPr>
          <w:rFonts w:hint="eastAsia"/>
        </w:rPr>
        <w:t>以下电池保护功能由服务工程师使用后台软件进行设置。</w:t>
      </w:r>
    </w:p>
    <w:p>
      <w:pPr>
        <w:pStyle w:val="6"/>
        <w:numPr>
          <w:ilvl w:val="3"/>
          <w:numId w:val="0"/>
        </w:numPr>
        <w:spacing w:before="200" w:after="80"/>
        <w:ind w:left="680"/>
      </w:pPr>
      <w:r>
        <w:rPr>
          <w:rFonts w:hint="eastAsia"/>
        </w:rPr>
        <w:t>电池电压低告警</w:t>
      </w:r>
    </w:p>
    <w:p>
      <w:pPr>
        <w:pStyle w:val="3"/>
      </w:pPr>
      <w:r>
        <w:rPr>
          <w:rFonts w:hint="eastAsia"/>
        </w:rPr>
        <w:t>在电池放电终止前会给出电池低电压告警。告警后，电池应有可支持3分钟满载放电的容量。该时间可由用户设置，设置范围为3分钟～60分钟。</w:t>
      </w:r>
    </w:p>
    <w:p>
      <w:pPr>
        <w:pStyle w:val="6"/>
        <w:numPr>
          <w:ilvl w:val="3"/>
          <w:numId w:val="0"/>
        </w:numPr>
        <w:spacing w:before="200" w:after="80"/>
        <w:ind w:left="680"/>
        <w:rPr>
          <w:szCs w:val="22"/>
        </w:rPr>
      </w:pPr>
      <w:r>
        <w:rPr>
          <w:rFonts w:hint="eastAsia"/>
          <w:szCs w:val="22"/>
        </w:rPr>
        <w:t>电池放电终止保护</w:t>
      </w:r>
    </w:p>
    <w:p>
      <w:pPr>
        <w:pStyle w:val="3"/>
      </w:pPr>
      <w:r>
        <w:rPr>
          <w:rFonts w:hint="eastAsia"/>
        </w:rPr>
        <w:t>如电池电压降至电池放电终止电压，电池变换器会关闭。电池放电终止电压可设置：对于阀控式铅酸蓄电池，设置范围为1.6</w:t>
      </w:r>
      <w:r>
        <w:t>V</w:t>
      </w:r>
      <w:r>
        <w:rPr>
          <w:rFonts w:hint="eastAsia"/>
        </w:rPr>
        <w:t>/单体</w:t>
      </w:r>
      <w:r>
        <w:rPr>
          <w:rFonts w:ascii="宋体" w:hAnsi="宋体"/>
        </w:rPr>
        <w:t>～</w:t>
      </w:r>
      <w:r>
        <w:rPr>
          <w:rFonts w:hint="eastAsia"/>
        </w:rPr>
        <w:t>1.85</w:t>
      </w:r>
      <w:r>
        <w:t>V</w:t>
      </w:r>
      <w:r>
        <w:rPr>
          <w:rFonts w:hint="eastAsia"/>
        </w:rPr>
        <w:t>/单体。</w:t>
      </w:r>
    </w:p>
    <w:p>
      <w:pPr>
        <w:pStyle w:val="6"/>
        <w:numPr>
          <w:ilvl w:val="3"/>
          <w:numId w:val="0"/>
        </w:numPr>
        <w:spacing w:before="200" w:after="80"/>
        <w:ind w:left="680"/>
        <w:rPr>
          <w:szCs w:val="22"/>
        </w:rPr>
      </w:pPr>
      <w:r>
        <w:rPr>
          <w:rFonts w:hint="eastAsia"/>
          <w:szCs w:val="22"/>
        </w:rPr>
        <w:t>电池开关断开告警</w:t>
      </w:r>
    </w:p>
    <w:p>
      <w:pPr>
        <w:pStyle w:val="3"/>
      </w:pPr>
      <w:r>
        <w:rPr>
          <w:rFonts w:hint="eastAsia"/>
        </w:rPr>
        <w:t>如选配电池开关盒选件，电池开关断开时产生此告警。外置电池通过电池开关与UPS相连接。该分断器通过手动闭合，由UPS控制电路控制开关脱扣。</w:t>
      </w:r>
    </w:p>
    <w:p>
      <w:pPr>
        <w:pStyle w:val="4"/>
        <w:numPr>
          <w:ilvl w:val="1"/>
          <w:numId w:val="9"/>
        </w:numPr>
        <w:rPr>
          <w:lang w:val="en-GB"/>
        </w:rPr>
      </w:pPr>
      <w:bookmarkStart w:id="499" w:name="_Toc6338"/>
      <w:r>
        <w:rPr>
          <w:rFonts w:hint="eastAsia"/>
          <w:lang w:val="en-GB"/>
        </w:rPr>
        <w:t>电池开关</w:t>
      </w:r>
      <w:bookmarkEnd w:id="499"/>
    </w:p>
    <w:p>
      <w:pPr>
        <w:pStyle w:val="3"/>
      </w:pPr>
      <w:r>
        <w:rPr>
          <w:rFonts w:hint="eastAsia"/>
        </w:rPr>
        <w:t>电池必须通过电池开关与UPS连接，如果电池采用机架安装（或远离UPS机柜），则电池开关必须尽可能靠近电池安装，与UPS之间的的功率和信号电缆走线距离应尽可能短。</w:t>
      </w:r>
    </w:p>
    <w:p>
      <w:pPr>
        <w:pStyle w:val="3"/>
      </w:pPr>
      <w:r>
        <w:rPr>
          <w:rFonts w:hint="eastAsia"/>
        </w:rPr>
        <w:t>电池开关具有如下特点：</w:t>
      </w:r>
    </w:p>
    <w:p>
      <w:pPr>
        <w:pStyle w:val="114"/>
        <w:numPr>
          <w:ilvl w:val="2"/>
          <w:numId w:val="14"/>
        </w:numPr>
        <w:ind w:left="680" w:firstLine="0"/>
      </w:pPr>
      <w:r>
        <w:rPr>
          <w:rFonts w:hint="eastAsia"/>
        </w:rPr>
        <w:t>与电池隔离，安全可靠</w:t>
      </w:r>
    </w:p>
    <w:p>
      <w:pPr>
        <w:pStyle w:val="114"/>
        <w:numPr>
          <w:ilvl w:val="2"/>
          <w:numId w:val="14"/>
        </w:numPr>
        <w:ind w:left="680" w:firstLine="0"/>
      </w:pPr>
      <w:r>
        <w:rPr>
          <w:rFonts w:hint="eastAsia"/>
        </w:rPr>
        <w:t>提供短路保护</w:t>
      </w:r>
    </w:p>
    <w:p>
      <w:pPr>
        <w:pStyle w:val="114"/>
        <w:numPr>
          <w:ilvl w:val="2"/>
          <w:numId w:val="14"/>
        </w:numPr>
        <w:ind w:left="680" w:firstLine="0"/>
      </w:pPr>
      <w:r>
        <w:rPr>
          <w:rFonts w:hint="eastAsia"/>
        </w:rPr>
        <w:t>遇电池欠压导致逆变器锁定，则开关自动断开，避免电池过放电损坏</w:t>
      </w:r>
    </w:p>
    <w:p>
      <w:pPr>
        <w:pStyle w:val="114"/>
        <w:numPr>
          <w:ilvl w:val="2"/>
          <w:numId w:val="14"/>
        </w:numPr>
        <w:ind w:left="680" w:firstLine="0"/>
      </w:pPr>
      <w:r>
        <w:rPr>
          <w:rFonts w:hint="eastAsia"/>
        </w:rPr>
        <w:t>提供误操作保护</w:t>
      </w:r>
    </w:p>
    <w:p>
      <w:pPr>
        <w:pStyle w:val="114"/>
        <w:numPr>
          <w:ilvl w:val="2"/>
          <w:numId w:val="14"/>
        </w:numPr>
        <w:ind w:left="680" w:firstLine="0"/>
      </w:pPr>
      <w:r>
        <w:rPr>
          <w:rFonts w:hint="eastAsia"/>
        </w:rPr>
        <w:t>为获得所需后备时间，可能需将电池组并联。在这种情况下，电池开关应置于所有并联电池组的后级位置。</w:t>
      </w:r>
    </w:p>
    <w:tbl>
      <w:tblPr>
        <w:tblStyle w:val="50"/>
        <w:tblW w:w="9379"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7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79" w:type="dxa"/>
            <w:vAlign w:val="center"/>
          </w:tcPr>
          <w:p>
            <w:pPr>
              <w:pStyle w:val="72"/>
              <w:spacing w:before="46" w:beforeLines="15" w:line="276" w:lineRule="auto"/>
              <w:jc w:val="both"/>
              <w:rPr>
                <w:rStyle w:val="87"/>
              </w:rPr>
            </w:pPr>
            <w:r>
              <w:rPr>
                <w:rStyle w:val="87"/>
              </w:rPr>
              <w:drawing>
                <wp:inline distT="0" distB="0" distL="0" distR="0">
                  <wp:extent cx="315595" cy="267970"/>
                  <wp:effectExtent l="0" t="0" r="8255" b="0"/>
                  <wp:docPr id="47" name="图片 47" descr="图形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形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315595" cy="267970"/>
                          </a:xfrm>
                          <a:prstGeom prst="rect">
                            <a:avLst/>
                          </a:prstGeom>
                          <a:noFill/>
                          <a:ln>
                            <a:noFill/>
                          </a:ln>
                        </pic:spPr>
                      </pic:pic>
                    </a:graphicData>
                  </a:graphic>
                </wp:inline>
              </w:drawing>
            </w:r>
            <w:r>
              <w:rPr>
                <w:rStyle w:val="87"/>
                <w:rFonts w:hint="eastAsia"/>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79" w:type="dxa"/>
            <w:vAlign w:val="center"/>
          </w:tcPr>
          <w:p>
            <w:pPr>
              <w:pStyle w:val="73"/>
            </w:pPr>
            <w:r>
              <w:rPr>
                <w:rFonts w:hint="eastAsia"/>
              </w:rPr>
              <w:t>只有接受过培训的人员才能对电池开关进行维护和操作。</w:t>
            </w:r>
          </w:p>
          <w:p>
            <w:pPr>
              <w:pStyle w:val="73"/>
            </w:pPr>
            <w:r>
              <w:rPr>
                <w:rFonts w:hint="eastAsia"/>
              </w:rPr>
              <w:t>电池放电结束后，UPS长时间无交流输入，必须断开电池开关，否则电池会通过UPS端口的小电阻进行放电，会损坏电池</w:t>
            </w:r>
          </w:p>
        </w:tc>
      </w:tr>
    </w:tbl>
    <w:p>
      <w:pPr>
        <w:pStyle w:val="4"/>
        <w:numPr>
          <w:ilvl w:val="1"/>
          <w:numId w:val="9"/>
        </w:numPr>
        <w:rPr>
          <w:lang w:val="en-GB"/>
        </w:rPr>
      </w:pPr>
      <w:bookmarkStart w:id="500" w:name="_Toc2489"/>
      <w:r>
        <w:rPr>
          <w:rFonts w:hint="eastAsia"/>
          <w:lang w:val="en-GB"/>
        </w:rPr>
        <w:t>电池开关参考电流与连接</w:t>
      </w:r>
      <w:bookmarkEnd w:id="500"/>
    </w:p>
    <w:p>
      <w:pPr>
        <w:pStyle w:val="3"/>
        <w:rPr>
          <w:lang w:val="en-GB"/>
        </w:rPr>
      </w:pPr>
      <w:r>
        <w:rPr>
          <w:rFonts w:hint="eastAsia"/>
          <w:lang w:val="en-GB"/>
        </w:rPr>
        <w:t>表6-1提供满载时电池额定放电电流和电池最大放电电流的参考额定电流。请参阅</w:t>
      </w:r>
      <w:r>
        <w:rPr>
          <w:lang w:val="en-GB"/>
        </w:rPr>
        <w:t>IEC60950-1</w:t>
      </w:r>
      <w:r>
        <w:rPr>
          <w:rFonts w:hint="eastAsia"/>
          <w:lang w:val="en-GB"/>
        </w:rPr>
        <w:t>表3B，并遵循当地电气规定选择合适的电缆截面积。</w:t>
      </w:r>
    </w:p>
    <w:p>
      <w:pPr>
        <w:pStyle w:val="194"/>
        <w:numPr>
          <w:ilvl w:val="5"/>
          <w:numId w:val="9"/>
        </w:numPr>
      </w:pPr>
      <w:r>
        <w:rPr>
          <w:rFonts w:hint="eastAsia"/>
          <w:lang w:val="en-GB"/>
        </w:rPr>
        <w:t>满载时电池额定放电电流和</w:t>
      </w:r>
      <w:r>
        <w:rPr>
          <w:rFonts w:hint="eastAsia"/>
        </w:rPr>
        <w:t>最大放电电流的参考额定电流</w:t>
      </w:r>
    </w:p>
    <w:tbl>
      <w:tblPr>
        <w:tblStyle w:val="50"/>
        <w:tblpPr w:leftFromText="180" w:rightFromText="180" w:vertAnchor="text" w:horzAnchor="margin" w:tblpXSpec="right" w:tblpY="31"/>
        <w:tblOverlap w:val="never"/>
        <w:tblW w:w="9492" w:type="dxa"/>
        <w:tblInd w:w="0" w:type="dxa"/>
        <w:tblLayout w:type="fixed"/>
        <w:tblCellMar>
          <w:top w:w="0" w:type="dxa"/>
          <w:left w:w="0" w:type="dxa"/>
          <w:bottom w:w="0" w:type="dxa"/>
          <w:right w:w="0" w:type="dxa"/>
        </w:tblCellMar>
      </w:tblPr>
      <w:tblGrid>
        <w:gridCol w:w="1117"/>
        <w:gridCol w:w="3082"/>
        <w:gridCol w:w="351"/>
        <w:gridCol w:w="706"/>
        <w:gridCol w:w="706"/>
        <w:gridCol w:w="706"/>
        <w:gridCol w:w="706"/>
        <w:gridCol w:w="706"/>
        <w:gridCol w:w="706"/>
        <w:gridCol w:w="706"/>
      </w:tblGrid>
      <w:tr>
        <w:tblPrEx>
          <w:tblCellMar>
            <w:top w:w="0" w:type="dxa"/>
            <w:left w:w="0" w:type="dxa"/>
            <w:bottom w:w="0" w:type="dxa"/>
            <w:right w:w="0" w:type="dxa"/>
          </w:tblCellMar>
        </w:tblPrEx>
        <w:trPr>
          <w:trHeight w:val="187" w:hRule="atLeast"/>
          <w:tblHeader/>
        </w:trPr>
        <w:tc>
          <w:tcPr>
            <w:tcW w:w="4199" w:type="dxa"/>
            <w:gridSpan w:val="2"/>
            <w:vMerge w:val="restart"/>
            <w:tcBorders>
              <w:top w:val="single" w:color="auto" w:sz="4" w:space="0"/>
              <w:left w:val="single" w:color="auto" w:sz="4" w:space="0"/>
              <w:bottom w:val="single" w:color="auto" w:sz="4" w:space="0"/>
              <w:right w:val="single" w:color="auto" w:sz="4" w:space="0"/>
            </w:tcBorders>
            <w:shd w:val="clear" w:color="auto" w:fill="D9D9D9"/>
            <w:tcMar>
              <w:top w:w="10" w:type="dxa"/>
              <w:left w:w="108" w:type="dxa"/>
              <w:bottom w:w="0" w:type="dxa"/>
              <w:right w:w="108" w:type="dxa"/>
            </w:tcMar>
            <w:vAlign w:val="center"/>
          </w:tcPr>
          <w:p>
            <w:pPr>
              <w:pStyle w:val="88"/>
              <w:rPr>
                <w:rFonts w:hAnsi="宋体" w:cs="宋体"/>
              </w:rPr>
            </w:pPr>
            <w:r>
              <w:rPr>
                <w:rFonts w:hint="eastAsia"/>
              </w:rPr>
              <w:t>项目</w:t>
            </w:r>
          </w:p>
        </w:tc>
        <w:tc>
          <w:tcPr>
            <w:tcW w:w="351" w:type="dxa"/>
            <w:vMerge w:val="restart"/>
            <w:tcBorders>
              <w:top w:val="single" w:color="auto" w:sz="4" w:space="0"/>
              <w:left w:val="single" w:color="auto" w:sz="4" w:space="0"/>
              <w:bottom w:val="single" w:color="auto" w:sz="4" w:space="0"/>
              <w:right w:val="single" w:color="auto" w:sz="4" w:space="0"/>
            </w:tcBorders>
            <w:shd w:val="clear" w:color="auto" w:fill="D9D9D9"/>
            <w:tcMar>
              <w:top w:w="10" w:type="dxa"/>
              <w:left w:w="108" w:type="dxa"/>
              <w:bottom w:w="0" w:type="dxa"/>
              <w:right w:w="108" w:type="dxa"/>
            </w:tcMar>
            <w:vAlign w:val="center"/>
          </w:tcPr>
          <w:p>
            <w:pPr>
              <w:pStyle w:val="88"/>
              <w:rPr>
                <w:rFonts w:hAnsi="宋体" w:cs="宋体"/>
              </w:rPr>
            </w:pPr>
            <w:r>
              <w:rPr>
                <w:rFonts w:hint="eastAsia"/>
              </w:rPr>
              <w:t>单位</w:t>
            </w:r>
          </w:p>
        </w:tc>
        <w:tc>
          <w:tcPr>
            <w:tcW w:w="4942" w:type="dxa"/>
            <w:gridSpan w:val="7"/>
            <w:tcBorders>
              <w:top w:val="single" w:color="auto" w:sz="4" w:space="0"/>
              <w:left w:val="nil"/>
              <w:bottom w:val="single" w:color="auto" w:sz="4" w:space="0"/>
              <w:right w:val="single" w:color="auto" w:sz="4" w:space="0"/>
            </w:tcBorders>
            <w:shd w:val="clear" w:color="auto" w:fill="D9D9D9"/>
          </w:tcPr>
          <w:p>
            <w:pPr>
              <w:pStyle w:val="88"/>
            </w:pPr>
            <w:r>
              <w:t>UPS</w:t>
            </w:r>
            <w:r>
              <w:rPr>
                <w:rFonts w:hint="eastAsia"/>
              </w:rPr>
              <w:t>额定功率（kVA）</w:t>
            </w:r>
          </w:p>
        </w:tc>
      </w:tr>
      <w:tr>
        <w:tblPrEx>
          <w:tblCellMar>
            <w:top w:w="0" w:type="dxa"/>
            <w:left w:w="0" w:type="dxa"/>
            <w:bottom w:w="0" w:type="dxa"/>
            <w:right w:w="0" w:type="dxa"/>
          </w:tblCellMar>
        </w:tblPrEx>
        <w:trPr>
          <w:trHeight w:val="187" w:hRule="atLeast"/>
          <w:tblHeader/>
        </w:trPr>
        <w:tc>
          <w:tcPr>
            <w:tcW w:w="4199" w:type="dxa"/>
            <w:gridSpan w:val="2"/>
            <w:vMerge w:val="continue"/>
            <w:tcBorders>
              <w:top w:val="single" w:color="auto" w:sz="4" w:space="0"/>
              <w:left w:val="single" w:color="auto" w:sz="4" w:space="0"/>
              <w:bottom w:val="single" w:color="auto" w:sz="4" w:space="0"/>
              <w:right w:val="single" w:color="auto" w:sz="4" w:space="0"/>
            </w:tcBorders>
            <w:shd w:val="clear" w:color="auto" w:fill="D9D9D9"/>
            <w:vAlign w:val="center"/>
          </w:tcPr>
          <w:p>
            <w:pPr>
              <w:pStyle w:val="88"/>
              <w:rPr>
                <w:rFonts w:ascii="黑体" w:hAnsi="宋体" w:cs="宋体"/>
                <w:szCs w:val="16"/>
              </w:rPr>
            </w:pPr>
          </w:p>
        </w:tc>
        <w:tc>
          <w:tcPr>
            <w:tcW w:w="351" w:type="dxa"/>
            <w:vMerge w:val="continue"/>
            <w:tcBorders>
              <w:top w:val="single" w:color="auto" w:sz="4" w:space="0"/>
              <w:left w:val="single" w:color="auto" w:sz="4" w:space="0"/>
              <w:bottom w:val="single" w:color="auto" w:sz="4" w:space="0"/>
              <w:right w:val="single" w:color="auto" w:sz="4" w:space="0"/>
            </w:tcBorders>
            <w:shd w:val="clear" w:color="auto" w:fill="D9D9D9"/>
            <w:vAlign w:val="center"/>
          </w:tcPr>
          <w:p>
            <w:pPr>
              <w:pStyle w:val="88"/>
              <w:rPr>
                <w:rFonts w:ascii="黑体" w:hAnsi="宋体" w:cs="宋体"/>
                <w:szCs w:val="16"/>
              </w:rPr>
            </w:pPr>
          </w:p>
        </w:tc>
        <w:tc>
          <w:tcPr>
            <w:tcW w:w="706" w:type="dxa"/>
            <w:tcBorders>
              <w:top w:val="nil"/>
              <w:left w:val="nil"/>
              <w:bottom w:val="single" w:color="auto" w:sz="4" w:space="0"/>
              <w:right w:val="single" w:color="auto" w:sz="4" w:space="0"/>
            </w:tcBorders>
            <w:shd w:val="clear" w:color="auto" w:fill="D9D9D9"/>
            <w:vAlign w:val="center"/>
          </w:tcPr>
          <w:p>
            <w:pPr>
              <w:pStyle w:val="88"/>
            </w:pPr>
            <w:r>
              <w:rPr>
                <w:rFonts w:hint="eastAsia"/>
              </w:rPr>
              <w:t>2</w:t>
            </w:r>
            <w:r>
              <w:t>40</w:t>
            </w:r>
          </w:p>
        </w:tc>
        <w:tc>
          <w:tcPr>
            <w:tcW w:w="706" w:type="dxa"/>
            <w:tcBorders>
              <w:top w:val="single" w:color="auto" w:sz="4" w:space="0"/>
              <w:left w:val="nil"/>
              <w:bottom w:val="single" w:color="auto" w:sz="4" w:space="0"/>
              <w:right w:val="single" w:color="auto" w:sz="4" w:space="0"/>
            </w:tcBorders>
            <w:shd w:val="clear" w:color="auto" w:fill="D9D9D9"/>
            <w:vAlign w:val="center"/>
          </w:tcPr>
          <w:p>
            <w:pPr>
              <w:pStyle w:val="88"/>
            </w:pPr>
            <w:r>
              <w:t>300</w:t>
            </w:r>
          </w:p>
        </w:tc>
        <w:tc>
          <w:tcPr>
            <w:tcW w:w="706"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88"/>
            </w:pPr>
            <w:r>
              <w:rPr>
                <w:rFonts w:hint="eastAsia"/>
              </w:rPr>
              <w:t>3</w:t>
            </w:r>
            <w:r>
              <w:t>6</w:t>
            </w:r>
            <w:r>
              <w:rPr>
                <w:rFonts w:hint="eastAsia"/>
              </w:rPr>
              <w:t>0</w:t>
            </w:r>
          </w:p>
        </w:tc>
        <w:tc>
          <w:tcPr>
            <w:tcW w:w="706" w:type="dxa"/>
            <w:tcBorders>
              <w:top w:val="single" w:color="auto" w:sz="4" w:space="0"/>
              <w:left w:val="nil"/>
              <w:bottom w:val="single" w:color="auto" w:sz="4" w:space="0"/>
              <w:right w:val="single" w:color="auto" w:sz="4" w:space="0"/>
            </w:tcBorders>
            <w:shd w:val="clear" w:color="auto" w:fill="D9D9D9"/>
            <w:vAlign w:val="center"/>
          </w:tcPr>
          <w:p>
            <w:pPr>
              <w:pStyle w:val="88"/>
            </w:pPr>
            <w:r>
              <w:t>420</w:t>
            </w:r>
          </w:p>
        </w:tc>
        <w:tc>
          <w:tcPr>
            <w:tcW w:w="706"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88"/>
            </w:pPr>
            <w:r>
              <w:rPr>
                <w:rFonts w:hint="eastAsia"/>
              </w:rPr>
              <w:t>4</w:t>
            </w:r>
            <w:r>
              <w:t>8</w:t>
            </w:r>
            <w:r>
              <w:rPr>
                <w:rFonts w:hint="eastAsia"/>
              </w:rPr>
              <w:t>0</w:t>
            </w:r>
          </w:p>
        </w:tc>
        <w:tc>
          <w:tcPr>
            <w:tcW w:w="706" w:type="dxa"/>
            <w:tcBorders>
              <w:top w:val="nil"/>
              <w:left w:val="single" w:color="auto" w:sz="4" w:space="0"/>
              <w:bottom w:val="single" w:color="auto" w:sz="4" w:space="0"/>
              <w:right w:val="single" w:color="auto" w:sz="4" w:space="0"/>
            </w:tcBorders>
            <w:shd w:val="clear" w:color="auto" w:fill="D9D9D9"/>
            <w:vAlign w:val="center"/>
          </w:tcPr>
          <w:p>
            <w:pPr>
              <w:pStyle w:val="88"/>
            </w:pPr>
            <w:r>
              <w:rPr>
                <w:rFonts w:hint="eastAsia"/>
              </w:rPr>
              <w:t>5</w:t>
            </w:r>
            <w:r>
              <w:t>4</w:t>
            </w:r>
            <w:r>
              <w:rPr>
                <w:rFonts w:hint="eastAsia"/>
              </w:rPr>
              <w:t>0</w:t>
            </w:r>
          </w:p>
        </w:tc>
        <w:tc>
          <w:tcPr>
            <w:tcW w:w="706" w:type="dxa"/>
            <w:tcBorders>
              <w:top w:val="nil"/>
              <w:left w:val="nil"/>
              <w:bottom w:val="single" w:color="auto" w:sz="4" w:space="0"/>
              <w:right w:val="single" w:color="auto" w:sz="4" w:space="0"/>
            </w:tcBorders>
            <w:shd w:val="clear" w:color="auto" w:fill="D9D9D9"/>
            <w:vAlign w:val="center"/>
          </w:tcPr>
          <w:p>
            <w:pPr>
              <w:pStyle w:val="88"/>
            </w:pPr>
            <w:r>
              <w:rPr>
                <w:rFonts w:hint="eastAsia"/>
              </w:rPr>
              <w:t>600</w:t>
            </w:r>
          </w:p>
        </w:tc>
      </w:tr>
      <w:tr>
        <w:tblPrEx>
          <w:tblCellMar>
            <w:top w:w="0" w:type="dxa"/>
            <w:left w:w="0" w:type="dxa"/>
            <w:bottom w:w="0" w:type="dxa"/>
            <w:right w:w="0" w:type="dxa"/>
          </w:tblCellMar>
        </w:tblPrEx>
        <w:trPr>
          <w:trHeight w:val="187" w:hRule="atLeast"/>
        </w:trPr>
        <w:tc>
          <w:tcPr>
            <w:tcW w:w="1117" w:type="dxa"/>
            <w:vMerge w:val="restart"/>
            <w:tcBorders>
              <w:top w:val="nil"/>
              <w:left w:val="single" w:color="auto" w:sz="4" w:space="0"/>
              <w:right w:val="single" w:color="auto" w:sz="4" w:space="0"/>
            </w:tcBorders>
            <w:tcMar>
              <w:top w:w="10" w:type="dxa"/>
              <w:left w:w="108" w:type="dxa"/>
              <w:bottom w:w="0" w:type="dxa"/>
              <w:right w:w="108" w:type="dxa"/>
            </w:tcMar>
            <w:vAlign w:val="center"/>
          </w:tcPr>
          <w:p>
            <w:pPr>
              <w:pStyle w:val="73"/>
              <w:jc w:val="center"/>
            </w:pPr>
            <w:r>
              <w:rPr>
                <w:rFonts w:hint="eastAsia"/>
              </w:rPr>
              <w:t>32节</w:t>
            </w:r>
          </w:p>
          <w:p>
            <w:pPr>
              <w:pStyle w:val="73"/>
              <w:jc w:val="center"/>
            </w:pPr>
            <w:r>
              <w:rPr>
                <w:rFonts w:hint="eastAsia"/>
              </w:rPr>
              <w:t>电池</w:t>
            </w:r>
          </w:p>
        </w:tc>
        <w:tc>
          <w:tcPr>
            <w:tcW w:w="3082"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3"/>
              <w:jc w:val="center"/>
            </w:pPr>
            <w:r>
              <w:rPr>
                <w:rFonts w:hint="eastAsia"/>
              </w:rPr>
              <w:t>满载时电池正、负额定放电电流</w:t>
            </w:r>
          </w:p>
        </w:tc>
        <w:tc>
          <w:tcPr>
            <w:tcW w:w="351"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2"/>
            </w:pPr>
            <w:r>
              <w:rPr>
                <w:rFonts w:hint="eastAsia"/>
              </w:rPr>
              <w:t>A</w:t>
            </w:r>
          </w:p>
        </w:tc>
        <w:tc>
          <w:tcPr>
            <w:tcW w:w="706" w:type="dxa"/>
            <w:tcBorders>
              <w:top w:val="single" w:color="auto" w:sz="4" w:space="0"/>
              <w:left w:val="nil"/>
              <w:bottom w:val="single" w:color="auto" w:sz="4" w:space="0"/>
              <w:right w:val="single" w:color="auto" w:sz="4" w:space="0"/>
            </w:tcBorders>
            <w:tcMar>
              <w:top w:w="10" w:type="dxa"/>
              <w:left w:w="108" w:type="dxa"/>
              <w:bottom w:w="0" w:type="dxa"/>
              <w:right w:w="108" w:type="dxa"/>
            </w:tcMar>
            <w:vAlign w:val="center"/>
          </w:tcPr>
          <w:p>
            <w:pPr>
              <w:pStyle w:val="88"/>
              <w:rPr>
                <w:rFonts w:ascii="Calibri" w:hAnsi="Calibri" w:cs="Calibri"/>
                <w:szCs w:val="16"/>
              </w:rPr>
            </w:pPr>
            <w:r>
              <w:rPr>
                <w:rFonts w:ascii="Calibri" w:hAnsi="Calibri" w:cs="Calibri"/>
                <w:color w:val="000000"/>
                <w:szCs w:val="16"/>
              </w:rPr>
              <w:t xml:space="preserve">658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822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987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1151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1316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1480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1645 </w:t>
            </w:r>
          </w:p>
        </w:tc>
      </w:tr>
      <w:tr>
        <w:tblPrEx>
          <w:tblCellMar>
            <w:top w:w="0" w:type="dxa"/>
            <w:left w:w="0" w:type="dxa"/>
            <w:bottom w:w="0" w:type="dxa"/>
            <w:right w:w="0" w:type="dxa"/>
          </w:tblCellMar>
        </w:tblPrEx>
        <w:trPr>
          <w:trHeight w:val="187" w:hRule="atLeast"/>
        </w:trPr>
        <w:tc>
          <w:tcPr>
            <w:tcW w:w="1117" w:type="dxa"/>
            <w:vMerge w:val="continue"/>
            <w:tcBorders>
              <w:left w:val="single" w:color="auto" w:sz="4" w:space="0"/>
              <w:bottom w:val="single" w:color="auto" w:sz="4" w:space="0"/>
              <w:right w:val="single" w:color="auto" w:sz="4" w:space="0"/>
            </w:tcBorders>
            <w:tcMar>
              <w:top w:w="10" w:type="dxa"/>
              <w:left w:w="108" w:type="dxa"/>
              <w:bottom w:w="0" w:type="dxa"/>
              <w:right w:w="108" w:type="dxa"/>
            </w:tcMar>
            <w:vAlign w:val="center"/>
          </w:tcPr>
          <w:p>
            <w:pPr>
              <w:pStyle w:val="73"/>
              <w:jc w:val="center"/>
            </w:pPr>
          </w:p>
        </w:tc>
        <w:tc>
          <w:tcPr>
            <w:tcW w:w="3082"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3"/>
              <w:jc w:val="center"/>
            </w:pPr>
            <w:r>
              <w:rPr>
                <w:rFonts w:hint="eastAsia"/>
              </w:rPr>
              <w:t>满载时电池正、负最大放电电流</w:t>
            </w:r>
          </w:p>
        </w:tc>
        <w:tc>
          <w:tcPr>
            <w:tcW w:w="351"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2"/>
            </w:pPr>
            <w:r>
              <w:rPr>
                <w:rFonts w:hint="eastAsia"/>
              </w:rPr>
              <w:t>A</w:t>
            </w:r>
          </w:p>
        </w:tc>
        <w:tc>
          <w:tcPr>
            <w:tcW w:w="706" w:type="dxa"/>
            <w:tcBorders>
              <w:top w:val="single" w:color="auto" w:sz="4" w:space="0"/>
              <w:left w:val="nil"/>
              <w:bottom w:val="single" w:color="auto" w:sz="4" w:space="0"/>
              <w:right w:val="single" w:color="auto" w:sz="4" w:space="0"/>
            </w:tcBorders>
            <w:tcMar>
              <w:top w:w="10" w:type="dxa"/>
              <w:left w:w="108" w:type="dxa"/>
              <w:bottom w:w="0" w:type="dxa"/>
              <w:right w:w="108" w:type="dxa"/>
            </w:tcMar>
            <w:vAlign w:val="center"/>
          </w:tcPr>
          <w:p>
            <w:pPr>
              <w:pStyle w:val="88"/>
              <w:rPr>
                <w:rFonts w:ascii="Calibri" w:hAnsi="Calibri" w:cs="Calibri"/>
                <w:szCs w:val="16"/>
              </w:rPr>
            </w:pPr>
            <w:r>
              <w:rPr>
                <w:rFonts w:ascii="Calibri" w:hAnsi="Calibri" w:cs="Calibri"/>
                <w:color w:val="000000"/>
                <w:szCs w:val="16"/>
              </w:rPr>
              <w:t xml:space="preserve">774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967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1161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1354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1548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1741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1935 </w:t>
            </w:r>
          </w:p>
        </w:tc>
      </w:tr>
      <w:tr>
        <w:tblPrEx>
          <w:tblCellMar>
            <w:top w:w="0" w:type="dxa"/>
            <w:left w:w="0" w:type="dxa"/>
            <w:bottom w:w="0" w:type="dxa"/>
            <w:right w:w="0" w:type="dxa"/>
          </w:tblCellMar>
        </w:tblPrEx>
        <w:trPr>
          <w:trHeight w:val="187" w:hRule="atLeast"/>
        </w:trPr>
        <w:tc>
          <w:tcPr>
            <w:tcW w:w="1117" w:type="dxa"/>
            <w:vMerge w:val="restart"/>
            <w:tcBorders>
              <w:top w:val="nil"/>
              <w:left w:val="single" w:color="auto" w:sz="4" w:space="0"/>
              <w:right w:val="single" w:color="auto" w:sz="4" w:space="0"/>
            </w:tcBorders>
            <w:tcMar>
              <w:top w:w="10" w:type="dxa"/>
              <w:left w:w="108" w:type="dxa"/>
              <w:bottom w:w="0" w:type="dxa"/>
              <w:right w:w="108" w:type="dxa"/>
            </w:tcMar>
            <w:vAlign w:val="center"/>
          </w:tcPr>
          <w:p>
            <w:pPr>
              <w:pStyle w:val="73"/>
              <w:jc w:val="center"/>
            </w:pPr>
            <w:r>
              <w:rPr>
                <w:rFonts w:hint="eastAsia"/>
              </w:rPr>
              <w:t>34节</w:t>
            </w:r>
          </w:p>
          <w:p>
            <w:pPr>
              <w:pStyle w:val="73"/>
              <w:jc w:val="center"/>
            </w:pPr>
            <w:r>
              <w:rPr>
                <w:rFonts w:hint="eastAsia"/>
              </w:rPr>
              <w:t>电池</w:t>
            </w:r>
          </w:p>
        </w:tc>
        <w:tc>
          <w:tcPr>
            <w:tcW w:w="3082"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3"/>
              <w:jc w:val="center"/>
            </w:pPr>
            <w:r>
              <w:rPr>
                <w:rFonts w:hint="eastAsia"/>
              </w:rPr>
              <w:t>满载时电池正、负额定放电电流</w:t>
            </w:r>
          </w:p>
        </w:tc>
        <w:tc>
          <w:tcPr>
            <w:tcW w:w="351"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2"/>
            </w:pPr>
            <w:r>
              <w:rPr>
                <w:rFonts w:hint="eastAsia"/>
              </w:rPr>
              <w:t>A</w:t>
            </w:r>
          </w:p>
        </w:tc>
        <w:tc>
          <w:tcPr>
            <w:tcW w:w="706" w:type="dxa"/>
            <w:tcBorders>
              <w:top w:val="single" w:color="auto" w:sz="4" w:space="0"/>
              <w:left w:val="nil"/>
              <w:bottom w:val="single" w:color="auto" w:sz="4" w:space="0"/>
              <w:right w:val="single" w:color="auto" w:sz="4" w:space="0"/>
            </w:tcBorders>
            <w:tcMar>
              <w:top w:w="10" w:type="dxa"/>
              <w:left w:w="108" w:type="dxa"/>
              <w:bottom w:w="0" w:type="dxa"/>
              <w:right w:w="108" w:type="dxa"/>
            </w:tcMar>
            <w:vAlign w:val="center"/>
          </w:tcPr>
          <w:p>
            <w:pPr>
              <w:pStyle w:val="88"/>
              <w:rPr>
                <w:rFonts w:ascii="Calibri" w:hAnsi="Calibri" w:cs="Calibri"/>
                <w:szCs w:val="16"/>
              </w:rPr>
            </w:pPr>
            <w:r>
              <w:rPr>
                <w:rFonts w:ascii="Calibri" w:hAnsi="Calibri" w:cs="Calibri"/>
                <w:color w:val="000000"/>
                <w:szCs w:val="16"/>
              </w:rPr>
              <w:t xml:space="preserve">619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774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929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1084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1238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1393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1548 </w:t>
            </w:r>
          </w:p>
        </w:tc>
      </w:tr>
      <w:tr>
        <w:tblPrEx>
          <w:tblCellMar>
            <w:top w:w="0" w:type="dxa"/>
            <w:left w:w="0" w:type="dxa"/>
            <w:bottom w:w="0" w:type="dxa"/>
            <w:right w:w="0" w:type="dxa"/>
          </w:tblCellMar>
        </w:tblPrEx>
        <w:trPr>
          <w:trHeight w:val="187" w:hRule="atLeast"/>
        </w:trPr>
        <w:tc>
          <w:tcPr>
            <w:tcW w:w="1117" w:type="dxa"/>
            <w:vMerge w:val="continue"/>
            <w:tcBorders>
              <w:left w:val="single" w:color="auto" w:sz="4" w:space="0"/>
              <w:bottom w:val="single" w:color="auto" w:sz="4" w:space="0"/>
              <w:right w:val="single" w:color="auto" w:sz="4" w:space="0"/>
            </w:tcBorders>
            <w:tcMar>
              <w:top w:w="10" w:type="dxa"/>
              <w:left w:w="108" w:type="dxa"/>
              <w:bottom w:w="0" w:type="dxa"/>
              <w:right w:w="108" w:type="dxa"/>
            </w:tcMar>
            <w:vAlign w:val="center"/>
          </w:tcPr>
          <w:p>
            <w:pPr>
              <w:pStyle w:val="73"/>
              <w:jc w:val="center"/>
            </w:pPr>
          </w:p>
        </w:tc>
        <w:tc>
          <w:tcPr>
            <w:tcW w:w="3082"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3"/>
              <w:jc w:val="center"/>
            </w:pPr>
            <w:r>
              <w:rPr>
                <w:rFonts w:hint="eastAsia"/>
              </w:rPr>
              <w:t>满载时电池正、负最大放电电流</w:t>
            </w:r>
          </w:p>
        </w:tc>
        <w:tc>
          <w:tcPr>
            <w:tcW w:w="351"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2"/>
            </w:pPr>
            <w:r>
              <w:rPr>
                <w:rFonts w:hint="eastAsia"/>
              </w:rPr>
              <w:t>A</w:t>
            </w:r>
          </w:p>
        </w:tc>
        <w:tc>
          <w:tcPr>
            <w:tcW w:w="706" w:type="dxa"/>
            <w:tcBorders>
              <w:top w:val="single" w:color="auto" w:sz="4" w:space="0"/>
              <w:left w:val="nil"/>
              <w:bottom w:val="single" w:color="auto" w:sz="4" w:space="0"/>
              <w:right w:val="single" w:color="auto" w:sz="4" w:space="0"/>
            </w:tcBorders>
            <w:tcMar>
              <w:top w:w="10" w:type="dxa"/>
              <w:left w:w="108" w:type="dxa"/>
              <w:bottom w:w="0" w:type="dxa"/>
              <w:right w:w="108" w:type="dxa"/>
            </w:tcMar>
            <w:vAlign w:val="center"/>
          </w:tcPr>
          <w:p>
            <w:pPr>
              <w:pStyle w:val="88"/>
              <w:rPr>
                <w:rFonts w:ascii="Calibri" w:hAnsi="Calibri" w:cs="Calibri"/>
                <w:szCs w:val="16"/>
              </w:rPr>
            </w:pPr>
            <w:r>
              <w:rPr>
                <w:rFonts w:ascii="Calibri" w:hAnsi="Calibri" w:cs="Calibri"/>
                <w:color w:val="000000"/>
                <w:szCs w:val="16"/>
              </w:rPr>
              <w:t xml:space="preserve">728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911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1093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1275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1457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1639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1821 </w:t>
            </w:r>
          </w:p>
        </w:tc>
      </w:tr>
      <w:tr>
        <w:tblPrEx>
          <w:tblCellMar>
            <w:top w:w="0" w:type="dxa"/>
            <w:left w:w="0" w:type="dxa"/>
            <w:bottom w:w="0" w:type="dxa"/>
            <w:right w:w="0" w:type="dxa"/>
          </w:tblCellMar>
        </w:tblPrEx>
        <w:trPr>
          <w:trHeight w:val="187" w:hRule="atLeast"/>
        </w:trPr>
        <w:tc>
          <w:tcPr>
            <w:tcW w:w="1117" w:type="dxa"/>
            <w:vMerge w:val="restart"/>
            <w:tcBorders>
              <w:top w:val="nil"/>
              <w:left w:val="single" w:color="auto" w:sz="4" w:space="0"/>
              <w:bottom w:val="single" w:color="auto" w:sz="4" w:space="0"/>
              <w:right w:val="single" w:color="auto" w:sz="4" w:space="0"/>
            </w:tcBorders>
            <w:tcMar>
              <w:top w:w="10" w:type="dxa"/>
              <w:left w:w="108" w:type="dxa"/>
              <w:bottom w:w="0" w:type="dxa"/>
              <w:right w:w="108" w:type="dxa"/>
            </w:tcMar>
            <w:vAlign w:val="center"/>
          </w:tcPr>
          <w:p>
            <w:pPr>
              <w:pStyle w:val="73"/>
              <w:jc w:val="center"/>
            </w:pPr>
            <w:r>
              <w:rPr>
                <w:rFonts w:hint="eastAsia"/>
              </w:rPr>
              <w:t>36节</w:t>
            </w:r>
          </w:p>
          <w:p>
            <w:pPr>
              <w:pStyle w:val="73"/>
              <w:jc w:val="center"/>
            </w:pPr>
            <w:r>
              <w:rPr>
                <w:rFonts w:hint="eastAsia"/>
              </w:rPr>
              <w:t>电池</w:t>
            </w:r>
          </w:p>
        </w:tc>
        <w:tc>
          <w:tcPr>
            <w:tcW w:w="3082"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3"/>
              <w:jc w:val="center"/>
            </w:pPr>
            <w:r>
              <w:rPr>
                <w:rFonts w:hint="eastAsia"/>
              </w:rPr>
              <w:t>满载时电池正、负额定放电电流</w:t>
            </w:r>
          </w:p>
        </w:tc>
        <w:tc>
          <w:tcPr>
            <w:tcW w:w="351"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2"/>
            </w:pPr>
            <w:r>
              <w:t>A</w:t>
            </w:r>
          </w:p>
        </w:tc>
        <w:tc>
          <w:tcPr>
            <w:tcW w:w="706" w:type="dxa"/>
            <w:tcBorders>
              <w:top w:val="single" w:color="auto" w:sz="4" w:space="0"/>
              <w:left w:val="nil"/>
              <w:bottom w:val="single" w:color="auto" w:sz="4" w:space="0"/>
              <w:right w:val="single" w:color="auto" w:sz="4" w:space="0"/>
            </w:tcBorders>
            <w:tcMar>
              <w:top w:w="10" w:type="dxa"/>
              <w:left w:w="108" w:type="dxa"/>
              <w:bottom w:w="0" w:type="dxa"/>
              <w:right w:w="108" w:type="dxa"/>
            </w:tcMar>
            <w:vAlign w:val="center"/>
          </w:tcPr>
          <w:p>
            <w:pPr>
              <w:pStyle w:val="88"/>
              <w:rPr>
                <w:rFonts w:ascii="Calibri" w:hAnsi="Calibri" w:cs="Calibri"/>
                <w:szCs w:val="16"/>
              </w:rPr>
            </w:pPr>
            <w:r>
              <w:rPr>
                <w:rFonts w:ascii="Calibri" w:hAnsi="Calibri" w:cs="Calibri"/>
                <w:color w:val="000000"/>
                <w:szCs w:val="16"/>
              </w:rPr>
              <w:t xml:space="preserve">585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731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877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1023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1170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1316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1462 </w:t>
            </w:r>
          </w:p>
        </w:tc>
      </w:tr>
      <w:tr>
        <w:tblPrEx>
          <w:tblCellMar>
            <w:top w:w="0" w:type="dxa"/>
            <w:left w:w="0" w:type="dxa"/>
            <w:bottom w:w="0" w:type="dxa"/>
            <w:right w:w="0" w:type="dxa"/>
          </w:tblCellMar>
        </w:tblPrEx>
        <w:trPr>
          <w:trHeight w:val="187" w:hRule="atLeast"/>
        </w:trPr>
        <w:tc>
          <w:tcPr>
            <w:tcW w:w="1117" w:type="dxa"/>
            <w:vMerge w:val="continue"/>
            <w:tcBorders>
              <w:top w:val="nil"/>
              <w:left w:val="single" w:color="auto" w:sz="4" w:space="0"/>
              <w:bottom w:val="single" w:color="auto" w:sz="4" w:space="0"/>
              <w:right w:val="single" w:color="auto" w:sz="4" w:space="0"/>
            </w:tcBorders>
            <w:vAlign w:val="center"/>
          </w:tcPr>
          <w:p>
            <w:pPr>
              <w:pStyle w:val="73"/>
              <w:jc w:val="center"/>
            </w:pPr>
          </w:p>
        </w:tc>
        <w:tc>
          <w:tcPr>
            <w:tcW w:w="3082" w:type="dxa"/>
            <w:tcBorders>
              <w:top w:val="nil"/>
              <w:left w:val="nil"/>
              <w:bottom w:val="single" w:color="auto" w:sz="4" w:space="0"/>
              <w:right w:val="single" w:color="auto" w:sz="4" w:space="0"/>
            </w:tcBorders>
            <w:tcMar>
              <w:left w:w="108" w:type="dxa"/>
              <w:right w:w="108" w:type="dxa"/>
            </w:tcMar>
            <w:vAlign w:val="center"/>
          </w:tcPr>
          <w:p>
            <w:pPr>
              <w:pStyle w:val="73"/>
              <w:jc w:val="center"/>
            </w:pPr>
            <w:r>
              <w:rPr>
                <w:rFonts w:hint="eastAsia"/>
              </w:rPr>
              <w:t>满载时电池正、负最大放电电流</w:t>
            </w:r>
          </w:p>
        </w:tc>
        <w:tc>
          <w:tcPr>
            <w:tcW w:w="351"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2"/>
            </w:pPr>
            <w:r>
              <w:t>A</w:t>
            </w:r>
          </w:p>
        </w:tc>
        <w:tc>
          <w:tcPr>
            <w:tcW w:w="706" w:type="dxa"/>
            <w:tcBorders>
              <w:top w:val="single" w:color="auto" w:sz="4" w:space="0"/>
              <w:left w:val="nil"/>
              <w:bottom w:val="single" w:color="auto" w:sz="4" w:space="0"/>
              <w:right w:val="single" w:color="auto" w:sz="4" w:space="0"/>
            </w:tcBorders>
            <w:tcMar>
              <w:top w:w="10" w:type="dxa"/>
              <w:bottom w:w="0" w:type="dxa"/>
            </w:tcMar>
            <w:vAlign w:val="center"/>
          </w:tcPr>
          <w:p>
            <w:pPr>
              <w:pStyle w:val="88"/>
              <w:rPr>
                <w:rFonts w:ascii="Calibri" w:hAnsi="Calibri" w:cs="Calibri"/>
                <w:szCs w:val="16"/>
              </w:rPr>
            </w:pPr>
            <w:r>
              <w:rPr>
                <w:rFonts w:ascii="Calibri" w:hAnsi="Calibri" w:cs="Calibri"/>
                <w:color w:val="000000"/>
                <w:szCs w:val="16"/>
              </w:rPr>
              <w:t xml:space="preserve">688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860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1032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1204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1376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1548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1720 </w:t>
            </w:r>
          </w:p>
        </w:tc>
      </w:tr>
      <w:tr>
        <w:tblPrEx>
          <w:tblCellMar>
            <w:top w:w="0" w:type="dxa"/>
            <w:left w:w="0" w:type="dxa"/>
            <w:bottom w:w="0" w:type="dxa"/>
            <w:right w:w="0" w:type="dxa"/>
          </w:tblCellMar>
        </w:tblPrEx>
        <w:trPr>
          <w:trHeight w:val="187" w:hRule="atLeast"/>
        </w:trPr>
        <w:tc>
          <w:tcPr>
            <w:tcW w:w="1117" w:type="dxa"/>
            <w:vMerge w:val="restart"/>
            <w:tcBorders>
              <w:top w:val="nil"/>
              <w:left w:val="single" w:color="auto" w:sz="4" w:space="0"/>
              <w:bottom w:val="single" w:color="auto" w:sz="4" w:space="0"/>
              <w:right w:val="single" w:color="auto" w:sz="4" w:space="0"/>
            </w:tcBorders>
            <w:tcMar>
              <w:top w:w="10" w:type="dxa"/>
              <w:left w:w="108" w:type="dxa"/>
              <w:bottom w:w="0" w:type="dxa"/>
              <w:right w:w="108" w:type="dxa"/>
            </w:tcMar>
            <w:vAlign w:val="center"/>
          </w:tcPr>
          <w:p>
            <w:pPr>
              <w:pStyle w:val="73"/>
              <w:jc w:val="center"/>
            </w:pPr>
            <w:r>
              <w:rPr>
                <w:rFonts w:hint="eastAsia"/>
              </w:rPr>
              <w:t>38节</w:t>
            </w:r>
          </w:p>
          <w:p>
            <w:pPr>
              <w:pStyle w:val="73"/>
              <w:jc w:val="center"/>
            </w:pPr>
            <w:r>
              <w:rPr>
                <w:rFonts w:hint="eastAsia"/>
              </w:rPr>
              <w:t>电池</w:t>
            </w:r>
          </w:p>
        </w:tc>
        <w:tc>
          <w:tcPr>
            <w:tcW w:w="3082"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3"/>
              <w:jc w:val="center"/>
            </w:pPr>
            <w:r>
              <w:rPr>
                <w:rFonts w:hint="eastAsia"/>
              </w:rPr>
              <w:t>满载时电池正、负额定放电电流</w:t>
            </w:r>
          </w:p>
        </w:tc>
        <w:tc>
          <w:tcPr>
            <w:tcW w:w="351"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2"/>
            </w:pPr>
            <w:r>
              <w:t>A</w:t>
            </w:r>
          </w:p>
        </w:tc>
        <w:tc>
          <w:tcPr>
            <w:tcW w:w="706" w:type="dxa"/>
            <w:tcBorders>
              <w:top w:val="single" w:color="auto" w:sz="4" w:space="0"/>
              <w:left w:val="nil"/>
              <w:bottom w:val="single" w:color="auto" w:sz="4" w:space="0"/>
              <w:right w:val="single" w:color="auto" w:sz="4" w:space="0"/>
            </w:tcBorders>
            <w:tcMar>
              <w:top w:w="10" w:type="dxa"/>
              <w:left w:w="108" w:type="dxa"/>
              <w:bottom w:w="0" w:type="dxa"/>
              <w:right w:w="108" w:type="dxa"/>
            </w:tcMar>
            <w:vAlign w:val="center"/>
          </w:tcPr>
          <w:p>
            <w:pPr>
              <w:pStyle w:val="88"/>
              <w:rPr>
                <w:rFonts w:ascii="Calibri" w:hAnsi="Calibri" w:cs="Calibri"/>
                <w:szCs w:val="16"/>
              </w:rPr>
            </w:pPr>
            <w:r>
              <w:rPr>
                <w:rFonts w:ascii="Calibri" w:hAnsi="Calibri" w:cs="Calibri"/>
                <w:color w:val="000000"/>
                <w:szCs w:val="16"/>
              </w:rPr>
              <w:t xml:space="preserve">554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693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831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970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1108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1247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1385 </w:t>
            </w:r>
          </w:p>
        </w:tc>
      </w:tr>
      <w:tr>
        <w:tblPrEx>
          <w:tblCellMar>
            <w:top w:w="0" w:type="dxa"/>
            <w:left w:w="0" w:type="dxa"/>
            <w:bottom w:w="0" w:type="dxa"/>
            <w:right w:w="0" w:type="dxa"/>
          </w:tblCellMar>
        </w:tblPrEx>
        <w:trPr>
          <w:trHeight w:val="187" w:hRule="atLeast"/>
        </w:trPr>
        <w:tc>
          <w:tcPr>
            <w:tcW w:w="1117" w:type="dxa"/>
            <w:vMerge w:val="continue"/>
            <w:tcBorders>
              <w:top w:val="nil"/>
              <w:left w:val="single" w:color="auto" w:sz="4" w:space="0"/>
              <w:bottom w:val="single" w:color="auto" w:sz="4" w:space="0"/>
              <w:right w:val="single" w:color="auto" w:sz="4" w:space="0"/>
            </w:tcBorders>
            <w:vAlign w:val="center"/>
          </w:tcPr>
          <w:p>
            <w:pPr>
              <w:pStyle w:val="73"/>
              <w:jc w:val="center"/>
            </w:pPr>
          </w:p>
        </w:tc>
        <w:tc>
          <w:tcPr>
            <w:tcW w:w="3082" w:type="dxa"/>
            <w:tcBorders>
              <w:top w:val="nil"/>
              <w:left w:val="nil"/>
              <w:bottom w:val="single" w:color="auto" w:sz="4" w:space="0"/>
              <w:right w:val="single" w:color="auto" w:sz="4" w:space="0"/>
            </w:tcBorders>
            <w:tcMar>
              <w:left w:w="108" w:type="dxa"/>
              <w:right w:w="108" w:type="dxa"/>
            </w:tcMar>
            <w:vAlign w:val="center"/>
          </w:tcPr>
          <w:p>
            <w:pPr>
              <w:pStyle w:val="73"/>
              <w:jc w:val="center"/>
            </w:pPr>
            <w:r>
              <w:rPr>
                <w:rFonts w:hint="eastAsia"/>
              </w:rPr>
              <w:t>满载时电池正、负最大放电电流</w:t>
            </w:r>
          </w:p>
        </w:tc>
        <w:tc>
          <w:tcPr>
            <w:tcW w:w="351"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2"/>
            </w:pPr>
            <w:r>
              <w:t>A</w:t>
            </w:r>
          </w:p>
        </w:tc>
        <w:tc>
          <w:tcPr>
            <w:tcW w:w="706" w:type="dxa"/>
            <w:tcBorders>
              <w:top w:val="single" w:color="auto" w:sz="4" w:space="0"/>
              <w:left w:val="nil"/>
              <w:bottom w:val="single" w:color="auto" w:sz="4" w:space="0"/>
              <w:right w:val="single" w:color="auto" w:sz="4" w:space="0"/>
            </w:tcBorders>
            <w:tcMar>
              <w:top w:w="10" w:type="dxa"/>
              <w:bottom w:w="0" w:type="dxa"/>
            </w:tcMar>
            <w:vAlign w:val="center"/>
          </w:tcPr>
          <w:p>
            <w:pPr>
              <w:pStyle w:val="88"/>
              <w:rPr>
                <w:rFonts w:ascii="Calibri" w:hAnsi="Calibri" w:cs="Calibri"/>
                <w:szCs w:val="16"/>
              </w:rPr>
            </w:pPr>
            <w:r>
              <w:rPr>
                <w:rFonts w:ascii="Calibri" w:hAnsi="Calibri" w:cs="Calibri"/>
                <w:color w:val="000000"/>
                <w:szCs w:val="16"/>
              </w:rPr>
              <w:t xml:space="preserve">652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815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978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1141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1304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1467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1629 </w:t>
            </w:r>
          </w:p>
        </w:tc>
      </w:tr>
      <w:tr>
        <w:tblPrEx>
          <w:tblCellMar>
            <w:top w:w="0" w:type="dxa"/>
            <w:left w:w="0" w:type="dxa"/>
            <w:bottom w:w="0" w:type="dxa"/>
            <w:right w:w="0" w:type="dxa"/>
          </w:tblCellMar>
        </w:tblPrEx>
        <w:trPr>
          <w:trHeight w:val="187" w:hRule="atLeast"/>
        </w:trPr>
        <w:tc>
          <w:tcPr>
            <w:tcW w:w="1117" w:type="dxa"/>
            <w:vMerge w:val="restart"/>
            <w:tcBorders>
              <w:top w:val="single" w:color="auto" w:sz="4" w:space="0"/>
              <w:left w:val="single" w:color="auto" w:sz="4" w:space="0"/>
              <w:right w:val="single" w:color="auto" w:sz="4" w:space="0"/>
            </w:tcBorders>
            <w:tcMar>
              <w:top w:w="10" w:type="dxa"/>
              <w:left w:w="108" w:type="dxa"/>
              <w:bottom w:w="0" w:type="dxa"/>
              <w:right w:w="108" w:type="dxa"/>
            </w:tcMar>
            <w:vAlign w:val="center"/>
          </w:tcPr>
          <w:p>
            <w:pPr>
              <w:pStyle w:val="73"/>
              <w:keepNext/>
              <w:jc w:val="center"/>
            </w:pPr>
            <w:r>
              <w:rPr>
                <w:rFonts w:hint="eastAsia"/>
              </w:rPr>
              <w:t>40节</w:t>
            </w:r>
          </w:p>
          <w:p>
            <w:pPr>
              <w:pStyle w:val="73"/>
              <w:keepNext/>
              <w:jc w:val="center"/>
            </w:pPr>
            <w:r>
              <w:rPr>
                <w:rFonts w:hint="eastAsia"/>
              </w:rPr>
              <w:t>电池</w:t>
            </w:r>
          </w:p>
        </w:tc>
        <w:tc>
          <w:tcPr>
            <w:tcW w:w="3082" w:type="dxa"/>
            <w:tcBorders>
              <w:top w:val="single" w:color="auto" w:sz="4" w:space="0"/>
              <w:left w:val="nil"/>
              <w:bottom w:val="single" w:color="auto" w:sz="4" w:space="0"/>
              <w:right w:val="single" w:color="auto" w:sz="4" w:space="0"/>
            </w:tcBorders>
            <w:tcMar>
              <w:top w:w="10" w:type="dxa"/>
              <w:left w:w="108" w:type="dxa"/>
              <w:bottom w:w="0" w:type="dxa"/>
              <w:right w:w="108" w:type="dxa"/>
            </w:tcMar>
            <w:vAlign w:val="center"/>
          </w:tcPr>
          <w:p>
            <w:pPr>
              <w:pStyle w:val="73"/>
              <w:jc w:val="center"/>
            </w:pPr>
            <w:r>
              <w:rPr>
                <w:rFonts w:hint="eastAsia"/>
              </w:rPr>
              <w:t>满载时电池正、负额定放电电流</w:t>
            </w:r>
          </w:p>
        </w:tc>
        <w:tc>
          <w:tcPr>
            <w:tcW w:w="351" w:type="dxa"/>
            <w:tcBorders>
              <w:top w:val="single" w:color="auto" w:sz="4" w:space="0"/>
              <w:left w:val="nil"/>
              <w:bottom w:val="single" w:color="auto" w:sz="4" w:space="0"/>
              <w:right w:val="single" w:color="auto" w:sz="4" w:space="0"/>
            </w:tcBorders>
            <w:tcMar>
              <w:top w:w="10" w:type="dxa"/>
              <w:left w:w="108" w:type="dxa"/>
              <w:bottom w:w="0" w:type="dxa"/>
              <w:right w:w="108" w:type="dxa"/>
            </w:tcMar>
            <w:vAlign w:val="center"/>
          </w:tcPr>
          <w:p>
            <w:pPr>
              <w:pStyle w:val="72"/>
              <w:keepNext/>
            </w:pPr>
            <w:r>
              <w:t>A</w:t>
            </w:r>
          </w:p>
        </w:tc>
        <w:tc>
          <w:tcPr>
            <w:tcW w:w="706" w:type="dxa"/>
            <w:tcBorders>
              <w:top w:val="single" w:color="auto" w:sz="4" w:space="0"/>
              <w:left w:val="nil"/>
              <w:bottom w:val="single" w:color="auto" w:sz="4" w:space="0"/>
              <w:right w:val="single" w:color="auto" w:sz="4" w:space="0"/>
            </w:tcBorders>
            <w:tcMar>
              <w:top w:w="10" w:type="dxa"/>
              <w:left w:w="108" w:type="dxa"/>
              <w:bottom w:w="0" w:type="dxa"/>
              <w:right w:w="108" w:type="dxa"/>
            </w:tcMar>
            <w:vAlign w:val="center"/>
          </w:tcPr>
          <w:p>
            <w:pPr>
              <w:pStyle w:val="88"/>
              <w:rPr>
                <w:rFonts w:ascii="Calibri" w:hAnsi="Calibri" w:cs="Calibri"/>
                <w:szCs w:val="16"/>
              </w:rPr>
            </w:pPr>
            <w:r>
              <w:rPr>
                <w:rFonts w:ascii="Calibri" w:hAnsi="Calibri" w:cs="Calibri"/>
                <w:color w:val="000000"/>
                <w:szCs w:val="16"/>
              </w:rPr>
              <w:t xml:space="preserve">526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658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789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921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1053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1184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1316 </w:t>
            </w:r>
          </w:p>
        </w:tc>
      </w:tr>
      <w:tr>
        <w:tblPrEx>
          <w:tblCellMar>
            <w:top w:w="0" w:type="dxa"/>
            <w:left w:w="0" w:type="dxa"/>
            <w:bottom w:w="0" w:type="dxa"/>
            <w:right w:w="0" w:type="dxa"/>
          </w:tblCellMar>
        </w:tblPrEx>
        <w:trPr>
          <w:trHeight w:val="187" w:hRule="atLeast"/>
        </w:trPr>
        <w:tc>
          <w:tcPr>
            <w:tcW w:w="1117" w:type="dxa"/>
            <w:vMerge w:val="continue"/>
            <w:tcBorders>
              <w:left w:val="single" w:color="auto" w:sz="4" w:space="0"/>
              <w:bottom w:val="single" w:color="auto" w:sz="4" w:space="0"/>
              <w:right w:val="single" w:color="auto" w:sz="4" w:space="0"/>
            </w:tcBorders>
            <w:vAlign w:val="center"/>
          </w:tcPr>
          <w:p>
            <w:pPr>
              <w:pStyle w:val="73"/>
              <w:jc w:val="center"/>
            </w:pPr>
          </w:p>
        </w:tc>
        <w:tc>
          <w:tcPr>
            <w:tcW w:w="3082" w:type="dxa"/>
            <w:tcBorders>
              <w:top w:val="single" w:color="auto" w:sz="4" w:space="0"/>
              <w:left w:val="nil"/>
              <w:bottom w:val="single" w:color="auto" w:sz="4" w:space="0"/>
              <w:right w:val="single" w:color="auto" w:sz="4" w:space="0"/>
            </w:tcBorders>
            <w:tcMar>
              <w:left w:w="108" w:type="dxa"/>
              <w:right w:w="108" w:type="dxa"/>
            </w:tcMar>
            <w:vAlign w:val="center"/>
          </w:tcPr>
          <w:p>
            <w:pPr>
              <w:pStyle w:val="73"/>
              <w:jc w:val="center"/>
            </w:pPr>
            <w:r>
              <w:rPr>
                <w:rFonts w:hint="eastAsia"/>
              </w:rPr>
              <w:t>满载时电池正、负最大放电电流</w:t>
            </w:r>
          </w:p>
        </w:tc>
        <w:tc>
          <w:tcPr>
            <w:tcW w:w="351"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2"/>
            </w:pPr>
            <w:r>
              <w:t>A</w:t>
            </w:r>
          </w:p>
        </w:tc>
        <w:tc>
          <w:tcPr>
            <w:tcW w:w="706" w:type="dxa"/>
            <w:tcBorders>
              <w:top w:val="single" w:color="auto" w:sz="4" w:space="0"/>
              <w:left w:val="nil"/>
              <w:bottom w:val="single" w:color="auto" w:sz="4" w:space="0"/>
              <w:right w:val="single" w:color="auto" w:sz="4" w:space="0"/>
            </w:tcBorders>
            <w:tcMar>
              <w:top w:w="10" w:type="dxa"/>
              <w:bottom w:w="0" w:type="dxa"/>
            </w:tcMar>
            <w:vAlign w:val="center"/>
          </w:tcPr>
          <w:p>
            <w:pPr>
              <w:pStyle w:val="88"/>
              <w:rPr>
                <w:rFonts w:ascii="Calibri" w:hAnsi="Calibri" w:cs="Calibri"/>
                <w:szCs w:val="16"/>
              </w:rPr>
            </w:pPr>
            <w:r>
              <w:rPr>
                <w:rFonts w:ascii="Calibri" w:hAnsi="Calibri" w:cs="Calibri"/>
                <w:color w:val="000000"/>
                <w:szCs w:val="16"/>
              </w:rPr>
              <w:t xml:space="preserve">619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774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929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1084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1238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1393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1548 </w:t>
            </w:r>
          </w:p>
        </w:tc>
      </w:tr>
      <w:tr>
        <w:tblPrEx>
          <w:tblCellMar>
            <w:top w:w="0" w:type="dxa"/>
            <w:left w:w="0" w:type="dxa"/>
            <w:bottom w:w="0" w:type="dxa"/>
            <w:right w:w="0" w:type="dxa"/>
          </w:tblCellMar>
        </w:tblPrEx>
        <w:trPr>
          <w:trHeight w:val="187" w:hRule="atLeast"/>
        </w:trPr>
        <w:tc>
          <w:tcPr>
            <w:tcW w:w="1117" w:type="dxa"/>
            <w:vMerge w:val="restart"/>
            <w:tcBorders>
              <w:left w:val="single" w:color="auto" w:sz="4" w:space="0"/>
              <w:right w:val="single" w:color="auto" w:sz="4" w:space="0"/>
            </w:tcBorders>
            <w:vAlign w:val="center"/>
          </w:tcPr>
          <w:p>
            <w:pPr>
              <w:pStyle w:val="73"/>
              <w:keepNext/>
              <w:jc w:val="center"/>
            </w:pPr>
            <w:r>
              <w:rPr>
                <w:rFonts w:hint="eastAsia"/>
              </w:rPr>
              <w:t>42节</w:t>
            </w:r>
          </w:p>
          <w:p>
            <w:pPr>
              <w:pStyle w:val="73"/>
              <w:keepNext/>
              <w:jc w:val="center"/>
            </w:pPr>
            <w:r>
              <w:rPr>
                <w:rFonts w:hint="eastAsia"/>
              </w:rPr>
              <w:t>电池</w:t>
            </w:r>
          </w:p>
        </w:tc>
        <w:tc>
          <w:tcPr>
            <w:tcW w:w="3082" w:type="dxa"/>
            <w:tcBorders>
              <w:top w:val="single" w:color="auto" w:sz="4" w:space="0"/>
              <w:left w:val="nil"/>
              <w:bottom w:val="single" w:color="auto" w:sz="4" w:space="0"/>
              <w:right w:val="single" w:color="auto" w:sz="4" w:space="0"/>
            </w:tcBorders>
            <w:tcMar>
              <w:left w:w="108" w:type="dxa"/>
              <w:right w:w="108" w:type="dxa"/>
            </w:tcMar>
            <w:vAlign w:val="center"/>
          </w:tcPr>
          <w:p>
            <w:pPr>
              <w:pStyle w:val="73"/>
              <w:jc w:val="center"/>
            </w:pPr>
            <w:r>
              <w:rPr>
                <w:rFonts w:hint="eastAsia"/>
              </w:rPr>
              <w:t>满载时电池正、负额定放电电流</w:t>
            </w:r>
          </w:p>
        </w:tc>
        <w:tc>
          <w:tcPr>
            <w:tcW w:w="351"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2"/>
              <w:keepNext/>
            </w:pPr>
            <w:r>
              <w:t>A</w:t>
            </w:r>
          </w:p>
        </w:tc>
        <w:tc>
          <w:tcPr>
            <w:tcW w:w="706" w:type="dxa"/>
            <w:tcBorders>
              <w:top w:val="single" w:color="auto" w:sz="4" w:space="0"/>
              <w:left w:val="nil"/>
              <w:bottom w:val="single" w:color="auto" w:sz="4" w:space="0"/>
              <w:right w:val="single" w:color="auto" w:sz="4" w:space="0"/>
            </w:tcBorders>
            <w:tcMar>
              <w:top w:w="10" w:type="dxa"/>
              <w:bottom w:w="0" w:type="dxa"/>
            </w:tcMar>
            <w:vAlign w:val="center"/>
          </w:tcPr>
          <w:p>
            <w:pPr>
              <w:pStyle w:val="88"/>
              <w:rPr>
                <w:rFonts w:ascii="Calibri" w:hAnsi="Calibri" w:cs="Calibri"/>
                <w:szCs w:val="16"/>
              </w:rPr>
            </w:pPr>
            <w:r>
              <w:rPr>
                <w:rFonts w:ascii="Calibri" w:hAnsi="Calibri" w:cs="Calibri"/>
                <w:color w:val="000000"/>
                <w:szCs w:val="16"/>
              </w:rPr>
              <w:t xml:space="preserve">501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627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752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877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1003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1128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1253 </w:t>
            </w:r>
          </w:p>
        </w:tc>
      </w:tr>
      <w:tr>
        <w:tblPrEx>
          <w:tblCellMar>
            <w:top w:w="0" w:type="dxa"/>
            <w:left w:w="0" w:type="dxa"/>
            <w:bottom w:w="0" w:type="dxa"/>
            <w:right w:w="0" w:type="dxa"/>
          </w:tblCellMar>
        </w:tblPrEx>
        <w:trPr>
          <w:trHeight w:val="187" w:hRule="atLeast"/>
        </w:trPr>
        <w:tc>
          <w:tcPr>
            <w:tcW w:w="1117" w:type="dxa"/>
            <w:vMerge w:val="continue"/>
            <w:tcBorders>
              <w:left w:val="single" w:color="auto" w:sz="4" w:space="0"/>
              <w:bottom w:val="single" w:color="auto" w:sz="4" w:space="0"/>
              <w:right w:val="single" w:color="auto" w:sz="4" w:space="0"/>
            </w:tcBorders>
            <w:vAlign w:val="center"/>
          </w:tcPr>
          <w:p>
            <w:pPr>
              <w:pStyle w:val="73"/>
              <w:jc w:val="center"/>
            </w:pPr>
          </w:p>
        </w:tc>
        <w:tc>
          <w:tcPr>
            <w:tcW w:w="3082" w:type="dxa"/>
            <w:tcBorders>
              <w:top w:val="single" w:color="auto" w:sz="4" w:space="0"/>
              <w:left w:val="nil"/>
              <w:bottom w:val="single" w:color="auto" w:sz="4" w:space="0"/>
              <w:right w:val="single" w:color="auto" w:sz="4" w:space="0"/>
            </w:tcBorders>
            <w:tcMar>
              <w:left w:w="108" w:type="dxa"/>
              <w:right w:w="108" w:type="dxa"/>
            </w:tcMar>
            <w:vAlign w:val="center"/>
          </w:tcPr>
          <w:p>
            <w:pPr>
              <w:pStyle w:val="73"/>
              <w:jc w:val="center"/>
            </w:pPr>
            <w:r>
              <w:rPr>
                <w:rFonts w:hint="eastAsia"/>
              </w:rPr>
              <w:t>满载时电池正、负最大放电电流</w:t>
            </w:r>
          </w:p>
        </w:tc>
        <w:tc>
          <w:tcPr>
            <w:tcW w:w="351"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2"/>
            </w:pPr>
            <w:r>
              <w:t>A</w:t>
            </w:r>
          </w:p>
        </w:tc>
        <w:tc>
          <w:tcPr>
            <w:tcW w:w="706" w:type="dxa"/>
            <w:tcBorders>
              <w:top w:val="single" w:color="auto" w:sz="4" w:space="0"/>
              <w:left w:val="nil"/>
              <w:bottom w:val="single" w:color="auto" w:sz="4" w:space="0"/>
              <w:right w:val="single" w:color="auto" w:sz="4" w:space="0"/>
            </w:tcBorders>
            <w:tcMar>
              <w:top w:w="10" w:type="dxa"/>
              <w:bottom w:w="0" w:type="dxa"/>
            </w:tcMar>
            <w:vAlign w:val="center"/>
          </w:tcPr>
          <w:p>
            <w:pPr>
              <w:pStyle w:val="88"/>
              <w:rPr>
                <w:rFonts w:ascii="Calibri" w:hAnsi="Calibri" w:cs="Calibri"/>
                <w:szCs w:val="16"/>
              </w:rPr>
            </w:pPr>
            <w:r>
              <w:rPr>
                <w:rFonts w:ascii="Calibri" w:hAnsi="Calibri" w:cs="Calibri"/>
                <w:color w:val="000000"/>
                <w:szCs w:val="16"/>
              </w:rPr>
              <w:t xml:space="preserve">590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737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885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1032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1179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1327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1474 </w:t>
            </w:r>
          </w:p>
        </w:tc>
      </w:tr>
      <w:tr>
        <w:tblPrEx>
          <w:tblCellMar>
            <w:top w:w="0" w:type="dxa"/>
            <w:left w:w="0" w:type="dxa"/>
            <w:bottom w:w="0" w:type="dxa"/>
            <w:right w:w="0" w:type="dxa"/>
          </w:tblCellMar>
        </w:tblPrEx>
        <w:trPr>
          <w:trHeight w:val="187" w:hRule="atLeast"/>
        </w:trPr>
        <w:tc>
          <w:tcPr>
            <w:tcW w:w="1117" w:type="dxa"/>
            <w:vMerge w:val="restart"/>
            <w:tcBorders>
              <w:top w:val="single" w:color="auto" w:sz="4" w:space="0"/>
              <w:left w:val="single" w:color="auto" w:sz="4" w:space="0"/>
              <w:right w:val="single" w:color="auto" w:sz="4" w:space="0"/>
            </w:tcBorders>
            <w:vAlign w:val="center"/>
          </w:tcPr>
          <w:p>
            <w:pPr>
              <w:pStyle w:val="73"/>
              <w:jc w:val="center"/>
            </w:pPr>
            <w:r>
              <w:rPr>
                <w:rFonts w:hint="eastAsia"/>
              </w:rPr>
              <w:t>44节</w:t>
            </w:r>
          </w:p>
          <w:p>
            <w:pPr>
              <w:pStyle w:val="73"/>
              <w:jc w:val="center"/>
            </w:pPr>
            <w:r>
              <w:rPr>
                <w:rFonts w:hint="eastAsia"/>
              </w:rPr>
              <w:t>电池</w:t>
            </w:r>
          </w:p>
        </w:tc>
        <w:tc>
          <w:tcPr>
            <w:tcW w:w="3082" w:type="dxa"/>
            <w:tcBorders>
              <w:top w:val="single" w:color="auto" w:sz="4" w:space="0"/>
              <w:left w:val="nil"/>
              <w:bottom w:val="single" w:color="auto" w:sz="4" w:space="0"/>
              <w:right w:val="single" w:color="auto" w:sz="4" w:space="0"/>
            </w:tcBorders>
            <w:tcMar>
              <w:left w:w="108" w:type="dxa"/>
              <w:right w:w="108" w:type="dxa"/>
            </w:tcMar>
            <w:vAlign w:val="center"/>
          </w:tcPr>
          <w:p>
            <w:pPr>
              <w:pStyle w:val="73"/>
              <w:jc w:val="center"/>
            </w:pPr>
            <w:r>
              <w:rPr>
                <w:rFonts w:hint="eastAsia"/>
              </w:rPr>
              <w:t>满载时电池正、负额定放电电流</w:t>
            </w:r>
          </w:p>
        </w:tc>
        <w:tc>
          <w:tcPr>
            <w:tcW w:w="351"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2"/>
              <w:keepNext/>
            </w:pPr>
            <w:r>
              <w:t>A</w:t>
            </w:r>
          </w:p>
        </w:tc>
        <w:tc>
          <w:tcPr>
            <w:tcW w:w="706" w:type="dxa"/>
            <w:tcBorders>
              <w:top w:val="single" w:color="auto" w:sz="4" w:space="0"/>
              <w:left w:val="nil"/>
              <w:bottom w:val="single" w:color="auto" w:sz="4" w:space="0"/>
              <w:right w:val="single" w:color="auto" w:sz="4" w:space="0"/>
            </w:tcBorders>
            <w:tcMar>
              <w:top w:w="10" w:type="dxa"/>
              <w:bottom w:w="0" w:type="dxa"/>
            </w:tcMar>
            <w:vAlign w:val="center"/>
          </w:tcPr>
          <w:p>
            <w:pPr>
              <w:pStyle w:val="88"/>
              <w:rPr>
                <w:rFonts w:ascii="Calibri" w:hAnsi="Calibri" w:cs="Calibri"/>
                <w:szCs w:val="16"/>
              </w:rPr>
            </w:pPr>
            <w:r>
              <w:rPr>
                <w:rFonts w:ascii="Calibri" w:hAnsi="Calibri" w:cs="Calibri"/>
                <w:color w:val="000000"/>
                <w:szCs w:val="16"/>
              </w:rPr>
              <w:t xml:space="preserve">478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598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718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837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957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1077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1196 </w:t>
            </w:r>
          </w:p>
        </w:tc>
      </w:tr>
      <w:tr>
        <w:tblPrEx>
          <w:tblCellMar>
            <w:top w:w="0" w:type="dxa"/>
            <w:left w:w="0" w:type="dxa"/>
            <w:bottom w:w="0" w:type="dxa"/>
            <w:right w:w="0" w:type="dxa"/>
          </w:tblCellMar>
        </w:tblPrEx>
        <w:trPr>
          <w:trHeight w:val="187" w:hRule="atLeast"/>
        </w:trPr>
        <w:tc>
          <w:tcPr>
            <w:tcW w:w="1117" w:type="dxa"/>
            <w:vMerge w:val="continue"/>
            <w:tcBorders>
              <w:left w:val="single" w:color="auto" w:sz="4" w:space="0"/>
              <w:bottom w:val="single" w:color="auto" w:sz="4" w:space="0"/>
              <w:right w:val="single" w:color="auto" w:sz="4" w:space="0"/>
            </w:tcBorders>
            <w:vAlign w:val="center"/>
          </w:tcPr>
          <w:p>
            <w:pPr>
              <w:pStyle w:val="73"/>
            </w:pPr>
          </w:p>
        </w:tc>
        <w:tc>
          <w:tcPr>
            <w:tcW w:w="3082" w:type="dxa"/>
            <w:tcBorders>
              <w:top w:val="single" w:color="auto" w:sz="4" w:space="0"/>
              <w:left w:val="nil"/>
              <w:bottom w:val="single" w:color="auto" w:sz="4" w:space="0"/>
              <w:right w:val="single" w:color="auto" w:sz="4" w:space="0"/>
            </w:tcBorders>
            <w:tcMar>
              <w:left w:w="108" w:type="dxa"/>
              <w:right w:w="108" w:type="dxa"/>
            </w:tcMar>
            <w:vAlign w:val="center"/>
          </w:tcPr>
          <w:p>
            <w:pPr>
              <w:pStyle w:val="73"/>
              <w:jc w:val="center"/>
            </w:pPr>
            <w:r>
              <w:rPr>
                <w:rFonts w:hint="eastAsia"/>
              </w:rPr>
              <w:t>满载时电池正、负最大放电电流</w:t>
            </w:r>
          </w:p>
        </w:tc>
        <w:tc>
          <w:tcPr>
            <w:tcW w:w="351" w:type="dxa"/>
            <w:tcBorders>
              <w:top w:val="nil"/>
              <w:left w:val="nil"/>
              <w:bottom w:val="single" w:color="auto" w:sz="4" w:space="0"/>
              <w:right w:val="single" w:color="auto" w:sz="4" w:space="0"/>
            </w:tcBorders>
            <w:tcMar>
              <w:top w:w="10" w:type="dxa"/>
              <w:left w:w="108" w:type="dxa"/>
              <w:bottom w:w="0" w:type="dxa"/>
              <w:right w:w="108" w:type="dxa"/>
            </w:tcMar>
            <w:vAlign w:val="center"/>
          </w:tcPr>
          <w:p>
            <w:pPr>
              <w:pStyle w:val="72"/>
            </w:pPr>
            <w:r>
              <w:t>A</w:t>
            </w:r>
          </w:p>
        </w:tc>
        <w:tc>
          <w:tcPr>
            <w:tcW w:w="706" w:type="dxa"/>
            <w:tcBorders>
              <w:top w:val="single" w:color="auto" w:sz="4" w:space="0"/>
              <w:left w:val="nil"/>
              <w:bottom w:val="single" w:color="auto" w:sz="4" w:space="0"/>
              <w:right w:val="single" w:color="auto" w:sz="4" w:space="0"/>
            </w:tcBorders>
            <w:tcMar>
              <w:top w:w="10" w:type="dxa"/>
              <w:bottom w:w="0" w:type="dxa"/>
            </w:tcMar>
            <w:vAlign w:val="center"/>
          </w:tcPr>
          <w:p>
            <w:pPr>
              <w:pStyle w:val="88"/>
              <w:rPr>
                <w:rFonts w:ascii="Calibri" w:hAnsi="Calibri" w:cs="Calibri"/>
                <w:szCs w:val="16"/>
              </w:rPr>
            </w:pPr>
            <w:r>
              <w:rPr>
                <w:rFonts w:ascii="Calibri" w:hAnsi="Calibri" w:cs="Calibri"/>
                <w:color w:val="000000"/>
                <w:szCs w:val="16"/>
              </w:rPr>
              <w:t xml:space="preserve">563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704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844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985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1126 </w:t>
            </w:r>
          </w:p>
        </w:tc>
        <w:tc>
          <w:tcPr>
            <w:tcW w:w="706" w:type="dxa"/>
            <w:tcBorders>
              <w:top w:val="single" w:color="auto" w:sz="4" w:space="0"/>
              <w:left w:val="single" w:color="auto" w:sz="4" w:space="0"/>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1267 </w:t>
            </w:r>
          </w:p>
        </w:tc>
        <w:tc>
          <w:tcPr>
            <w:tcW w:w="706" w:type="dxa"/>
            <w:tcBorders>
              <w:top w:val="single" w:color="auto" w:sz="4" w:space="0"/>
              <w:left w:val="nil"/>
              <w:bottom w:val="single" w:color="auto" w:sz="4" w:space="0"/>
              <w:right w:val="single" w:color="auto" w:sz="4" w:space="0"/>
            </w:tcBorders>
            <w:vAlign w:val="center"/>
          </w:tcPr>
          <w:p>
            <w:pPr>
              <w:pStyle w:val="88"/>
              <w:rPr>
                <w:rFonts w:ascii="Calibri" w:hAnsi="Calibri" w:cs="Calibri"/>
                <w:szCs w:val="16"/>
              </w:rPr>
            </w:pPr>
            <w:r>
              <w:rPr>
                <w:rFonts w:ascii="Calibri" w:hAnsi="Calibri" w:cs="Calibri"/>
                <w:color w:val="000000"/>
                <w:szCs w:val="16"/>
              </w:rPr>
              <w:t xml:space="preserve">1407 </w:t>
            </w:r>
          </w:p>
        </w:tc>
      </w:tr>
      <w:tr>
        <w:tblPrEx>
          <w:tblCellMar>
            <w:top w:w="0" w:type="dxa"/>
            <w:left w:w="0" w:type="dxa"/>
            <w:bottom w:w="0" w:type="dxa"/>
            <w:right w:w="0" w:type="dxa"/>
          </w:tblCellMar>
        </w:tblPrEx>
        <w:trPr>
          <w:trHeight w:val="187" w:hRule="atLeast"/>
        </w:trPr>
        <w:tc>
          <w:tcPr>
            <w:tcW w:w="9492" w:type="dxa"/>
            <w:gridSpan w:val="10"/>
            <w:tcBorders>
              <w:top w:val="single" w:color="auto" w:sz="4" w:space="0"/>
              <w:left w:val="single" w:color="auto" w:sz="4" w:space="0"/>
              <w:bottom w:val="single" w:color="auto" w:sz="4" w:space="0"/>
              <w:right w:val="single" w:color="auto" w:sz="4" w:space="0"/>
            </w:tcBorders>
          </w:tcPr>
          <w:p>
            <w:pPr>
              <w:pStyle w:val="73"/>
            </w:pPr>
            <w:r>
              <w:rPr>
                <w:rFonts w:hint="eastAsia"/>
              </w:rPr>
              <w:t>注：</w:t>
            </w:r>
          </w:p>
          <w:p>
            <w:pPr>
              <w:pStyle w:val="73"/>
            </w:pPr>
            <w:r>
              <w:t>1</w:t>
            </w:r>
            <w:r>
              <w:rPr>
                <w:rFonts w:hint="eastAsia"/>
              </w:rPr>
              <w:t>．当外置电池配置成正、负组独立配线时（即从电池端引出</w:t>
            </w:r>
            <w:r>
              <w:t>4</w:t>
            </w:r>
            <w:r>
              <w:rPr>
                <w:rFonts w:hint="eastAsia"/>
              </w:rPr>
              <w:t>根线），对于</w:t>
            </w:r>
            <w:r>
              <w:t>UPS</w:t>
            </w:r>
            <w:r>
              <w:rPr>
                <w:rFonts w:hint="eastAsia"/>
              </w:rPr>
              <w:t>，由于额定电流的限制，推荐使用一个</w:t>
            </w:r>
            <w:r>
              <w:t>4P</w:t>
            </w:r>
            <w:r>
              <w:rPr>
                <w:rFonts w:hint="eastAsia"/>
              </w:rPr>
              <w:t>塑壳直流断路器（断路器直流额定电压要满足单极</w:t>
            </w:r>
            <w:r>
              <w:t>250Vdc/</w:t>
            </w:r>
            <w:r>
              <w:rPr>
                <w:rFonts w:hint="eastAsia"/>
              </w:rPr>
              <w:t>两极</w:t>
            </w:r>
            <w:r>
              <w:t>500Vdc/</w:t>
            </w:r>
            <w:r>
              <w:rPr>
                <w:rFonts w:hint="eastAsia"/>
              </w:rPr>
              <w:t>三极</w:t>
            </w:r>
            <w:r>
              <w:t>750Vdc</w:t>
            </w:r>
            <w:r>
              <w:rPr>
                <w:rFonts w:hint="eastAsia"/>
              </w:rPr>
              <w:t>，额定极限短路分断容量为</w:t>
            </w:r>
            <w:r>
              <w:t>35kA</w:t>
            </w:r>
            <w:r>
              <w:rPr>
                <w:rFonts w:hint="eastAsia"/>
              </w:rPr>
              <w:t>）或两个</w:t>
            </w:r>
            <w:r>
              <w:t>2P</w:t>
            </w:r>
            <w:r>
              <w:rPr>
                <w:rFonts w:hint="eastAsia"/>
              </w:rPr>
              <w:t>塑壳直流断路器（单个断路器直流额定电压要满足单极</w:t>
            </w:r>
            <w:r>
              <w:t>250Vdc/</w:t>
            </w:r>
            <w:r>
              <w:rPr>
                <w:rFonts w:hint="eastAsia"/>
              </w:rPr>
              <w:t>两极</w:t>
            </w:r>
            <w:r>
              <w:t>500Vdc</w:t>
            </w:r>
            <w:r>
              <w:rPr>
                <w:rFonts w:hint="eastAsia"/>
              </w:rPr>
              <w:t>，额定极限短路分断容量为35</w:t>
            </w:r>
            <w:r>
              <w:t>kA</w:t>
            </w:r>
            <w:r>
              <w:rPr>
                <w:rFonts w:hint="eastAsia"/>
              </w:rPr>
              <w:t>）。电池、电池开关和</w:t>
            </w:r>
            <w:r>
              <w:t>UPS</w:t>
            </w:r>
            <w:r>
              <w:rPr>
                <w:rFonts w:hint="eastAsia"/>
              </w:rPr>
              <w:t>之间的连接参照图</w:t>
            </w:r>
            <w:r>
              <w:t>6-</w:t>
            </w:r>
            <w:r>
              <w:rPr>
                <w:rFonts w:hint="eastAsia"/>
              </w:rPr>
              <w:t>1。</w:t>
            </w:r>
          </w:p>
          <w:p>
            <w:pPr>
              <w:pStyle w:val="73"/>
            </w:pPr>
            <w:r>
              <w:rPr>
                <w:rFonts w:hint="eastAsia"/>
              </w:rPr>
              <w:t>2．当外置电池配置成中间抽头形式配线时（即从电池端引出</w:t>
            </w:r>
            <w:r>
              <w:t>3</w:t>
            </w:r>
            <w:r>
              <w:rPr>
                <w:rFonts w:hint="eastAsia"/>
              </w:rPr>
              <w:t>根线），推荐使用一个</w:t>
            </w:r>
            <w:r>
              <w:t>4P</w:t>
            </w:r>
            <w:r>
              <w:rPr>
                <w:rFonts w:hint="eastAsia"/>
              </w:rPr>
              <w:t>塑壳直流断路器，断路器直流额定电压要满足单极</w:t>
            </w:r>
            <w:r>
              <w:t>250Vdc</w:t>
            </w:r>
            <w:r>
              <w:rPr>
                <w:rFonts w:hint="eastAsia"/>
              </w:rPr>
              <w:t>、两极</w:t>
            </w:r>
            <w:r>
              <w:t>500Vdc</w:t>
            </w:r>
            <w:r>
              <w:rPr>
                <w:rFonts w:hint="eastAsia"/>
              </w:rPr>
              <w:t>、三极</w:t>
            </w:r>
            <w:r>
              <w:t>750Vdc</w:t>
            </w:r>
            <w:r>
              <w:rPr>
                <w:rFonts w:hint="eastAsia"/>
              </w:rPr>
              <w:t>，额定极限短路分断容量为</w:t>
            </w:r>
            <w:r>
              <w:t>35kA</w:t>
            </w:r>
            <w:r>
              <w:rPr>
                <w:rFonts w:hint="eastAsia"/>
              </w:rPr>
              <w:t>。电池、电池开关和</w:t>
            </w:r>
            <w:r>
              <w:t>UPS</w:t>
            </w:r>
            <w:r>
              <w:rPr>
                <w:rFonts w:hint="eastAsia"/>
              </w:rPr>
              <w:t>之间的连接图可参照图</w:t>
            </w:r>
            <w:r>
              <w:t>6-</w:t>
            </w:r>
            <w:r>
              <w:rPr>
                <w:rFonts w:hint="eastAsia"/>
              </w:rPr>
              <w:t>2。</w:t>
            </w:r>
          </w:p>
        </w:tc>
      </w:tr>
    </w:tbl>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p>
    <w:p>
      <w:pPr>
        <w:pStyle w:val="86"/>
        <w:keepNext w:val="0"/>
        <w:ind w:left="0"/>
      </w:pPr>
      <w:r>
        <w:drawing>
          <wp:inline distT="0" distB="0" distL="0" distR="0">
            <wp:extent cx="2664460" cy="118237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103" cstate="print">
                      <a:extLst>
                        <a:ext uri="{28A0092B-C50C-407E-A947-70E740481C1C}">
                          <a14:useLocalDpi xmlns:a14="http://schemas.microsoft.com/office/drawing/2010/main" val="0"/>
                        </a:ext>
                      </a:extLst>
                    </a:blip>
                    <a:srcRect t="6752" b="9718"/>
                    <a:stretch>
                      <a:fillRect/>
                    </a:stretch>
                  </pic:blipFill>
                  <pic:spPr>
                    <a:xfrm>
                      <a:off x="0" y="0"/>
                      <a:ext cx="2664460" cy="1182370"/>
                    </a:xfrm>
                    <a:prstGeom prst="rect">
                      <a:avLst/>
                    </a:prstGeom>
                    <a:noFill/>
                    <a:ln>
                      <a:noFill/>
                    </a:ln>
                  </pic:spPr>
                </pic:pic>
              </a:graphicData>
            </a:graphic>
          </wp:inline>
        </w:drawing>
      </w:r>
    </w:p>
    <w:p>
      <w:pPr>
        <w:pStyle w:val="83"/>
        <w:numPr>
          <w:ilvl w:val="6"/>
          <w:numId w:val="4"/>
        </w:numPr>
        <w:rPr>
          <w:lang w:val="en-GB"/>
        </w:rPr>
      </w:pPr>
      <w:r>
        <w:rPr>
          <w:rFonts w:hint="eastAsia"/>
          <w:lang w:val="en-GB"/>
        </w:rPr>
        <w:t>电池、电池开关和UPS的接线图（电池端四线连接）</w:t>
      </w:r>
    </w:p>
    <w:p>
      <w:pPr>
        <w:pStyle w:val="86"/>
        <w:keepNext w:val="0"/>
        <w:ind w:left="0"/>
      </w:pPr>
      <w:r>
        <w:rPr>
          <w:rFonts w:hint="eastAsia"/>
        </w:rPr>
        <w:drawing>
          <wp:inline distT="0" distB="0" distL="0" distR="0">
            <wp:extent cx="2443480" cy="1308735"/>
            <wp:effectExtent l="0" t="0" r="0" b="5715"/>
            <wp:docPr id="45" name="图片 45"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006"/>
                    <pic:cNvPicPr>
                      <a:picLocks noChangeAspect="1" noChangeArrowheads="1"/>
                    </pic:cNvPicPr>
                  </pic:nvPicPr>
                  <pic:blipFill>
                    <a:blip r:embed="rId104" cstate="print">
                      <a:extLst>
                        <a:ext uri="{28A0092B-C50C-407E-A947-70E740481C1C}">
                          <a14:useLocalDpi xmlns:a14="http://schemas.microsoft.com/office/drawing/2010/main" val="0"/>
                        </a:ext>
                      </a:extLst>
                    </a:blip>
                    <a:srcRect l="1790" t="32396" r="76357" b="40208"/>
                    <a:stretch>
                      <a:fillRect/>
                    </a:stretch>
                  </pic:blipFill>
                  <pic:spPr>
                    <a:xfrm>
                      <a:off x="0" y="0"/>
                      <a:ext cx="2443480" cy="1308735"/>
                    </a:xfrm>
                    <a:prstGeom prst="rect">
                      <a:avLst/>
                    </a:prstGeom>
                    <a:noFill/>
                    <a:ln>
                      <a:noFill/>
                    </a:ln>
                  </pic:spPr>
                </pic:pic>
              </a:graphicData>
            </a:graphic>
          </wp:inline>
        </w:drawing>
      </w:r>
    </w:p>
    <w:p>
      <w:pPr>
        <w:pStyle w:val="83"/>
        <w:numPr>
          <w:ilvl w:val="6"/>
          <w:numId w:val="4"/>
        </w:numPr>
        <w:rPr>
          <w:lang w:val="en-GB"/>
        </w:rPr>
      </w:pPr>
      <w:r>
        <w:rPr>
          <w:rFonts w:hint="eastAsia"/>
          <w:lang w:val="en-GB"/>
        </w:rPr>
        <w:t>电池、电池开关和UPS的接线图（电池端三线连接）</w:t>
      </w:r>
    </w:p>
    <w:p>
      <w:pPr>
        <w:pStyle w:val="4"/>
        <w:numPr>
          <w:ilvl w:val="1"/>
          <w:numId w:val="9"/>
        </w:numPr>
        <w:rPr>
          <w:lang w:val="en-GB"/>
        </w:rPr>
      </w:pPr>
      <w:bookmarkStart w:id="501" w:name="_Toc32129"/>
      <w:r>
        <w:rPr>
          <w:rFonts w:hint="eastAsia"/>
          <w:lang w:val="en-GB"/>
        </w:rPr>
        <w:t>电池安装环境和电池数量</w:t>
      </w:r>
      <w:bookmarkEnd w:id="501"/>
    </w:p>
    <w:p>
      <w:pPr>
        <w:pStyle w:val="5"/>
        <w:numPr>
          <w:ilvl w:val="2"/>
          <w:numId w:val="9"/>
        </w:numPr>
      </w:pPr>
      <w:bookmarkStart w:id="502" w:name="_Toc22987"/>
      <w:r>
        <w:rPr>
          <w:rFonts w:hint="eastAsia"/>
        </w:rPr>
        <w:t>安装环境</w:t>
      </w:r>
      <w:bookmarkEnd w:id="502"/>
    </w:p>
    <w:p>
      <w:pPr>
        <w:pStyle w:val="3"/>
        <w:rPr>
          <w:lang w:val="pt-BR"/>
        </w:rPr>
      </w:pPr>
      <w:r>
        <w:rPr>
          <w:rFonts w:hint="eastAsia"/>
        </w:rPr>
        <w:t>新风通风量（EN50272-2001）蓄电池的使用环境必须保证通风。电池运行时，其新风通风要求如下：</w:t>
      </w:r>
    </w:p>
    <w:p>
      <w:pPr>
        <w:pStyle w:val="3"/>
        <w:rPr>
          <w:lang w:val="pt-BR"/>
        </w:rPr>
      </w:pPr>
      <w:r>
        <w:rPr>
          <w:rFonts w:hint="eastAsia"/>
          <w:lang w:val="pt-BR"/>
        </w:rPr>
        <w:t>Q=0.05×n×Igas×Crt×10</w:t>
      </w:r>
      <w:r>
        <w:rPr>
          <w:szCs w:val="18"/>
          <w:vertAlign w:val="superscript"/>
          <w:lang w:val="pt-BR"/>
        </w:rPr>
        <w:t>–</w:t>
      </w:r>
      <w:r>
        <w:rPr>
          <w:rFonts w:hint="eastAsia"/>
          <w:szCs w:val="18"/>
          <w:vertAlign w:val="superscript"/>
          <w:lang w:val="pt-BR"/>
        </w:rPr>
        <w:t>3</w:t>
      </w:r>
      <w:r>
        <w:rPr>
          <w:rFonts w:hint="eastAsia"/>
          <w:lang w:val="pt-BR"/>
        </w:rPr>
        <w:t>[m</w:t>
      </w:r>
      <w:r>
        <w:rPr>
          <w:rFonts w:hint="eastAsia"/>
          <w:szCs w:val="18"/>
          <w:vertAlign w:val="superscript"/>
          <w:lang w:val="pt-BR"/>
        </w:rPr>
        <w:t>3</w:t>
      </w:r>
      <w:r>
        <w:rPr>
          <w:rFonts w:hint="eastAsia"/>
          <w:lang w:val="pt-BR"/>
        </w:rPr>
        <w:t>/h]</w:t>
      </w:r>
    </w:p>
    <w:p>
      <w:pPr>
        <w:pStyle w:val="3"/>
      </w:pPr>
      <w:r>
        <w:rPr>
          <w:rFonts w:hint="eastAsia"/>
        </w:rPr>
        <w:t>其中：</w:t>
      </w:r>
    </w:p>
    <w:p>
      <w:pPr>
        <w:pStyle w:val="3"/>
      </w:pPr>
      <w:r>
        <w:rPr>
          <w:rFonts w:hint="eastAsia"/>
        </w:rPr>
        <w:t>Q：每小时新风通风量，单位为m</w:t>
      </w:r>
      <w:r>
        <w:rPr>
          <w:rFonts w:hint="eastAsia"/>
          <w:szCs w:val="18"/>
          <w:vertAlign w:val="superscript"/>
          <w:lang w:val="pt-BR"/>
        </w:rPr>
        <w:t>3</w:t>
      </w:r>
      <w:r>
        <w:rPr>
          <w:rFonts w:hint="eastAsia"/>
        </w:rPr>
        <w:t>/h</w:t>
      </w:r>
    </w:p>
    <w:p>
      <w:pPr>
        <w:pStyle w:val="3"/>
      </w:pPr>
      <w:r>
        <w:rPr>
          <w:rFonts w:hint="eastAsia"/>
        </w:rPr>
        <w:t>n：电池单体数量</w:t>
      </w:r>
    </w:p>
    <w:p>
      <w:pPr>
        <w:pStyle w:val="3"/>
      </w:pPr>
      <w:r>
        <w:rPr>
          <w:rFonts w:hint="eastAsia"/>
        </w:rPr>
        <w:t>Igas：电池浮充或者均充条件下的析气电流密度，单位mA/Ah</w:t>
      </w:r>
    </w:p>
    <w:p>
      <w:pPr>
        <w:pStyle w:val="3"/>
      </w:pPr>
      <w:r>
        <w:rPr>
          <w:rFonts w:hint="eastAsia"/>
        </w:rPr>
        <w:t>Igas=1：在2.27V/单体浮充条件下</w:t>
      </w:r>
    </w:p>
    <w:p>
      <w:pPr>
        <w:pStyle w:val="3"/>
      </w:pPr>
      <w:r>
        <w:rPr>
          <w:rFonts w:hint="eastAsia"/>
        </w:rPr>
        <w:t>Igas=8：在2.35V/单体均充条件下</w:t>
      </w:r>
    </w:p>
    <w:p>
      <w:pPr>
        <w:pStyle w:val="3"/>
      </w:pPr>
      <w:r>
        <w:rPr>
          <w:rFonts w:hint="eastAsia"/>
        </w:rPr>
        <w:t>Crt：20hr电池额定容量</w:t>
      </w:r>
    </w:p>
    <w:p>
      <w:pPr>
        <w:pStyle w:val="5"/>
        <w:numPr>
          <w:ilvl w:val="2"/>
          <w:numId w:val="9"/>
        </w:numPr>
      </w:pPr>
      <w:bookmarkStart w:id="503" w:name="_Toc15094"/>
      <w:r>
        <w:rPr>
          <w:rFonts w:hint="eastAsia"/>
        </w:rPr>
        <w:t>温度</w:t>
      </w:r>
      <w:bookmarkEnd w:id="503"/>
    </w:p>
    <w:p>
      <w:pPr>
        <w:pStyle w:val="194"/>
        <w:numPr>
          <w:ilvl w:val="5"/>
          <w:numId w:val="9"/>
        </w:numPr>
      </w:pPr>
      <w:r>
        <w:rPr>
          <w:rFonts w:hint="eastAsia"/>
        </w:rPr>
        <w:t>使用环境温度范围</w:t>
      </w:r>
    </w:p>
    <w:tbl>
      <w:tblPr>
        <w:tblStyle w:val="50"/>
        <w:tblW w:w="9393" w:type="dxa"/>
        <w:jc w:val="right"/>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498"/>
        <w:gridCol w:w="1638"/>
        <w:gridCol w:w="625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87" w:hRule="atLeast"/>
          <w:jc w:val="right"/>
        </w:trPr>
        <w:tc>
          <w:tcPr>
            <w:tcW w:w="1498" w:type="dxa"/>
            <w:shd w:val="clear" w:color="auto" w:fill="D9D9D9"/>
            <w:vAlign w:val="center"/>
          </w:tcPr>
          <w:p>
            <w:pPr>
              <w:pStyle w:val="88"/>
            </w:pPr>
            <w:r>
              <w:rPr>
                <w:rFonts w:hint="eastAsia"/>
              </w:rPr>
              <w:t>类别</w:t>
            </w:r>
          </w:p>
        </w:tc>
        <w:tc>
          <w:tcPr>
            <w:tcW w:w="1638" w:type="dxa"/>
            <w:shd w:val="clear" w:color="auto" w:fill="D9D9D9"/>
            <w:vAlign w:val="center"/>
          </w:tcPr>
          <w:p>
            <w:pPr>
              <w:pStyle w:val="88"/>
            </w:pPr>
            <w:r>
              <w:rPr>
                <w:rFonts w:hint="eastAsia"/>
              </w:rPr>
              <w:t>温度值</w:t>
            </w:r>
          </w:p>
        </w:tc>
        <w:tc>
          <w:tcPr>
            <w:tcW w:w="6257" w:type="dxa"/>
            <w:shd w:val="clear" w:color="auto" w:fill="D9D9D9"/>
            <w:vAlign w:val="center"/>
          </w:tcPr>
          <w:p>
            <w:pPr>
              <w:pStyle w:val="88"/>
            </w:pPr>
            <w:r>
              <w:rPr>
                <w:rFonts w:hint="eastAsia"/>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60" w:hRule="atLeast"/>
          <w:jc w:val="right"/>
        </w:trPr>
        <w:tc>
          <w:tcPr>
            <w:tcW w:w="1498" w:type="dxa"/>
            <w:vAlign w:val="center"/>
          </w:tcPr>
          <w:p>
            <w:pPr>
              <w:pStyle w:val="73"/>
              <w:rPr>
                <w:lang w:val="en-GB"/>
              </w:rPr>
            </w:pPr>
            <w:r>
              <w:rPr>
                <w:rFonts w:hint="eastAsia"/>
                <w:lang w:val="en-GB"/>
              </w:rPr>
              <w:t>推荐最佳温度</w:t>
            </w:r>
          </w:p>
        </w:tc>
        <w:tc>
          <w:tcPr>
            <w:tcW w:w="1638" w:type="dxa"/>
            <w:vAlign w:val="center"/>
          </w:tcPr>
          <w:p>
            <w:pPr>
              <w:pStyle w:val="73"/>
              <w:rPr>
                <w:lang w:val="en-GB"/>
              </w:rPr>
            </w:pPr>
            <w:r>
              <w:rPr>
                <w:rFonts w:hint="eastAsia"/>
                <w:lang w:val="en-GB"/>
              </w:rPr>
              <w:t>20℃～25℃</w:t>
            </w:r>
          </w:p>
        </w:tc>
        <w:tc>
          <w:tcPr>
            <w:tcW w:w="6257" w:type="dxa"/>
            <w:vMerge w:val="restart"/>
            <w:vAlign w:val="center"/>
          </w:tcPr>
          <w:p>
            <w:pPr>
              <w:pStyle w:val="73"/>
              <w:rPr>
                <w:lang w:val="en-GB"/>
              </w:rPr>
            </w:pPr>
            <w:r>
              <w:rPr>
                <w:rFonts w:hint="eastAsia"/>
                <w:lang w:val="en-GB"/>
              </w:rPr>
              <w:t>电池的运行的环境温度不能太高或太低。</w:t>
            </w:r>
          </w:p>
          <w:p>
            <w:pPr>
              <w:pStyle w:val="73"/>
              <w:rPr>
                <w:lang w:val="en-GB"/>
              </w:rPr>
            </w:pPr>
            <w:r>
              <w:rPr>
                <w:rFonts w:hint="eastAsia"/>
                <w:lang w:val="en-GB"/>
              </w:rPr>
              <w:t>如果蓄电池运行的平均温度从25℃升高到35℃，那么蓄电池的使用寿命将减50％；如果蓄电池的运行温度在40℃以上，那么蓄电池的使用寿命每天会以指数倍下降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87" w:hRule="atLeast"/>
          <w:jc w:val="right"/>
        </w:trPr>
        <w:tc>
          <w:tcPr>
            <w:tcW w:w="1498" w:type="dxa"/>
            <w:vAlign w:val="center"/>
          </w:tcPr>
          <w:p>
            <w:pPr>
              <w:pStyle w:val="73"/>
              <w:rPr>
                <w:lang w:val="en-GB"/>
              </w:rPr>
            </w:pPr>
            <w:r>
              <w:rPr>
                <w:rFonts w:hint="eastAsia"/>
                <w:lang w:val="en-GB"/>
              </w:rPr>
              <w:t>短时可用温度</w:t>
            </w:r>
          </w:p>
        </w:tc>
        <w:tc>
          <w:tcPr>
            <w:tcW w:w="1638" w:type="dxa"/>
            <w:vAlign w:val="center"/>
          </w:tcPr>
          <w:p>
            <w:pPr>
              <w:pStyle w:val="73"/>
              <w:rPr>
                <w:lang w:val="en-GB"/>
              </w:rPr>
            </w:pPr>
            <w:r>
              <w:rPr>
                <w:rFonts w:hint="eastAsia"/>
                <w:lang w:val="en-GB"/>
              </w:rPr>
              <w:t>－15℃～45℃</w:t>
            </w:r>
          </w:p>
        </w:tc>
        <w:tc>
          <w:tcPr>
            <w:tcW w:w="6257" w:type="dxa"/>
            <w:vMerge w:val="continue"/>
            <w:vAlign w:val="center"/>
          </w:tcPr>
          <w:p>
            <w:pPr>
              <w:pStyle w:val="108"/>
            </w:pPr>
          </w:p>
        </w:tc>
      </w:tr>
    </w:tbl>
    <w:p>
      <w:pPr>
        <w:pStyle w:val="79"/>
        <w:rPr>
          <w:kern w:val="0"/>
        </w:rPr>
      </w:pPr>
    </w:p>
    <w:p>
      <w:pPr>
        <w:pStyle w:val="3"/>
      </w:pPr>
      <w:r>
        <w:rPr>
          <w:rFonts w:hint="eastAsia"/>
        </w:rPr>
        <w:t>温度越高，蓄电池的使用寿命越短。温度低，电池的充放电性能会大大缩减。</w:t>
      </w:r>
    </w:p>
    <w:p>
      <w:pPr>
        <w:pStyle w:val="3"/>
      </w:pPr>
      <w:r>
        <w:rPr>
          <w:rFonts w:hint="eastAsia"/>
        </w:rPr>
        <w:t>蓄电池必须安装在阴凉和干燥的环境中，避免热源和阳光，环境湿度小于90％。</w:t>
      </w:r>
    </w:p>
    <w:p>
      <w:pPr>
        <w:pStyle w:val="3"/>
      </w:pPr>
      <w:r>
        <w:rPr>
          <w:rFonts w:hint="eastAsia"/>
        </w:rPr>
        <w:t>环境温度、通风、空间、浮充电压和纹波电流都会影响电池温度。电池组温度不均将导致电压分布不均，从而导致出现问题，因此保持整个电池组的温度均衡是非常重要的，层间电池温度差应控制在3℃以内。阀控式电池对温度非常敏感，因此应在15℃～25℃之间使用阀控式电池。如果电池柜安装在UPS附近，最大设计环境温度应由电池确定，而非由UPS决定。即，如采用阀控式电池，室内环境温度应在15℃～25℃之间，而非在UPS工作温度范围内。在平均温度不超过25℃的前提下，允许温度在短时间内有偏离。</w:t>
      </w:r>
    </w:p>
    <w:p>
      <w:pPr>
        <w:pStyle w:val="5"/>
        <w:numPr>
          <w:ilvl w:val="2"/>
          <w:numId w:val="9"/>
        </w:numPr>
      </w:pPr>
      <w:bookmarkStart w:id="504" w:name="_Toc7820"/>
      <w:r>
        <w:rPr>
          <w:rFonts w:hint="eastAsia"/>
        </w:rPr>
        <w:t>电池数量</w:t>
      </w:r>
      <w:bookmarkEnd w:id="504"/>
    </w:p>
    <w:p>
      <w:pPr>
        <w:pStyle w:val="3"/>
      </w:pPr>
      <w:r>
        <w:rPr>
          <w:rFonts w:hint="eastAsia"/>
        </w:rPr>
        <w:t>根据UPS额定输入/输出电压来设置标称直流母线电压和电池浮充电压，通常设置为490V</w:t>
      </w:r>
      <w:r>
        <w:t>dc</w:t>
      </w:r>
      <w:r>
        <w:rPr>
          <w:rFonts w:hint="eastAsia"/>
        </w:rPr>
        <w:t>，保证期望的单体电池浮充电压为2.27V。380V/400V/415V电压体制下电池数量、放电终止电压、浮充电压是一样的，见表6-3。</w:t>
      </w:r>
    </w:p>
    <w:p>
      <w:pPr>
        <w:pStyle w:val="194"/>
        <w:numPr>
          <w:ilvl w:val="5"/>
          <w:numId w:val="9"/>
        </w:numPr>
      </w:pPr>
      <w:r>
        <w:rPr>
          <w:rFonts w:hint="eastAsia"/>
        </w:rPr>
        <w:t>电池数量</w:t>
      </w:r>
    </w:p>
    <w:tbl>
      <w:tblPr>
        <w:tblStyle w:val="50"/>
        <w:tblW w:w="9379"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0"/>
        <w:gridCol w:w="5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4080" w:type="dxa"/>
            <w:shd w:val="clear" w:color="auto" w:fill="D9D9D9"/>
            <w:vAlign w:val="center"/>
          </w:tcPr>
          <w:p>
            <w:pPr>
              <w:pStyle w:val="88"/>
            </w:pPr>
            <w:r>
              <w:rPr>
                <w:rFonts w:hint="eastAsia"/>
              </w:rPr>
              <w:t>参数</w:t>
            </w:r>
          </w:p>
        </w:tc>
        <w:tc>
          <w:tcPr>
            <w:tcW w:w="5299" w:type="dxa"/>
            <w:tcBorders>
              <w:bottom w:val="single" w:color="auto" w:sz="4" w:space="0"/>
            </w:tcBorders>
            <w:shd w:val="clear" w:color="auto" w:fill="D9D9D9"/>
            <w:vAlign w:val="center"/>
          </w:tcPr>
          <w:p>
            <w:pPr>
              <w:pStyle w:val="88"/>
            </w:pPr>
            <w:r>
              <w:rPr>
                <w:rFonts w:hint="eastAsia"/>
              </w:rPr>
              <w:t>380V/400V/415V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4080" w:type="dxa"/>
            <w:vAlign w:val="center"/>
          </w:tcPr>
          <w:p>
            <w:pPr>
              <w:pStyle w:val="73"/>
            </w:pPr>
            <w:r>
              <w:rPr>
                <w:rFonts w:hint="eastAsia"/>
              </w:rPr>
              <w:t>单体数量（标准）</w:t>
            </w:r>
          </w:p>
        </w:tc>
        <w:tc>
          <w:tcPr>
            <w:tcW w:w="5299" w:type="dxa"/>
            <w:vAlign w:val="center"/>
          </w:tcPr>
          <w:p>
            <w:pPr>
              <w:pStyle w:val="73"/>
            </w:pPr>
            <w:r>
              <w:rPr>
                <w:rFonts w:hint="eastAsia"/>
              </w:rPr>
              <w:t>192个～2</w:t>
            </w:r>
            <w:r>
              <w:t>64</w:t>
            </w:r>
            <w:r>
              <w:rPr>
                <w:rFonts w:hint="eastAsia"/>
              </w:rPr>
              <w:t>个，推荐为240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4080" w:type="dxa"/>
            <w:vAlign w:val="center"/>
          </w:tcPr>
          <w:p>
            <w:pPr>
              <w:pStyle w:val="73"/>
            </w:pPr>
            <w:r>
              <w:rPr>
                <w:rFonts w:hint="eastAsia"/>
              </w:rPr>
              <w:t>放电终止电压</w:t>
            </w:r>
          </w:p>
        </w:tc>
        <w:tc>
          <w:tcPr>
            <w:tcW w:w="5299" w:type="dxa"/>
            <w:vAlign w:val="center"/>
          </w:tcPr>
          <w:p>
            <w:pPr>
              <w:pStyle w:val="73"/>
            </w:pPr>
            <w:r>
              <w:rPr>
                <w:rFonts w:hint="eastAsia"/>
              </w:rPr>
              <w:t>1.60Vdc/Cell～1.85Vdc/Cell，推荐为1.6</w:t>
            </w:r>
            <w:r>
              <w:t>7</w:t>
            </w:r>
            <w:r>
              <w:rPr>
                <w:rFonts w:hint="eastAsia"/>
              </w:rPr>
              <w:t>，可设置。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right"/>
        </w:trPr>
        <w:tc>
          <w:tcPr>
            <w:tcW w:w="4080" w:type="dxa"/>
            <w:vAlign w:val="center"/>
          </w:tcPr>
          <w:p>
            <w:pPr>
              <w:pStyle w:val="73"/>
            </w:pPr>
            <w:r>
              <w:rPr>
                <w:rFonts w:hint="eastAsia"/>
              </w:rPr>
              <w:t>浮充电压</w:t>
            </w:r>
          </w:p>
        </w:tc>
        <w:tc>
          <w:tcPr>
            <w:tcW w:w="5299" w:type="dxa"/>
            <w:vAlign w:val="center"/>
          </w:tcPr>
          <w:p>
            <w:pPr>
              <w:pStyle w:val="73"/>
            </w:pPr>
            <w:r>
              <w:rPr>
                <w:rFonts w:hint="eastAsia"/>
              </w:rPr>
              <w:t>2.</w:t>
            </w:r>
            <w:r>
              <w:t>2</w:t>
            </w:r>
            <w:r>
              <w:rPr>
                <w:rFonts w:hint="eastAsia"/>
              </w:rPr>
              <w:t>Vdc/Cell～2.3Vdc/Cell，推荐为2.27，可设置。</w:t>
            </w:r>
          </w:p>
        </w:tc>
      </w:tr>
    </w:tbl>
    <w:p>
      <w:pPr>
        <w:pStyle w:val="4"/>
        <w:numPr>
          <w:ilvl w:val="1"/>
          <w:numId w:val="9"/>
        </w:numPr>
      </w:pPr>
      <w:bookmarkStart w:id="505" w:name="_Toc25335"/>
      <w:r>
        <w:rPr>
          <w:rFonts w:hint="eastAsia"/>
        </w:rPr>
        <w:t>电池的安装和接线</w:t>
      </w:r>
      <w:bookmarkEnd w:id="505"/>
    </w:p>
    <w:p>
      <w:pPr>
        <w:pStyle w:val="5"/>
        <w:numPr>
          <w:ilvl w:val="2"/>
          <w:numId w:val="9"/>
        </w:numPr>
      </w:pPr>
      <w:bookmarkStart w:id="506" w:name="_Toc31457"/>
      <w:r>
        <w:rPr>
          <w:rFonts w:hint="eastAsia"/>
        </w:rPr>
        <w:t>电池的安装</w:t>
      </w:r>
      <w:bookmarkEnd w:id="506"/>
    </w:p>
    <w:p>
      <w:pPr>
        <w:pStyle w:val="3"/>
      </w:pPr>
      <w:r>
        <w:rPr>
          <w:rFonts w:hint="eastAsia"/>
        </w:rPr>
        <w:t>1．安装前必须检查确认蓄电池外观无损伤，点验配件齐全，并详细阅读本手册和电池厂家提供的用户手册或安装说明。</w:t>
      </w:r>
    </w:p>
    <w:p>
      <w:pPr>
        <w:pStyle w:val="3"/>
      </w:pPr>
      <w:r>
        <w:rPr>
          <w:rFonts w:hint="eastAsia"/>
        </w:rPr>
        <w:t>2．电池之间垂直方向必须有最小10</w:t>
      </w:r>
      <w:r>
        <w:t>mm</w:t>
      </w:r>
      <w:r>
        <w:rPr>
          <w:rFonts w:hint="eastAsia"/>
        </w:rPr>
        <w:t>的间隔，以保持电池周围空气自由流通。</w:t>
      </w:r>
    </w:p>
    <w:p>
      <w:pPr>
        <w:pStyle w:val="3"/>
      </w:pPr>
      <w:r>
        <w:rPr>
          <w:rFonts w:hint="eastAsia"/>
        </w:rPr>
        <w:t>3．电池顶部与其上部的隔板之间必须保持一定空间，以便对电池进行监测和维护。</w:t>
      </w:r>
    </w:p>
    <w:p>
      <w:pPr>
        <w:pStyle w:val="3"/>
      </w:pPr>
      <w:r>
        <w:t>4</w:t>
      </w:r>
      <w:r>
        <w:rPr>
          <w:rFonts w:hint="eastAsia"/>
        </w:rPr>
        <w:t>．电池应从底层开始，逐层往上进行安装，以防重心过高。应将电池安放好，以避免电池遭受振动或冲击。</w:t>
      </w:r>
    </w:p>
    <w:p>
      <w:pPr>
        <w:pStyle w:val="5"/>
        <w:numPr>
          <w:ilvl w:val="2"/>
          <w:numId w:val="9"/>
        </w:numPr>
      </w:pPr>
      <w:bookmarkStart w:id="507" w:name="_Toc11159"/>
      <w:r>
        <w:rPr>
          <w:rFonts w:hint="eastAsia"/>
        </w:rPr>
        <w:t>电池的接线</w:t>
      </w:r>
      <w:bookmarkEnd w:id="507"/>
    </w:p>
    <w:p>
      <w:pPr>
        <w:pStyle w:val="3"/>
      </w:pPr>
      <w:r>
        <w:t>1</w:t>
      </w:r>
      <w:r>
        <w:rPr>
          <w:rFonts w:hint="eastAsia"/>
        </w:rPr>
        <w:t>．所有电池柜或电池架必须连接在一起，并需进行良好接地。</w:t>
      </w:r>
    </w:p>
    <w:p>
      <w:pPr>
        <w:pStyle w:val="3"/>
      </w:pPr>
      <w:r>
        <w:rPr>
          <w:rFonts w:hint="eastAsia"/>
        </w:rPr>
        <w:t>2．使用多组蓄电池时，要先串联，再并联。测量电池组总电压无误后，方可加载上电。一定要根据电池和UPS上的标识将蓄电池的正负极端子和UPS的正负极电池端子分别连接好。如果连接时极性发生错误，可能引起爆炸、火灾以及蓄电池、UPS的损坏，还有可能造成人身伤害。</w:t>
      </w:r>
    </w:p>
    <w:p>
      <w:pPr>
        <w:pStyle w:val="3"/>
      </w:pPr>
      <w:r>
        <w:rPr>
          <w:rFonts w:hint="eastAsia"/>
        </w:rPr>
        <w:t>3．完成电池端子接线后，应给各端子安装绝缘罩。</w:t>
      </w:r>
    </w:p>
    <w:p>
      <w:pPr>
        <w:pStyle w:val="3"/>
      </w:pPr>
      <w:r>
        <w:rPr>
          <w:rFonts w:hint="eastAsia"/>
        </w:rPr>
        <w:t>4．当连接电池端子与电池开关间电缆时，应首先从电池开关端开始连接。</w:t>
      </w:r>
    </w:p>
    <w:p>
      <w:pPr>
        <w:pStyle w:val="3"/>
      </w:pPr>
      <w:r>
        <w:rPr>
          <w:rFonts w:hint="eastAsia"/>
        </w:rPr>
        <w:t>5．电缆的弯曲半径要大于10D，其中D为电缆的外径。</w:t>
      </w:r>
    </w:p>
    <w:p>
      <w:pPr>
        <w:pStyle w:val="3"/>
      </w:pPr>
      <w:r>
        <w:rPr>
          <w:rFonts w:hint="eastAsia"/>
        </w:rPr>
        <w:t>6．电池电缆连接好后，严禁再扳动电池电缆或电缆端子。</w:t>
      </w:r>
    </w:p>
    <w:p>
      <w:pPr>
        <w:pStyle w:val="3"/>
      </w:pPr>
      <w:r>
        <w:rPr>
          <w:rFonts w:hint="eastAsia"/>
        </w:rPr>
        <w:t>7．连接时，请不要将电池电缆交叉，更不要将电池电缆捆扎在一起。</w:t>
      </w:r>
    </w:p>
    <w:p>
      <w:pPr>
        <w:pStyle w:val="4"/>
        <w:numPr>
          <w:ilvl w:val="1"/>
          <w:numId w:val="9"/>
        </w:numPr>
      </w:pPr>
      <w:bookmarkStart w:id="508" w:name="_Toc30792"/>
      <w:r>
        <w:rPr>
          <w:rFonts w:hint="eastAsia"/>
        </w:rPr>
        <w:t>电池的维护</w:t>
      </w:r>
      <w:bookmarkEnd w:id="508"/>
    </w:p>
    <w:p>
      <w:pPr>
        <w:pStyle w:val="3"/>
        <w:ind w:firstLine="170"/>
      </w:pPr>
      <w:r>
        <w:rPr>
          <w:rFonts w:hint="eastAsia"/>
        </w:rPr>
        <w:t>电池的维护和维护注意事项请按照</w:t>
      </w:r>
      <w:r>
        <w:t>IEEE-Std-1188-2005</w:t>
      </w:r>
      <w:r>
        <w:rPr>
          <w:rFonts w:hint="eastAsia"/>
        </w:rPr>
        <w:t>和电池厂家提供的相关手册执行。</w:t>
      </w:r>
    </w:p>
    <w:tbl>
      <w:tblPr>
        <w:tblStyle w:val="50"/>
        <w:tblW w:w="9394"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9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94" w:type="dxa"/>
            <w:vAlign w:val="center"/>
          </w:tcPr>
          <w:p>
            <w:pPr>
              <w:pStyle w:val="72"/>
              <w:spacing w:before="46" w:beforeLines="15" w:line="276" w:lineRule="auto"/>
              <w:jc w:val="both"/>
              <w:rPr>
                <w:rStyle w:val="87"/>
              </w:rPr>
            </w:pPr>
            <w:r>
              <w:rPr>
                <w:rStyle w:val="87"/>
              </w:rPr>
              <w:drawing>
                <wp:inline distT="0" distB="0" distL="0" distR="0">
                  <wp:extent cx="315595" cy="267970"/>
                  <wp:effectExtent l="0" t="0" r="8255" b="0"/>
                  <wp:docPr id="44" name="图片 44" descr="图形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图形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315595" cy="267970"/>
                          </a:xfrm>
                          <a:prstGeom prst="rect">
                            <a:avLst/>
                          </a:prstGeom>
                          <a:noFill/>
                          <a:ln>
                            <a:noFill/>
                          </a:ln>
                        </pic:spPr>
                      </pic:pic>
                    </a:graphicData>
                  </a:graphic>
                </wp:inline>
              </w:drawing>
            </w:r>
            <w:r>
              <w:rPr>
                <w:rStyle w:val="87"/>
                <w:rFonts w:hint="eastAsia"/>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94" w:type="dxa"/>
            <w:vAlign w:val="center"/>
          </w:tcPr>
          <w:p>
            <w:pPr>
              <w:pStyle w:val="73"/>
            </w:pPr>
            <w:r>
              <w:rPr>
                <w:rFonts w:hint="eastAsia"/>
              </w:rPr>
              <w:t>1．要定期检查电池连接部件螺钉，确认拧紧、无松动。如有松动，必须立即拧紧。</w:t>
            </w:r>
          </w:p>
          <w:p>
            <w:pPr>
              <w:pStyle w:val="73"/>
            </w:pPr>
            <w:r>
              <w:rPr>
                <w:rFonts w:hint="eastAsia"/>
              </w:rPr>
              <w:t>2．检测确保所有应用的安全设备无缺且功能正常，电池管理参数设置正常。</w:t>
            </w:r>
          </w:p>
          <w:p>
            <w:pPr>
              <w:pStyle w:val="73"/>
            </w:pPr>
            <w:r>
              <w:rPr>
                <w:rFonts w:hint="eastAsia"/>
              </w:rPr>
              <w:t>3．测量和记录电池房温度。</w:t>
            </w:r>
          </w:p>
          <w:p>
            <w:pPr>
              <w:pStyle w:val="73"/>
            </w:pPr>
            <w:r>
              <w:rPr>
                <w:rFonts w:hint="eastAsia"/>
              </w:rPr>
              <w:t>4．检查电池端子未损坏，无发热痕迹，电池外壳和端子保护盖未损坏。</w:t>
            </w:r>
          </w:p>
          <w:p>
            <w:pPr>
              <w:pStyle w:val="73"/>
              <w:rPr>
                <w:lang w:val="en-GB"/>
              </w:rPr>
            </w:pPr>
            <w:r>
              <w:rPr>
                <w:rFonts w:hint="eastAsia"/>
              </w:rPr>
              <w:t>5．电池放电结束后，UPS长时间无交流输入，必须断开电池开关，否则电池会通过UPS端口的小电阻进行放电，会损坏电池</w:t>
            </w:r>
          </w:p>
        </w:tc>
      </w:tr>
    </w:tbl>
    <w:p>
      <w:pPr>
        <w:pStyle w:val="3"/>
      </w:pPr>
      <w:r>
        <w:rPr>
          <w:rFonts w:hint="eastAsia"/>
        </w:rPr>
        <w:t>U</w:t>
      </w:r>
      <w:r>
        <w:t>PS对电池的维护</w:t>
      </w:r>
      <w:r>
        <w:rPr>
          <w:rFonts w:hint="eastAsia"/>
        </w:rPr>
        <w:t>，</w:t>
      </w:r>
      <w:r>
        <w:t>主要体现在检测电池活性的能力上</w:t>
      </w:r>
      <w:r>
        <w:rPr>
          <w:rFonts w:hint="eastAsia"/>
        </w:rPr>
        <w:t>。U</w:t>
      </w:r>
      <w:r>
        <w:t>PS</w:t>
      </w:r>
      <w:r>
        <w:rPr>
          <w:rFonts w:hint="eastAsia"/>
        </w:rPr>
        <w:t>电池浅放电测试包括周期电池浅放电和手动电池浅放电，电池放电所放出的能量达到总电池能量的</w:t>
      </w:r>
      <w:r>
        <w:t>20</w:t>
      </w:r>
      <w:r>
        <w:rPr>
          <w:rFonts w:hint="eastAsia"/>
        </w:rPr>
        <w:t>％。</w:t>
      </w:r>
    </w:p>
    <w:p>
      <w:pPr>
        <w:pStyle w:val="3"/>
      </w:pPr>
      <w:r>
        <w:rPr>
          <w:rFonts w:hint="eastAsia"/>
        </w:rPr>
        <w:t>周期电池浅放电测试为定期的，自检间隔周期通过后台可设。周期浅放电过程中如果发现电池满足电池需维护条件，系统应给出声光告警并产生相应记录。周期浅放电不更新电池曲线表格。</w:t>
      </w:r>
    </w:p>
    <w:p>
      <w:pPr>
        <w:pStyle w:val="3"/>
      </w:pPr>
      <w:r>
        <w:rPr>
          <w:rFonts w:hint="eastAsia"/>
        </w:rPr>
        <w:t>手动电池浅放电的执行方式与自动周期自检大致相同，区别在于维护自检由人工启动，单次有效，一旦退出不会再次自动开机。自检过程中如果发现电池满足电池需维护条件，系统应给出声光告警并产生相应记录。维护自检不更新电池曲线表格。注意：周期电池浅放电需满足电池自学习允许的条件，手动电池浅放电只需要满足电池充满的条件。</w:t>
      </w:r>
    </w:p>
    <w:p>
      <w:pPr>
        <w:pStyle w:val="6"/>
        <w:numPr>
          <w:ilvl w:val="3"/>
          <w:numId w:val="0"/>
        </w:numPr>
        <w:spacing w:before="200" w:after="80"/>
        <w:ind w:left="680"/>
      </w:pPr>
      <w:r>
        <w:rPr>
          <w:rFonts w:hint="eastAsia"/>
        </w:rPr>
        <w:t>实现</w:t>
      </w:r>
    </w:p>
    <w:p>
      <w:pPr>
        <w:pStyle w:val="3"/>
        <w:rPr>
          <w:kern w:val="0"/>
        </w:rPr>
      </w:pPr>
      <w:r>
        <w:rPr>
          <w:kern w:val="0"/>
        </w:rPr>
        <w:t>1</w:t>
      </w:r>
      <w:r>
        <w:rPr>
          <w:rFonts w:hint="eastAsia"/>
          <w:kern w:val="0"/>
        </w:rPr>
        <w:t>．手动电池浅放电测试：通过</w:t>
      </w:r>
      <w:r>
        <w:rPr>
          <w:kern w:val="0"/>
        </w:rPr>
        <w:t>触摸屏</w:t>
      </w:r>
      <w:r>
        <w:rPr>
          <w:rFonts w:hint="eastAsia"/>
          <w:kern w:val="0"/>
        </w:rPr>
        <w:t>面板启动。</w:t>
      </w:r>
    </w:p>
    <w:p>
      <w:pPr>
        <w:pStyle w:val="3"/>
        <w:rPr>
          <w:kern w:val="0"/>
        </w:rPr>
      </w:pPr>
      <w:r>
        <w:rPr>
          <w:kern w:val="0"/>
        </w:rPr>
        <w:t>2</w:t>
      </w:r>
      <w:r>
        <w:rPr>
          <w:rFonts w:hint="eastAsia"/>
          <w:kern w:val="0"/>
        </w:rPr>
        <w:t>．周期电池浅放电测试：自检间隔周期通过后台可设，电池自检周期设置范围为</w:t>
      </w:r>
      <w:r>
        <w:rPr>
          <w:kern w:val="0"/>
        </w:rPr>
        <w:t>30</w:t>
      </w:r>
      <w:r>
        <w:rPr>
          <w:rFonts w:hint="eastAsia"/>
          <w:kern w:val="0"/>
        </w:rPr>
        <w:t>天～</w:t>
      </w:r>
      <w:r>
        <w:rPr>
          <w:kern w:val="0"/>
        </w:rPr>
        <w:t>360</w:t>
      </w:r>
      <w:r>
        <w:rPr>
          <w:rFonts w:hint="eastAsia"/>
          <w:kern w:val="0"/>
        </w:rPr>
        <w:t>天（缺省为</w:t>
      </w:r>
      <w:r>
        <w:rPr>
          <w:kern w:val="0"/>
        </w:rPr>
        <w:t>60</w:t>
      </w:r>
      <w:r>
        <w:rPr>
          <w:rFonts w:hint="eastAsia"/>
          <w:kern w:val="0"/>
        </w:rPr>
        <w:t>天）。</w:t>
      </w:r>
    </w:p>
    <w:p>
      <w:pPr>
        <w:pStyle w:val="6"/>
        <w:numPr>
          <w:ilvl w:val="3"/>
          <w:numId w:val="0"/>
        </w:numPr>
        <w:spacing w:before="200" w:after="80"/>
        <w:ind w:left="680"/>
        <w:rPr>
          <w:szCs w:val="22"/>
        </w:rPr>
      </w:pPr>
      <w:r>
        <w:rPr>
          <w:rFonts w:hint="eastAsia"/>
          <w:szCs w:val="22"/>
        </w:rPr>
        <w:t>周期电池浅放电启动条件</w:t>
      </w:r>
    </w:p>
    <w:p>
      <w:pPr>
        <w:pStyle w:val="3"/>
      </w:pPr>
      <w:r>
        <w:t>1</w:t>
      </w:r>
      <w:r>
        <w:rPr>
          <w:rFonts w:hint="eastAsia"/>
        </w:rPr>
        <w:t>．系统负载率在</w:t>
      </w:r>
      <w:r>
        <w:t>20</w:t>
      </w:r>
      <w:r>
        <w:rPr>
          <w:rFonts w:hint="eastAsia"/>
        </w:rPr>
        <w:t>％～</w:t>
      </w:r>
      <w:r>
        <w:t>100</w:t>
      </w:r>
      <w:r>
        <w:rPr>
          <w:rFonts w:hint="eastAsia"/>
        </w:rPr>
        <w:t>％内，且输出稳定。</w:t>
      </w:r>
    </w:p>
    <w:p>
      <w:pPr>
        <w:pStyle w:val="3"/>
      </w:pPr>
      <w:r>
        <w:t>2</w:t>
      </w:r>
      <w:r>
        <w:rPr>
          <w:rFonts w:hint="eastAsia"/>
        </w:rPr>
        <w:t>．电池充满，即自学习允许（浮充</w:t>
      </w:r>
      <w:r>
        <w:t>5</w:t>
      </w:r>
      <w:r>
        <w:rPr>
          <w:rFonts w:hint="eastAsia"/>
        </w:rPr>
        <w:t>小时以上），同时发电机未接入。</w:t>
      </w:r>
    </w:p>
    <w:p>
      <w:pPr>
        <w:pStyle w:val="3"/>
      </w:pPr>
      <w:r>
        <w:t>3</w:t>
      </w:r>
      <w:r>
        <w:rPr>
          <w:rFonts w:hint="eastAsia"/>
        </w:rPr>
        <w:t>．当前系统处于浮充状态。</w:t>
      </w:r>
    </w:p>
    <w:p>
      <w:pPr>
        <w:pStyle w:val="3"/>
      </w:pPr>
    </w:p>
    <w:p>
      <w:pPr>
        <w:pStyle w:val="6"/>
        <w:numPr>
          <w:ilvl w:val="3"/>
          <w:numId w:val="0"/>
        </w:numPr>
        <w:spacing w:before="200" w:after="80"/>
        <w:ind w:left="680"/>
        <w:rPr>
          <w:szCs w:val="22"/>
        </w:rPr>
      </w:pPr>
      <w:r>
        <w:rPr>
          <w:rFonts w:hint="eastAsia"/>
          <w:szCs w:val="22"/>
        </w:rPr>
        <w:t>周期电池浅放电退出条件</w:t>
      </w:r>
    </w:p>
    <w:p>
      <w:pPr>
        <w:pStyle w:val="3"/>
      </w:pPr>
      <w:r>
        <w:t>1</w:t>
      </w:r>
      <w:r>
        <w:rPr>
          <w:rFonts w:hint="eastAsia"/>
        </w:rPr>
        <w:t>．确认系统不在自检状态达</w:t>
      </w:r>
      <w:r>
        <w:t>10</w:t>
      </w:r>
      <w:r>
        <w:rPr>
          <w:rFonts w:hint="eastAsia"/>
        </w:rPr>
        <w:t>秒，且满足：当前为电池模式或整流器关闭，则系统将转入电池供电状态。</w:t>
      </w:r>
    </w:p>
    <w:p>
      <w:pPr>
        <w:pStyle w:val="3"/>
      </w:pPr>
      <w:r>
        <w:t>2</w:t>
      </w:r>
      <w:r>
        <w:rPr>
          <w:rFonts w:hint="eastAsia"/>
        </w:rPr>
        <w:t>．自检期间发现负载波动或出现单机过载或电池无，则系统将转入浮充状态。</w:t>
      </w:r>
    </w:p>
    <w:p>
      <w:pPr>
        <w:pStyle w:val="3"/>
      </w:pPr>
      <w:r>
        <w:t>3</w:t>
      </w:r>
      <w:r>
        <w:rPr>
          <w:rFonts w:hint="eastAsia"/>
        </w:rPr>
        <w:t>．自检期间如果电池电压低于计算出的预告警电压或电池放电超过保护时间，则系统转入浮充状态。</w:t>
      </w:r>
    </w:p>
    <w:p>
      <w:pPr>
        <w:pStyle w:val="3"/>
      </w:pPr>
      <w:r>
        <w:t>4</w:t>
      </w:r>
      <w:r>
        <w:rPr>
          <w:rFonts w:hint="eastAsia"/>
        </w:rPr>
        <w:t>．用户可通过</w:t>
      </w:r>
      <w:r>
        <w:t>触摸屏</w:t>
      </w:r>
      <w:r>
        <w:rPr>
          <w:rFonts w:hint="eastAsia"/>
        </w:rPr>
        <w:t>面板手动停止维护测试。</w:t>
      </w:r>
    </w:p>
    <w:p>
      <w:pPr>
        <w:pStyle w:val="3"/>
      </w:pPr>
      <w:r>
        <w:rPr>
          <w:rFonts w:hint="eastAsia"/>
        </w:rPr>
        <w:t>说明：自检成功后，自检间隔计数器将自动清零。如本次自检未成功，则退出自检；若再次满足自检条件，则重新进入自检。</w:t>
      </w:r>
    </w:p>
    <w:p>
      <w:pPr>
        <w:pStyle w:val="6"/>
        <w:numPr>
          <w:ilvl w:val="3"/>
          <w:numId w:val="0"/>
        </w:numPr>
        <w:spacing w:before="200" w:after="80"/>
        <w:ind w:left="680"/>
        <w:rPr>
          <w:szCs w:val="22"/>
        </w:rPr>
      </w:pPr>
      <w:r>
        <w:rPr>
          <w:rFonts w:hint="eastAsia"/>
          <w:szCs w:val="22"/>
        </w:rPr>
        <w:t>手动维护自检步骤</w:t>
      </w:r>
    </w:p>
    <w:p>
      <w:pPr>
        <w:pStyle w:val="3"/>
        <w:rPr>
          <w:color w:val="000000"/>
          <w:lang w:val="en-GB"/>
        </w:rPr>
      </w:pPr>
      <w:r>
        <w:rPr>
          <w:color w:val="000000"/>
          <w:lang w:val="en-GB"/>
        </w:rPr>
        <w:t>1</w:t>
      </w:r>
      <w:r>
        <w:rPr>
          <w:rFonts w:hint="eastAsia" w:ascii="宋体" w:hAnsi="宋体"/>
          <w:color w:val="000000"/>
        </w:rPr>
        <w:t>．进入</w:t>
      </w:r>
      <w:r>
        <w:rPr>
          <w:color w:val="000000"/>
          <w:lang w:val="en-GB"/>
        </w:rPr>
        <w:t>触摸屏</w:t>
      </w:r>
      <w:r>
        <w:rPr>
          <w:rFonts w:hint="eastAsia"/>
          <w:color w:val="000000"/>
          <w:lang w:val="en-GB"/>
        </w:rPr>
        <w:t>操作页面的维护操作菜单</w:t>
      </w:r>
      <w:r>
        <w:rPr>
          <w:rFonts w:hint="eastAsia" w:ascii="宋体" w:hAnsi="宋体"/>
          <w:color w:val="000000"/>
        </w:rPr>
        <w:t>。</w:t>
      </w:r>
    </w:p>
    <w:p>
      <w:pPr>
        <w:pStyle w:val="3"/>
        <w:rPr>
          <w:color w:val="000000"/>
          <w:lang w:val="en-GB"/>
        </w:rPr>
      </w:pPr>
      <w:r>
        <w:rPr>
          <w:color w:val="000000"/>
          <w:lang w:val="en-GB"/>
        </w:rPr>
        <w:t>2</w:t>
      </w:r>
      <w:r>
        <w:rPr>
          <w:rFonts w:hint="eastAsia"/>
          <w:color w:val="000000"/>
        </w:rPr>
        <w:t>．选择电池浅放电测试，点击开始。</w:t>
      </w:r>
    </w:p>
    <w:p>
      <w:pPr>
        <w:pStyle w:val="3"/>
        <w:rPr>
          <w:color w:val="FF0000"/>
          <w:lang w:val="en-GB"/>
        </w:rPr>
      </w:pPr>
      <w:r>
        <w:rPr>
          <w:rFonts w:hint="eastAsia" w:ascii="宋体" w:hAnsi="宋体"/>
          <w:color w:val="000000"/>
        </w:rPr>
        <w:t>电池测试时，也可通过选择</w:t>
      </w:r>
      <w:r>
        <w:rPr>
          <w:rFonts w:hint="eastAsia"/>
          <w:color w:val="000000"/>
          <w:lang w:val="en-GB"/>
        </w:rPr>
        <w:t>电池浅放电测试，点击停止，</w:t>
      </w:r>
      <w:r>
        <w:rPr>
          <w:rFonts w:hint="eastAsia" w:ascii="宋体" w:hAnsi="宋体"/>
          <w:color w:val="000000"/>
        </w:rPr>
        <w:t>来终止电池测试。</w:t>
      </w:r>
    </w:p>
    <w:p>
      <w:pPr>
        <w:pStyle w:val="4"/>
        <w:numPr>
          <w:ilvl w:val="1"/>
          <w:numId w:val="9"/>
        </w:numPr>
      </w:pPr>
      <w:bookmarkStart w:id="509" w:name="_Toc23851"/>
      <w:r>
        <w:rPr>
          <w:rFonts w:hint="eastAsia"/>
        </w:rPr>
        <w:t>电池的回收</w:t>
      </w:r>
      <w:bookmarkEnd w:id="509"/>
    </w:p>
    <w:p>
      <w:pPr>
        <w:pStyle w:val="3"/>
        <w:sectPr>
          <w:headerReference r:id="rId24" w:type="default"/>
          <w:headerReference r:id="rId25" w:type="even"/>
          <w:footerReference r:id="rId26" w:type="even"/>
          <w:pgSz w:w="11906" w:h="16838"/>
          <w:pgMar w:top="1304" w:right="737" w:bottom="1134" w:left="1134" w:header="851" w:footer="737" w:gutter="0"/>
          <w:cols w:space="720" w:num="1"/>
          <w:docGrid w:type="lines" w:linePitch="312" w:charSpace="0"/>
        </w:sectPr>
      </w:pPr>
      <w:r>
        <w:rPr>
          <w:rFonts w:hint="eastAsia"/>
        </w:rPr>
        <w:t>如果出现电池漏液或损坏，请将电池置于抗硫酸的容器中，并根据当地规定进行报废处理。废铅酸蓄电池属于危险废物，为国家废电池污染控制的重点之一，其贮存、运输、利用、处置等相关活动必须遵守国家和地方关于危险废物和废电池污染防治的法律法规及其它标准。根据国家有关规定，废铅酸蓄电池应当进行回收利用，禁止用其它办法进行处置。随意丢弃废旧铅酸蓄电池或任何其它不当处置的行为均可能引起严重的环境污染并被追究相应的法律责任。</w:t>
      </w:r>
    </w:p>
    <w:p>
      <w:pPr>
        <w:pStyle w:val="3"/>
        <w:ind w:firstLine="170"/>
      </w:pPr>
    </w:p>
    <w:bookmarkEnd w:id="464"/>
    <w:bookmarkEnd w:id="465"/>
    <w:bookmarkEnd w:id="466"/>
    <w:bookmarkEnd w:id="467"/>
    <w:bookmarkEnd w:id="469"/>
    <w:bookmarkEnd w:id="470"/>
    <w:bookmarkEnd w:id="471"/>
    <w:bookmarkEnd w:id="472"/>
    <w:p>
      <w:pPr>
        <w:pStyle w:val="2"/>
        <w:sectPr>
          <w:type w:val="continuous"/>
          <w:pgSz w:w="11906" w:h="16838"/>
          <w:pgMar w:top="1304" w:right="737" w:bottom="1134" w:left="1134" w:header="851" w:footer="737" w:gutter="0"/>
          <w:cols w:space="720" w:num="1"/>
          <w:docGrid w:type="lines" w:linePitch="312" w:charSpace="0"/>
        </w:sectPr>
      </w:pPr>
      <w:bookmarkStart w:id="510" w:name="_Hlt227548653"/>
      <w:bookmarkEnd w:id="510"/>
      <w:bookmarkStart w:id="511" w:name="_Hlt227548690"/>
      <w:bookmarkEnd w:id="511"/>
      <w:bookmarkStart w:id="512" w:name="_Hlt333829447"/>
      <w:bookmarkEnd w:id="512"/>
      <w:bookmarkStart w:id="513" w:name="_Hlt324170675"/>
      <w:bookmarkEnd w:id="513"/>
      <w:bookmarkStart w:id="514" w:name="_Hlt324232223"/>
      <w:bookmarkEnd w:id="514"/>
      <w:bookmarkStart w:id="515" w:name="_Hlt241809726"/>
      <w:bookmarkEnd w:id="515"/>
      <w:bookmarkStart w:id="516" w:name="_Toc338686068"/>
      <w:bookmarkStart w:id="517" w:name="_Toc512442502"/>
      <w:bookmarkStart w:id="518" w:name="_Toc512794910"/>
    </w:p>
    <w:p>
      <w:pPr>
        <w:pStyle w:val="2"/>
        <w:numPr>
          <w:ilvl w:val="0"/>
          <w:numId w:val="9"/>
        </w:numPr>
      </w:pPr>
      <w:bookmarkStart w:id="519" w:name="_Toc4468"/>
      <w:r>
        <w:rPr>
          <w:rFonts w:hint="eastAsia"/>
        </w:rPr>
        <w:t>并机系统与双母线系统</w:t>
      </w:r>
      <w:bookmarkEnd w:id="516"/>
      <w:bookmarkEnd w:id="517"/>
      <w:bookmarkEnd w:id="518"/>
      <w:bookmarkEnd w:id="519"/>
    </w:p>
    <w:p>
      <w:pPr>
        <w:pStyle w:val="3"/>
        <w:ind w:firstLine="170"/>
      </w:pPr>
      <w:r>
        <w:rPr>
          <w:rFonts w:hint="eastAsia"/>
        </w:rPr>
        <w:t>本章详细介绍双母线系统的安装。</w:t>
      </w:r>
    </w:p>
    <w:p>
      <w:pPr>
        <w:pStyle w:val="4"/>
        <w:numPr>
          <w:ilvl w:val="1"/>
          <w:numId w:val="9"/>
        </w:numPr>
        <w:rPr>
          <w:szCs w:val="22"/>
          <w:lang w:val="en-GB"/>
        </w:rPr>
      </w:pPr>
      <w:bookmarkStart w:id="520" w:name="_Toc417904253"/>
      <w:bookmarkStart w:id="521" w:name="_Toc464658940"/>
      <w:bookmarkStart w:id="522" w:name="_Toc350160821"/>
      <w:bookmarkStart w:id="523" w:name="_Toc16523"/>
      <w:bookmarkStart w:id="524" w:name="_Toc512794911"/>
      <w:bookmarkStart w:id="525" w:name="_Toc512442503"/>
      <w:r>
        <w:rPr>
          <w:rFonts w:hint="eastAsia"/>
          <w:szCs w:val="22"/>
          <w:lang w:val="en-GB"/>
        </w:rPr>
        <w:t>并机系统</w:t>
      </w:r>
      <w:bookmarkEnd w:id="520"/>
      <w:bookmarkEnd w:id="521"/>
      <w:bookmarkEnd w:id="522"/>
      <w:r>
        <w:rPr>
          <w:rFonts w:hint="eastAsia"/>
          <w:szCs w:val="22"/>
          <w:lang w:val="en-GB"/>
        </w:rPr>
        <w:t>简介</w:t>
      </w:r>
      <w:bookmarkEnd w:id="523"/>
      <w:bookmarkEnd w:id="524"/>
      <w:bookmarkEnd w:id="525"/>
    </w:p>
    <w:p>
      <w:pPr>
        <w:pStyle w:val="3"/>
        <w:rPr>
          <w:lang w:val="en-GB"/>
        </w:rPr>
      </w:pPr>
      <w:r>
        <w:rPr>
          <w:rFonts w:hint="eastAsia"/>
          <w:lang w:val="en-GB"/>
        </w:rPr>
        <w:t>并机系统最多可由4台容量相同的同型号UPS单机直接并联组成，以达到提高系统容量和可靠性的目的，无需统一的静态旁路。并联的各UPS单机均分负载。当系统切换到旁路供电状态时，各UPS单机的旁路静态开关共同承担负载。</w:t>
      </w:r>
    </w:p>
    <w:p>
      <w:pPr>
        <w:pStyle w:val="3"/>
        <w:rPr>
          <w:lang w:val="en-GB"/>
        </w:rPr>
      </w:pPr>
      <w:r>
        <w:rPr>
          <w:rFonts w:hint="eastAsia"/>
          <w:lang w:val="en-GB"/>
        </w:rPr>
        <w:t>并机系统中各单机内部配置与普通单机配置完全相同。并机控制信号对系统均流、同步以及旁路切换等进行管理。控制信号由并机电缆连接，并机电缆使用多芯电缆连接在系统的各单机之间，形成闭环，为系统提供可靠性和冗余。</w:t>
      </w:r>
    </w:p>
    <w:p>
      <w:pPr>
        <w:pStyle w:val="4"/>
        <w:numPr>
          <w:ilvl w:val="1"/>
          <w:numId w:val="9"/>
        </w:numPr>
        <w:rPr>
          <w:szCs w:val="22"/>
        </w:rPr>
      </w:pPr>
      <w:bookmarkStart w:id="526" w:name="_Toc512442504"/>
      <w:bookmarkStart w:id="527" w:name="_Toc21778"/>
      <w:bookmarkStart w:id="528" w:name="_Toc512794912"/>
      <w:r>
        <w:rPr>
          <w:rFonts w:hint="eastAsia"/>
          <w:szCs w:val="22"/>
        </w:rPr>
        <w:t>并机系统要求</w:t>
      </w:r>
      <w:bookmarkEnd w:id="526"/>
      <w:bookmarkEnd w:id="527"/>
      <w:bookmarkEnd w:id="528"/>
    </w:p>
    <w:p>
      <w:pPr>
        <w:pStyle w:val="3"/>
        <w:rPr>
          <w:lang w:val="en-GB"/>
        </w:rPr>
      </w:pPr>
      <w:r>
        <w:rPr>
          <w:rFonts w:hint="eastAsia"/>
          <w:lang w:val="en-GB"/>
        </w:rPr>
        <w:t>多个单机并联组成的并机系统相当于一个大的UPS系统，但具有更高的系统可靠性。为了保证各单机使用度相同并符合相关配线规定，应满足以下要求：</w:t>
      </w:r>
    </w:p>
    <w:p>
      <w:pPr>
        <w:pStyle w:val="3"/>
        <w:rPr>
          <w:lang w:val="en-GB"/>
        </w:rPr>
      </w:pPr>
      <w:r>
        <w:rPr>
          <w:rFonts w:hint="eastAsia"/>
          <w:lang w:val="en-GB"/>
        </w:rPr>
        <w:t>1．所有单机必须容量相同并接至相同的旁路电源。</w:t>
      </w:r>
    </w:p>
    <w:p>
      <w:pPr>
        <w:pStyle w:val="3"/>
        <w:rPr>
          <w:lang w:val="en-GB"/>
        </w:rPr>
      </w:pPr>
      <w:r>
        <w:rPr>
          <w:rFonts w:hint="eastAsia"/>
          <w:lang w:val="en-GB"/>
        </w:rPr>
        <w:t>2．旁路和主路输入电源必须接至相同的N线输入端子。</w:t>
      </w:r>
    </w:p>
    <w:p>
      <w:pPr>
        <w:pStyle w:val="3"/>
        <w:rPr>
          <w:lang w:val="en-GB"/>
        </w:rPr>
      </w:pPr>
      <w:r>
        <w:rPr>
          <w:rFonts w:hint="eastAsia"/>
          <w:lang w:val="en-GB"/>
        </w:rPr>
        <w:t>3．如安装漏电流检测装置（RCD），必须正确设置并安装于共同的N线输入端子前，或者该器件监控系统的保护地电流。</w:t>
      </w:r>
    </w:p>
    <w:p>
      <w:pPr>
        <w:pStyle w:val="3"/>
        <w:rPr>
          <w:lang w:val="en-GB"/>
        </w:rPr>
      </w:pPr>
      <w:r>
        <w:rPr>
          <w:lang w:val="en-GB"/>
        </w:rPr>
        <w:t>4</w:t>
      </w:r>
      <w:r>
        <w:rPr>
          <w:rFonts w:hint="eastAsia"/>
          <w:lang w:val="en-GB"/>
        </w:rPr>
        <w:t>．并机的U</w:t>
      </w:r>
      <w:r>
        <w:rPr>
          <w:lang w:val="en-GB"/>
        </w:rPr>
        <w:t>PS输出线缆必须采用同等线径及长度</w:t>
      </w:r>
      <w:r>
        <w:rPr>
          <w:rFonts w:hint="eastAsia"/>
          <w:lang w:val="en-GB"/>
        </w:rPr>
        <w:t>，</w:t>
      </w:r>
      <w:r>
        <w:rPr>
          <w:lang w:val="en-GB"/>
        </w:rPr>
        <w:t>否则可能造成并机失败</w:t>
      </w:r>
      <w:r>
        <w:rPr>
          <w:rFonts w:hint="eastAsia"/>
          <w:lang w:val="en-GB"/>
        </w:rPr>
        <w:t>。</w:t>
      </w:r>
    </w:p>
    <w:p>
      <w:pPr>
        <w:pStyle w:val="3"/>
        <w:rPr>
          <w:lang w:val="en-GB"/>
        </w:rPr>
      </w:pPr>
      <w:r>
        <w:rPr>
          <w:lang w:val="en-GB"/>
        </w:rPr>
        <w:t>5</w:t>
      </w:r>
      <w:r>
        <w:rPr>
          <w:rFonts w:hint="eastAsia"/>
          <w:lang w:val="en-GB"/>
        </w:rPr>
        <w:t>．并机系统开启逆变前，</w:t>
      </w:r>
      <w:r>
        <w:rPr>
          <w:lang w:val="en-GB"/>
        </w:rPr>
        <w:t>不能断开任意一台的输出开关</w:t>
      </w:r>
      <w:r>
        <w:rPr>
          <w:rFonts w:hint="eastAsia"/>
          <w:lang w:val="en-GB"/>
        </w:rPr>
        <w:t>，必须把所有U</w:t>
      </w:r>
      <w:r>
        <w:rPr>
          <w:lang w:val="en-GB"/>
        </w:rPr>
        <w:t>PS的输出功率线缆连接在一起</w:t>
      </w:r>
      <w:r>
        <w:rPr>
          <w:rFonts w:hint="eastAsia"/>
          <w:lang w:val="en-GB"/>
        </w:rPr>
        <w:t>。</w:t>
      </w:r>
    </w:p>
    <w:p>
      <w:pPr>
        <w:pStyle w:val="4"/>
        <w:numPr>
          <w:ilvl w:val="1"/>
          <w:numId w:val="9"/>
        </w:numPr>
        <w:rPr>
          <w:szCs w:val="22"/>
        </w:rPr>
      </w:pPr>
      <w:bookmarkStart w:id="529" w:name="_Toc512794913"/>
      <w:bookmarkStart w:id="530" w:name="_Toc181760641"/>
      <w:bookmarkStart w:id="531" w:name="_Toc284074964"/>
      <w:bookmarkStart w:id="532" w:name="_Toc101847580"/>
      <w:bookmarkStart w:id="533" w:name="_Toc350160924"/>
      <w:bookmarkStart w:id="534" w:name="_Toc139190089"/>
      <w:bookmarkStart w:id="535" w:name="_Toc43197627"/>
      <w:bookmarkStart w:id="536" w:name="_Toc512442505"/>
      <w:bookmarkStart w:id="537" w:name="_Toc43267947"/>
      <w:bookmarkStart w:id="538" w:name="_Toc181776207"/>
      <w:bookmarkStart w:id="539" w:name="_Toc464659046"/>
      <w:bookmarkStart w:id="540" w:name="_Toc417904359"/>
      <w:bookmarkStart w:id="541" w:name="_Toc17097"/>
      <w:r>
        <w:rPr>
          <w:rFonts w:hint="eastAsia"/>
          <w:szCs w:val="22"/>
        </w:rPr>
        <w:t>并机系统的安装</w:t>
      </w:r>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3"/>
      </w:pPr>
      <w:r>
        <w:rPr>
          <w:rFonts w:hint="eastAsia"/>
        </w:rPr>
        <w:t>并机系统的基本安装步骤与单机系统相同。本节只描述并机系统安装与单机系统安装的不同之处。应按照单机系统的安装步骤和本节要求进行并机系统的安装。</w:t>
      </w:r>
    </w:p>
    <w:tbl>
      <w:tblPr>
        <w:tblStyle w:val="50"/>
        <w:tblW w:w="9375"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375" w:type="dxa"/>
            <w:vAlign w:val="center"/>
          </w:tcPr>
          <w:p>
            <w:pPr>
              <w:pStyle w:val="72"/>
              <w:spacing w:before="46" w:beforeLines="15" w:line="276" w:lineRule="auto"/>
              <w:jc w:val="both"/>
            </w:pPr>
            <w:r>
              <w:drawing>
                <wp:inline distT="0" distB="0" distL="0" distR="0">
                  <wp:extent cx="725170" cy="315595"/>
                  <wp:effectExtent l="0" t="0" r="0" b="8255"/>
                  <wp:docPr id="43" name="图片 43"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ascii="黑体" w:eastAsia="黑体"/>
              </w:rPr>
              <w:t>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375" w:type="dxa"/>
            <w:vAlign w:val="center"/>
          </w:tcPr>
          <w:p>
            <w:pPr>
              <w:pStyle w:val="73"/>
            </w:pPr>
            <w:r>
              <w:rPr>
                <w:rFonts w:hint="eastAsia"/>
              </w:rPr>
              <w:t>为确保并机系统正常运行，必须由厂家专业维护人员进行CAN电阻匹配操作，否则将引起系统故障。</w:t>
            </w:r>
          </w:p>
        </w:tc>
      </w:tr>
    </w:tbl>
    <w:p>
      <w:pPr>
        <w:pStyle w:val="5"/>
        <w:numPr>
          <w:ilvl w:val="2"/>
          <w:numId w:val="9"/>
        </w:numPr>
        <w:rPr>
          <w:szCs w:val="22"/>
        </w:rPr>
      </w:pPr>
      <w:bookmarkStart w:id="542" w:name="_Toc181776208"/>
      <w:bookmarkStart w:id="543" w:name="_Toc512794914"/>
      <w:bookmarkStart w:id="544" w:name="_Toc101847581"/>
      <w:bookmarkStart w:id="545" w:name="_Toc181760642"/>
      <w:bookmarkStart w:id="546" w:name="_Toc284074965"/>
      <w:bookmarkStart w:id="547" w:name="_Toc417904360"/>
      <w:bookmarkStart w:id="548" w:name="_Toc464659047"/>
      <w:bookmarkStart w:id="549" w:name="_Toc512442506"/>
      <w:bookmarkStart w:id="550" w:name="_Toc1459"/>
      <w:bookmarkStart w:id="551" w:name="_Toc43267948"/>
      <w:bookmarkStart w:id="552" w:name="_Toc43197628"/>
      <w:bookmarkStart w:id="553" w:name="_Toc350160925"/>
      <w:bookmarkStart w:id="554" w:name="_Toc139190090"/>
      <w:r>
        <w:rPr>
          <w:rFonts w:hint="eastAsia"/>
          <w:szCs w:val="22"/>
        </w:rPr>
        <w:t>初检</w:t>
      </w:r>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3"/>
      </w:pPr>
      <w:r>
        <w:rPr>
          <w:rFonts w:hint="eastAsia"/>
        </w:rPr>
        <w:t>正确选择并机电缆选件，确认各单机具有相同的容量、型号、匹配的软件和硬件版本。</w:t>
      </w:r>
    </w:p>
    <w:tbl>
      <w:tblPr>
        <w:tblStyle w:val="50"/>
        <w:tblW w:w="9375"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375" w:type="dxa"/>
            <w:vAlign w:val="center"/>
          </w:tcPr>
          <w:p>
            <w:pPr>
              <w:pStyle w:val="72"/>
              <w:spacing w:before="46" w:beforeLines="15" w:line="276" w:lineRule="auto"/>
              <w:jc w:val="both"/>
            </w:pPr>
            <w:r>
              <w:drawing>
                <wp:inline distT="0" distB="0" distL="0" distR="0">
                  <wp:extent cx="725170" cy="315595"/>
                  <wp:effectExtent l="0" t="0" r="0" b="8255"/>
                  <wp:docPr id="42" name="图片 42"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ascii="黑体" w:eastAsia="黑体"/>
              </w:rPr>
              <w:t>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375" w:type="dxa"/>
            <w:vAlign w:val="center"/>
          </w:tcPr>
          <w:p>
            <w:pPr>
              <w:pStyle w:val="73"/>
            </w:pPr>
            <w:r>
              <w:rPr>
                <w:rFonts w:hint="eastAsia"/>
              </w:rPr>
              <w:t>为了使各单机在并机系统中协调运行，需要用后台软件对系统中各单机进行独立设置，该设置必须由厂家专业维护人员来完成。</w:t>
            </w:r>
          </w:p>
        </w:tc>
      </w:tr>
    </w:tbl>
    <w:p>
      <w:pPr>
        <w:pStyle w:val="5"/>
        <w:numPr>
          <w:ilvl w:val="2"/>
          <w:numId w:val="9"/>
        </w:numPr>
        <w:rPr>
          <w:szCs w:val="22"/>
        </w:rPr>
      </w:pPr>
      <w:bookmarkStart w:id="555" w:name="_Toc12022"/>
      <w:bookmarkStart w:id="556" w:name="_Toc181760643"/>
      <w:bookmarkStart w:id="557" w:name="_Toc464659048"/>
      <w:bookmarkStart w:id="558" w:name="_Toc512442507"/>
      <w:bookmarkStart w:id="559" w:name="_Toc284074966"/>
      <w:bookmarkStart w:id="560" w:name="_Toc181776209"/>
      <w:bookmarkStart w:id="561" w:name="_Toc512794915"/>
      <w:bookmarkStart w:id="562" w:name="_Toc350160926"/>
      <w:bookmarkStart w:id="563" w:name="_Toc417904361"/>
      <w:r>
        <w:rPr>
          <w:rFonts w:hint="eastAsia"/>
          <w:szCs w:val="22"/>
        </w:rPr>
        <w:t>机柜安装</w:t>
      </w:r>
      <w:bookmarkEnd w:id="555"/>
      <w:bookmarkEnd w:id="556"/>
      <w:bookmarkEnd w:id="557"/>
      <w:bookmarkEnd w:id="558"/>
      <w:bookmarkEnd w:id="559"/>
      <w:bookmarkEnd w:id="560"/>
      <w:bookmarkEnd w:id="561"/>
      <w:bookmarkEnd w:id="562"/>
      <w:bookmarkEnd w:id="563"/>
    </w:p>
    <w:p>
      <w:pPr>
        <w:pStyle w:val="3"/>
      </w:pPr>
      <w:r>
        <w:rPr>
          <w:rFonts w:hint="eastAsia"/>
        </w:rPr>
        <w:t>并排放置各单机，并按图7-1所示进行各单机间的连接。推荐选用图7</w:t>
      </w:r>
      <w:r>
        <w:t>-</w:t>
      </w:r>
      <w:r>
        <w:rPr>
          <w:rFonts w:hint="eastAsia"/>
        </w:rPr>
        <w:t>1所示输出配电方式（其中</w:t>
      </w:r>
      <w:r>
        <w:t>Q1</w:t>
      </w:r>
      <w:r>
        <w:rPr>
          <w:rFonts w:hint="eastAsia"/>
        </w:rPr>
        <w:t>1，</w:t>
      </w:r>
      <w:r>
        <w:t>Q2</w:t>
      </w:r>
      <w:r>
        <w:rPr>
          <w:rFonts w:hint="eastAsia"/>
        </w:rPr>
        <w:t>1必须配置）以方便维护和系统测试。</w:t>
      </w:r>
    </w:p>
    <w:p>
      <w:pPr>
        <w:pStyle w:val="3"/>
        <w:ind w:left="0"/>
        <w:jc w:val="center"/>
      </w:pPr>
      <w:r>
        <w:object>
          <v:shape id="_x0000_i1033" o:spt="75" type="#_x0000_t75" style="height:295.9pt;width:379.9pt;" o:ole="t" filled="f" o:preferrelative="t" stroked="f" coordsize="21600,21600">
            <v:path/>
            <v:fill on="f" focussize="0,0"/>
            <v:stroke on="f" joinstyle="miter"/>
            <v:imagedata r:id="rId106" o:title=""/>
            <o:lock v:ext="edit" aspectratio="t"/>
            <w10:wrap type="none"/>
            <w10:anchorlock/>
          </v:shape>
          <o:OLEObject Type="Embed" ProgID="Visio.Drawing.11" ShapeID="_x0000_i1033" DrawAspect="Content" ObjectID="_1468075733" r:id="rId105">
            <o:LockedField>false</o:LockedField>
          </o:OLEObject>
        </w:object>
      </w:r>
    </w:p>
    <w:p>
      <w:pPr>
        <w:pStyle w:val="83"/>
        <w:numPr>
          <w:ilvl w:val="6"/>
          <w:numId w:val="4"/>
        </w:numPr>
        <w:rPr>
          <w:lang w:val="en-GB"/>
        </w:rPr>
      </w:pPr>
      <w:r>
        <w:rPr>
          <w:rFonts w:hint="eastAsia"/>
          <w:lang w:val="en-GB"/>
        </w:rPr>
        <w:t>典型并机系统原理图</w:t>
      </w:r>
    </w:p>
    <w:p>
      <w:pPr>
        <w:pStyle w:val="5"/>
        <w:numPr>
          <w:ilvl w:val="2"/>
          <w:numId w:val="9"/>
        </w:numPr>
        <w:rPr>
          <w:szCs w:val="22"/>
        </w:rPr>
      </w:pPr>
      <w:bookmarkStart w:id="564" w:name="_Toc284074968"/>
      <w:bookmarkStart w:id="565" w:name="_Toc181760645"/>
      <w:bookmarkStart w:id="566" w:name="_Toc181776211"/>
      <w:bookmarkStart w:id="567" w:name="_Toc464659049"/>
      <w:bookmarkStart w:id="568" w:name="_Toc350160927"/>
      <w:bookmarkStart w:id="569" w:name="_Toc139190093"/>
      <w:bookmarkStart w:id="570" w:name="_Toc101847583"/>
      <w:bookmarkStart w:id="571" w:name="_Toc43197630"/>
      <w:bookmarkStart w:id="572" w:name="_Toc512442508"/>
      <w:bookmarkStart w:id="573" w:name="_Toc417904362"/>
      <w:bookmarkStart w:id="574" w:name="_Toc23195"/>
      <w:bookmarkStart w:id="575" w:name="_Toc43267950"/>
      <w:bookmarkStart w:id="576" w:name="_Toc512794916"/>
      <w:r>
        <w:rPr>
          <w:rFonts w:hint="eastAsia"/>
          <w:szCs w:val="22"/>
        </w:rPr>
        <w:t>功率电缆</w:t>
      </w:r>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3"/>
        <w:rPr>
          <w:i/>
          <w:iCs/>
        </w:rPr>
      </w:pPr>
      <w:bookmarkStart w:id="577" w:name="_Hlt324167757"/>
      <w:r>
        <w:rPr>
          <w:rFonts w:hint="eastAsia"/>
        </w:rPr>
        <w:t>功率电缆配线与单机系统类似，</w:t>
      </w:r>
      <w:bookmarkStart w:id="578" w:name="_Hlt324232730"/>
      <w:r>
        <w:rPr>
          <w:rFonts w:hint="eastAsia"/>
        </w:rPr>
        <w:t>参见</w:t>
      </w:r>
      <w:r>
        <w:rPr>
          <w:rFonts w:hint="eastAsia"/>
          <w:b/>
          <w:iCs/>
        </w:rPr>
        <w:t>3</w:t>
      </w:r>
      <w:r>
        <w:rPr>
          <w:b/>
          <w:iCs/>
        </w:rPr>
        <w:t xml:space="preserve">.1 </w:t>
      </w:r>
      <w:r>
        <w:rPr>
          <w:rFonts w:hint="eastAsia"/>
          <w:b/>
          <w:iCs/>
        </w:rPr>
        <w:t>功率电缆布线</w:t>
      </w:r>
      <w:r>
        <w:rPr>
          <w:rFonts w:hint="eastAsia"/>
        </w:rPr>
        <w:t>。</w:t>
      </w:r>
      <w:bookmarkEnd w:id="578"/>
    </w:p>
    <w:p>
      <w:pPr>
        <w:pStyle w:val="3"/>
        <w:rPr>
          <w:bCs/>
          <w:lang w:val="en-GB"/>
        </w:rPr>
      </w:pPr>
      <w:r>
        <w:rPr>
          <w:rFonts w:hint="eastAsia"/>
        </w:rPr>
        <w:t>旁路和主路输入电源必须使用同一N线输入端子。假如输</w:t>
      </w:r>
      <w:bookmarkStart w:id="579" w:name="_Hlt324171884"/>
      <w:bookmarkEnd w:id="579"/>
      <w:r>
        <w:rPr>
          <w:rFonts w:hint="eastAsia"/>
        </w:rPr>
        <w:t>入有漏电流保护器件</w:t>
      </w:r>
      <w:r>
        <w:rPr>
          <w:rFonts w:hint="eastAsia"/>
          <w:bCs/>
          <w:lang w:val="en-GB"/>
        </w:rPr>
        <w:t>，那么漏电流保护器件必须安装在输入电缆进入N线输入端子前。</w:t>
      </w:r>
    </w:p>
    <w:tbl>
      <w:tblPr>
        <w:tblStyle w:val="50"/>
        <w:tblW w:w="9337"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3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37" w:type="dxa"/>
            <w:vAlign w:val="center"/>
          </w:tcPr>
          <w:p>
            <w:pPr>
              <w:pStyle w:val="72"/>
              <w:spacing w:before="46" w:beforeLines="15" w:line="276" w:lineRule="auto"/>
              <w:jc w:val="both"/>
            </w:pPr>
            <w:r>
              <w:drawing>
                <wp:inline distT="0" distB="0" distL="0" distR="0">
                  <wp:extent cx="362585" cy="315595"/>
                  <wp:effectExtent l="0" t="0" r="0" b="8255"/>
                  <wp:docPr id="41" name="图片 41"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r="49123"/>
                          <a:stretch>
                            <a:fillRect/>
                          </a:stretch>
                        </pic:blipFill>
                        <pic:spPr>
                          <a:xfrm>
                            <a:off x="0" y="0"/>
                            <a:ext cx="362585" cy="315595"/>
                          </a:xfrm>
                          <a:prstGeom prst="rect">
                            <a:avLst/>
                          </a:prstGeom>
                          <a:noFill/>
                          <a:ln>
                            <a:noFill/>
                          </a:ln>
                        </pic:spPr>
                      </pic:pic>
                    </a:graphicData>
                  </a:graphic>
                </wp:inline>
              </w:drawing>
            </w:r>
            <w:r>
              <w:rPr>
                <w:rFonts w:hint="eastAsia" w:ascii="黑体" w:eastAsia="黑体"/>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37" w:type="dxa"/>
            <w:tcMar>
              <w:top w:w="28" w:type="dxa"/>
            </w:tcMar>
            <w:vAlign w:val="center"/>
          </w:tcPr>
          <w:p>
            <w:pPr>
              <w:pStyle w:val="73"/>
            </w:pPr>
            <w:r>
              <w:rPr>
                <w:rFonts w:hint="eastAsia"/>
                <w:bCs/>
                <w:lang w:val="en-GB"/>
              </w:rPr>
              <w:t>各单机功率电缆（</w:t>
            </w:r>
            <w:r>
              <w:rPr>
                <w:rFonts w:hint="eastAsia"/>
                <w:lang w:val="en-GB"/>
              </w:rPr>
              <w:t>包括旁路输入电缆和UPS输出电缆</w:t>
            </w:r>
            <w:r>
              <w:rPr>
                <w:rFonts w:hint="eastAsia"/>
                <w:bCs/>
                <w:lang w:val="en-GB"/>
              </w:rPr>
              <w:t>）</w:t>
            </w:r>
            <w:r>
              <w:rPr>
                <w:rFonts w:hint="eastAsia"/>
                <w:lang w:val="en-GB"/>
              </w:rPr>
              <w:t>的长度和规格应该相同，以利于均流。</w:t>
            </w:r>
          </w:p>
        </w:tc>
      </w:tr>
      <w:bookmarkEnd w:id="577"/>
    </w:tbl>
    <w:p>
      <w:pPr>
        <w:pStyle w:val="5"/>
        <w:numPr>
          <w:ilvl w:val="2"/>
          <w:numId w:val="9"/>
        </w:numPr>
        <w:rPr>
          <w:szCs w:val="22"/>
        </w:rPr>
      </w:pPr>
      <w:bookmarkStart w:id="580" w:name="_Toc10512"/>
      <w:bookmarkStart w:id="581" w:name="_Toc512794917"/>
      <w:bookmarkStart w:id="582" w:name="_Toc181776212"/>
      <w:bookmarkStart w:id="583" w:name="_Toc417904363"/>
      <w:bookmarkStart w:id="584" w:name="_Toc284074969"/>
      <w:bookmarkStart w:id="585" w:name="_Toc43267951"/>
      <w:bookmarkStart w:id="586" w:name="_Toc139190094"/>
      <w:bookmarkStart w:id="587" w:name="_Toc350160928"/>
      <w:bookmarkStart w:id="588" w:name="_Toc181760646"/>
      <w:bookmarkStart w:id="589" w:name="_Toc43197631"/>
      <w:bookmarkStart w:id="590" w:name="_Toc464659050"/>
      <w:bookmarkStart w:id="591" w:name="_Toc512442509"/>
      <w:bookmarkStart w:id="592" w:name="_Toc101847584"/>
      <w:r>
        <w:rPr>
          <w:rFonts w:hint="eastAsia"/>
          <w:szCs w:val="22"/>
        </w:rPr>
        <w:t>并机匹配电阻</w:t>
      </w:r>
      <w:bookmarkEnd w:id="580"/>
    </w:p>
    <w:p>
      <w:pPr>
        <w:pStyle w:val="3"/>
        <w:ind w:firstLine="170"/>
        <w:rPr>
          <w:lang w:val="pt-BR"/>
        </w:rPr>
      </w:pPr>
      <w:r>
        <w:rPr>
          <w:rFonts w:hint="eastAsia"/>
          <w:lang w:val="pt-BR"/>
        </w:rPr>
        <w:t>如图7-2 所示，为并机匹配电阻的插座，单机标配并机匹配电阻插头。该匹配电阻需要按照以下要求安装，不然会导致并机失败等问题。</w:t>
      </w:r>
    </w:p>
    <w:p>
      <w:pPr>
        <w:pStyle w:val="3"/>
        <w:ind w:firstLine="170"/>
        <w:rPr>
          <w:lang w:val="pt-BR"/>
        </w:rPr>
      </w:pPr>
      <w:r>
        <w:rPr>
          <w:rFonts w:hint="eastAsia"/>
          <w:lang w:val="pt-BR"/>
        </w:rPr>
        <w:t>两并机的时候：并机匹配电阻插头，都必须要插上。</w:t>
      </w:r>
    </w:p>
    <w:p>
      <w:pPr>
        <w:pStyle w:val="3"/>
        <w:ind w:firstLine="170"/>
        <w:rPr>
          <w:lang w:val="pt-BR"/>
        </w:rPr>
      </w:pPr>
      <w:r>
        <w:rPr>
          <w:rFonts w:hint="eastAsia"/>
          <w:lang w:val="pt-BR"/>
        </w:rPr>
        <w:t>三并机的时候：需要拔掉2#机的并机匹配电阻插头，1#和3#的并机匹配电阻插头必须要确认插好。</w:t>
      </w:r>
    </w:p>
    <w:p>
      <w:pPr>
        <w:pStyle w:val="3"/>
        <w:ind w:firstLine="170"/>
        <w:rPr>
          <w:lang w:val="pt-BR"/>
        </w:rPr>
      </w:pPr>
      <w:r>
        <w:rPr>
          <w:rFonts w:hint="eastAsia"/>
          <w:lang w:val="pt-BR"/>
        </w:rPr>
        <w:t>四并机的时候：需要拔掉2#和3#机的并机匹配电阻插头，1#和4#的并机匹配电阻插头必须要确认插好。</w:t>
      </w:r>
    </w:p>
    <w:p>
      <w:pPr>
        <w:pStyle w:val="3"/>
        <w:ind w:left="0"/>
        <w:jc w:val="center"/>
        <w:rPr>
          <w:lang w:val="pt-BR"/>
        </w:rPr>
      </w:pPr>
      <w:r>
        <w:rPr>
          <w:rFonts w:hint="eastAsia"/>
        </w:rPr>
        <w:drawing>
          <wp:inline distT="0" distB="0" distL="0" distR="0">
            <wp:extent cx="3893820" cy="141859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a:xfrm>
                      <a:off x="0" y="0"/>
                      <a:ext cx="3893820" cy="1418590"/>
                    </a:xfrm>
                    <a:prstGeom prst="rect">
                      <a:avLst/>
                    </a:prstGeom>
                    <a:noFill/>
                    <a:ln>
                      <a:noFill/>
                    </a:ln>
                  </pic:spPr>
                </pic:pic>
              </a:graphicData>
            </a:graphic>
          </wp:inline>
        </w:drawing>
      </w:r>
    </w:p>
    <w:p>
      <w:pPr>
        <w:pStyle w:val="3"/>
        <w:ind w:left="0"/>
        <w:jc w:val="center"/>
        <w:rPr>
          <w:lang w:val="pt-BR"/>
        </w:rPr>
      </w:pPr>
      <w:r>
        <w:drawing>
          <wp:inline distT="0" distB="0" distL="0" distR="0">
            <wp:extent cx="1482090" cy="1261110"/>
            <wp:effectExtent l="0" t="0" r="3810" b="0"/>
            <wp:docPr id="39" name="图片 39" descr="157382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157382291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1482090" cy="1261110"/>
                    </a:xfrm>
                    <a:prstGeom prst="rect">
                      <a:avLst/>
                    </a:prstGeom>
                    <a:noFill/>
                    <a:ln>
                      <a:noFill/>
                    </a:ln>
                  </pic:spPr>
                </pic:pic>
              </a:graphicData>
            </a:graphic>
          </wp:inline>
        </w:drawing>
      </w:r>
    </w:p>
    <w:p>
      <w:pPr>
        <w:pStyle w:val="83"/>
        <w:numPr>
          <w:ilvl w:val="6"/>
          <w:numId w:val="4"/>
        </w:numPr>
        <w:rPr>
          <w:lang w:val="en-GB"/>
        </w:rPr>
      </w:pPr>
      <w:r>
        <w:rPr>
          <w:rFonts w:hint="eastAsia"/>
          <w:lang w:val="en-GB"/>
        </w:rPr>
        <w:t>并机匹配电阻插座及插头</w:t>
      </w:r>
    </w:p>
    <w:p>
      <w:pPr>
        <w:pStyle w:val="5"/>
        <w:numPr>
          <w:ilvl w:val="2"/>
          <w:numId w:val="9"/>
        </w:numPr>
        <w:rPr>
          <w:szCs w:val="22"/>
        </w:rPr>
      </w:pPr>
      <w:bookmarkStart w:id="593" w:name="_Toc12915"/>
      <w:r>
        <w:rPr>
          <w:rFonts w:hint="eastAsia"/>
          <w:szCs w:val="22"/>
          <w:lang w:val="en-GB"/>
        </w:rPr>
        <w:t>并机</w:t>
      </w:r>
      <w:r>
        <w:rPr>
          <w:rFonts w:hint="eastAsia"/>
          <w:szCs w:val="22"/>
        </w:rPr>
        <w:t>电缆</w:t>
      </w:r>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3"/>
        <w:ind w:firstLine="170"/>
        <w:rPr>
          <w:lang w:val="en-GB"/>
        </w:rPr>
      </w:pPr>
      <w:r>
        <w:rPr>
          <w:rFonts w:hint="eastAsia"/>
          <w:lang w:val="en-GB"/>
        </w:rPr>
        <w:t>旁路模块前面板提供并机接口J1。提供</w:t>
      </w:r>
      <w:r>
        <w:rPr>
          <w:lang w:val="en-GB"/>
        </w:rPr>
        <w:t>5m</w:t>
      </w:r>
      <w:r>
        <w:rPr>
          <w:rFonts w:hint="eastAsia"/>
          <w:lang w:val="en-GB"/>
        </w:rPr>
        <w:t>、</w:t>
      </w:r>
      <w:r>
        <w:rPr>
          <w:lang w:val="en-GB"/>
        </w:rPr>
        <w:t>10m</w:t>
      </w:r>
      <w:r>
        <w:rPr>
          <w:rFonts w:hint="eastAsia"/>
          <w:lang w:val="en-GB"/>
        </w:rPr>
        <w:t>和</w:t>
      </w:r>
      <w:r>
        <w:rPr>
          <w:lang w:val="en-GB"/>
        </w:rPr>
        <w:t>15m</w:t>
      </w:r>
      <w:r>
        <w:rPr>
          <w:rFonts w:hint="eastAsia"/>
          <w:lang w:val="en-GB"/>
        </w:rPr>
        <w:t>三种不同长度的双层绝缘屏蔽并机电缆，必须连接在所有单机之间，形成闭环，如图</w:t>
      </w:r>
      <w:r>
        <w:rPr>
          <w:rFonts w:hint="eastAsia"/>
        </w:rPr>
        <w:t>7</w:t>
      </w:r>
      <w:r>
        <w:rPr>
          <w:rFonts w:hint="eastAsia"/>
          <w:lang w:val="en-GB"/>
        </w:rPr>
        <w:t>-</w:t>
      </w:r>
      <w:r>
        <w:rPr>
          <w:lang w:val="en-GB"/>
        </w:rPr>
        <w:t>3</w:t>
      </w:r>
      <w:r>
        <w:rPr>
          <w:rFonts w:hint="eastAsia"/>
          <w:lang w:val="en-GB"/>
        </w:rPr>
        <w:t>所示。</w:t>
      </w:r>
    </w:p>
    <w:p>
      <w:pPr>
        <w:pStyle w:val="3"/>
        <w:ind w:firstLine="170"/>
        <w:rPr>
          <w:lang w:val="en-GB"/>
        </w:rPr>
      </w:pPr>
      <w:r>
        <w:rPr>
          <w:rFonts w:hint="eastAsia"/>
          <w:lang w:val="en-GB"/>
        </w:rPr>
        <w:t>此闭环连接为并机系统控制的可靠性提供了保证。开机前必须确</w:t>
      </w:r>
      <w:bookmarkStart w:id="594" w:name="_Hlt324231702"/>
      <w:bookmarkEnd w:id="594"/>
      <w:r>
        <w:rPr>
          <w:rFonts w:hint="eastAsia"/>
          <w:lang w:val="en-GB"/>
        </w:rPr>
        <w:t>保电缆连接牢靠！</w:t>
      </w:r>
    </w:p>
    <w:p>
      <w:pPr>
        <w:pStyle w:val="3"/>
        <w:ind w:left="0" w:firstLine="170"/>
        <w:jc w:val="center"/>
        <w:rPr>
          <w:lang w:val="en-GB"/>
        </w:rPr>
      </w:pPr>
      <w:r>
        <w:rPr>
          <w:rFonts w:hint="eastAsia"/>
        </w:rPr>
        <w:drawing>
          <wp:inline distT="0" distB="0" distL="0" distR="0">
            <wp:extent cx="5612765" cy="1245235"/>
            <wp:effectExtent l="0" t="0" r="6985"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a:xfrm>
                      <a:off x="0" y="0"/>
                      <a:ext cx="5612765" cy="1245235"/>
                    </a:xfrm>
                    <a:prstGeom prst="rect">
                      <a:avLst/>
                    </a:prstGeom>
                    <a:noFill/>
                    <a:ln>
                      <a:noFill/>
                    </a:ln>
                  </pic:spPr>
                </pic:pic>
              </a:graphicData>
            </a:graphic>
          </wp:inline>
        </w:drawing>
      </w:r>
    </w:p>
    <w:p>
      <w:pPr>
        <w:pStyle w:val="83"/>
        <w:numPr>
          <w:ilvl w:val="6"/>
          <w:numId w:val="4"/>
        </w:numPr>
        <w:rPr>
          <w:lang w:val="en-GB"/>
        </w:rPr>
      </w:pPr>
      <w:bookmarkStart w:id="595" w:name="_Hlt139168726"/>
      <w:r>
        <w:rPr>
          <w:rFonts w:hint="eastAsia"/>
          <w:lang w:val="en-GB"/>
        </w:rPr>
        <w:t>并机系统并机电缆</w:t>
      </w:r>
      <w:bookmarkEnd w:id="595"/>
      <w:r>
        <w:rPr>
          <w:rFonts w:hint="eastAsia"/>
          <w:lang w:val="en-GB"/>
        </w:rPr>
        <w:t>连接</w:t>
      </w:r>
    </w:p>
    <w:p>
      <w:pPr>
        <w:pStyle w:val="5"/>
        <w:numPr>
          <w:ilvl w:val="2"/>
          <w:numId w:val="9"/>
        </w:numPr>
        <w:rPr>
          <w:szCs w:val="22"/>
        </w:rPr>
      </w:pPr>
      <w:bookmarkStart w:id="596" w:name="_Toc417904364"/>
      <w:bookmarkStart w:id="597" w:name="_Toc15675"/>
      <w:bookmarkStart w:id="598" w:name="_Toc464659051"/>
      <w:bookmarkStart w:id="599" w:name="_Toc512442510"/>
      <w:bookmarkStart w:id="600" w:name="_Toc324167602"/>
      <w:bookmarkStart w:id="601" w:name="_Toc350160929"/>
      <w:bookmarkStart w:id="602" w:name="_Toc512794918"/>
      <w:r>
        <w:rPr>
          <w:rFonts w:hint="eastAsia"/>
          <w:szCs w:val="22"/>
        </w:rPr>
        <w:t>远程</w:t>
      </w:r>
      <w:bookmarkStart w:id="603" w:name="_Hlt324170677"/>
      <w:r>
        <w:rPr>
          <w:rFonts w:hint="eastAsia"/>
          <w:szCs w:val="22"/>
        </w:rPr>
        <w:t>紧急停机</w:t>
      </w:r>
      <w:bookmarkEnd w:id="596"/>
      <w:bookmarkEnd w:id="597"/>
      <w:bookmarkEnd w:id="598"/>
      <w:bookmarkEnd w:id="599"/>
      <w:bookmarkEnd w:id="600"/>
      <w:bookmarkEnd w:id="601"/>
      <w:bookmarkEnd w:id="602"/>
      <w:bookmarkEnd w:id="603"/>
    </w:p>
    <w:p>
      <w:pPr>
        <w:pStyle w:val="3"/>
        <w:ind w:firstLine="170"/>
      </w:pPr>
      <w:r>
        <w:rPr>
          <w:rFonts w:hint="eastAsia"/>
        </w:rPr>
        <w:t>除每个单机的</w:t>
      </w:r>
      <w:bookmarkStart w:id="604" w:name="_Hlt324172891"/>
      <w:bookmarkEnd w:id="604"/>
      <w:r>
        <w:rPr>
          <w:rFonts w:hint="eastAsia"/>
        </w:rPr>
        <w:t>操作控制显示面板提供一个紧急停机（EPO）开关，分别控制该单机的紧急停机外，并机系统还支持远程紧急停机功能，从远端控制各单机同时关机。EPO连接如图7-</w:t>
      </w:r>
      <w:r>
        <w:t>4</w:t>
      </w:r>
      <w:r>
        <w:rPr>
          <w:rFonts w:hint="eastAsia"/>
        </w:rPr>
        <w:t>所示，左边视图为常闭状态按钮接线方式，右边视图为常开状态按钮接线方式。</w:t>
      </w:r>
    </w:p>
    <w:tbl>
      <w:tblPr>
        <w:tblStyle w:val="50"/>
        <w:tblW w:w="9365"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365" w:type="dxa"/>
            <w:vAlign w:val="center"/>
          </w:tcPr>
          <w:p>
            <w:pPr>
              <w:pStyle w:val="72"/>
              <w:spacing w:before="46" w:beforeLines="15" w:line="276" w:lineRule="auto"/>
              <w:jc w:val="both"/>
            </w:pPr>
            <w:r>
              <w:drawing>
                <wp:inline distT="0" distB="0" distL="0" distR="0">
                  <wp:extent cx="362585" cy="315595"/>
                  <wp:effectExtent l="0" t="0" r="0" b="8255"/>
                  <wp:docPr id="37" name="图片 37"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r="49123"/>
                          <a:stretch>
                            <a:fillRect/>
                          </a:stretch>
                        </pic:blipFill>
                        <pic:spPr>
                          <a:xfrm>
                            <a:off x="0" y="0"/>
                            <a:ext cx="362585" cy="315595"/>
                          </a:xfrm>
                          <a:prstGeom prst="rect">
                            <a:avLst/>
                          </a:prstGeom>
                          <a:noFill/>
                          <a:ln>
                            <a:noFill/>
                          </a:ln>
                        </pic:spPr>
                      </pic:pic>
                    </a:graphicData>
                  </a:graphic>
                </wp:inline>
              </w:drawing>
            </w:r>
            <w:r>
              <w:rPr>
                <w:rFonts w:hint="eastAsia" w:ascii="黑体" w:eastAsia="黑体"/>
              </w:rPr>
              <w:t>注意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365" w:type="dxa"/>
            <w:vAlign w:val="center"/>
          </w:tcPr>
          <w:p>
            <w:pPr>
              <w:pStyle w:val="73"/>
            </w:pPr>
            <w:r>
              <w:rPr>
                <w:rFonts w:hint="eastAsia"/>
              </w:rPr>
              <w:t>1．远程</w:t>
            </w:r>
            <w:bookmarkStart w:id="605" w:name="_Hlt324406975"/>
            <w:r>
              <w:rPr>
                <w:rFonts w:hint="eastAsia"/>
              </w:rPr>
              <w:t>紧急停机开</w:t>
            </w:r>
            <w:bookmarkEnd w:id="605"/>
            <w:r>
              <w:rPr>
                <w:rFonts w:hint="eastAsia"/>
              </w:rPr>
              <w:t>关必须提供干接点信号，正常为常开或常闭。</w:t>
            </w:r>
          </w:p>
          <w:p>
            <w:pPr>
              <w:pStyle w:val="73"/>
            </w:pPr>
            <w:r>
              <w:rPr>
                <w:rFonts w:hint="eastAsia"/>
              </w:rPr>
              <w:t>2．提供的开路电压为</w:t>
            </w:r>
            <w:r>
              <w:t>12Vdc，</w:t>
            </w:r>
            <w:r>
              <w:rPr>
                <w:rFonts w:hint="eastAsia" w:ascii="宋体" w:hAnsi="宋体"/>
              </w:rPr>
              <w:t>＜</w:t>
            </w:r>
            <w:r>
              <w:t>20mA</w:t>
            </w:r>
            <w:r>
              <w:rPr>
                <w:rFonts w:hint="eastAsia"/>
              </w:rPr>
              <w:t>。</w:t>
            </w:r>
          </w:p>
          <w:p>
            <w:pPr>
              <w:pStyle w:val="73"/>
            </w:pPr>
            <w:r>
              <w:rPr>
                <w:rFonts w:hint="eastAsia"/>
              </w:rPr>
              <w:t>3．外部紧急停机可由另一套能够用于断开UPS市电或旁路输入的控制系统组成。</w:t>
            </w:r>
          </w:p>
          <w:p>
            <w:pPr>
              <w:pStyle w:val="73"/>
            </w:pPr>
            <w:r>
              <w:t>4</w:t>
            </w:r>
            <w:r>
              <w:rPr>
                <w:rFonts w:hint="eastAsia"/>
              </w:rPr>
              <w:t>．不管是常开状态还是常闭状态接线，都需要按图示线序来接，不能调换线序</w:t>
            </w:r>
          </w:p>
        </w:tc>
      </w:tr>
    </w:tbl>
    <w:p>
      <w:pPr>
        <w:pStyle w:val="79"/>
        <w:rPr>
          <w:lang w:val="en-GB"/>
        </w:rPr>
      </w:pPr>
    </w:p>
    <w:p>
      <w:pPr>
        <w:pStyle w:val="3"/>
        <w:ind w:left="0"/>
        <w:jc w:val="center"/>
        <w:rPr>
          <w:lang w:val="en-GB"/>
        </w:rPr>
      </w:pPr>
      <w:r>
        <w:drawing>
          <wp:inline distT="0" distB="0" distL="0" distR="0">
            <wp:extent cx="5423535" cy="2270125"/>
            <wp:effectExtent l="0" t="0" r="571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a:xfrm>
                      <a:off x="0" y="0"/>
                      <a:ext cx="5423535" cy="2270125"/>
                    </a:xfrm>
                    <a:prstGeom prst="rect">
                      <a:avLst/>
                    </a:prstGeom>
                    <a:noFill/>
                    <a:ln>
                      <a:noFill/>
                    </a:ln>
                  </pic:spPr>
                </pic:pic>
              </a:graphicData>
            </a:graphic>
          </wp:inline>
        </w:drawing>
      </w:r>
    </w:p>
    <w:p>
      <w:pPr>
        <w:pStyle w:val="83"/>
        <w:numPr>
          <w:ilvl w:val="6"/>
          <w:numId w:val="4"/>
        </w:numPr>
        <w:rPr>
          <w:lang w:val="en-GB"/>
        </w:rPr>
      </w:pPr>
      <w:r>
        <w:rPr>
          <w:rFonts w:hint="eastAsia"/>
          <w:lang w:val="en-GB"/>
        </w:rPr>
        <w:t>远程EPO电路连接图</w:t>
      </w:r>
    </w:p>
    <w:p>
      <w:pPr>
        <w:pStyle w:val="4"/>
        <w:numPr>
          <w:ilvl w:val="1"/>
          <w:numId w:val="9"/>
        </w:numPr>
        <w:rPr>
          <w:szCs w:val="22"/>
        </w:rPr>
      </w:pPr>
      <w:bookmarkStart w:id="606" w:name="_Toc512794919"/>
      <w:bookmarkStart w:id="607" w:name="_Toc417904365"/>
      <w:bookmarkStart w:id="608" w:name="_Toc22654"/>
      <w:bookmarkStart w:id="609" w:name="_Toc350160930"/>
      <w:bookmarkStart w:id="610" w:name="_Toc464659052"/>
      <w:bookmarkStart w:id="611" w:name="_Toc181760647"/>
      <w:bookmarkStart w:id="612" w:name="_Toc197242203"/>
      <w:bookmarkStart w:id="613" w:name="_Toc181776213"/>
      <w:bookmarkStart w:id="614" w:name="_Toc512442511"/>
      <w:r>
        <w:rPr>
          <w:rFonts w:hint="eastAsia"/>
          <w:szCs w:val="22"/>
        </w:rPr>
        <w:t>并机系统操作步骤</w:t>
      </w:r>
      <w:bookmarkEnd w:id="606"/>
      <w:bookmarkEnd w:id="607"/>
      <w:bookmarkEnd w:id="608"/>
      <w:bookmarkEnd w:id="609"/>
      <w:bookmarkEnd w:id="610"/>
      <w:bookmarkEnd w:id="611"/>
      <w:bookmarkEnd w:id="612"/>
      <w:bookmarkEnd w:id="613"/>
      <w:bookmarkEnd w:id="614"/>
    </w:p>
    <w:tbl>
      <w:tblPr>
        <w:tblStyle w:val="50"/>
        <w:tblW w:w="9365"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365" w:type="dxa"/>
            <w:vAlign w:val="center"/>
          </w:tcPr>
          <w:p>
            <w:pPr>
              <w:pStyle w:val="72"/>
              <w:spacing w:before="46" w:beforeLines="15" w:line="276" w:lineRule="auto"/>
              <w:jc w:val="both"/>
            </w:pPr>
            <w:r>
              <w:drawing>
                <wp:inline distT="0" distB="0" distL="0" distR="0">
                  <wp:extent cx="725170" cy="315595"/>
                  <wp:effectExtent l="0" t="0" r="0" b="8255"/>
                  <wp:docPr id="35" name="图片 35"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ascii="黑体" w:eastAsia="黑体"/>
              </w:rPr>
              <w:t>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right"/>
        </w:trPr>
        <w:tc>
          <w:tcPr>
            <w:tcW w:w="9365" w:type="dxa"/>
            <w:vAlign w:val="center"/>
          </w:tcPr>
          <w:p>
            <w:pPr>
              <w:pStyle w:val="73"/>
            </w:pPr>
            <w:r>
              <w:rPr>
                <w:rFonts w:hint="eastAsia"/>
              </w:rPr>
              <w:t>如果UPS输入使用漏电流检测装置（RCD），则只在系统的旁路市电使用差动开关。电气连接瞬间，电流可能不会马上分离，因此可能导致漏电流动作断路器（RCCB）分别跳闸。</w:t>
            </w:r>
          </w:p>
        </w:tc>
      </w:tr>
    </w:tbl>
    <w:p>
      <w:pPr>
        <w:pStyle w:val="79"/>
      </w:pPr>
    </w:p>
    <w:p>
      <w:pPr>
        <w:pStyle w:val="3"/>
      </w:pPr>
      <w:r>
        <w:rPr>
          <w:rFonts w:hint="eastAsia"/>
        </w:rPr>
        <w:t>必须一次执行一个步骤，且对每台单机操作完同一个步骤后，再进行下一步骤的操作。</w:t>
      </w:r>
    </w:p>
    <w:p>
      <w:pPr>
        <w:pStyle w:val="5"/>
        <w:numPr>
          <w:ilvl w:val="2"/>
          <w:numId w:val="9"/>
        </w:numPr>
        <w:rPr>
          <w:szCs w:val="22"/>
          <w:lang w:val="en-GB"/>
        </w:rPr>
      </w:pPr>
      <w:bookmarkStart w:id="615" w:name="_Ref228091260"/>
      <w:bookmarkStart w:id="616" w:name="_Toc197242204"/>
      <w:bookmarkStart w:id="617" w:name="_Toc181760648"/>
      <w:bookmarkStart w:id="618" w:name="_Toc139190098"/>
      <w:bookmarkStart w:id="619" w:name="_Ref228091263"/>
      <w:bookmarkStart w:id="620" w:name="_Toc181776214"/>
      <w:bookmarkStart w:id="621" w:name="_Toc512442512"/>
      <w:bookmarkStart w:id="622" w:name="_Toc658"/>
      <w:bookmarkStart w:id="623" w:name="_Toc512794920"/>
      <w:r>
        <w:rPr>
          <w:rFonts w:hint="eastAsia"/>
          <w:szCs w:val="22"/>
          <w:lang w:val="en-GB"/>
        </w:rPr>
        <w:t>开机步骤</w:t>
      </w:r>
      <w:bookmarkEnd w:id="615"/>
      <w:bookmarkEnd w:id="616"/>
      <w:bookmarkEnd w:id="617"/>
      <w:bookmarkEnd w:id="618"/>
      <w:bookmarkEnd w:id="619"/>
      <w:bookmarkEnd w:id="620"/>
      <w:r>
        <w:rPr>
          <w:rFonts w:hint="eastAsia"/>
          <w:szCs w:val="22"/>
          <w:lang w:val="en-GB"/>
        </w:rPr>
        <w:t>（进入正常模式）</w:t>
      </w:r>
      <w:bookmarkEnd w:id="621"/>
      <w:bookmarkEnd w:id="622"/>
      <w:bookmarkEnd w:id="623"/>
    </w:p>
    <w:p>
      <w:pPr>
        <w:pStyle w:val="3"/>
      </w:pPr>
      <w:r>
        <w:rPr>
          <w:rFonts w:hint="eastAsia"/>
        </w:rPr>
        <w:t>此</w:t>
      </w:r>
      <w:r>
        <w:rPr>
          <w:rFonts w:hint="eastAsia"/>
          <w:lang w:val="en-GB"/>
        </w:rPr>
        <w:t>操作</w:t>
      </w:r>
      <w:r>
        <w:rPr>
          <w:rFonts w:hint="eastAsia"/>
        </w:rPr>
        <w:t>步骤用于在UPS完全下电的情况下进行开机，即在此之前UPS未对负载供电或通过维修旁路开关给负载供电。确认UPS安装完毕，</w:t>
      </w:r>
      <w:bookmarkStart w:id="624" w:name="_Hlt324168437"/>
      <w:bookmarkEnd w:id="624"/>
      <w:r>
        <w:rPr>
          <w:rFonts w:hint="eastAsia"/>
        </w:rPr>
        <w:t>并已经由工程师调试正常，且外部电源开关已闭合。</w:t>
      </w:r>
    </w:p>
    <w:tbl>
      <w:tblPr>
        <w:tblStyle w:val="50"/>
        <w:tblW w:w="9365"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6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65" w:type="dxa"/>
            <w:tcBorders>
              <w:bottom w:val="nil"/>
            </w:tcBorders>
            <w:vAlign w:val="center"/>
          </w:tcPr>
          <w:p>
            <w:pPr>
              <w:pStyle w:val="72"/>
              <w:spacing w:before="46" w:beforeLines="15" w:line="276" w:lineRule="auto"/>
              <w:jc w:val="both"/>
            </w:pPr>
            <w:r>
              <w:drawing>
                <wp:inline distT="0" distB="0" distL="0" distR="0">
                  <wp:extent cx="725170" cy="315595"/>
                  <wp:effectExtent l="0" t="0" r="0" b="8255"/>
                  <wp:docPr id="34" name="图片 34"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ascii="黑体" w:eastAsia="黑体"/>
              </w:rPr>
              <w:t>警告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65" w:type="dxa"/>
            <w:vAlign w:val="center"/>
          </w:tcPr>
          <w:p>
            <w:pPr>
              <w:pStyle w:val="73"/>
              <w:rPr>
                <w:i/>
                <w:lang w:val="en-GB"/>
              </w:rPr>
            </w:pPr>
            <w:r>
              <w:rPr>
                <w:rFonts w:hint="eastAsia"/>
                <w:lang w:val="en-GB"/>
              </w:rPr>
              <w:t>此操作步骤将使UPS输出端子带电</w:t>
            </w:r>
            <w:r>
              <w:rPr>
                <w:rFonts w:hint="eastAsia"/>
              </w:rPr>
              <w:t>。如有负载与</w:t>
            </w:r>
            <w:r>
              <w:t>UPS</w:t>
            </w:r>
            <w:r>
              <w:rPr>
                <w:rFonts w:hint="eastAsia"/>
              </w:rPr>
              <w:t>输出端子相连接，请向用户确认给负载供电是否安全。如果负载尚未准备好接受供电，</w:t>
            </w:r>
            <w:r>
              <w:rPr>
                <w:rFonts w:hint="eastAsia"/>
                <w:lang w:val="en-GB"/>
              </w:rPr>
              <w:t>请断开下级负载连接开关，并在负载连接处贴上警告标签。</w:t>
            </w:r>
          </w:p>
        </w:tc>
      </w:tr>
    </w:tbl>
    <w:p>
      <w:pPr>
        <w:pStyle w:val="3"/>
      </w:pPr>
      <w:r>
        <w:rPr>
          <w:rFonts w:hint="eastAsia"/>
        </w:rPr>
        <w:t>以下开机步骤适用于在</w:t>
      </w:r>
      <w:r>
        <w:t>UPS</w:t>
      </w:r>
      <w:r>
        <w:rPr>
          <w:rFonts w:hint="eastAsia"/>
        </w:rPr>
        <w:t>处于完全断电状态下对</w:t>
      </w:r>
      <w:r>
        <w:t>UPS</w:t>
      </w:r>
      <w:r>
        <w:rPr>
          <w:rFonts w:hint="eastAsia"/>
        </w:rPr>
        <w:t>进行开机。</w:t>
      </w:r>
    </w:p>
    <w:p>
      <w:pPr>
        <w:pStyle w:val="3"/>
      </w:pPr>
      <w:r>
        <w:rPr>
          <w:rFonts w:hint="eastAsia"/>
        </w:rPr>
        <w:t>1．首先确认总外部维修旁路开关为断开状态，再依次打开各台UPS前门，确认内部维修旁路开关Q3均为断开状态，接入电缆与接线排可靠连接，并机电缆连接牢靠。</w:t>
      </w:r>
    </w:p>
    <w:tbl>
      <w:tblPr>
        <w:tblStyle w:val="50"/>
        <w:tblW w:w="9351"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51" w:type="dxa"/>
            <w:tcBorders>
              <w:bottom w:val="nil"/>
            </w:tcBorders>
            <w:vAlign w:val="center"/>
          </w:tcPr>
          <w:p>
            <w:pPr>
              <w:pStyle w:val="72"/>
              <w:spacing w:before="46" w:beforeLines="15" w:line="276" w:lineRule="auto"/>
              <w:jc w:val="both"/>
            </w:pPr>
            <w:r>
              <w:drawing>
                <wp:inline distT="0" distB="0" distL="0" distR="0">
                  <wp:extent cx="725170" cy="315595"/>
                  <wp:effectExtent l="0" t="0" r="0" b="8255"/>
                  <wp:docPr id="33" name="图片 33"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ascii="黑体" w:eastAsia="黑体"/>
              </w:rPr>
              <w:t>警告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51" w:type="dxa"/>
            <w:vAlign w:val="center"/>
          </w:tcPr>
          <w:p>
            <w:pPr>
              <w:pStyle w:val="73"/>
              <w:rPr>
                <w:i/>
                <w:lang w:val="en-GB"/>
              </w:rPr>
            </w:pPr>
            <w:r>
              <w:rPr>
                <w:rFonts w:hint="eastAsia"/>
                <w:lang w:val="en-GB"/>
              </w:rPr>
              <w:t>所有涉及维修旁路开关断开或闭合的操作应在3秒钟内完成，以免误报故障。</w:t>
            </w:r>
          </w:p>
        </w:tc>
      </w:tr>
    </w:tbl>
    <w:p>
      <w:pPr>
        <w:pStyle w:val="3"/>
        <w:rPr>
          <w:lang w:val="en-GB"/>
        </w:rPr>
      </w:pPr>
      <w:r>
        <w:rPr>
          <w:rFonts w:hint="eastAsia"/>
        </w:rPr>
        <w:t>2．闭合总旁路输入开关</w:t>
      </w:r>
      <w:r>
        <w:rPr>
          <w:rFonts w:hint="eastAsia"/>
          <w:lang w:val="en-GB"/>
        </w:rPr>
        <w:t>。</w:t>
      </w:r>
    </w:p>
    <w:p>
      <w:pPr>
        <w:pStyle w:val="3"/>
        <w:rPr>
          <w:kern w:val="0"/>
        </w:rPr>
      </w:pPr>
      <w:r>
        <w:rPr>
          <w:rFonts w:hint="eastAsia"/>
        </w:rPr>
        <w:t>3．对并机系统内的每一台单机UPS依次闭合旁路输入开关Q2（如有）、主路输入开关Q1和输出开关</w:t>
      </w:r>
      <w:r>
        <w:t>Q</w:t>
      </w:r>
      <w:r>
        <w:rPr>
          <w:rFonts w:hint="eastAsia"/>
        </w:rPr>
        <w:t>5和所有外部输出隔离开关（如有）。</w:t>
      </w:r>
    </w:p>
    <w:p>
      <w:pPr>
        <w:pStyle w:val="3"/>
      </w:pPr>
      <w:r>
        <w:rPr>
          <w:rFonts w:hint="eastAsia"/>
          <w:lang w:val="en-GB"/>
        </w:rPr>
        <w:t>此时，系统上电</w:t>
      </w:r>
      <w:r>
        <w:rPr>
          <w:rFonts w:hint="eastAsia"/>
        </w:rPr>
        <w:t>，屏幕出现启动屏。</w:t>
      </w:r>
    </w:p>
    <w:p>
      <w:pPr>
        <w:pStyle w:val="3"/>
        <w:rPr>
          <w:kern w:val="0"/>
        </w:rPr>
      </w:pPr>
      <w:r>
        <w:rPr>
          <w:rFonts w:hint="eastAsia"/>
        </w:rPr>
        <w:t>约25秒后，</w:t>
      </w:r>
      <w:r>
        <w:rPr>
          <w:rFonts w:hint="eastAsia"/>
          <w:szCs w:val="18"/>
        </w:rPr>
        <w:t>需确认触摸屏是否显示旁路与主路输入供电正常</w:t>
      </w:r>
      <w:r>
        <w:rPr>
          <w:rFonts w:hint="eastAsia"/>
        </w:rPr>
        <w:t>，当前记录窗口是否有“并机通信异常”告警，反之则检查开关</w:t>
      </w:r>
      <w:r>
        <w:rPr>
          <w:szCs w:val="18"/>
        </w:rPr>
        <w:t>Q2 和 Q1</w:t>
      </w:r>
      <w:r>
        <w:rPr>
          <w:rFonts w:hint="eastAsia"/>
        </w:rPr>
        <w:t>是否已经闭合，各UPS的并机电缆是否可靠连接。此时</w:t>
      </w:r>
      <w:r>
        <w:rPr>
          <w:rFonts w:hint="eastAsia"/>
          <w:szCs w:val="18"/>
        </w:rPr>
        <w:t>整流器启动，功率模块面板上的整流器指示灯（REC）呈绿色闪烁。整流器进入正常运行状态后约 30s，整流器指示灯（REC）呈绿色稳态常亮。初始化后，旁路静态开关闭合，旁路指示灯（RUN）呈绿色稳态常亮。</w:t>
      </w:r>
    </w:p>
    <w:p>
      <w:pPr>
        <w:pStyle w:val="3"/>
      </w:pPr>
      <w:r>
        <w:rPr>
          <w:rFonts w:hint="eastAsia"/>
        </w:rPr>
        <w:t>4．对于每一个UPS，</w:t>
      </w:r>
      <w:r>
        <w:rPr>
          <w:rFonts w:hint="eastAsia"/>
          <w:szCs w:val="18"/>
        </w:rPr>
        <w:t>进入控制菜单界面，点击“逆变开启”并点击确定。</w:t>
      </w:r>
    </w:p>
    <w:p>
      <w:pPr>
        <w:pStyle w:val="3"/>
      </w:pPr>
      <w:r>
        <w:rPr>
          <w:rFonts w:hint="eastAsia"/>
        </w:rPr>
        <w:t>逆变器启动，各个UPS的</w:t>
      </w:r>
      <w:r>
        <w:rPr>
          <w:rFonts w:hint="eastAsia"/>
          <w:szCs w:val="18"/>
        </w:rPr>
        <w:t>功率模块面板上的逆变器指示灯（INV）</w:t>
      </w:r>
      <w:r>
        <w:rPr>
          <w:rFonts w:hint="eastAsia"/>
        </w:rPr>
        <w:t>呈绿色闪烁。直到所有的UPS逆变器指示灯同时切换到绿色常亮状态，此时整个UPS系统在为负载提供电源。</w:t>
      </w:r>
    </w:p>
    <w:p>
      <w:pPr>
        <w:pStyle w:val="5"/>
        <w:numPr>
          <w:ilvl w:val="2"/>
          <w:numId w:val="9"/>
        </w:numPr>
        <w:rPr>
          <w:szCs w:val="22"/>
          <w:lang w:val="en-GB"/>
        </w:rPr>
      </w:pPr>
      <w:bookmarkStart w:id="625" w:name="_Toc512442513"/>
      <w:bookmarkStart w:id="626" w:name="_Toc512794921"/>
      <w:bookmarkStart w:id="627" w:name="_Toc17583"/>
      <w:r>
        <w:rPr>
          <w:rFonts w:hint="eastAsia"/>
          <w:szCs w:val="22"/>
          <w:lang w:val="en-GB"/>
        </w:rPr>
        <w:t>维修旁路操作</w:t>
      </w:r>
      <w:bookmarkStart w:id="628" w:name="_Hlt324168890"/>
      <w:bookmarkEnd w:id="628"/>
      <w:r>
        <w:rPr>
          <w:rFonts w:hint="eastAsia"/>
          <w:szCs w:val="22"/>
          <w:lang w:val="en-GB"/>
        </w:rPr>
        <w:t>步骤</w:t>
      </w:r>
      <w:bookmarkEnd w:id="625"/>
      <w:bookmarkEnd w:id="626"/>
      <w:bookmarkEnd w:id="627"/>
      <w:bookmarkStart w:id="629" w:name="_Hlt324169111"/>
    </w:p>
    <w:tbl>
      <w:tblPr>
        <w:tblStyle w:val="50"/>
        <w:tblW w:w="9351"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9351" w:type="dxa"/>
            <w:vAlign w:val="center"/>
          </w:tcPr>
          <w:p>
            <w:pPr>
              <w:pStyle w:val="72"/>
              <w:spacing w:before="46" w:beforeLines="15" w:line="276" w:lineRule="auto"/>
              <w:jc w:val="both"/>
            </w:pPr>
            <w:r>
              <w:drawing>
                <wp:inline distT="0" distB="0" distL="0" distR="0">
                  <wp:extent cx="725170" cy="315595"/>
                  <wp:effectExtent l="0" t="0" r="0" b="8255"/>
                  <wp:docPr id="32" name="图片 32"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ascii="黑体" w:eastAsia="黑体"/>
              </w:rPr>
              <w:t>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9351" w:type="dxa"/>
            <w:vAlign w:val="center"/>
          </w:tcPr>
          <w:p>
            <w:pPr>
              <w:pStyle w:val="73"/>
            </w:pPr>
            <w:r>
              <w:rPr>
                <w:rFonts w:hint="eastAsia"/>
              </w:rPr>
              <w:t>如并机系统的负载超过单机总容量，请勿使用内部维修旁路。</w:t>
            </w:r>
            <w:bookmarkStart w:id="630" w:name="_Hlt324233485"/>
            <w:bookmarkEnd w:id="630"/>
          </w:p>
        </w:tc>
      </w:tr>
    </w:tbl>
    <w:p>
      <w:pPr>
        <w:pStyle w:val="79"/>
      </w:pPr>
    </w:p>
    <w:p>
      <w:pPr>
        <w:pStyle w:val="3"/>
        <w:rPr>
          <w:lang w:val="en-GB"/>
        </w:rPr>
      </w:pPr>
      <w:r>
        <w:rPr>
          <w:rFonts w:hint="eastAsia"/>
          <w:lang w:val="en-GB"/>
        </w:rPr>
        <w:t>此操作步骤将负载从受UPS供电保护</w:t>
      </w:r>
      <w:bookmarkStart w:id="631" w:name="_Hlt324235390"/>
      <w:bookmarkEnd w:id="631"/>
      <w:r>
        <w:rPr>
          <w:rFonts w:hint="eastAsia"/>
          <w:lang w:val="en-GB"/>
        </w:rPr>
        <w:t>状态切换</w:t>
      </w:r>
      <w:bookmarkStart w:id="632" w:name="_Hlt324235293"/>
      <w:bookmarkEnd w:id="632"/>
      <w:r>
        <w:rPr>
          <w:rFonts w:hint="eastAsia"/>
          <w:lang w:val="en-GB"/>
        </w:rPr>
        <w:t>到通过维修旁路开关直接与交流输入电源相连接的状态。</w:t>
      </w:r>
    </w:p>
    <w:tbl>
      <w:tblPr>
        <w:tblStyle w:val="50"/>
        <w:tblW w:w="9351"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187" w:hRule="atLeast"/>
          <w:jc w:val="right"/>
        </w:trPr>
        <w:tc>
          <w:tcPr>
            <w:tcW w:w="9351" w:type="dxa"/>
            <w:tcBorders>
              <w:bottom w:val="nil"/>
            </w:tcBorders>
            <w:vAlign w:val="center"/>
          </w:tcPr>
          <w:p>
            <w:pPr>
              <w:pStyle w:val="72"/>
              <w:spacing w:before="46" w:beforeLines="15" w:line="276" w:lineRule="auto"/>
              <w:jc w:val="both"/>
            </w:pPr>
            <w:r>
              <w:drawing>
                <wp:inline distT="0" distB="0" distL="0" distR="0">
                  <wp:extent cx="362585" cy="315595"/>
                  <wp:effectExtent l="0" t="0" r="0" b="8255"/>
                  <wp:docPr id="31" name="图片 31"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r="49123"/>
                          <a:stretch>
                            <a:fillRect/>
                          </a:stretch>
                        </pic:blipFill>
                        <pic:spPr>
                          <a:xfrm>
                            <a:off x="0" y="0"/>
                            <a:ext cx="362585" cy="315595"/>
                          </a:xfrm>
                          <a:prstGeom prst="rect">
                            <a:avLst/>
                          </a:prstGeom>
                          <a:noFill/>
                          <a:ln>
                            <a:noFill/>
                          </a:ln>
                        </pic:spPr>
                      </pic:pic>
                    </a:graphicData>
                  </a:graphic>
                </wp:inline>
              </w:drawing>
            </w:r>
            <w:r>
              <w:rPr>
                <w:rFonts w:hint="eastAsia" w:ascii="黑体" w:eastAsia="黑体"/>
              </w:rPr>
              <w:t>小心：负载供电中断危险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187" w:hRule="atLeast"/>
          <w:jc w:val="right"/>
        </w:trPr>
        <w:tc>
          <w:tcPr>
            <w:tcW w:w="9351" w:type="dxa"/>
            <w:vAlign w:val="center"/>
          </w:tcPr>
          <w:p>
            <w:pPr>
              <w:pStyle w:val="73"/>
              <w:rPr>
                <w:i/>
                <w:lang w:val="en-GB"/>
              </w:rPr>
            </w:pPr>
            <w:r>
              <w:rPr>
                <w:rFonts w:hint="eastAsia"/>
                <w:lang w:val="en-GB"/>
              </w:rPr>
              <w:t>执行切换操作前，请首先查看触摸屏信息，确保旁路正常，且逆变器与旁路同步。如未满足此条件，则可能造成负载供电短时中断。</w:t>
            </w:r>
          </w:p>
        </w:tc>
      </w:tr>
    </w:tbl>
    <w:p>
      <w:pPr>
        <w:pStyle w:val="79"/>
      </w:pPr>
    </w:p>
    <w:p>
      <w:pPr>
        <w:ind w:left="680"/>
        <w:rPr>
          <w:sz w:val="18"/>
        </w:rPr>
      </w:pPr>
      <w:r>
        <w:t>1</w:t>
      </w:r>
      <w:r>
        <w:rPr>
          <w:rFonts w:hint="eastAsia"/>
        </w:rPr>
        <w:t>．</w:t>
      </w:r>
      <w:r>
        <w:rPr>
          <w:rFonts w:hint="eastAsia"/>
          <w:sz w:val="18"/>
        </w:rPr>
        <w:t>依次进入各台UPS的控制菜单界面，点击“逆变关闭”并点击确定。功率模块面板上的逆变器指示灯（ INV）灭，蜂鸣器告警，表示负载切换到静态旁路，逆变器关闭。直到所有的系统内UPS均切换到旁路供电。</w:t>
      </w:r>
    </w:p>
    <w:p>
      <w:pPr>
        <w:pStyle w:val="3"/>
      </w:pPr>
      <w:r>
        <w:rPr>
          <w:rFonts w:hint="eastAsia"/>
        </w:rPr>
        <w:t>2．闭合UPS并机系统外部总维修旁路开关，注意不要闭合任何一台单机的内部维修旁路开关Q3。</w:t>
      </w:r>
    </w:p>
    <w:p>
      <w:pPr>
        <w:pStyle w:val="3"/>
      </w:pPr>
      <w:r>
        <w:rPr>
          <w:rFonts w:hint="eastAsia"/>
        </w:rPr>
        <w:t>3．此时外部总维修旁路与各台UPS的静态开关旁路并联。</w:t>
      </w:r>
    </w:p>
    <w:p>
      <w:pPr>
        <w:pStyle w:val="3"/>
      </w:pPr>
      <w:r>
        <w:rPr>
          <w:rFonts w:hint="eastAsia"/>
        </w:rPr>
        <w:t>4．如果外部维修开关信号有接入U</w:t>
      </w:r>
      <w:r>
        <w:t>PS</w:t>
      </w:r>
      <w:r>
        <w:rPr>
          <w:rFonts w:hint="eastAsia"/>
        </w:rPr>
        <w:t>，此时各台UPS显示面板显示“维修空开闭合”，否则无“维修空开闭合”</w:t>
      </w:r>
      <w:r>
        <w:t>提示</w:t>
      </w:r>
      <w:r>
        <w:rPr>
          <w:rFonts w:hint="eastAsia"/>
        </w:rPr>
        <w:t>。</w:t>
      </w:r>
    </w:p>
    <w:p>
      <w:pPr>
        <w:pStyle w:val="3"/>
      </w:pPr>
      <w:r>
        <w:rPr>
          <w:rFonts w:hint="eastAsia"/>
        </w:rPr>
        <w:t>5．对于每一台UPS，依次断开输出开关Q5。此时负载的电源完全由维修旁路提供。</w:t>
      </w:r>
    </w:p>
    <w:tbl>
      <w:tblPr>
        <w:tblStyle w:val="50"/>
        <w:tblW w:w="9351"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51" w:type="dxa"/>
            <w:tcBorders>
              <w:bottom w:val="nil"/>
            </w:tcBorders>
            <w:vAlign w:val="center"/>
          </w:tcPr>
          <w:p>
            <w:pPr>
              <w:pStyle w:val="72"/>
              <w:spacing w:before="46" w:beforeLines="15" w:line="276" w:lineRule="auto"/>
              <w:jc w:val="both"/>
            </w:pPr>
            <w:r>
              <w:drawing>
                <wp:inline distT="0" distB="0" distL="0" distR="0">
                  <wp:extent cx="362585" cy="315595"/>
                  <wp:effectExtent l="0" t="0" r="0" b="8255"/>
                  <wp:docPr id="30" name="图片 30"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r="49123"/>
                          <a:stretch>
                            <a:fillRect/>
                          </a:stretch>
                        </pic:blipFill>
                        <pic:spPr>
                          <a:xfrm>
                            <a:off x="0" y="0"/>
                            <a:ext cx="362585" cy="315595"/>
                          </a:xfrm>
                          <a:prstGeom prst="rect">
                            <a:avLst/>
                          </a:prstGeom>
                          <a:noFill/>
                          <a:ln>
                            <a:noFill/>
                          </a:ln>
                        </pic:spPr>
                      </pic:pic>
                    </a:graphicData>
                  </a:graphic>
                </wp:inline>
              </w:drawing>
            </w:r>
            <w:r>
              <w:rPr>
                <w:rFonts w:hint="eastAsia" w:ascii="黑体" w:eastAsia="黑体"/>
              </w:rPr>
              <w:t>小心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51" w:type="dxa"/>
            <w:tcBorders>
              <w:top w:val="single" w:color="auto" w:sz="6" w:space="0"/>
              <w:left w:val="single" w:color="auto" w:sz="6" w:space="0"/>
              <w:bottom w:val="single" w:color="auto" w:sz="6" w:space="0"/>
              <w:right w:val="single" w:color="auto" w:sz="6" w:space="0"/>
            </w:tcBorders>
            <w:vAlign w:val="center"/>
          </w:tcPr>
          <w:p>
            <w:pPr>
              <w:pStyle w:val="73"/>
              <w:rPr>
                <w:i/>
                <w:lang w:val="en-GB"/>
              </w:rPr>
            </w:pPr>
            <w:r>
              <w:rPr>
                <w:rFonts w:hint="eastAsia"/>
                <w:lang w:val="en-GB"/>
              </w:rPr>
              <w:t>UPS处于维修旁路模式时，负载没有市电异常保护。</w:t>
            </w:r>
          </w:p>
        </w:tc>
      </w:tr>
    </w:tbl>
    <w:p>
      <w:pPr>
        <w:pStyle w:val="3"/>
        <w:rPr>
          <w:lang w:val="en-GB"/>
        </w:rPr>
      </w:pPr>
      <w:r>
        <w:rPr>
          <w:rFonts w:hint="eastAsia"/>
        </w:rPr>
        <w:t>6</w:t>
      </w:r>
      <w:r>
        <w:rPr>
          <w:rFonts w:hint="eastAsia"/>
          <w:lang w:val="en-GB"/>
        </w:rPr>
        <w:t>．分别按下所有UPS机柜上的EPO按钮，可以进一步停止整流器、逆变器、静态开关和电池的运行。但是不影响维修旁路向负载的正常供电。</w:t>
      </w:r>
    </w:p>
    <w:tbl>
      <w:tblPr>
        <w:tblStyle w:val="50"/>
        <w:tblW w:w="9365"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6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65" w:type="dxa"/>
            <w:tcBorders>
              <w:bottom w:val="nil"/>
            </w:tcBorders>
            <w:vAlign w:val="center"/>
          </w:tcPr>
          <w:p>
            <w:pPr>
              <w:pStyle w:val="72"/>
              <w:spacing w:before="46" w:beforeLines="15" w:line="276" w:lineRule="auto"/>
              <w:jc w:val="both"/>
            </w:pPr>
            <w:r>
              <w:drawing>
                <wp:inline distT="0" distB="0" distL="0" distR="0">
                  <wp:extent cx="362585" cy="315595"/>
                  <wp:effectExtent l="0" t="0" r="0" b="8255"/>
                  <wp:docPr id="29" name="图片 29"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r="49123"/>
                          <a:stretch>
                            <a:fillRect/>
                          </a:stretch>
                        </pic:blipFill>
                        <pic:spPr>
                          <a:xfrm>
                            <a:off x="0" y="0"/>
                            <a:ext cx="362585" cy="315595"/>
                          </a:xfrm>
                          <a:prstGeom prst="rect">
                            <a:avLst/>
                          </a:prstGeom>
                          <a:noFill/>
                          <a:ln>
                            <a:noFill/>
                          </a:ln>
                        </pic:spPr>
                      </pic:pic>
                    </a:graphicData>
                  </a:graphic>
                </wp:inline>
              </w:drawing>
            </w:r>
            <w:r>
              <w:rPr>
                <w:rFonts w:hint="eastAsia" w:ascii="黑体" w:eastAsia="黑体"/>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65" w:type="dxa"/>
            <w:vAlign w:val="center"/>
          </w:tcPr>
          <w:p>
            <w:pPr>
              <w:pStyle w:val="73"/>
              <w:rPr>
                <w:i/>
                <w:lang w:val="en-GB"/>
              </w:rPr>
            </w:pPr>
            <w:r>
              <w:rPr>
                <w:rFonts w:hint="eastAsia"/>
                <w:lang w:val="en-GB"/>
              </w:rPr>
              <w:t>维修模式下，负载的供电由市电电源直接提供，而非逆变器输出的纯净电源。</w:t>
            </w:r>
          </w:p>
        </w:tc>
      </w:tr>
    </w:tbl>
    <w:p>
      <w:pPr>
        <w:pStyle w:val="3"/>
        <w:rPr>
          <w:lang w:val="en-GB"/>
        </w:rPr>
      </w:pPr>
      <w:r>
        <w:rPr>
          <w:rFonts w:hint="eastAsia"/>
        </w:rPr>
        <w:t>7</w:t>
      </w:r>
      <w:r>
        <w:rPr>
          <w:rFonts w:hint="eastAsia"/>
          <w:lang w:val="en-GB"/>
        </w:rPr>
        <w:t>．断开电池的外部配电开关。直到所有的UPS单机均与电池断开。</w:t>
      </w:r>
    </w:p>
    <w:p>
      <w:pPr>
        <w:pStyle w:val="3"/>
        <w:rPr>
          <w:lang w:val="en-GB"/>
        </w:rPr>
      </w:pPr>
      <w:r>
        <w:rPr>
          <w:rFonts w:hint="eastAsia"/>
        </w:rPr>
        <w:t>8</w:t>
      </w:r>
      <w:r>
        <w:rPr>
          <w:rFonts w:hint="eastAsia"/>
          <w:lang w:val="en-GB"/>
        </w:rPr>
        <w:t>．</w:t>
      </w:r>
      <w:r>
        <w:rPr>
          <w:rFonts w:hint="eastAsia"/>
        </w:rPr>
        <w:t>分别断开各台UPS的主路输入开关Q1</w:t>
      </w:r>
      <w:r>
        <w:rPr>
          <w:rFonts w:hint="eastAsia"/>
          <w:szCs w:val="18"/>
        </w:rPr>
        <w:t>和旁路输入开关 Q2（如有）</w:t>
      </w:r>
      <w:r>
        <w:rPr>
          <w:rFonts w:hint="eastAsia"/>
        </w:rPr>
        <w:t>。此时，所有内部电源关闭，直到系统内所有UPS的LCD显示关闭。</w:t>
      </w:r>
    </w:p>
    <w:tbl>
      <w:tblPr>
        <w:tblStyle w:val="50"/>
        <w:tblW w:w="9365"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6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65" w:type="dxa"/>
            <w:tcBorders>
              <w:bottom w:val="nil"/>
            </w:tcBorders>
            <w:vAlign w:val="center"/>
          </w:tcPr>
          <w:p>
            <w:pPr>
              <w:pStyle w:val="72"/>
              <w:spacing w:before="46" w:beforeLines="15" w:line="276" w:lineRule="auto"/>
              <w:jc w:val="both"/>
            </w:pPr>
            <w:r>
              <w:drawing>
                <wp:inline distT="0" distB="0" distL="0" distR="0">
                  <wp:extent cx="725170" cy="315595"/>
                  <wp:effectExtent l="0" t="0" r="0" b="8255"/>
                  <wp:docPr id="28" name="图片 28"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ascii="黑体" w:eastAsia="黑体"/>
              </w:rPr>
              <w:t>警告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65" w:type="dxa"/>
            <w:tcBorders>
              <w:top w:val="single" w:color="auto" w:sz="6" w:space="0"/>
              <w:left w:val="single" w:color="auto" w:sz="6" w:space="0"/>
              <w:bottom w:val="single" w:color="auto" w:sz="6" w:space="0"/>
              <w:right w:val="single" w:color="auto" w:sz="6" w:space="0"/>
            </w:tcBorders>
            <w:vAlign w:val="center"/>
          </w:tcPr>
          <w:p>
            <w:pPr>
              <w:pStyle w:val="73"/>
            </w:pPr>
            <w:r>
              <w:rPr>
                <w:rFonts w:hint="eastAsia"/>
              </w:rPr>
              <w:t>1．如需维护，等约10分钟，使内部直流母线电容电压放电后再维修。</w:t>
            </w:r>
          </w:p>
          <w:p>
            <w:pPr>
              <w:pStyle w:val="73"/>
              <w:rPr>
                <w:i/>
                <w:lang w:val="en-GB"/>
              </w:rPr>
            </w:pPr>
            <w:r>
              <w:rPr>
                <w:rFonts w:hint="eastAsia"/>
              </w:rPr>
              <w:t>2．</w:t>
            </w:r>
            <w:r>
              <w:rPr>
                <w:rFonts w:hint="eastAsia"/>
                <w:lang w:val="en-GB"/>
              </w:rPr>
              <w:t>即使主路输入开关、电池开关断开，UPS部分电路仍然带电。因此，仅允许合格人员进行UPS维修。</w:t>
            </w:r>
          </w:p>
        </w:tc>
      </w:tr>
      <w:bookmarkEnd w:id="629"/>
    </w:tbl>
    <w:p>
      <w:pPr>
        <w:pStyle w:val="5"/>
        <w:numPr>
          <w:ilvl w:val="2"/>
          <w:numId w:val="9"/>
        </w:numPr>
        <w:rPr>
          <w:szCs w:val="22"/>
          <w:lang w:val="en-GB"/>
        </w:rPr>
      </w:pPr>
      <w:bookmarkStart w:id="633" w:name="_Toc512794922"/>
      <w:bookmarkStart w:id="634" w:name="_Toc350160933"/>
      <w:bookmarkStart w:id="635" w:name="_Toc512442514"/>
      <w:bookmarkStart w:id="636" w:name="_Toc417904368"/>
      <w:bookmarkStart w:id="637" w:name="_Toc464659055"/>
      <w:bookmarkStart w:id="638" w:name="_Toc24951"/>
      <w:bookmarkStart w:id="639" w:name="_Toc284074973"/>
      <w:bookmarkStart w:id="640" w:name="_Toc181760650"/>
      <w:bookmarkStart w:id="641" w:name="_Toc181776216"/>
      <w:bookmarkStart w:id="642" w:name="_Toc139190100"/>
      <w:r>
        <w:rPr>
          <w:rFonts w:hint="eastAsia"/>
          <w:szCs w:val="22"/>
          <w:lang w:val="en-GB"/>
        </w:rPr>
        <w:t>隔离并机系统中的单机</w:t>
      </w:r>
      <w:bookmarkEnd w:id="633"/>
      <w:bookmarkEnd w:id="634"/>
      <w:bookmarkEnd w:id="635"/>
      <w:bookmarkEnd w:id="636"/>
      <w:bookmarkEnd w:id="637"/>
      <w:bookmarkEnd w:id="638"/>
    </w:p>
    <w:tbl>
      <w:tblPr>
        <w:tblStyle w:val="50"/>
        <w:tblW w:w="9365"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6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65" w:type="dxa"/>
            <w:tcBorders>
              <w:bottom w:val="nil"/>
            </w:tcBorders>
            <w:vAlign w:val="center"/>
          </w:tcPr>
          <w:p>
            <w:pPr>
              <w:pStyle w:val="72"/>
              <w:spacing w:before="46" w:beforeLines="15" w:line="276" w:lineRule="auto"/>
              <w:jc w:val="both"/>
            </w:pPr>
            <w:r>
              <w:drawing>
                <wp:inline distT="0" distB="0" distL="0" distR="0">
                  <wp:extent cx="362585" cy="315595"/>
                  <wp:effectExtent l="0" t="0" r="0" b="8255"/>
                  <wp:docPr id="27" name="图片 27"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r="49123"/>
                          <a:stretch>
                            <a:fillRect/>
                          </a:stretch>
                        </pic:blipFill>
                        <pic:spPr>
                          <a:xfrm>
                            <a:off x="0" y="0"/>
                            <a:ext cx="362585" cy="315595"/>
                          </a:xfrm>
                          <a:prstGeom prst="rect">
                            <a:avLst/>
                          </a:prstGeom>
                          <a:noFill/>
                          <a:ln>
                            <a:noFill/>
                          </a:ln>
                        </pic:spPr>
                      </pic:pic>
                    </a:graphicData>
                  </a:graphic>
                </wp:inline>
              </w:drawing>
            </w:r>
            <w:r>
              <w:rPr>
                <w:rFonts w:hint="eastAsia" w:ascii="黑体" w:eastAsia="黑体"/>
              </w:rPr>
              <w:t>重要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cantSplit/>
          <w:trHeight w:val="187" w:hRule="atLeast"/>
          <w:jc w:val="right"/>
        </w:trPr>
        <w:tc>
          <w:tcPr>
            <w:tcW w:w="9365" w:type="dxa"/>
            <w:tcBorders>
              <w:top w:val="single" w:color="auto" w:sz="6" w:space="0"/>
              <w:left w:val="single" w:color="auto" w:sz="6" w:space="0"/>
              <w:bottom w:val="single" w:color="auto" w:sz="6" w:space="0"/>
              <w:right w:val="single" w:color="auto" w:sz="6" w:space="0"/>
            </w:tcBorders>
            <w:vAlign w:val="center"/>
          </w:tcPr>
          <w:p>
            <w:pPr>
              <w:pStyle w:val="73"/>
              <w:rPr>
                <w:i/>
                <w:lang w:val="en-GB"/>
              </w:rPr>
            </w:pPr>
            <w:r>
              <w:rPr>
                <w:rFonts w:hint="eastAsia"/>
              </w:rPr>
              <w:t>此操作步骤仅由</w:t>
            </w:r>
            <w:r>
              <w:rPr>
                <w:rFonts w:hint="eastAsia"/>
                <w:lang w:eastAsia="zh-CN"/>
              </w:rPr>
              <w:t>本</w:t>
            </w:r>
            <w:r>
              <w:rPr>
                <w:rFonts w:hint="eastAsia"/>
              </w:rPr>
              <w:t>用服工程师操作或在</w:t>
            </w:r>
            <w:r>
              <w:rPr>
                <w:rFonts w:hint="eastAsia"/>
                <w:lang w:eastAsia="zh-CN"/>
              </w:rPr>
              <w:t>本</w:t>
            </w:r>
            <w:r>
              <w:rPr>
                <w:rFonts w:hint="eastAsia"/>
              </w:rPr>
              <w:t>用服工程师指导下操作。</w:t>
            </w:r>
          </w:p>
        </w:tc>
      </w:tr>
    </w:tbl>
    <w:p>
      <w:pPr>
        <w:pStyle w:val="79"/>
        <w:rPr>
          <w:lang w:val="en-GB"/>
        </w:rPr>
      </w:pPr>
    </w:p>
    <w:tbl>
      <w:tblPr>
        <w:tblStyle w:val="50"/>
        <w:tblW w:w="9365"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6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65" w:type="dxa"/>
            <w:tcBorders>
              <w:bottom w:val="nil"/>
            </w:tcBorders>
            <w:vAlign w:val="center"/>
          </w:tcPr>
          <w:p>
            <w:pPr>
              <w:pStyle w:val="72"/>
              <w:spacing w:before="46" w:beforeLines="15" w:line="276" w:lineRule="auto"/>
              <w:jc w:val="both"/>
            </w:pPr>
            <w:r>
              <w:drawing>
                <wp:inline distT="0" distB="0" distL="0" distR="0">
                  <wp:extent cx="725170" cy="315595"/>
                  <wp:effectExtent l="0" t="0" r="0" b="8255"/>
                  <wp:docPr id="26" name="图片 26"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ascii="黑体" w:eastAsia="黑体"/>
              </w:rPr>
              <w:t>警告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65" w:type="dxa"/>
            <w:tcBorders>
              <w:top w:val="single" w:color="auto" w:sz="6" w:space="0"/>
              <w:left w:val="single" w:color="auto" w:sz="6" w:space="0"/>
              <w:bottom w:val="single" w:color="auto" w:sz="6" w:space="0"/>
              <w:right w:val="single" w:color="auto" w:sz="6" w:space="0"/>
            </w:tcBorders>
            <w:vAlign w:val="center"/>
          </w:tcPr>
          <w:p>
            <w:pPr>
              <w:pStyle w:val="73"/>
              <w:rPr>
                <w:i/>
                <w:lang w:val="en-GB"/>
              </w:rPr>
            </w:pPr>
            <w:r>
              <w:rPr>
                <w:rFonts w:hint="eastAsia"/>
              </w:rPr>
              <w:t>操作前，请确认系统容量是否有冗余，以免造成系统因过载而导致掉电。</w:t>
            </w:r>
          </w:p>
        </w:tc>
      </w:tr>
      <w:bookmarkEnd w:id="639"/>
      <w:bookmarkEnd w:id="640"/>
      <w:bookmarkEnd w:id="641"/>
      <w:bookmarkEnd w:id="642"/>
    </w:tbl>
    <w:p>
      <w:pPr>
        <w:pStyle w:val="3"/>
      </w:pPr>
      <w:r>
        <w:rPr>
          <w:rFonts w:hint="eastAsia"/>
        </w:rPr>
        <w:t>并机系统中任意一台单机由于严重故障，导致必须隔离此单机，使其退出并机系统以便维修时，使用此操作步骤。</w:t>
      </w:r>
    </w:p>
    <w:p>
      <w:pPr>
        <w:pStyle w:val="3"/>
        <w:rPr>
          <w:lang w:val="en-GB"/>
        </w:rPr>
      </w:pPr>
      <w:r>
        <w:rPr>
          <w:rFonts w:hint="eastAsia"/>
        </w:rPr>
        <w:t>1．</w:t>
      </w:r>
      <w:r>
        <w:rPr>
          <w:rFonts w:hint="eastAsia"/>
          <w:lang w:val="en-GB"/>
        </w:rPr>
        <w:t>按下该机柜上的EPO按钮，停止整流器、逆变器、静态开关和电池的运行。但是不影响并机系统中的其它UPS向负载正常供电。</w:t>
      </w:r>
    </w:p>
    <w:p>
      <w:pPr>
        <w:pStyle w:val="3"/>
        <w:rPr>
          <w:lang w:val="en-GB"/>
        </w:rPr>
      </w:pPr>
      <w:r>
        <w:rPr>
          <w:rFonts w:hint="eastAsia"/>
        </w:rPr>
        <w:t>2</w:t>
      </w:r>
      <w:r>
        <w:rPr>
          <w:rFonts w:hint="eastAsia"/>
          <w:lang w:val="en-GB"/>
        </w:rPr>
        <w:t>．断开电池的外部配电开关。</w:t>
      </w:r>
    </w:p>
    <w:p>
      <w:pPr>
        <w:pStyle w:val="3"/>
        <w:rPr>
          <w:kern w:val="0"/>
        </w:rPr>
      </w:pPr>
      <w:r>
        <w:rPr>
          <w:rFonts w:hint="eastAsia"/>
        </w:rPr>
        <w:t>3</w:t>
      </w:r>
      <w:r>
        <w:rPr>
          <w:rFonts w:hint="eastAsia"/>
          <w:lang w:val="en-GB"/>
        </w:rPr>
        <w:t>．断开此UPS的主路输入开关Q1和</w:t>
      </w:r>
      <w:r>
        <w:rPr>
          <w:rFonts w:hint="eastAsia"/>
          <w:szCs w:val="18"/>
        </w:rPr>
        <w:t>旁路输入开关 Q2（如有）</w:t>
      </w:r>
      <w:r>
        <w:rPr>
          <w:rFonts w:hint="eastAsia"/>
          <w:lang w:val="en-GB"/>
        </w:rPr>
        <w:t>，并断开其输出开关Q5</w:t>
      </w:r>
      <w:r>
        <w:rPr>
          <w:rFonts w:hint="eastAsia"/>
        </w:rPr>
        <w:t>。此时，所有内部电源关闭，LCD显示关闭。</w:t>
      </w:r>
    </w:p>
    <w:tbl>
      <w:tblPr>
        <w:tblStyle w:val="50"/>
        <w:tblW w:w="9365"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6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65" w:type="dxa"/>
            <w:tcBorders>
              <w:bottom w:val="nil"/>
            </w:tcBorders>
            <w:vAlign w:val="center"/>
          </w:tcPr>
          <w:p>
            <w:pPr>
              <w:pStyle w:val="72"/>
              <w:spacing w:before="46" w:beforeLines="15" w:line="276" w:lineRule="auto"/>
              <w:jc w:val="both"/>
            </w:pPr>
            <w:r>
              <w:drawing>
                <wp:inline distT="0" distB="0" distL="0" distR="0">
                  <wp:extent cx="725170" cy="315595"/>
                  <wp:effectExtent l="0" t="0" r="0" b="8255"/>
                  <wp:docPr id="25" name="图片 25"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ascii="黑体" w:eastAsia="黑体"/>
              </w:rPr>
              <w:t>警告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65" w:type="dxa"/>
            <w:tcBorders>
              <w:top w:val="single" w:color="auto" w:sz="6" w:space="0"/>
              <w:left w:val="single" w:color="auto" w:sz="6" w:space="0"/>
              <w:bottom w:val="single" w:color="auto" w:sz="6" w:space="0"/>
              <w:right w:val="single" w:color="auto" w:sz="6" w:space="0"/>
            </w:tcBorders>
            <w:vAlign w:val="center"/>
          </w:tcPr>
          <w:p>
            <w:pPr>
              <w:pStyle w:val="73"/>
            </w:pPr>
            <w:r>
              <w:rPr>
                <w:rFonts w:hint="eastAsia"/>
              </w:rPr>
              <w:t>1．在交流输入配电处（通常远离UPS），贴上标签警示UPS正在维修。</w:t>
            </w:r>
          </w:p>
          <w:p>
            <w:pPr>
              <w:pStyle w:val="73"/>
            </w:pPr>
            <w:r>
              <w:rPr>
                <w:rFonts w:hint="eastAsia"/>
              </w:rPr>
              <w:t>2．等约10分钟，使内部直流母线电容电压放电</w:t>
            </w:r>
            <w:r>
              <w:rPr>
                <w:rFonts w:hint="eastAsia"/>
                <w:lang w:val="en-GB"/>
              </w:rPr>
              <w:t>；此时，UPS完全断电。</w:t>
            </w:r>
          </w:p>
        </w:tc>
      </w:tr>
    </w:tbl>
    <w:p>
      <w:pPr>
        <w:pStyle w:val="79"/>
        <w:rPr>
          <w:lang w:val="en-GB"/>
        </w:rPr>
      </w:pPr>
    </w:p>
    <w:p>
      <w:pPr>
        <w:pStyle w:val="5"/>
        <w:numPr>
          <w:ilvl w:val="2"/>
          <w:numId w:val="9"/>
        </w:numPr>
        <w:rPr>
          <w:szCs w:val="22"/>
          <w:lang w:val="en-GB"/>
        </w:rPr>
      </w:pPr>
      <w:bookmarkStart w:id="643" w:name="_Toc512794923"/>
      <w:bookmarkStart w:id="644" w:name="_Toc417904369"/>
      <w:bookmarkStart w:id="645" w:name="_Toc284074974"/>
      <w:bookmarkStart w:id="646" w:name="_Toc512442515"/>
      <w:bookmarkStart w:id="647" w:name="_Toc139190101"/>
      <w:bookmarkStart w:id="648" w:name="_Toc464659056"/>
      <w:bookmarkStart w:id="649" w:name="_Toc350160934"/>
      <w:bookmarkStart w:id="650" w:name="_Toc181760651"/>
      <w:bookmarkStart w:id="651" w:name="_Toc181776217"/>
      <w:bookmarkStart w:id="652" w:name="_Toc13620"/>
      <w:r>
        <w:rPr>
          <w:rFonts w:hint="eastAsia"/>
          <w:szCs w:val="22"/>
          <w:lang w:val="en-GB"/>
        </w:rPr>
        <w:t>恢复并机系统中已隔离的单机</w:t>
      </w:r>
      <w:bookmarkEnd w:id="643"/>
      <w:bookmarkEnd w:id="644"/>
      <w:bookmarkEnd w:id="645"/>
      <w:bookmarkEnd w:id="646"/>
      <w:bookmarkEnd w:id="647"/>
      <w:bookmarkEnd w:id="648"/>
      <w:bookmarkEnd w:id="649"/>
      <w:bookmarkEnd w:id="650"/>
      <w:bookmarkEnd w:id="651"/>
      <w:bookmarkEnd w:id="652"/>
    </w:p>
    <w:tbl>
      <w:tblPr>
        <w:tblStyle w:val="50"/>
        <w:tblW w:w="9365"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6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65" w:type="dxa"/>
            <w:tcBorders>
              <w:bottom w:val="nil"/>
            </w:tcBorders>
            <w:vAlign w:val="center"/>
          </w:tcPr>
          <w:p>
            <w:pPr>
              <w:pStyle w:val="72"/>
              <w:spacing w:before="46" w:beforeLines="15" w:line="276" w:lineRule="auto"/>
              <w:jc w:val="both"/>
            </w:pPr>
            <w:r>
              <w:drawing>
                <wp:inline distT="0" distB="0" distL="0" distR="0">
                  <wp:extent cx="362585" cy="315595"/>
                  <wp:effectExtent l="0" t="0" r="0" b="8255"/>
                  <wp:docPr id="24" name="图片 24"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r="49123"/>
                          <a:stretch>
                            <a:fillRect/>
                          </a:stretch>
                        </pic:blipFill>
                        <pic:spPr>
                          <a:xfrm>
                            <a:off x="0" y="0"/>
                            <a:ext cx="362585" cy="315595"/>
                          </a:xfrm>
                          <a:prstGeom prst="rect">
                            <a:avLst/>
                          </a:prstGeom>
                          <a:noFill/>
                          <a:ln>
                            <a:noFill/>
                          </a:ln>
                        </pic:spPr>
                      </pic:pic>
                    </a:graphicData>
                  </a:graphic>
                </wp:inline>
              </w:drawing>
            </w:r>
            <w:r>
              <w:rPr>
                <w:rFonts w:hint="eastAsia" w:ascii="黑体" w:eastAsia="黑体"/>
              </w:rPr>
              <w:t>重要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65" w:type="dxa"/>
            <w:tcBorders>
              <w:top w:val="single" w:color="auto" w:sz="6" w:space="0"/>
              <w:left w:val="single" w:color="auto" w:sz="6" w:space="0"/>
              <w:bottom w:val="single" w:color="auto" w:sz="6" w:space="0"/>
              <w:right w:val="single" w:color="auto" w:sz="6" w:space="0"/>
            </w:tcBorders>
            <w:vAlign w:val="center"/>
          </w:tcPr>
          <w:p>
            <w:pPr>
              <w:pStyle w:val="73"/>
              <w:rPr>
                <w:i/>
                <w:lang w:val="en-GB"/>
              </w:rPr>
            </w:pPr>
            <w:r>
              <w:rPr>
                <w:rFonts w:hint="eastAsia"/>
              </w:rPr>
              <w:t>此操作步骤仅由</w:t>
            </w:r>
            <w:r>
              <w:rPr>
                <w:rFonts w:hint="eastAsia"/>
                <w:lang w:eastAsia="zh-CN"/>
              </w:rPr>
              <w:t>本</w:t>
            </w:r>
            <w:r>
              <w:rPr>
                <w:rFonts w:hint="eastAsia"/>
              </w:rPr>
              <w:t>用服工程师操作或在</w:t>
            </w:r>
            <w:r>
              <w:rPr>
                <w:rFonts w:hint="eastAsia"/>
                <w:lang w:eastAsia="zh-CN"/>
              </w:rPr>
              <w:t>本</w:t>
            </w:r>
            <w:r>
              <w:rPr>
                <w:rFonts w:hint="eastAsia"/>
              </w:rPr>
              <w:t>用服工程师指导下操作。</w:t>
            </w:r>
          </w:p>
        </w:tc>
      </w:tr>
    </w:tbl>
    <w:p>
      <w:pPr>
        <w:pStyle w:val="3"/>
      </w:pPr>
      <w:r>
        <w:rPr>
          <w:rFonts w:hint="eastAsia"/>
        </w:rPr>
        <w:t>此操作步骤用来将已从并机系统中隔离的单机重新加入到并机系统中。</w:t>
      </w:r>
    </w:p>
    <w:p>
      <w:pPr>
        <w:pStyle w:val="3"/>
      </w:pPr>
      <w:bookmarkStart w:id="653" w:name="_Toc284074975"/>
      <w:r>
        <w:rPr>
          <w:rFonts w:hint="eastAsia"/>
        </w:rPr>
        <w:t>1．若UPS接有电池，则闭合电池的外部配电开关，然后闭合主路输入开关Q1</w:t>
      </w:r>
      <w:r>
        <w:rPr>
          <w:rFonts w:hint="eastAsia"/>
          <w:lang w:val="en-GB"/>
        </w:rPr>
        <w:t>和</w:t>
      </w:r>
      <w:r>
        <w:rPr>
          <w:rFonts w:hint="eastAsia"/>
          <w:szCs w:val="18"/>
        </w:rPr>
        <w:t>旁路输入开关 Q2（如有）</w:t>
      </w:r>
      <w:r>
        <w:rPr>
          <w:rFonts w:hint="eastAsia"/>
        </w:rPr>
        <w:t>。此时，系统上电，屏幕出现启动屏。</w:t>
      </w:r>
    </w:p>
    <w:p>
      <w:pPr>
        <w:pStyle w:val="3"/>
      </w:pPr>
      <w:r>
        <w:rPr>
          <w:rFonts w:hint="eastAsia"/>
          <w:szCs w:val="18"/>
        </w:rPr>
        <w:t>约 25 秒后，需确认触摸屏是否显示旁路与主路输入供电正常，反之则检查开关 Q2 和 Q1 是否已经闭合。整流器启动，功率模块面板上的整流器指示灯（REC）呈绿色闪烁。整流器进入正常运行状态后约 30s，整流器指示灯（REC）呈绿色稳态常亮。</w:t>
      </w:r>
    </w:p>
    <w:p>
      <w:pPr>
        <w:pStyle w:val="3"/>
      </w:pPr>
      <w:r>
        <w:rPr>
          <w:rFonts w:hint="eastAsia"/>
        </w:rPr>
        <w:t>3．闭合输出开关</w:t>
      </w:r>
      <w:r>
        <w:t>Q</w:t>
      </w:r>
      <w:r>
        <w:rPr>
          <w:rFonts w:hint="eastAsia"/>
        </w:rPr>
        <w:t>5，</w:t>
      </w:r>
      <w:r>
        <w:rPr>
          <w:rFonts w:hint="eastAsia"/>
          <w:szCs w:val="18"/>
        </w:rPr>
        <w:t>进入控制菜单界面，点击“逆变开启”并点击确定</w:t>
      </w:r>
      <w:r>
        <w:rPr>
          <w:rFonts w:hint="eastAsia"/>
        </w:rPr>
        <w:t>。</w:t>
      </w:r>
    </w:p>
    <w:p>
      <w:pPr>
        <w:pStyle w:val="3"/>
      </w:pPr>
      <w:r>
        <w:rPr>
          <w:rFonts w:hint="eastAsia"/>
        </w:rPr>
        <w:t>逆变器启动，</w:t>
      </w:r>
      <w:r>
        <w:rPr>
          <w:rFonts w:hint="eastAsia"/>
          <w:szCs w:val="18"/>
        </w:rPr>
        <w:t>功率模块面板上的逆变器指示灯（INV）呈绿色闪烁</w:t>
      </w:r>
      <w:r>
        <w:rPr>
          <w:rFonts w:hint="eastAsia"/>
        </w:rPr>
        <w:t>。逆变器运行正常后，</w:t>
      </w:r>
      <w:r>
        <w:rPr>
          <w:rFonts w:hint="eastAsia"/>
          <w:szCs w:val="18"/>
        </w:rPr>
        <w:t>逆变器指示灯（INV）</w:t>
      </w:r>
      <w:r>
        <w:rPr>
          <w:rFonts w:hint="eastAsia"/>
        </w:rPr>
        <w:t>绿色常亮，UPS处于逆变器供电状态。该UPS便已经加入并机系统中，共同为负载提供电源。</w:t>
      </w:r>
    </w:p>
    <w:p>
      <w:pPr>
        <w:pStyle w:val="5"/>
        <w:numPr>
          <w:ilvl w:val="2"/>
          <w:numId w:val="9"/>
        </w:numPr>
        <w:rPr>
          <w:szCs w:val="22"/>
          <w:lang w:val="en-GB"/>
        </w:rPr>
      </w:pPr>
      <w:bookmarkStart w:id="654" w:name="_Toc350160935"/>
      <w:bookmarkStart w:id="655" w:name="_Toc512794924"/>
      <w:bookmarkStart w:id="656" w:name="_Toc417904370"/>
      <w:bookmarkStart w:id="657" w:name="_Toc365"/>
      <w:bookmarkStart w:id="658" w:name="_Toc512442516"/>
      <w:bookmarkStart w:id="659" w:name="_Toc464659057"/>
      <w:r>
        <w:rPr>
          <w:rFonts w:hint="eastAsia"/>
          <w:szCs w:val="22"/>
          <w:lang w:val="en-GB"/>
        </w:rPr>
        <w:t>关机步骤（UPS完全下电）</w:t>
      </w:r>
      <w:bookmarkEnd w:id="653"/>
      <w:bookmarkEnd w:id="654"/>
      <w:bookmarkEnd w:id="655"/>
      <w:bookmarkEnd w:id="656"/>
      <w:bookmarkEnd w:id="657"/>
      <w:bookmarkEnd w:id="658"/>
      <w:bookmarkEnd w:id="659"/>
    </w:p>
    <w:p>
      <w:pPr>
        <w:pStyle w:val="3"/>
      </w:pPr>
      <w:r>
        <w:rPr>
          <w:rFonts w:hint="eastAsia"/>
        </w:rPr>
        <w:t>UPS完全关机及使负载断电时应遵循此步骤。所有电源开关、隔离开关和断路器均断开，UPS不再给负载供电。</w:t>
      </w:r>
    </w:p>
    <w:tbl>
      <w:tblPr>
        <w:tblStyle w:val="50"/>
        <w:tblW w:w="9365"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6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187" w:hRule="atLeast"/>
          <w:jc w:val="right"/>
        </w:trPr>
        <w:tc>
          <w:tcPr>
            <w:tcW w:w="9365" w:type="dxa"/>
            <w:vAlign w:val="center"/>
          </w:tcPr>
          <w:p>
            <w:pPr>
              <w:pStyle w:val="72"/>
              <w:spacing w:before="46" w:beforeLines="15" w:line="276" w:lineRule="auto"/>
              <w:jc w:val="both"/>
            </w:pPr>
            <w:r>
              <w:drawing>
                <wp:inline distT="0" distB="0" distL="0" distR="0">
                  <wp:extent cx="362585" cy="315595"/>
                  <wp:effectExtent l="0" t="0" r="0" b="8255"/>
                  <wp:docPr id="23" name="图片 23"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r="49123"/>
                          <a:stretch>
                            <a:fillRect/>
                          </a:stretch>
                        </pic:blipFill>
                        <pic:spPr>
                          <a:xfrm>
                            <a:off x="0" y="0"/>
                            <a:ext cx="362585" cy="315595"/>
                          </a:xfrm>
                          <a:prstGeom prst="rect">
                            <a:avLst/>
                          </a:prstGeom>
                          <a:noFill/>
                          <a:ln>
                            <a:noFill/>
                          </a:ln>
                        </pic:spPr>
                      </pic:pic>
                    </a:graphicData>
                  </a:graphic>
                </wp:inline>
              </w:drawing>
            </w:r>
            <w:r>
              <w:rPr>
                <w:rFonts w:hint="eastAsia" w:ascii="黑体" w:eastAsia="黑体"/>
              </w:rPr>
              <w:t>小心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187" w:hRule="atLeast"/>
          <w:jc w:val="right"/>
        </w:trPr>
        <w:tc>
          <w:tcPr>
            <w:tcW w:w="9365" w:type="dxa"/>
            <w:vAlign w:val="center"/>
          </w:tcPr>
          <w:p>
            <w:pPr>
              <w:pStyle w:val="73"/>
              <w:rPr>
                <w:lang w:val="en-GB"/>
              </w:rPr>
            </w:pPr>
            <w:r>
              <w:rPr>
                <w:rFonts w:hint="eastAsia"/>
              </w:rPr>
              <w:t>下列步骤将切断负载电源，负载完全掉电。</w:t>
            </w:r>
          </w:p>
        </w:tc>
      </w:tr>
    </w:tbl>
    <w:p>
      <w:pPr>
        <w:pStyle w:val="3"/>
      </w:pPr>
      <w:r>
        <w:rPr>
          <w:rFonts w:hint="eastAsia"/>
        </w:rPr>
        <w:t>1．分别按下所有UPS机柜上的EPO按钮，可以停止整流器、逆变器、静态开关和电池的运行。</w:t>
      </w:r>
    </w:p>
    <w:p>
      <w:pPr>
        <w:pStyle w:val="3"/>
      </w:pPr>
      <w:r>
        <w:rPr>
          <w:rFonts w:hint="eastAsia"/>
        </w:rPr>
        <w:t>2．断开电池的外部配电开关，直到确认所有的UPS均与电池断开。</w:t>
      </w:r>
    </w:p>
    <w:p>
      <w:pPr>
        <w:pStyle w:val="3"/>
      </w:pPr>
      <w:r>
        <w:rPr>
          <w:rFonts w:hint="eastAsia"/>
        </w:rPr>
        <w:t>3．分别断开所有UPS的主路输入开关Q1</w:t>
      </w:r>
      <w:r>
        <w:rPr>
          <w:rFonts w:hint="eastAsia"/>
          <w:lang w:val="en-GB"/>
        </w:rPr>
        <w:t>和</w:t>
      </w:r>
      <w:r>
        <w:rPr>
          <w:rFonts w:hint="eastAsia"/>
          <w:szCs w:val="18"/>
        </w:rPr>
        <w:t>旁路输入开关 Q2（如有）</w:t>
      </w:r>
      <w:r>
        <w:rPr>
          <w:rFonts w:hint="eastAsia"/>
        </w:rPr>
        <w:t>。此时，所有内部电源关闭，直至所有的UPS的LCD显示关闭。</w:t>
      </w:r>
    </w:p>
    <w:p>
      <w:pPr>
        <w:pStyle w:val="3"/>
      </w:pPr>
      <w:r>
        <w:rPr>
          <w:rFonts w:hint="eastAsia"/>
        </w:rPr>
        <w:t>4．分别断开所有UPS的输出开关Q5。</w:t>
      </w:r>
    </w:p>
    <w:tbl>
      <w:tblPr>
        <w:tblStyle w:val="50"/>
        <w:tblW w:w="9365"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6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65" w:type="dxa"/>
            <w:tcBorders>
              <w:bottom w:val="nil"/>
            </w:tcBorders>
            <w:vAlign w:val="center"/>
          </w:tcPr>
          <w:p>
            <w:pPr>
              <w:pStyle w:val="72"/>
              <w:spacing w:before="46" w:beforeLines="15" w:line="276" w:lineRule="auto"/>
              <w:jc w:val="both"/>
            </w:pPr>
            <w:r>
              <w:drawing>
                <wp:inline distT="0" distB="0" distL="0" distR="0">
                  <wp:extent cx="725170" cy="315595"/>
                  <wp:effectExtent l="0" t="0" r="0" b="8255"/>
                  <wp:docPr id="22" name="图片 22"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ascii="黑体" w:eastAsia="黑体"/>
              </w:rPr>
              <w:t>警告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65" w:type="dxa"/>
            <w:tcBorders>
              <w:top w:val="single" w:color="auto" w:sz="6" w:space="0"/>
              <w:left w:val="single" w:color="auto" w:sz="6" w:space="0"/>
              <w:bottom w:val="single" w:color="auto" w:sz="6" w:space="0"/>
              <w:right w:val="single" w:color="auto" w:sz="6" w:space="0"/>
            </w:tcBorders>
            <w:vAlign w:val="center"/>
          </w:tcPr>
          <w:p>
            <w:pPr>
              <w:pStyle w:val="73"/>
            </w:pPr>
            <w:r>
              <w:rPr>
                <w:rFonts w:hint="eastAsia"/>
              </w:rPr>
              <w:t>1．如需维修时，在交流输入配电处（通常远离UPS），贴上标签警示UPS正在维修。</w:t>
            </w:r>
          </w:p>
          <w:p>
            <w:pPr>
              <w:pStyle w:val="73"/>
              <w:rPr>
                <w:i/>
                <w:lang w:val="en-GB"/>
              </w:rPr>
            </w:pPr>
            <w:r>
              <w:rPr>
                <w:rFonts w:hint="eastAsia"/>
              </w:rPr>
              <w:t>2．等约10分钟，使内部直流母线电容电压放电</w:t>
            </w:r>
            <w:r>
              <w:rPr>
                <w:rFonts w:hint="eastAsia"/>
                <w:lang w:val="en-GB"/>
              </w:rPr>
              <w:t>；此时，UPS完全断电。</w:t>
            </w:r>
          </w:p>
        </w:tc>
      </w:tr>
    </w:tbl>
    <w:p>
      <w:pPr>
        <w:pStyle w:val="79"/>
      </w:pPr>
    </w:p>
    <w:tbl>
      <w:tblPr>
        <w:tblStyle w:val="50"/>
        <w:tblW w:w="9365"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6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618" w:hRule="atLeast"/>
          <w:jc w:val="right"/>
        </w:trPr>
        <w:tc>
          <w:tcPr>
            <w:tcW w:w="9365" w:type="dxa"/>
            <w:tcBorders>
              <w:bottom w:val="nil"/>
            </w:tcBorders>
            <w:vAlign w:val="center"/>
          </w:tcPr>
          <w:p>
            <w:pPr>
              <w:pStyle w:val="72"/>
              <w:spacing w:before="46" w:beforeLines="15" w:line="276" w:lineRule="auto"/>
              <w:jc w:val="both"/>
            </w:pPr>
            <w:r>
              <w:drawing>
                <wp:inline distT="0" distB="0" distL="0" distR="0">
                  <wp:extent cx="725170" cy="315595"/>
                  <wp:effectExtent l="0" t="0" r="0" b="8255"/>
                  <wp:docPr id="21" name="图片 21"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ascii="黑体" w:eastAsia="黑体"/>
              </w:rPr>
              <w:t>警告：危险电池电压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65" w:type="dxa"/>
            <w:vAlign w:val="center"/>
          </w:tcPr>
          <w:p>
            <w:pPr>
              <w:pStyle w:val="73"/>
            </w:pPr>
            <w:r>
              <w:t>UPS</w:t>
            </w:r>
            <w:r>
              <w:rPr>
                <w:rFonts w:hint="eastAsia"/>
              </w:rPr>
              <w:t>完全下电后，电池端子仍然有危险电压。</w:t>
            </w:r>
          </w:p>
        </w:tc>
      </w:tr>
    </w:tbl>
    <w:p>
      <w:pPr>
        <w:pStyle w:val="5"/>
        <w:numPr>
          <w:ilvl w:val="2"/>
          <w:numId w:val="9"/>
        </w:numPr>
        <w:rPr>
          <w:szCs w:val="22"/>
          <w:lang w:val="en-GB"/>
        </w:rPr>
      </w:pPr>
      <w:bookmarkStart w:id="660" w:name="_Toc350160936"/>
      <w:bookmarkStart w:id="661" w:name="_Toc512794925"/>
      <w:bookmarkStart w:id="662" w:name="_Toc13669"/>
      <w:bookmarkStart w:id="663" w:name="_Toc512442517"/>
      <w:bookmarkStart w:id="664" w:name="_Toc464659058"/>
      <w:bookmarkStart w:id="665" w:name="_Toc417904371"/>
      <w:r>
        <w:rPr>
          <w:rFonts w:hint="eastAsia"/>
          <w:szCs w:val="22"/>
          <w:lang w:val="en-GB"/>
        </w:rPr>
        <w:t>关机步骤（UPS完全下电但继续给负载供电）</w:t>
      </w:r>
      <w:bookmarkEnd w:id="660"/>
      <w:bookmarkEnd w:id="661"/>
      <w:bookmarkEnd w:id="662"/>
      <w:bookmarkEnd w:id="663"/>
      <w:bookmarkEnd w:id="664"/>
      <w:bookmarkEnd w:id="665"/>
    </w:p>
    <w:p>
      <w:pPr>
        <w:pStyle w:val="3"/>
      </w:pPr>
      <w:r>
        <w:rPr>
          <w:rFonts w:hint="eastAsia"/>
        </w:rPr>
        <w:t>此操作步骤适于将</w:t>
      </w:r>
      <w:r>
        <w:t>UPS</w:t>
      </w:r>
      <w:r>
        <w:rPr>
          <w:rFonts w:hint="eastAsia"/>
        </w:rPr>
        <w:t>完全断电，但继续维持负载供电。操作步骤参见</w:t>
      </w:r>
      <w:r>
        <w:rPr>
          <w:rFonts w:hint="eastAsia"/>
          <w:b/>
        </w:rPr>
        <w:t xml:space="preserve">7.4.2  </w:t>
      </w:r>
      <w:r>
        <w:rPr>
          <w:rFonts w:hint="eastAsia"/>
          <w:b/>
          <w:lang w:val="en-GB"/>
        </w:rPr>
        <w:t>维修旁路操作步骤</w:t>
      </w:r>
      <w:r>
        <w:rPr>
          <w:rFonts w:hint="eastAsia"/>
          <w:lang w:val="en-GB"/>
        </w:rPr>
        <w:t>。</w:t>
      </w:r>
    </w:p>
    <w:p>
      <w:pPr>
        <w:pStyle w:val="4"/>
        <w:numPr>
          <w:ilvl w:val="1"/>
          <w:numId w:val="9"/>
        </w:numPr>
        <w:rPr>
          <w:szCs w:val="22"/>
        </w:rPr>
      </w:pPr>
      <w:bookmarkStart w:id="666" w:name="_Hlt324169140"/>
      <w:bookmarkEnd w:id="666"/>
      <w:bookmarkStart w:id="667" w:name="_Hlt324234099"/>
      <w:bookmarkEnd w:id="667"/>
      <w:bookmarkStart w:id="668" w:name="_Toc339307425"/>
      <w:bookmarkEnd w:id="668"/>
      <w:bookmarkStart w:id="669" w:name="_Hlt324167381"/>
      <w:bookmarkEnd w:id="669"/>
      <w:bookmarkStart w:id="670" w:name="_Toc339307420"/>
      <w:bookmarkEnd w:id="670"/>
      <w:bookmarkStart w:id="671" w:name="_Toc339307432"/>
      <w:bookmarkEnd w:id="671"/>
      <w:bookmarkStart w:id="672" w:name="_Hlt324232607"/>
      <w:bookmarkEnd w:id="672"/>
      <w:bookmarkStart w:id="673" w:name="_Hlt324407482"/>
      <w:bookmarkEnd w:id="673"/>
      <w:bookmarkStart w:id="674" w:name="_Toc339307433"/>
      <w:bookmarkEnd w:id="674"/>
      <w:bookmarkStart w:id="675" w:name="_Toc339307365"/>
      <w:bookmarkEnd w:id="675"/>
      <w:bookmarkStart w:id="676" w:name="_Toc339307346"/>
      <w:bookmarkEnd w:id="676"/>
      <w:bookmarkStart w:id="677" w:name="_Toc339307406"/>
      <w:bookmarkEnd w:id="677"/>
      <w:bookmarkStart w:id="678" w:name="_Hlt324232484"/>
      <w:bookmarkEnd w:id="678"/>
      <w:bookmarkStart w:id="679" w:name="_Toc226275837"/>
      <w:bookmarkEnd w:id="679"/>
      <w:bookmarkStart w:id="680" w:name="_Toc339307414"/>
      <w:bookmarkEnd w:id="680"/>
      <w:bookmarkStart w:id="681" w:name="_Toc339294341"/>
      <w:bookmarkEnd w:id="681"/>
      <w:bookmarkStart w:id="682" w:name="_Toc225917623"/>
      <w:bookmarkEnd w:id="682"/>
      <w:bookmarkStart w:id="683" w:name="_Toc339294380"/>
      <w:bookmarkEnd w:id="683"/>
      <w:bookmarkStart w:id="684" w:name="_Toc226277595"/>
      <w:bookmarkEnd w:id="684"/>
      <w:bookmarkStart w:id="685" w:name="_Toc339307439"/>
      <w:bookmarkEnd w:id="685"/>
      <w:bookmarkStart w:id="686" w:name="_Toc339294458"/>
      <w:bookmarkEnd w:id="686"/>
      <w:bookmarkStart w:id="687" w:name="_Toc339307422"/>
      <w:bookmarkEnd w:id="687"/>
      <w:bookmarkStart w:id="688" w:name="_Toc339307344"/>
      <w:bookmarkEnd w:id="688"/>
      <w:bookmarkStart w:id="689" w:name="_Toc339294473"/>
      <w:bookmarkEnd w:id="689"/>
      <w:bookmarkStart w:id="690" w:name="_Toc339307396"/>
      <w:bookmarkEnd w:id="690"/>
      <w:bookmarkStart w:id="691" w:name="_Toc339307373"/>
      <w:bookmarkEnd w:id="691"/>
      <w:bookmarkStart w:id="692" w:name="_Hlt324172545"/>
      <w:bookmarkEnd w:id="692"/>
      <w:bookmarkStart w:id="693" w:name="_Toc226277899"/>
      <w:bookmarkEnd w:id="693"/>
      <w:bookmarkStart w:id="694" w:name="_Toc339307405"/>
      <w:bookmarkEnd w:id="694"/>
      <w:bookmarkStart w:id="695" w:name="_Toc339307343"/>
      <w:bookmarkEnd w:id="695"/>
      <w:bookmarkStart w:id="696" w:name="_Toc339294383"/>
      <w:bookmarkEnd w:id="696"/>
      <w:bookmarkStart w:id="697" w:name="_Toc339307392"/>
      <w:bookmarkEnd w:id="697"/>
      <w:bookmarkStart w:id="698" w:name="_Hlt324232486"/>
      <w:bookmarkEnd w:id="698"/>
      <w:bookmarkStart w:id="699" w:name="_Toc339294432"/>
      <w:bookmarkEnd w:id="699"/>
      <w:bookmarkStart w:id="700" w:name="_Hlt324232876"/>
      <w:bookmarkEnd w:id="700"/>
      <w:bookmarkStart w:id="701" w:name="_Toc339294340"/>
      <w:bookmarkEnd w:id="701"/>
      <w:bookmarkStart w:id="702" w:name="_Hlt324168244"/>
      <w:bookmarkEnd w:id="702"/>
      <w:bookmarkStart w:id="703" w:name="_Toc339294475"/>
      <w:bookmarkEnd w:id="703"/>
      <w:bookmarkStart w:id="704" w:name="_Hlt139169696"/>
      <w:bookmarkEnd w:id="704"/>
      <w:bookmarkStart w:id="705" w:name="_Toc339294395"/>
      <w:bookmarkEnd w:id="705"/>
      <w:bookmarkStart w:id="706" w:name="_Toc226275554"/>
      <w:bookmarkEnd w:id="706"/>
      <w:bookmarkStart w:id="707" w:name="_Toc339294443"/>
      <w:bookmarkEnd w:id="707"/>
      <w:bookmarkStart w:id="708" w:name="_Toc339294469"/>
      <w:bookmarkEnd w:id="708"/>
      <w:bookmarkStart w:id="709" w:name="_Hlt324236715"/>
      <w:bookmarkEnd w:id="709"/>
      <w:bookmarkStart w:id="710" w:name="_Toc339294402"/>
      <w:bookmarkEnd w:id="710"/>
      <w:bookmarkStart w:id="711" w:name="_Toc339307404"/>
      <w:bookmarkEnd w:id="711"/>
      <w:bookmarkStart w:id="712" w:name="_Toc339307438"/>
      <w:bookmarkEnd w:id="712"/>
      <w:bookmarkStart w:id="713" w:name="_Toc339307314"/>
      <w:bookmarkEnd w:id="713"/>
      <w:bookmarkStart w:id="714" w:name="_Toc339294417"/>
      <w:bookmarkEnd w:id="714"/>
      <w:bookmarkStart w:id="715" w:name="_Hlt324409728"/>
      <w:bookmarkEnd w:id="715"/>
      <w:bookmarkStart w:id="716" w:name="_Toc339307358"/>
      <w:bookmarkEnd w:id="716"/>
      <w:bookmarkStart w:id="717" w:name="_Toc339294463"/>
      <w:bookmarkEnd w:id="717"/>
      <w:bookmarkStart w:id="718" w:name="_Toc339294468"/>
      <w:bookmarkEnd w:id="718"/>
      <w:bookmarkStart w:id="719" w:name="_Toc339294459"/>
      <w:bookmarkEnd w:id="719"/>
      <w:bookmarkStart w:id="720" w:name="_Toc227121094"/>
      <w:bookmarkEnd w:id="720"/>
      <w:bookmarkStart w:id="721" w:name="_Hlt324170480"/>
      <w:bookmarkEnd w:id="721"/>
      <w:bookmarkStart w:id="722" w:name="_Toc339307328"/>
      <w:bookmarkEnd w:id="722"/>
      <w:bookmarkStart w:id="723" w:name="_Toc339294393"/>
      <w:bookmarkEnd w:id="723"/>
      <w:bookmarkStart w:id="724" w:name="_Toc339294455"/>
      <w:bookmarkEnd w:id="724"/>
      <w:bookmarkStart w:id="725" w:name="_Toc226277263"/>
      <w:bookmarkEnd w:id="725"/>
      <w:bookmarkStart w:id="726" w:name="_Toc339307347"/>
      <w:bookmarkEnd w:id="726"/>
      <w:bookmarkStart w:id="727" w:name="_Toc339294382"/>
      <w:bookmarkEnd w:id="727"/>
      <w:bookmarkStart w:id="728" w:name="_Toc339294423"/>
      <w:bookmarkEnd w:id="728"/>
      <w:bookmarkStart w:id="729" w:name="_Hlt324235995"/>
      <w:bookmarkEnd w:id="729"/>
      <w:bookmarkStart w:id="730" w:name="_Toc339294353"/>
      <w:bookmarkEnd w:id="730"/>
      <w:bookmarkStart w:id="731" w:name="_Toc339307421"/>
      <w:bookmarkEnd w:id="731"/>
      <w:bookmarkStart w:id="732" w:name="_Toc339307357"/>
      <w:bookmarkEnd w:id="732"/>
      <w:bookmarkStart w:id="733" w:name="_Toc339294403"/>
      <w:bookmarkEnd w:id="733"/>
      <w:bookmarkStart w:id="734" w:name="_Hlt139169618"/>
      <w:bookmarkEnd w:id="734"/>
      <w:bookmarkStart w:id="735" w:name="_Toc339307366"/>
      <w:bookmarkEnd w:id="735"/>
      <w:bookmarkStart w:id="736" w:name="_Toc339294456"/>
      <w:bookmarkEnd w:id="736"/>
      <w:bookmarkStart w:id="737" w:name="_Hlt324232685"/>
      <w:bookmarkEnd w:id="737"/>
      <w:bookmarkStart w:id="738" w:name="_Toc339294474"/>
      <w:bookmarkEnd w:id="738"/>
      <w:bookmarkStart w:id="739" w:name="_Toc339294394"/>
      <w:bookmarkEnd w:id="739"/>
      <w:bookmarkStart w:id="740" w:name="_Toc339307374"/>
      <w:bookmarkEnd w:id="740"/>
      <w:bookmarkStart w:id="741" w:name="_Toc339294392"/>
      <w:bookmarkEnd w:id="741"/>
      <w:bookmarkStart w:id="742" w:name="_Toc339294462"/>
      <w:bookmarkEnd w:id="742"/>
      <w:bookmarkStart w:id="743" w:name="_Toc339294374"/>
      <w:bookmarkEnd w:id="743"/>
      <w:bookmarkStart w:id="744" w:name="_Toc339307302"/>
      <w:bookmarkEnd w:id="744"/>
      <w:bookmarkStart w:id="745" w:name="_Toc339307338"/>
      <w:bookmarkEnd w:id="745"/>
      <w:bookmarkStart w:id="746" w:name="_Toc339307307"/>
      <w:bookmarkEnd w:id="746"/>
      <w:bookmarkStart w:id="747" w:name="_Toc339307364"/>
      <w:bookmarkEnd w:id="747"/>
      <w:bookmarkStart w:id="748" w:name="_Toc339307330"/>
      <w:bookmarkEnd w:id="748"/>
      <w:bookmarkStart w:id="749" w:name="_Toc339307379"/>
      <w:bookmarkEnd w:id="749"/>
      <w:bookmarkStart w:id="750" w:name="_Toc339294373"/>
      <w:bookmarkEnd w:id="750"/>
      <w:bookmarkStart w:id="751" w:name="_Toc339307316"/>
      <w:bookmarkEnd w:id="751"/>
      <w:bookmarkStart w:id="752" w:name="_Toc339307437"/>
      <w:bookmarkEnd w:id="752"/>
      <w:bookmarkStart w:id="753" w:name="_Toc339294445"/>
      <w:bookmarkEnd w:id="753"/>
      <w:bookmarkStart w:id="754" w:name="_Hlt324172161"/>
      <w:bookmarkEnd w:id="754"/>
      <w:bookmarkStart w:id="755" w:name="_Toc339294461"/>
      <w:bookmarkEnd w:id="755"/>
      <w:bookmarkStart w:id="756" w:name="_Toc339307336"/>
      <w:bookmarkEnd w:id="756"/>
      <w:bookmarkStart w:id="757" w:name="_Toc339294381"/>
      <w:bookmarkEnd w:id="757"/>
      <w:bookmarkStart w:id="758" w:name="_Hlt324172567"/>
      <w:bookmarkEnd w:id="758"/>
      <w:bookmarkStart w:id="759" w:name="_Hlt324232490"/>
      <w:bookmarkEnd w:id="759"/>
      <w:bookmarkStart w:id="760" w:name="_Hlt324407132"/>
      <w:bookmarkEnd w:id="760"/>
      <w:bookmarkStart w:id="761" w:name="_Toc339294439"/>
      <w:bookmarkEnd w:id="761"/>
      <w:bookmarkStart w:id="762" w:name="_Toc339294362"/>
      <w:bookmarkEnd w:id="762"/>
      <w:bookmarkStart w:id="763" w:name="_Toc339307395"/>
      <w:bookmarkEnd w:id="763"/>
      <w:bookmarkStart w:id="764" w:name="_Hlt324235806"/>
      <w:bookmarkEnd w:id="764"/>
      <w:bookmarkStart w:id="765" w:name="_Hlt324232488"/>
      <w:bookmarkEnd w:id="765"/>
      <w:bookmarkStart w:id="766" w:name="_Toc339294409"/>
      <w:bookmarkEnd w:id="766"/>
      <w:bookmarkStart w:id="767" w:name="_Hlt324236499"/>
      <w:bookmarkEnd w:id="767"/>
      <w:bookmarkStart w:id="768" w:name="_Toc339307304"/>
      <w:bookmarkEnd w:id="768"/>
      <w:bookmarkStart w:id="769" w:name="_Toc339294418"/>
      <w:bookmarkEnd w:id="769"/>
      <w:bookmarkStart w:id="770" w:name="_Hlt324235720"/>
      <w:bookmarkEnd w:id="770"/>
      <w:bookmarkStart w:id="771" w:name="_Toc339307381"/>
      <w:bookmarkEnd w:id="771"/>
      <w:bookmarkStart w:id="772" w:name="_Toc339294408"/>
      <w:bookmarkEnd w:id="772"/>
      <w:bookmarkStart w:id="773" w:name="_Toc339294344"/>
      <w:bookmarkEnd w:id="773"/>
      <w:bookmarkStart w:id="774" w:name="_Hlt322595697"/>
      <w:bookmarkEnd w:id="774"/>
      <w:bookmarkStart w:id="775" w:name="_Toc339294401"/>
      <w:bookmarkEnd w:id="775"/>
      <w:bookmarkStart w:id="776" w:name="_Toc339307306"/>
      <w:bookmarkEnd w:id="776"/>
      <w:bookmarkStart w:id="777" w:name="_Toc339307329"/>
      <w:bookmarkEnd w:id="777"/>
      <w:bookmarkStart w:id="778" w:name="_Hlt324233641"/>
      <w:bookmarkEnd w:id="778"/>
      <w:bookmarkStart w:id="779" w:name="_Toc339307423"/>
      <w:bookmarkEnd w:id="779"/>
      <w:bookmarkStart w:id="780" w:name="_Toc339294365"/>
      <w:bookmarkEnd w:id="780"/>
      <w:bookmarkStart w:id="781" w:name="_Toc339307359"/>
      <w:bookmarkEnd w:id="781"/>
      <w:bookmarkStart w:id="782" w:name="_Toc339307426"/>
      <w:bookmarkEnd w:id="782"/>
      <w:bookmarkStart w:id="783" w:name="_Toc339307419"/>
      <w:bookmarkEnd w:id="783"/>
      <w:bookmarkStart w:id="784" w:name="_Hlt229537660"/>
      <w:bookmarkEnd w:id="784"/>
      <w:bookmarkStart w:id="785" w:name="_Hlt324170097"/>
      <w:bookmarkEnd w:id="785"/>
      <w:bookmarkStart w:id="786" w:name="_Toc339294372"/>
      <w:bookmarkEnd w:id="786"/>
      <w:bookmarkStart w:id="787" w:name="_Toc339307408"/>
      <w:bookmarkEnd w:id="787"/>
      <w:bookmarkStart w:id="788" w:name="_Toc339307308"/>
      <w:bookmarkEnd w:id="788"/>
      <w:bookmarkStart w:id="789" w:name="_Toc339307319"/>
      <w:bookmarkEnd w:id="789"/>
      <w:bookmarkStart w:id="790" w:name="_Toc339307367"/>
      <w:bookmarkEnd w:id="790"/>
      <w:bookmarkStart w:id="791" w:name="_Toc339294352"/>
      <w:bookmarkEnd w:id="791"/>
      <w:bookmarkStart w:id="792" w:name="_Hlt324232552"/>
      <w:bookmarkEnd w:id="792"/>
      <w:bookmarkStart w:id="793" w:name="_Toc339294354"/>
      <w:bookmarkEnd w:id="793"/>
      <w:bookmarkStart w:id="794" w:name="_Toc339294391"/>
      <w:bookmarkEnd w:id="794"/>
      <w:bookmarkStart w:id="795" w:name="_Toc339307402"/>
      <w:bookmarkEnd w:id="795"/>
      <w:bookmarkStart w:id="796" w:name="_Toc339307407"/>
      <w:bookmarkEnd w:id="796"/>
      <w:bookmarkStart w:id="797" w:name="_Toc226353280"/>
      <w:bookmarkEnd w:id="797"/>
      <w:bookmarkStart w:id="798" w:name="_Toc339294433"/>
      <w:bookmarkEnd w:id="798"/>
      <w:bookmarkStart w:id="799" w:name="_Toc339294430"/>
      <w:bookmarkEnd w:id="799"/>
      <w:bookmarkStart w:id="800" w:name="_Toc339307424"/>
      <w:bookmarkEnd w:id="800"/>
      <w:bookmarkStart w:id="801" w:name="_Toc339307355"/>
      <w:bookmarkEnd w:id="801"/>
      <w:bookmarkStart w:id="802" w:name="_Toc339294472"/>
      <w:bookmarkEnd w:id="802"/>
      <w:bookmarkStart w:id="803" w:name="_Toc339307303"/>
      <w:bookmarkEnd w:id="803"/>
      <w:bookmarkStart w:id="804" w:name="_Toc339294338"/>
      <w:bookmarkEnd w:id="804"/>
      <w:bookmarkStart w:id="805" w:name="_Toc339294442"/>
      <w:bookmarkEnd w:id="805"/>
      <w:bookmarkStart w:id="806" w:name="_Hlt139168650"/>
      <w:bookmarkEnd w:id="806"/>
      <w:bookmarkStart w:id="807" w:name="_Toc339294400"/>
      <w:bookmarkEnd w:id="807"/>
      <w:bookmarkStart w:id="808" w:name="_Toc339294342"/>
      <w:bookmarkEnd w:id="808"/>
      <w:bookmarkStart w:id="809" w:name="_Toc339307434"/>
      <w:bookmarkEnd w:id="809"/>
      <w:bookmarkStart w:id="810" w:name="_Toc339307403"/>
      <w:bookmarkEnd w:id="810"/>
      <w:bookmarkStart w:id="811" w:name="_Hlt324236446"/>
      <w:bookmarkEnd w:id="811"/>
      <w:bookmarkStart w:id="812" w:name="_Toc339307337"/>
      <w:bookmarkEnd w:id="812"/>
      <w:bookmarkStart w:id="813" w:name="_Toc339294444"/>
      <w:bookmarkEnd w:id="813"/>
      <w:bookmarkStart w:id="814" w:name="_Toc339294450"/>
      <w:bookmarkEnd w:id="814"/>
      <w:bookmarkStart w:id="815" w:name="_Toc339307318"/>
      <w:bookmarkEnd w:id="815"/>
      <w:bookmarkStart w:id="816" w:name="_Toc339294429"/>
      <w:bookmarkEnd w:id="816"/>
      <w:bookmarkStart w:id="817" w:name="_Hlt323736864"/>
      <w:bookmarkEnd w:id="817"/>
      <w:bookmarkStart w:id="818" w:name="_Toc339294363"/>
      <w:bookmarkEnd w:id="818"/>
      <w:bookmarkStart w:id="819" w:name="_Toc339294460"/>
      <w:bookmarkEnd w:id="819"/>
      <w:bookmarkStart w:id="820" w:name="_Toc339307394"/>
      <w:bookmarkEnd w:id="820"/>
      <w:bookmarkStart w:id="821" w:name="_Hlt323736626"/>
      <w:bookmarkEnd w:id="821"/>
      <w:bookmarkStart w:id="822" w:name="_Toc339294471"/>
      <w:bookmarkEnd w:id="822"/>
      <w:bookmarkStart w:id="823" w:name="_Toc339294440"/>
      <w:bookmarkEnd w:id="823"/>
      <w:bookmarkStart w:id="824" w:name="_Hlt324407088"/>
      <w:bookmarkEnd w:id="824"/>
      <w:bookmarkStart w:id="825" w:name="_Toc339307436"/>
      <w:bookmarkEnd w:id="825"/>
      <w:bookmarkStart w:id="826" w:name="_Toc339294457"/>
      <w:bookmarkEnd w:id="826"/>
      <w:bookmarkStart w:id="827" w:name="_Toc339307427"/>
      <w:bookmarkEnd w:id="827"/>
      <w:bookmarkStart w:id="828" w:name="_Toc339307345"/>
      <w:bookmarkEnd w:id="828"/>
      <w:bookmarkStart w:id="829" w:name="_Toc339294428"/>
      <w:bookmarkEnd w:id="829"/>
      <w:bookmarkStart w:id="830" w:name="_Hlt324170482"/>
      <w:bookmarkEnd w:id="830"/>
      <w:bookmarkStart w:id="831" w:name="_Toc339307335"/>
      <w:bookmarkEnd w:id="831"/>
      <w:bookmarkStart w:id="832" w:name="_Toc339294366"/>
      <w:bookmarkEnd w:id="832"/>
      <w:bookmarkStart w:id="833" w:name="_Hlt324171811"/>
      <w:bookmarkEnd w:id="833"/>
      <w:bookmarkStart w:id="834" w:name="_Toc339294415"/>
      <w:bookmarkEnd w:id="834"/>
      <w:bookmarkStart w:id="835" w:name="_Toc339307409"/>
      <w:bookmarkEnd w:id="835"/>
      <w:bookmarkStart w:id="836" w:name="_Toc339294371"/>
      <w:bookmarkEnd w:id="836"/>
      <w:bookmarkStart w:id="837" w:name="_Toc339307327"/>
      <w:bookmarkEnd w:id="837"/>
      <w:bookmarkStart w:id="838" w:name="_Toc339294441"/>
      <w:bookmarkEnd w:id="838"/>
      <w:bookmarkStart w:id="839" w:name="_Toc339307380"/>
      <w:bookmarkEnd w:id="839"/>
      <w:bookmarkStart w:id="840" w:name="_Toc339294339"/>
      <w:bookmarkEnd w:id="840"/>
      <w:bookmarkStart w:id="841" w:name="_Toc339294361"/>
      <w:bookmarkEnd w:id="841"/>
      <w:bookmarkStart w:id="842" w:name="_Toc339294345"/>
      <w:bookmarkEnd w:id="842"/>
      <w:bookmarkStart w:id="843" w:name="_Toc339307315"/>
      <w:bookmarkEnd w:id="843"/>
      <w:bookmarkStart w:id="844" w:name="_Toc339294351"/>
      <w:bookmarkEnd w:id="844"/>
      <w:bookmarkStart w:id="845" w:name="_Toc339294410"/>
      <w:bookmarkEnd w:id="845"/>
      <w:bookmarkStart w:id="846" w:name="_Toc339307393"/>
      <w:bookmarkEnd w:id="846"/>
      <w:bookmarkStart w:id="847" w:name="_Toc339294350"/>
      <w:bookmarkEnd w:id="847"/>
      <w:bookmarkStart w:id="848" w:name="_Toc339307309"/>
      <w:bookmarkEnd w:id="848"/>
      <w:bookmarkStart w:id="849" w:name="_Hlt324232293"/>
      <w:bookmarkEnd w:id="849"/>
      <w:bookmarkStart w:id="850" w:name="_Toc339307317"/>
      <w:bookmarkEnd w:id="850"/>
      <w:bookmarkStart w:id="851" w:name="_Toc339307382"/>
      <w:bookmarkEnd w:id="851"/>
      <w:bookmarkStart w:id="852" w:name="_Toc339294364"/>
      <w:bookmarkEnd w:id="852"/>
      <w:bookmarkStart w:id="853" w:name="_Toc339294355"/>
      <w:bookmarkEnd w:id="853"/>
      <w:bookmarkStart w:id="854" w:name="_Toc339294416"/>
      <w:bookmarkEnd w:id="854"/>
      <w:bookmarkStart w:id="855" w:name="_Toc339307387"/>
      <w:bookmarkEnd w:id="855"/>
      <w:bookmarkStart w:id="856" w:name="_Toc339294470"/>
      <w:bookmarkEnd w:id="856"/>
      <w:bookmarkStart w:id="857" w:name="_Hlt324169908"/>
      <w:bookmarkEnd w:id="857"/>
      <w:bookmarkStart w:id="858" w:name="_Toc339294343"/>
      <w:bookmarkEnd w:id="858"/>
      <w:bookmarkStart w:id="859" w:name="_Toc339307435"/>
      <w:bookmarkEnd w:id="859"/>
      <w:bookmarkStart w:id="860" w:name="_Toc339294379"/>
      <w:bookmarkEnd w:id="860"/>
      <w:bookmarkStart w:id="861" w:name="_Hlt324169347"/>
      <w:bookmarkEnd w:id="861"/>
      <w:bookmarkStart w:id="862" w:name="_Toc339307372"/>
      <w:bookmarkEnd w:id="862"/>
      <w:bookmarkStart w:id="863" w:name="_Toc339307397"/>
      <w:bookmarkEnd w:id="863"/>
      <w:bookmarkStart w:id="864" w:name="_Toc339307326"/>
      <w:bookmarkEnd w:id="864"/>
      <w:bookmarkStart w:id="865" w:name="_Toc227123818"/>
      <w:bookmarkEnd w:id="865"/>
      <w:bookmarkStart w:id="866" w:name="_Toc339294431"/>
      <w:bookmarkEnd w:id="866"/>
      <w:bookmarkStart w:id="867" w:name="_Toc339307325"/>
      <w:bookmarkEnd w:id="867"/>
      <w:bookmarkStart w:id="868" w:name="_Toc339307356"/>
      <w:bookmarkEnd w:id="868"/>
      <w:bookmarkStart w:id="869" w:name="_Toc339307305"/>
      <w:bookmarkEnd w:id="869"/>
      <w:bookmarkStart w:id="870" w:name="_Toc339294438"/>
      <w:bookmarkEnd w:id="870"/>
      <w:bookmarkStart w:id="871" w:name="_Toc512794926"/>
      <w:bookmarkStart w:id="872" w:name="_Toc338686088"/>
      <w:bookmarkStart w:id="873" w:name="_Toc17091"/>
      <w:r>
        <w:rPr>
          <w:rFonts w:hint="eastAsia"/>
          <w:szCs w:val="22"/>
        </w:rPr>
        <w:t>双母线系统的安装</w:t>
      </w:r>
      <w:bookmarkEnd w:id="871"/>
      <w:bookmarkEnd w:id="872"/>
      <w:bookmarkEnd w:id="873"/>
    </w:p>
    <w:p>
      <w:pPr>
        <w:pStyle w:val="5"/>
        <w:numPr>
          <w:ilvl w:val="2"/>
          <w:numId w:val="9"/>
        </w:numPr>
        <w:rPr>
          <w:szCs w:val="22"/>
          <w:lang w:val="en-GB"/>
        </w:rPr>
      </w:pPr>
      <w:bookmarkStart w:id="874" w:name="_Toc181760654"/>
      <w:bookmarkStart w:id="875" w:name="_Toc1350"/>
      <w:bookmarkStart w:id="876" w:name="_Toc512794927"/>
      <w:bookmarkStart w:id="877" w:name="_Toc284074977"/>
      <w:bookmarkStart w:id="878" w:name="_Toc128561298"/>
      <w:bookmarkStart w:id="879" w:name="_Toc99422045"/>
      <w:bookmarkStart w:id="880" w:name="_Toc139190104"/>
      <w:bookmarkStart w:id="881" w:name="_Toc181776220"/>
      <w:bookmarkStart w:id="882" w:name="_Toc338686089"/>
      <w:r>
        <w:rPr>
          <w:rFonts w:hint="eastAsia"/>
          <w:szCs w:val="22"/>
          <w:lang w:val="en-GB"/>
        </w:rPr>
        <w:t>机柜安装</w:t>
      </w:r>
      <w:bookmarkEnd w:id="874"/>
      <w:bookmarkEnd w:id="875"/>
      <w:bookmarkEnd w:id="876"/>
      <w:bookmarkEnd w:id="877"/>
      <w:bookmarkEnd w:id="878"/>
      <w:bookmarkEnd w:id="879"/>
      <w:bookmarkEnd w:id="880"/>
      <w:bookmarkEnd w:id="881"/>
      <w:bookmarkEnd w:id="882"/>
      <w:bookmarkStart w:id="883" w:name="_Hlt324169537"/>
      <w:bookmarkEnd w:id="883"/>
    </w:p>
    <w:p>
      <w:pPr>
        <w:pStyle w:val="3"/>
        <w:rPr>
          <w:lang w:val="en-GB"/>
        </w:rPr>
      </w:pPr>
      <w:r>
        <w:rPr>
          <w:rFonts w:hint="eastAsia"/>
        </w:rPr>
        <w:t>如图</w:t>
      </w:r>
      <w:r>
        <w:t>7</w:t>
      </w:r>
      <w:r>
        <w:rPr>
          <w:rFonts w:hint="eastAsia"/>
        </w:rPr>
        <w:t>-</w:t>
      </w:r>
      <w:r>
        <w:t>5</w:t>
      </w:r>
      <w:r>
        <w:rPr>
          <w:rFonts w:hint="eastAsia"/>
        </w:rPr>
        <w:t>，单机组成的双母线系统由两个独立的UPS单机系统组成</w:t>
      </w:r>
      <w:r>
        <w:rPr>
          <w:rFonts w:hint="eastAsia"/>
          <w:lang w:val="en-GB"/>
        </w:rPr>
        <w:t>。双母线系统可靠性高，适用于带多个输入端子的负载。对于单输入负载，可以加入一个可选配的静态切换开关（STS）来给负载供电。</w:t>
      </w:r>
    </w:p>
    <w:p>
      <w:pPr>
        <w:pStyle w:val="3"/>
      </w:pPr>
      <w:r>
        <w:rPr>
          <w:rFonts w:hint="eastAsia"/>
        </w:rPr>
        <w:t>双母线系统使用</w:t>
      </w:r>
      <w:bookmarkStart w:id="884" w:name="OLE_LINK2"/>
      <w:r>
        <w:rPr>
          <w:rFonts w:hint="eastAsia"/>
        </w:rPr>
        <w:t>LBS</w:t>
      </w:r>
      <w:bookmarkEnd w:id="884"/>
      <w:r>
        <w:rPr>
          <w:rFonts w:hint="eastAsia"/>
        </w:rPr>
        <w:t>电缆或LBS盒选件来实现这两个独立的UPS系统的输出同步。其中一个系统为主系统，另一个系统为从系统。双母线系统的运行模式包括主系统和/或从系统以逆变或旁路模式运行。</w:t>
      </w:r>
    </w:p>
    <w:p>
      <w:pPr>
        <w:pStyle w:val="3"/>
        <w:ind w:left="0"/>
        <w:jc w:val="center"/>
      </w:pPr>
      <w:r>
        <w:object>
          <v:shape id="_x0000_i1034" o:spt="75" type="#_x0000_t75" style="height:190.5pt;width:231.4pt;" o:ole="t" filled="f" o:preferrelative="t" stroked="f" coordsize="21600,21600">
            <v:path/>
            <v:fill on="f" focussize="0,0"/>
            <v:stroke on="f" joinstyle="miter"/>
            <v:imagedata r:id="rId112" o:title=""/>
            <o:lock v:ext="edit" aspectratio="t"/>
            <w10:wrap type="none"/>
            <w10:anchorlock/>
          </v:shape>
          <o:OLEObject Type="Embed" ProgID="Visio.Drawing.11" ShapeID="_x0000_i1034" DrawAspect="Content" ObjectID="_1468075734" r:id="rId111">
            <o:LockedField>false</o:LockedField>
          </o:OLEObject>
        </w:object>
      </w:r>
    </w:p>
    <w:p>
      <w:pPr>
        <w:pStyle w:val="83"/>
        <w:numPr>
          <w:ilvl w:val="6"/>
          <w:numId w:val="4"/>
        </w:numPr>
        <w:rPr>
          <w:lang w:val="en-GB"/>
        </w:rPr>
      </w:pPr>
      <w:r>
        <w:rPr>
          <w:rFonts w:hint="eastAsia"/>
          <w:lang w:val="en-GB"/>
        </w:rPr>
        <w:t>单机组成的典型双母线系统</w:t>
      </w:r>
    </w:p>
    <w:p>
      <w:pPr>
        <w:pStyle w:val="3"/>
      </w:pPr>
      <w:r>
        <w:rPr>
          <w:rFonts w:hint="eastAsia"/>
        </w:rPr>
        <w:t>安装时并排放置两单机，并按以下说明进行各单机间的连</w:t>
      </w:r>
      <w:bookmarkStart w:id="885" w:name="_Hlt324172438"/>
      <w:bookmarkEnd w:id="885"/>
      <w:r>
        <w:rPr>
          <w:rFonts w:hint="eastAsia"/>
        </w:rPr>
        <w:t>接。</w:t>
      </w:r>
    </w:p>
    <w:tbl>
      <w:tblPr>
        <w:tblStyle w:val="50"/>
        <w:tblW w:w="9407"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40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407" w:type="dxa"/>
            <w:vAlign w:val="center"/>
          </w:tcPr>
          <w:p>
            <w:pPr>
              <w:pStyle w:val="72"/>
              <w:spacing w:before="46" w:beforeLines="15" w:line="276" w:lineRule="auto"/>
              <w:jc w:val="both"/>
              <w:rPr>
                <w:rStyle w:val="87"/>
              </w:rPr>
            </w:pPr>
            <w:r>
              <w:rPr>
                <w:rStyle w:val="87"/>
              </w:rPr>
              <w:drawing>
                <wp:inline distT="0" distB="0" distL="0" distR="0">
                  <wp:extent cx="315595" cy="267970"/>
                  <wp:effectExtent l="0" t="0" r="8255" b="0"/>
                  <wp:docPr id="20" name="图片 20" descr="图形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形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315595" cy="267970"/>
                          </a:xfrm>
                          <a:prstGeom prst="rect">
                            <a:avLst/>
                          </a:prstGeom>
                          <a:noFill/>
                          <a:ln>
                            <a:noFill/>
                          </a:ln>
                        </pic:spPr>
                      </pic:pic>
                    </a:graphicData>
                  </a:graphic>
                </wp:inline>
              </w:drawing>
            </w:r>
            <w:r>
              <w:rPr>
                <w:rStyle w:val="87"/>
                <w:rFonts w:hint="eastAsia"/>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20" w:hRule="atLeast"/>
          <w:jc w:val="right"/>
        </w:trPr>
        <w:tc>
          <w:tcPr>
            <w:tcW w:w="9407" w:type="dxa"/>
            <w:vAlign w:val="center"/>
          </w:tcPr>
          <w:p>
            <w:pPr>
              <w:pStyle w:val="73"/>
              <w:jc w:val="both"/>
            </w:pPr>
            <w:r>
              <w:rPr>
                <w:rFonts w:hint="eastAsia"/>
                <w:lang w:val="en-GB"/>
              </w:rPr>
              <w:t>双母线系统中，两个UPS系统的功率、电压和频率必须相同，且负载不能大于单个UPS系统额定功率。</w:t>
            </w:r>
          </w:p>
        </w:tc>
      </w:tr>
    </w:tbl>
    <w:p>
      <w:pPr>
        <w:pStyle w:val="5"/>
        <w:numPr>
          <w:ilvl w:val="2"/>
          <w:numId w:val="9"/>
        </w:numPr>
        <w:rPr>
          <w:szCs w:val="22"/>
        </w:rPr>
      </w:pPr>
      <w:bookmarkStart w:id="886" w:name="_Hlt324232492"/>
      <w:bookmarkEnd w:id="886"/>
      <w:bookmarkStart w:id="887" w:name="_Hlt324170284"/>
      <w:bookmarkEnd w:id="887"/>
      <w:bookmarkStart w:id="888" w:name="_Hlt324171915"/>
      <w:bookmarkEnd w:id="888"/>
      <w:bookmarkStart w:id="889" w:name="_Hlt324232482"/>
      <w:bookmarkEnd w:id="889"/>
      <w:bookmarkStart w:id="890" w:name="_Toc338686091"/>
      <w:bookmarkStart w:id="891" w:name="_Toc2713"/>
      <w:bookmarkStart w:id="892" w:name="_Toc512794929"/>
      <w:r>
        <w:rPr>
          <w:rFonts w:hint="eastAsia"/>
          <w:szCs w:val="22"/>
        </w:rPr>
        <w:t>LBS功</w:t>
      </w:r>
      <w:bookmarkStart w:id="893" w:name="_Hlt324232494"/>
      <w:bookmarkEnd w:id="893"/>
      <w:r>
        <w:rPr>
          <w:rFonts w:hint="eastAsia"/>
          <w:szCs w:val="22"/>
        </w:rPr>
        <w:t>率电缆</w:t>
      </w:r>
      <w:bookmarkEnd w:id="890"/>
      <w:bookmarkEnd w:id="891"/>
      <w:bookmarkEnd w:id="892"/>
    </w:p>
    <w:p>
      <w:pPr>
        <w:pStyle w:val="3"/>
        <w:rPr>
          <w:i/>
          <w:iCs/>
        </w:rPr>
      </w:pPr>
      <w:r>
        <w:rPr>
          <w:rFonts w:hint="eastAsia"/>
        </w:rPr>
        <w:t>功率电缆配线与单机系统类似，参见</w:t>
      </w:r>
      <w:r>
        <w:rPr>
          <w:rFonts w:hint="eastAsia"/>
          <w:b/>
          <w:iCs/>
        </w:rPr>
        <w:t>3</w:t>
      </w:r>
      <w:r>
        <w:rPr>
          <w:b/>
          <w:iCs/>
        </w:rPr>
        <w:t xml:space="preserve">.1 </w:t>
      </w:r>
      <w:r>
        <w:rPr>
          <w:rFonts w:hint="eastAsia"/>
          <w:b/>
          <w:iCs/>
        </w:rPr>
        <w:t>功率电缆布线</w:t>
      </w:r>
      <w:r>
        <w:rPr>
          <w:rFonts w:hint="eastAsia"/>
        </w:rPr>
        <w:t>。</w:t>
      </w:r>
    </w:p>
    <w:p>
      <w:pPr>
        <w:pStyle w:val="5"/>
        <w:numPr>
          <w:ilvl w:val="2"/>
          <w:numId w:val="9"/>
        </w:numPr>
        <w:rPr>
          <w:szCs w:val="22"/>
        </w:rPr>
      </w:pPr>
      <w:bookmarkStart w:id="894" w:name="_Hlt324170286"/>
      <w:bookmarkEnd w:id="894"/>
      <w:bookmarkStart w:id="895" w:name="_Toc339294480"/>
      <w:bookmarkEnd w:id="895"/>
      <w:bookmarkStart w:id="896" w:name="_Toc339307444"/>
      <w:bookmarkEnd w:id="896"/>
      <w:bookmarkStart w:id="897" w:name="_Toc11768"/>
      <w:bookmarkStart w:id="898" w:name="_Toc512794930"/>
      <w:bookmarkStart w:id="899" w:name="_Toc338686092"/>
      <w:r>
        <w:rPr>
          <w:rFonts w:hint="eastAsia"/>
          <w:szCs w:val="22"/>
        </w:rPr>
        <w:t>LBS电缆</w:t>
      </w:r>
      <w:bookmarkEnd w:id="897"/>
      <w:bookmarkEnd w:id="898"/>
      <w:bookmarkEnd w:id="899"/>
      <w:bookmarkStart w:id="900" w:name="_Hlt324171843"/>
      <w:bookmarkEnd w:id="900"/>
    </w:p>
    <w:p>
      <w:pPr>
        <w:pStyle w:val="3"/>
        <w:rPr>
          <w:lang w:val="en-GB"/>
        </w:rPr>
      </w:pPr>
      <w:r>
        <w:rPr>
          <w:rFonts w:hint="eastAsia"/>
        </w:rPr>
        <w:t>对于由两个 UPS单机系统组成的双母线系统</w:t>
      </w:r>
      <w:r>
        <w:rPr>
          <w:rFonts w:hint="eastAsia"/>
          <w:lang w:val="en-GB"/>
        </w:rPr>
        <w:t>，用L</w:t>
      </w:r>
      <w:r>
        <w:rPr>
          <w:rFonts w:hint="eastAsia"/>
        </w:rPr>
        <w:t>BS</w:t>
      </w:r>
      <w:r>
        <w:rPr>
          <w:rFonts w:hint="eastAsia"/>
          <w:lang w:val="en-GB"/>
        </w:rPr>
        <w:t>电缆选件</w:t>
      </w:r>
      <w:r>
        <w:rPr>
          <w:rFonts w:hint="eastAsia"/>
        </w:rPr>
        <w:t>（5</w:t>
      </w:r>
      <w:r>
        <w:t>m</w:t>
      </w:r>
      <w:r>
        <w:rPr>
          <w:rFonts w:hint="eastAsia"/>
        </w:rPr>
        <w:t>m、10mm、15mm可选）</w:t>
      </w:r>
      <w:r>
        <w:rPr>
          <w:rFonts w:hint="eastAsia"/>
          <w:lang w:val="en-GB"/>
        </w:rPr>
        <w:t>将两个L</w:t>
      </w:r>
      <w:r>
        <w:rPr>
          <w:lang w:val="en-GB"/>
        </w:rPr>
        <w:t>BS</w:t>
      </w:r>
      <w:r>
        <w:rPr>
          <w:rFonts w:hint="eastAsia"/>
          <w:lang w:val="en-GB"/>
        </w:rPr>
        <w:t>接口连接即可，</w:t>
      </w:r>
      <w:r>
        <w:rPr>
          <w:rFonts w:hint="eastAsia"/>
        </w:rPr>
        <w:t>如</w:t>
      </w:r>
      <w:r>
        <w:rPr>
          <w:rFonts w:hint="eastAsia"/>
          <w:lang w:val="en-GB"/>
        </w:rPr>
        <w:t>图</w:t>
      </w:r>
      <w:r>
        <w:rPr>
          <w:rFonts w:hint="eastAsia"/>
        </w:rPr>
        <w:t>7</w:t>
      </w:r>
      <w:r>
        <w:rPr>
          <w:rFonts w:hint="eastAsia"/>
          <w:lang w:val="en-GB"/>
        </w:rPr>
        <w:t>-</w:t>
      </w:r>
      <w:r>
        <w:rPr>
          <w:lang w:val="en-GB"/>
        </w:rPr>
        <w:t>6</w:t>
      </w:r>
      <w:r>
        <w:rPr>
          <w:rFonts w:hint="eastAsia"/>
          <w:lang w:val="en-GB"/>
        </w:rPr>
        <w:t>所示。旁路模块前面板提供</w:t>
      </w:r>
      <w:r>
        <w:rPr>
          <w:lang w:val="en-GB"/>
        </w:rPr>
        <w:t>J</w:t>
      </w:r>
      <w:r>
        <w:rPr>
          <w:rFonts w:hint="eastAsia"/>
          <w:lang w:val="en-GB"/>
        </w:rPr>
        <w:t>2接口。</w:t>
      </w:r>
    </w:p>
    <w:tbl>
      <w:tblPr>
        <w:tblStyle w:val="50"/>
        <w:tblW w:w="9356"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56" w:type="dxa"/>
            <w:vAlign w:val="center"/>
          </w:tcPr>
          <w:p>
            <w:pPr>
              <w:pStyle w:val="72"/>
              <w:spacing w:before="46" w:beforeLines="15" w:line="276" w:lineRule="auto"/>
              <w:jc w:val="both"/>
            </w:pPr>
            <w:r>
              <w:rPr>
                <w:rFonts w:ascii="黑体" w:eastAsia="黑体"/>
              </w:rPr>
              <w:drawing>
                <wp:inline distT="0" distB="0" distL="0" distR="0">
                  <wp:extent cx="315595" cy="267970"/>
                  <wp:effectExtent l="0" t="0" r="8255" b="0"/>
                  <wp:docPr id="19" name="图片 19" descr="图形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形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315595" cy="267970"/>
                          </a:xfrm>
                          <a:prstGeom prst="rect">
                            <a:avLst/>
                          </a:prstGeom>
                          <a:noFill/>
                          <a:ln>
                            <a:noFill/>
                          </a:ln>
                        </pic:spPr>
                      </pic:pic>
                    </a:graphicData>
                  </a:graphic>
                </wp:inline>
              </w:drawing>
            </w:r>
            <w:r>
              <w:rPr>
                <w:rFonts w:hint="eastAsia" w:ascii="黑体" w:eastAsia="黑体"/>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56" w:type="dxa"/>
            <w:tcMar>
              <w:top w:w="28" w:type="dxa"/>
            </w:tcMar>
            <w:vAlign w:val="center"/>
          </w:tcPr>
          <w:p>
            <w:pPr>
              <w:pStyle w:val="73"/>
            </w:pPr>
            <w:r>
              <w:rPr>
                <w:rFonts w:hint="eastAsia"/>
                <w:bCs/>
                <w:lang w:val="en-GB"/>
              </w:rPr>
              <w:t>应采用适合现场的最短的</w:t>
            </w:r>
            <w:r>
              <w:rPr>
                <w:rFonts w:hint="eastAsia"/>
                <w:lang w:val="en-GB"/>
              </w:rPr>
              <w:t>L</w:t>
            </w:r>
            <w:r>
              <w:rPr>
                <w:rFonts w:hint="eastAsia"/>
              </w:rPr>
              <w:t>BS</w:t>
            </w:r>
            <w:r>
              <w:rPr>
                <w:rFonts w:hint="eastAsia"/>
                <w:bCs/>
                <w:lang w:val="en-GB"/>
              </w:rPr>
              <w:t>电缆，不可将</w:t>
            </w:r>
            <w:r>
              <w:rPr>
                <w:rFonts w:hint="eastAsia"/>
                <w:lang w:val="en-GB"/>
              </w:rPr>
              <w:t>L</w:t>
            </w:r>
            <w:r>
              <w:rPr>
                <w:rFonts w:hint="eastAsia"/>
              </w:rPr>
              <w:t>BS</w:t>
            </w:r>
            <w:r>
              <w:rPr>
                <w:rFonts w:hint="eastAsia"/>
                <w:bCs/>
                <w:lang w:val="en-GB"/>
              </w:rPr>
              <w:t>电缆绕圈，且</w:t>
            </w:r>
            <w:r>
              <w:rPr>
                <w:rFonts w:hint="eastAsia"/>
                <w:lang w:val="en-GB"/>
              </w:rPr>
              <w:t>L</w:t>
            </w:r>
            <w:r>
              <w:rPr>
                <w:rFonts w:hint="eastAsia"/>
              </w:rPr>
              <w:t>BS</w:t>
            </w:r>
            <w:r>
              <w:rPr>
                <w:rFonts w:hint="eastAsia"/>
                <w:bCs/>
                <w:lang w:val="en-GB"/>
              </w:rPr>
              <w:t>电缆应与功率电缆保持适当距离以避免电气干拢。</w:t>
            </w:r>
          </w:p>
        </w:tc>
      </w:tr>
    </w:tbl>
    <w:p>
      <w:pPr>
        <w:pStyle w:val="3"/>
        <w:jc w:val="center"/>
      </w:pPr>
    </w:p>
    <w:p>
      <w:pPr>
        <w:pStyle w:val="3"/>
        <w:ind w:left="0"/>
        <w:jc w:val="center"/>
        <w:rPr>
          <w:lang w:val="en-GB"/>
        </w:rPr>
      </w:pPr>
      <w:r>
        <w:drawing>
          <wp:inline distT="0" distB="0" distL="0" distR="0">
            <wp:extent cx="2774950" cy="1529080"/>
            <wp:effectExtent l="0" t="0" r="635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a:xfrm>
                      <a:off x="0" y="0"/>
                      <a:ext cx="2774950" cy="1529080"/>
                    </a:xfrm>
                    <a:prstGeom prst="rect">
                      <a:avLst/>
                    </a:prstGeom>
                    <a:noFill/>
                    <a:ln>
                      <a:noFill/>
                    </a:ln>
                    <a:effectLst/>
                  </pic:spPr>
                </pic:pic>
              </a:graphicData>
            </a:graphic>
          </wp:inline>
        </w:drawing>
      </w:r>
    </w:p>
    <w:p>
      <w:pPr>
        <w:pStyle w:val="83"/>
        <w:numPr>
          <w:ilvl w:val="6"/>
          <w:numId w:val="4"/>
        </w:numPr>
        <w:rPr>
          <w:lang w:val="en-GB"/>
        </w:rPr>
      </w:pPr>
      <w:r>
        <w:rPr>
          <w:rFonts w:hint="eastAsia"/>
          <w:lang w:val="en-GB"/>
        </w:rPr>
        <w:t>由两单机组成的双母线系统的连接</w:t>
      </w:r>
    </w:p>
    <w:p>
      <w:pPr>
        <w:pStyle w:val="83"/>
        <w:numPr>
          <w:ilvl w:val="6"/>
          <w:numId w:val="15"/>
        </w:numPr>
        <w:ind w:left="680"/>
        <w:sectPr>
          <w:headerReference r:id="rId27" w:type="default"/>
          <w:type w:val="continuous"/>
          <w:pgSz w:w="11906" w:h="16838"/>
          <w:pgMar w:top="1304" w:right="737" w:bottom="1134" w:left="1134" w:header="851" w:footer="737" w:gutter="0"/>
          <w:cols w:space="720" w:num="1"/>
          <w:docGrid w:type="lines" w:linePitch="312" w:charSpace="0"/>
        </w:sectPr>
      </w:pPr>
      <w:bookmarkStart w:id="901" w:name="_Toc227121123"/>
      <w:bookmarkEnd w:id="901"/>
      <w:bookmarkStart w:id="902" w:name="_Toc227123854"/>
      <w:bookmarkEnd w:id="902"/>
      <w:bookmarkStart w:id="903" w:name="_Toc226275873"/>
      <w:bookmarkEnd w:id="903"/>
      <w:bookmarkStart w:id="904" w:name="_Toc227123858"/>
      <w:bookmarkEnd w:id="904"/>
      <w:bookmarkStart w:id="905" w:name="_Toc225917650"/>
      <w:bookmarkEnd w:id="905"/>
      <w:bookmarkStart w:id="906" w:name="_Toc226277938"/>
      <w:bookmarkEnd w:id="906"/>
      <w:bookmarkStart w:id="907" w:name="_Toc227121125"/>
      <w:bookmarkEnd w:id="907"/>
      <w:bookmarkStart w:id="908" w:name="_Toc226277295"/>
      <w:bookmarkEnd w:id="908"/>
      <w:bookmarkStart w:id="909" w:name="_Toc225917656"/>
      <w:bookmarkEnd w:id="909"/>
      <w:bookmarkStart w:id="910" w:name="_Toc226277296"/>
      <w:bookmarkEnd w:id="910"/>
      <w:bookmarkStart w:id="911" w:name="_Toc225917662"/>
      <w:bookmarkEnd w:id="911"/>
      <w:bookmarkStart w:id="912" w:name="_Toc226277934"/>
      <w:bookmarkEnd w:id="912"/>
      <w:bookmarkStart w:id="913" w:name="_Toc225917657"/>
      <w:bookmarkEnd w:id="913"/>
      <w:bookmarkStart w:id="914" w:name="_Toc225910339"/>
      <w:bookmarkEnd w:id="914"/>
      <w:bookmarkStart w:id="915" w:name="_Toc226277631"/>
      <w:bookmarkEnd w:id="915"/>
      <w:bookmarkStart w:id="916" w:name="_Toc226353310"/>
      <w:bookmarkEnd w:id="916"/>
      <w:bookmarkStart w:id="917" w:name="_Toc226353315"/>
      <w:bookmarkEnd w:id="917"/>
      <w:bookmarkStart w:id="918" w:name="_Toc227123859"/>
      <w:bookmarkEnd w:id="918"/>
      <w:bookmarkStart w:id="919" w:name="_Toc227121131"/>
      <w:bookmarkEnd w:id="919"/>
      <w:bookmarkStart w:id="920" w:name="_Toc226275588"/>
      <w:bookmarkEnd w:id="920"/>
      <w:bookmarkStart w:id="921" w:name="_Toc225917661"/>
      <w:bookmarkEnd w:id="921"/>
      <w:bookmarkStart w:id="922" w:name="_Toc226275875"/>
      <w:bookmarkEnd w:id="922"/>
      <w:bookmarkStart w:id="923" w:name="_Toc226275585"/>
      <w:bookmarkEnd w:id="923"/>
      <w:bookmarkStart w:id="924" w:name="_Toc226353307"/>
      <w:bookmarkEnd w:id="924"/>
      <w:bookmarkStart w:id="925" w:name="_Toc226277297"/>
      <w:bookmarkEnd w:id="925"/>
      <w:bookmarkStart w:id="926" w:name="_Toc225910335"/>
      <w:bookmarkEnd w:id="926"/>
      <w:bookmarkStart w:id="927" w:name="_Toc226275594"/>
      <w:bookmarkEnd w:id="927"/>
      <w:bookmarkStart w:id="928" w:name="_Toc226277936"/>
      <w:bookmarkEnd w:id="928"/>
      <w:bookmarkStart w:id="929" w:name="_Toc226277302"/>
      <w:bookmarkEnd w:id="929"/>
      <w:bookmarkStart w:id="930" w:name="_Toc226277301"/>
      <w:bookmarkEnd w:id="930"/>
      <w:bookmarkStart w:id="931" w:name="_Toc227123852"/>
      <w:bookmarkEnd w:id="931"/>
      <w:bookmarkStart w:id="932" w:name="_Toc227121132"/>
      <w:bookmarkEnd w:id="932"/>
      <w:bookmarkStart w:id="933" w:name="_Toc227121133"/>
      <w:bookmarkEnd w:id="933"/>
      <w:bookmarkStart w:id="934" w:name="_Toc227121120"/>
      <w:bookmarkEnd w:id="934"/>
      <w:bookmarkStart w:id="935" w:name="_Toc226275590"/>
      <w:bookmarkEnd w:id="935"/>
      <w:bookmarkStart w:id="936" w:name="_Toc226353306"/>
      <w:bookmarkEnd w:id="936"/>
      <w:bookmarkStart w:id="937" w:name="_Toc225910340"/>
      <w:bookmarkEnd w:id="937"/>
      <w:bookmarkStart w:id="938" w:name="_Toc225917649"/>
      <w:bookmarkEnd w:id="938"/>
      <w:bookmarkStart w:id="939" w:name="_Toc225910334"/>
      <w:bookmarkEnd w:id="939"/>
      <w:bookmarkStart w:id="940" w:name="_Toc226275878"/>
      <w:bookmarkEnd w:id="940"/>
      <w:bookmarkStart w:id="941" w:name="_Toc225910341"/>
      <w:bookmarkEnd w:id="941"/>
      <w:bookmarkStart w:id="942" w:name="_Toc225910342"/>
      <w:bookmarkEnd w:id="942"/>
      <w:bookmarkStart w:id="943" w:name="_Toc225910343"/>
      <w:bookmarkEnd w:id="943"/>
      <w:bookmarkStart w:id="944" w:name="_Toc225917660"/>
      <w:bookmarkEnd w:id="944"/>
      <w:bookmarkStart w:id="945" w:name="_Toc225910333"/>
      <w:bookmarkEnd w:id="945"/>
      <w:bookmarkStart w:id="946" w:name="_Toc226277632"/>
      <w:bookmarkEnd w:id="946"/>
      <w:bookmarkStart w:id="947" w:name="_Toc227123849"/>
      <w:bookmarkEnd w:id="947"/>
      <w:bookmarkStart w:id="948" w:name="_Toc226353313"/>
      <w:bookmarkEnd w:id="948"/>
      <w:bookmarkStart w:id="949" w:name="_Toc226353316"/>
      <w:bookmarkEnd w:id="949"/>
      <w:bookmarkStart w:id="950" w:name="_Toc227123857"/>
      <w:bookmarkEnd w:id="950"/>
      <w:bookmarkStart w:id="951" w:name="_Toc225910346"/>
      <w:bookmarkEnd w:id="951"/>
      <w:bookmarkStart w:id="952" w:name="_Toc226275865"/>
      <w:bookmarkEnd w:id="952"/>
      <w:bookmarkStart w:id="953" w:name="_Toc226277304"/>
      <w:bookmarkEnd w:id="953"/>
      <w:bookmarkStart w:id="954" w:name="_Toc226275592"/>
      <w:bookmarkEnd w:id="954"/>
      <w:bookmarkStart w:id="955" w:name="_Toc226275581"/>
      <w:bookmarkEnd w:id="955"/>
      <w:bookmarkStart w:id="956" w:name="_Toc226277928"/>
      <w:bookmarkEnd w:id="956"/>
      <w:bookmarkStart w:id="957" w:name="_Toc226275591"/>
      <w:bookmarkEnd w:id="957"/>
      <w:bookmarkStart w:id="958" w:name="_Toc226277937"/>
      <w:bookmarkEnd w:id="958"/>
      <w:bookmarkStart w:id="959" w:name="_Toc225910348"/>
      <w:bookmarkEnd w:id="959"/>
      <w:bookmarkStart w:id="960" w:name="_Toc226277927"/>
      <w:bookmarkEnd w:id="960"/>
      <w:bookmarkStart w:id="961" w:name="_Toc226277941"/>
      <w:bookmarkEnd w:id="961"/>
      <w:bookmarkStart w:id="962" w:name="_Toc226277930"/>
      <w:bookmarkEnd w:id="962"/>
      <w:bookmarkStart w:id="963" w:name="_Toc225917665"/>
      <w:bookmarkEnd w:id="963"/>
      <w:bookmarkStart w:id="964" w:name="_Toc226277933"/>
      <w:bookmarkEnd w:id="964"/>
      <w:bookmarkStart w:id="965" w:name="_Toc227121135"/>
      <w:bookmarkEnd w:id="965"/>
      <w:bookmarkStart w:id="966" w:name="_Toc227121130"/>
      <w:bookmarkEnd w:id="966"/>
      <w:bookmarkStart w:id="967" w:name="_Toc226353312"/>
      <w:bookmarkEnd w:id="967"/>
      <w:bookmarkStart w:id="968" w:name="_Toc225917652"/>
      <w:bookmarkEnd w:id="968"/>
      <w:bookmarkStart w:id="969" w:name="_Toc226277625"/>
      <w:bookmarkEnd w:id="969"/>
      <w:bookmarkStart w:id="970" w:name="_Toc226353317"/>
      <w:bookmarkEnd w:id="970"/>
      <w:bookmarkStart w:id="971" w:name="_Toc227123855"/>
      <w:bookmarkEnd w:id="971"/>
      <w:bookmarkStart w:id="972" w:name="_Toc226277305"/>
      <w:bookmarkEnd w:id="972"/>
      <w:bookmarkStart w:id="973" w:name="_Toc226275867"/>
      <w:bookmarkEnd w:id="973"/>
      <w:bookmarkStart w:id="974" w:name="_Toc226277939"/>
      <w:bookmarkEnd w:id="974"/>
      <w:bookmarkStart w:id="975" w:name="_Toc226353320"/>
      <w:bookmarkEnd w:id="975"/>
      <w:bookmarkStart w:id="976" w:name="_Toc227121128"/>
      <w:bookmarkEnd w:id="976"/>
      <w:bookmarkStart w:id="977" w:name="_Toc225917654"/>
      <w:bookmarkEnd w:id="977"/>
      <w:bookmarkStart w:id="978" w:name="_Toc225917664"/>
      <w:bookmarkEnd w:id="978"/>
      <w:bookmarkStart w:id="979" w:name="_Toc226277290"/>
      <w:bookmarkEnd w:id="979"/>
      <w:bookmarkStart w:id="980" w:name="_Toc225910337"/>
      <w:bookmarkEnd w:id="980"/>
      <w:bookmarkStart w:id="981" w:name="_Toc226275584"/>
      <w:bookmarkEnd w:id="981"/>
      <w:bookmarkStart w:id="982" w:name="_Toc226275868"/>
      <w:bookmarkEnd w:id="982"/>
      <w:bookmarkStart w:id="983" w:name="_Toc226277929"/>
      <w:bookmarkEnd w:id="983"/>
      <w:bookmarkStart w:id="984" w:name="_Toc227123844"/>
      <w:bookmarkEnd w:id="984"/>
      <w:bookmarkStart w:id="985" w:name="_Toc226275864"/>
      <w:bookmarkEnd w:id="985"/>
      <w:bookmarkStart w:id="986" w:name="_Toc227123853"/>
      <w:bookmarkEnd w:id="986"/>
      <w:bookmarkStart w:id="987" w:name="_Toc226275583"/>
      <w:bookmarkEnd w:id="987"/>
      <w:bookmarkStart w:id="988" w:name="_Toc226277292"/>
      <w:bookmarkEnd w:id="988"/>
      <w:bookmarkStart w:id="989" w:name="_Toc226277298"/>
      <w:bookmarkEnd w:id="989"/>
      <w:bookmarkStart w:id="990" w:name="_Toc226277299"/>
      <w:bookmarkEnd w:id="990"/>
      <w:bookmarkStart w:id="991" w:name="_Toc225917658"/>
      <w:bookmarkEnd w:id="991"/>
      <w:bookmarkStart w:id="992" w:name="_Toc226277636"/>
      <w:bookmarkEnd w:id="992"/>
      <w:bookmarkStart w:id="993" w:name="_Toc226275871"/>
      <w:bookmarkEnd w:id="993"/>
      <w:bookmarkStart w:id="994" w:name="_Toc226353308"/>
      <w:bookmarkEnd w:id="994"/>
      <w:bookmarkStart w:id="995" w:name="_Toc226353318"/>
      <w:bookmarkEnd w:id="995"/>
      <w:bookmarkStart w:id="996" w:name="_Toc226277629"/>
      <w:bookmarkEnd w:id="996"/>
      <w:bookmarkStart w:id="997" w:name="_Toc227121122"/>
      <w:bookmarkEnd w:id="997"/>
      <w:bookmarkStart w:id="998" w:name="_Toc226275596"/>
      <w:bookmarkEnd w:id="998"/>
      <w:bookmarkStart w:id="999" w:name="_Toc226277635"/>
      <w:bookmarkEnd w:id="999"/>
      <w:bookmarkStart w:id="1000" w:name="_Toc226277300"/>
      <w:bookmarkEnd w:id="1000"/>
      <w:bookmarkStart w:id="1001" w:name="_Toc227121126"/>
      <w:bookmarkEnd w:id="1001"/>
      <w:bookmarkStart w:id="1002" w:name="_Toc226275582"/>
      <w:bookmarkEnd w:id="1002"/>
      <w:bookmarkStart w:id="1003" w:name="_Toc225910345"/>
      <w:bookmarkEnd w:id="1003"/>
      <w:bookmarkStart w:id="1004" w:name="_Toc226275587"/>
      <w:bookmarkEnd w:id="1004"/>
      <w:bookmarkStart w:id="1005" w:name="_Toc227123845"/>
      <w:bookmarkEnd w:id="1005"/>
      <w:bookmarkStart w:id="1006" w:name="_Toc226275876"/>
      <w:bookmarkEnd w:id="1006"/>
      <w:bookmarkStart w:id="1007" w:name="_Toc226277925"/>
      <w:bookmarkEnd w:id="1007"/>
      <w:bookmarkStart w:id="1008" w:name="_Toc227123846"/>
      <w:bookmarkEnd w:id="1008"/>
      <w:bookmarkStart w:id="1009" w:name="_Toc226275870"/>
      <w:bookmarkEnd w:id="1009"/>
      <w:bookmarkStart w:id="1010" w:name="_Toc226275874"/>
      <w:bookmarkEnd w:id="1010"/>
      <w:bookmarkStart w:id="1011" w:name="_Toc226277303"/>
      <w:bookmarkEnd w:id="1011"/>
      <w:bookmarkStart w:id="1012" w:name="_Toc226275866"/>
      <w:bookmarkEnd w:id="1012"/>
      <w:bookmarkStart w:id="1013" w:name="_Toc226275595"/>
      <w:bookmarkEnd w:id="1013"/>
      <w:bookmarkStart w:id="1014" w:name="_Toc226353319"/>
      <w:bookmarkEnd w:id="1014"/>
      <w:bookmarkStart w:id="1015" w:name="_Toc226275863"/>
      <w:bookmarkEnd w:id="1015"/>
      <w:bookmarkStart w:id="1016" w:name="_Toc226277630"/>
      <w:bookmarkEnd w:id="1016"/>
      <w:bookmarkStart w:id="1017" w:name="_Toc225917651"/>
      <w:bookmarkEnd w:id="1017"/>
      <w:bookmarkStart w:id="1018" w:name="_Toc226353321"/>
      <w:bookmarkEnd w:id="1018"/>
      <w:bookmarkStart w:id="1019" w:name="_Toc227123856"/>
      <w:bookmarkEnd w:id="1019"/>
      <w:bookmarkStart w:id="1020" w:name="_Toc226353314"/>
      <w:bookmarkEnd w:id="1020"/>
      <w:bookmarkStart w:id="1021" w:name="_Toc226277291"/>
      <w:bookmarkEnd w:id="1021"/>
      <w:bookmarkStart w:id="1022" w:name="_Toc227121121"/>
      <w:bookmarkEnd w:id="1022"/>
      <w:bookmarkStart w:id="1023" w:name="_Toc226353311"/>
      <w:bookmarkEnd w:id="1023"/>
      <w:bookmarkStart w:id="1024" w:name="_Toc226277633"/>
      <w:bookmarkEnd w:id="1024"/>
      <w:bookmarkStart w:id="1025" w:name="_Toc226277626"/>
      <w:bookmarkEnd w:id="1025"/>
      <w:bookmarkStart w:id="1026" w:name="_Toc226277932"/>
      <w:bookmarkEnd w:id="1026"/>
      <w:bookmarkStart w:id="1027" w:name="_Toc225910336"/>
      <w:bookmarkEnd w:id="1027"/>
      <w:bookmarkStart w:id="1028" w:name="_Toc226275586"/>
      <w:bookmarkEnd w:id="1028"/>
      <w:bookmarkStart w:id="1029" w:name="_Toc225910347"/>
      <w:bookmarkEnd w:id="1029"/>
      <w:bookmarkStart w:id="1030" w:name="_Toc226275872"/>
      <w:bookmarkEnd w:id="1030"/>
      <w:bookmarkStart w:id="1031" w:name="_Toc226277294"/>
      <w:bookmarkEnd w:id="1031"/>
      <w:bookmarkStart w:id="1032" w:name="_Toc227121136"/>
      <w:bookmarkEnd w:id="1032"/>
      <w:bookmarkStart w:id="1033" w:name="_Toc226277622"/>
      <w:bookmarkEnd w:id="1033"/>
      <w:bookmarkStart w:id="1034" w:name="_Toc226277624"/>
      <w:bookmarkEnd w:id="1034"/>
      <w:bookmarkStart w:id="1035" w:name="_Toc225917655"/>
      <w:bookmarkEnd w:id="1035"/>
      <w:bookmarkStart w:id="1036" w:name="_Toc227123851"/>
      <w:bookmarkEnd w:id="1036"/>
      <w:bookmarkStart w:id="1037" w:name="_Toc226277293"/>
      <w:bookmarkEnd w:id="1037"/>
      <w:bookmarkStart w:id="1038" w:name="_Toc227121129"/>
      <w:bookmarkEnd w:id="1038"/>
      <w:bookmarkStart w:id="1039" w:name="_Toc226277931"/>
      <w:bookmarkEnd w:id="1039"/>
      <w:bookmarkStart w:id="1040" w:name="_Toc226275589"/>
      <w:bookmarkEnd w:id="1040"/>
      <w:bookmarkStart w:id="1041" w:name="_Toc226277634"/>
      <w:bookmarkEnd w:id="1041"/>
      <w:bookmarkStart w:id="1042" w:name="_Toc226277621"/>
      <w:bookmarkEnd w:id="1042"/>
      <w:bookmarkStart w:id="1043" w:name="_Toc226277935"/>
      <w:bookmarkEnd w:id="1043"/>
      <w:bookmarkStart w:id="1044" w:name="_Toc226353309"/>
      <w:bookmarkEnd w:id="1044"/>
      <w:bookmarkStart w:id="1045" w:name="_Toc226277627"/>
      <w:bookmarkEnd w:id="1045"/>
      <w:bookmarkStart w:id="1046" w:name="_Toc226277628"/>
      <w:bookmarkEnd w:id="1046"/>
      <w:bookmarkStart w:id="1047" w:name="_Toc226277926"/>
      <w:bookmarkEnd w:id="1047"/>
      <w:bookmarkStart w:id="1048" w:name="_Toc226277637"/>
      <w:bookmarkEnd w:id="1048"/>
      <w:bookmarkStart w:id="1049" w:name="_Toc226277289"/>
      <w:bookmarkEnd w:id="1049"/>
      <w:bookmarkStart w:id="1050" w:name="_Toc227121124"/>
      <w:bookmarkEnd w:id="1050"/>
      <w:bookmarkStart w:id="1051" w:name="_Toc225917663"/>
      <w:bookmarkEnd w:id="1051"/>
      <w:bookmarkStart w:id="1052" w:name="_Toc226277623"/>
      <w:bookmarkEnd w:id="1052"/>
      <w:bookmarkStart w:id="1053" w:name="_Toc227123850"/>
      <w:bookmarkEnd w:id="1053"/>
      <w:bookmarkStart w:id="1054" w:name="_Toc225910338"/>
      <w:bookmarkEnd w:id="1054"/>
      <w:bookmarkStart w:id="1055" w:name="_Toc226275877"/>
      <w:bookmarkEnd w:id="1055"/>
      <w:bookmarkStart w:id="1056" w:name="_Toc227123847"/>
      <w:bookmarkEnd w:id="1056"/>
      <w:bookmarkStart w:id="1057" w:name="_Toc226275593"/>
      <w:bookmarkEnd w:id="1057"/>
      <w:bookmarkStart w:id="1058" w:name="_Toc225910349"/>
      <w:bookmarkEnd w:id="1058"/>
      <w:bookmarkStart w:id="1059" w:name="_Toc225917659"/>
      <w:bookmarkEnd w:id="1059"/>
      <w:bookmarkStart w:id="1060" w:name="_Toc227121134"/>
      <w:bookmarkEnd w:id="1060"/>
      <w:bookmarkStart w:id="1061" w:name="_Toc226277940"/>
      <w:bookmarkEnd w:id="1061"/>
      <w:bookmarkStart w:id="1062" w:name="_Toc226275580"/>
      <w:bookmarkEnd w:id="1062"/>
      <w:bookmarkStart w:id="1063" w:name="_Toc226275869"/>
      <w:bookmarkEnd w:id="1063"/>
      <w:bookmarkStart w:id="1064" w:name="_Toc226275879"/>
      <w:bookmarkEnd w:id="1064"/>
      <w:bookmarkStart w:id="1065" w:name="_Toc227123860"/>
      <w:bookmarkEnd w:id="1065"/>
      <w:bookmarkStart w:id="1066" w:name="_Toc225910344"/>
      <w:bookmarkEnd w:id="1066"/>
      <w:bookmarkStart w:id="1067" w:name="_Toc227123848"/>
      <w:bookmarkEnd w:id="1067"/>
      <w:bookmarkStart w:id="1068" w:name="_Toc225917653"/>
      <w:bookmarkEnd w:id="1068"/>
      <w:bookmarkStart w:id="1069" w:name="_Toc226353322"/>
      <w:bookmarkEnd w:id="1069"/>
      <w:bookmarkStart w:id="1070" w:name="_Toc227121127"/>
      <w:bookmarkEnd w:id="1070"/>
      <w:bookmarkStart w:id="1071" w:name="_Ref227128263"/>
      <w:bookmarkStart w:id="1072" w:name="_Ref227125585"/>
      <w:bookmarkStart w:id="1073" w:name="_Ref227125591"/>
      <w:bookmarkStart w:id="1074" w:name="_Toc512794931"/>
      <w:bookmarkStart w:id="1075" w:name="_Ref227135219"/>
      <w:bookmarkStart w:id="1076" w:name="_Ref227135223"/>
      <w:bookmarkStart w:id="1077" w:name="_Ref227135092"/>
      <w:bookmarkStart w:id="1078" w:name="_Ref227128268"/>
      <w:bookmarkStart w:id="1079" w:name="_Ref227135096"/>
    </w:p>
    <w:p>
      <w:pPr>
        <w:pStyle w:val="2"/>
        <w:numPr>
          <w:ilvl w:val="0"/>
          <w:numId w:val="9"/>
        </w:numPr>
      </w:pPr>
      <w:bookmarkStart w:id="1080" w:name="_Toc7173"/>
      <w:r>
        <w:rPr>
          <w:rFonts w:hint="eastAsia"/>
        </w:rPr>
        <w:t>选件</w:t>
      </w:r>
      <w:bookmarkEnd w:id="1071"/>
      <w:bookmarkEnd w:id="1072"/>
      <w:bookmarkEnd w:id="1073"/>
      <w:bookmarkEnd w:id="1074"/>
      <w:bookmarkEnd w:id="1075"/>
      <w:bookmarkEnd w:id="1076"/>
      <w:bookmarkEnd w:id="1077"/>
      <w:bookmarkEnd w:id="1078"/>
      <w:bookmarkEnd w:id="1079"/>
      <w:bookmarkEnd w:id="1080"/>
    </w:p>
    <w:p>
      <w:pPr>
        <w:pStyle w:val="3"/>
        <w:ind w:firstLine="170"/>
      </w:pPr>
      <w:r>
        <w:rPr>
          <w:rFonts w:hint="eastAsia"/>
        </w:rPr>
        <w:t>本章提供</w:t>
      </w:r>
      <w:r>
        <w:t>UPS</w:t>
      </w:r>
      <w:r>
        <w:rPr>
          <w:rFonts w:hint="eastAsia"/>
        </w:rPr>
        <w:t>选件列表，并介绍各选件的主要功能、安装和设置信息等内容。</w:t>
      </w:r>
    </w:p>
    <w:p>
      <w:pPr>
        <w:pStyle w:val="4"/>
        <w:numPr>
          <w:ilvl w:val="1"/>
          <w:numId w:val="9"/>
        </w:numPr>
        <w:rPr>
          <w:szCs w:val="22"/>
        </w:rPr>
      </w:pPr>
      <w:bookmarkStart w:id="1081" w:name="_Toc339307490"/>
      <w:bookmarkEnd w:id="1081"/>
      <w:bookmarkStart w:id="1082" w:name="_Toc339307483"/>
      <w:bookmarkEnd w:id="1082"/>
      <w:bookmarkStart w:id="1083" w:name="_Toc339294516"/>
      <w:bookmarkEnd w:id="1083"/>
      <w:bookmarkStart w:id="1084" w:name="_Toc339294511"/>
      <w:bookmarkEnd w:id="1084"/>
      <w:bookmarkStart w:id="1085" w:name="_Toc339294487"/>
      <w:bookmarkEnd w:id="1085"/>
      <w:bookmarkStart w:id="1086" w:name="_Toc339307475"/>
      <w:bookmarkEnd w:id="1086"/>
      <w:bookmarkStart w:id="1087" w:name="_Hlt323738265"/>
      <w:bookmarkEnd w:id="1087"/>
      <w:bookmarkStart w:id="1088" w:name="_Toc339294510"/>
      <w:bookmarkEnd w:id="1088"/>
      <w:bookmarkStart w:id="1089" w:name="_Toc339294515"/>
      <w:bookmarkEnd w:id="1089"/>
      <w:bookmarkStart w:id="1090" w:name="_Toc339307451"/>
      <w:bookmarkEnd w:id="1090"/>
      <w:bookmarkStart w:id="1091" w:name="_Toc339294520"/>
      <w:bookmarkEnd w:id="1091"/>
      <w:bookmarkStart w:id="1092" w:name="_Hlt229536919"/>
      <w:bookmarkEnd w:id="1092"/>
      <w:bookmarkStart w:id="1093" w:name="_Toc339307484"/>
      <w:bookmarkEnd w:id="1093"/>
      <w:bookmarkStart w:id="1094" w:name="_Toc339307481"/>
      <w:bookmarkEnd w:id="1094"/>
      <w:bookmarkStart w:id="1095" w:name="_Toc339307482"/>
      <w:bookmarkEnd w:id="1095"/>
      <w:bookmarkStart w:id="1096" w:name="_Toc339294518"/>
      <w:bookmarkEnd w:id="1096"/>
      <w:bookmarkStart w:id="1097" w:name="_Hlt323805696"/>
      <w:bookmarkEnd w:id="1097"/>
      <w:bookmarkStart w:id="1098" w:name="_Hlt227750579"/>
      <w:bookmarkEnd w:id="1098"/>
      <w:bookmarkStart w:id="1099" w:name="_Hlt323804416"/>
      <w:bookmarkEnd w:id="1099"/>
      <w:bookmarkStart w:id="1100" w:name="_Toc339307477"/>
      <w:bookmarkEnd w:id="1100"/>
      <w:bookmarkStart w:id="1101" w:name="_Toc339307452"/>
      <w:bookmarkEnd w:id="1101"/>
      <w:bookmarkStart w:id="1102" w:name="_Toc339294517"/>
      <w:bookmarkEnd w:id="1102"/>
      <w:bookmarkStart w:id="1103" w:name="_Toc339294526"/>
      <w:bookmarkEnd w:id="1103"/>
      <w:bookmarkStart w:id="1104" w:name="_Hlt229541183"/>
      <w:bookmarkEnd w:id="1104"/>
      <w:bookmarkStart w:id="1105" w:name="_Hlt323805691"/>
      <w:bookmarkEnd w:id="1105"/>
      <w:bookmarkStart w:id="1106" w:name="_Toc339307488"/>
      <w:bookmarkEnd w:id="1106"/>
      <w:bookmarkStart w:id="1107" w:name="_Toc339307489"/>
      <w:bookmarkEnd w:id="1107"/>
      <w:bookmarkStart w:id="1108" w:name="_Toc339307485"/>
      <w:bookmarkEnd w:id="1108"/>
      <w:bookmarkStart w:id="1109" w:name="_Hlt323803190"/>
      <w:bookmarkEnd w:id="1109"/>
      <w:bookmarkStart w:id="1110" w:name="_Toc339307476"/>
      <w:bookmarkEnd w:id="1110"/>
      <w:bookmarkStart w:id="1111" w:name="_Toc339307486"/>
      <w:bookmarkEnd w:id="1111"/>
      <w:bookmarkStart w:id="1112" w:name="_Toc339294514"/>
      <w:bookmarkEnd w:id="1112"/>
      <w:bookmarkStart w:id="1113" w:name="_Hlt323739639"/>
      <w:bookmarkEnd w:id="1113"/>
      <w:bookmarkStart w:id="1114" w:name="_Hlt227557959"/>
      <w:bookmarkEnd w:id="1114"/>
      <w:bookmarkStart w:id="1115" w:name="_Hlt324164833"/>
      <w:bookmarkEnd w:id="1115"/>
      <w:bookmarkStart w:id="1116" w:name="_Toc339294521"/>
      <w:bookmarkEnd w:id="1116"/>
      <w:bookmarkStart w:id="1117" w:name="_Toc339294524"/>
      <w:bookmarkEnd w:id="1117"/>
      <w:bookmarkStart w:id="1118" w:name="_Toc339294519"/>
      <w:bookmarkEnd w:id="1118"/>
      <w:bookmarkStart w:id="1119" w:name="_Toc339307478"/>
      <w:bookmarkEnd w:id="1119"/>
      <w:bookmarkStart w:id="1120" w:name="_Toc339294513"/>
      <w:bookmarkEnd w:id="1120"/>
      <w:bookmarkStart w:id="1121" w:name="_Hlt323740719"/>
      <w:bookmarkEnd w:id="1121"/>
      <w:bookmarkStart w:id="1122" w:name="_Hlt229546827"/>
      <w:bookmarkEnd w:id="1122"/>
      <w:bookmarkStart w:id="1123" w:name="_Toc339294523"/>
      <w:bookmarkEnd w:id="1123"/>
      <w:bookmarkStart w:id="1124" w:name="_Toc339307480"/>
      <w:bookmarkEnd w:id="1124"/>
      <w:bookmarkStart w:id="1125" w:name="_Toc339307487"/>
      <w:bookmarkEnd w:id="1125"/>
      <w:bookmarkStart w:id="1126" w:name="_Toc339307479"/>
      <w:bookmarkEnd w:id="1126"/>
      <w:bookmarkStart w:id="1127" w:name="_Toc339294525"/>
      <w:bookmarkEnd w:id="1127"/>
      <w:bookmarkStart w:id="1128" w:name="_Toc339294488"/>
      <w:bookmarkEnd w:id="1128"/>
      <w:bookmarkStart w:id="1129" w:name="_Hlt323739766"/>
      <w:bookmarkEnd w:id="1129"/>
      <w:bookmarkStart w:id="1130" w:name="_Toc339294522"/>
      <w:bookmarkEnd w:id="1130"/>
      <w:bookmarkStart w:id="1131" w:name="_Toc339294512"/>
      <w:bookmarkEnd w:id="1131"/>
      <w:bookmarkStart w:id="1132" w:name="_Toc339294489"/>
      <w:bookmarkEnd w:id="1132"/>
      <w:bookmarkStart w:id="1133" w:name="_Toc339307453"/>
      <w:bookmarkEnd w:id="1133"/>
      <w:bookmarkStart w:id="1134" w:name="_Toc339307474"/>
      <w:bookmarkEnd w:id="1134"/>
      <w:bookmarkStart w:id="1135" w:name="_Hlt323048887"/>
      <w:bookmarkEnd w:id="1135"/>
      <w:bookmarkStart w:id="1136" w:name="_Toc13003"/>
      <w:bookmarkStart w:id="1137" w:name="_Toc512794934"/>
      <w:r>
        <w:rPr>
          <w:rFonts w:hint="eastAsia"/>
          <w:szCs w:val="22"/>
        </w:rPr>
        <w:t>SNMP卡</w:t>
      </w:r>
      <w:bookmarkEnd w:id="1136"/>
      <w:bookmarkEnd w:id="1137"/>
    </w:p>
    <w:p>
      <w:pPr>
        <w:pStyle w:val="3"/>
        <w:rPr>
          <w:kern w:val="0"/>
        </w:rPr>
      </w:pPr>
      <w:r>
        <w:rPr>
          <w:rFonts w:hint="eastAsia"/>
        </w:rPr>
        <w:t>若您需要通过网络监控</w:t>
      </w:r>
      <w:r>
        <w:rPr>
          <w:rFonts w:hint="eastAsia"/>
          <w:kern w:val="0"/>
        </w:rPr>
        <w:t>UPS，可选择</w:t>
      </w:r>
      <w:r>
        <w:rPr>
          <w:rFonts w:hint="eastAsia"/>
        </w:rPr>
        <w:t>SNMP卡，该卡支持SNMP协议</w:t>
      </w:r>
      <w:r>
        <w:rPr>
          <w:rFonts w:hint="eastAsia"/>
          <w:kern w:val="0"/>
        </w:rPr>
        <w:t>。</w:t>
      </w:r>
      <w:r>
        <w:rPr>
          <w:rFonts w:hint="eastAsia"/>
        </w:rPr>
        <w:t>SNMP卡是一种网络管理卡，它可以使</w:t>
      </w:r>
      <w:r>
        <w:rPr>
          <w:rFonts w:hint="eastAsia"/>
          <w:lang w:eastAsia="zh-CN"/>
        </w:rPr>
        <w:t>本</w:t>
      </w:r>
      <w:r>
        <w:rPr>
          <w:rFonts w:hint="eastAsia"/>
        </w:rPr>
        <w:t>生产的UPS具备网络通信能力。SNMP卡还可实现UPS的内部协议到Modbus RTU协议的转换，</w:t>
      </w:r>
      <w:r>
        <w:rPr>
          <w:rFonts w:hint="eastAsia" w:ascii="宋体"/>
        </w:rPr>
        <w:t>使您可以通过</w:t>
      </w:r>
      <w:r>
        <w:rPr>
          <w:rFonts w:hint="eastAsia"/>
        </w:rPr>
        <w:t>用户后台监控软件</w:t>
      </w:r>
      <w:r>
        <w:rPr>
          <w:rFonts w:hint="eastAsia" w:ascii="宋体"/>
        </w:rPr>
        <w:t>采用</w:t>
      </w:r>
      <w:r>
        <w:rPr>
          <w:rFonts w:hint="eastAsia"/>
        </w:rPr>
        <w:t>JBUS/Modbus RTU</w:t>
      </w:r>
      <w:r>
        <w:rPr>
          <w:rFonts w:hint="eastAsia" w:ascii="宋体"/>
        </w:rPr>
        <w:t>协议</w:t>
      </w:r>
      <w:r>
        <w:rPr>
          <w:rFonts w:hint="eastAsia"/>
        </w:rPr>
        <w:t>来管理您的</w:t>
      </w:r>
      <w:r>
        <w:t>UPS</w:t>
      </w:r>
      <w:r>
        <w:rPr>
          <w:rFonts w:hint="eastAsia"/>
        </w:rPr>
        <w:t>，通过获取UPS的各种电气参数、运行状态和故障类别来掌握UPS的工作状况，达到监控UPS的目的。</w:t>
      </w:r>
    </w:p>
    <w:p>
      <w:pPr>
        <w:pStyle w:val="6"/>
        <w:numPr>
          <w:ilvl w:val="3"/>
          <w:numId w:val="9"/>
        </w:numPr>
        <w:spacing w:before="200" w:after="80"/>
        <w:ind w:left="680"/>
      </w:pPr>
      <w:r>
        <w:rPr>
          <w:rFonts w:hint="eastAsia"/>
        </w:rPr>
        <w:t>安装准备</w:t>
      </w:r>
    </w:p>
    <w:p>
      <w:pPr>
        <w:pStyle w:val="3"/>
      </w:pPr>
      <w:r>
        <w:rPr>
          <w:rFonts w:hint="eastAsia"/>
        </w:rPr>
        <w:t>1．准备安装工具，包括：1把十字螺丝刀。</w:t>
      </w:r>
    </w:p>
    <w:p>
      <w:pPr>
        <w:pStyle w:val="3"/>
      </w:pPr>
      <w:r>
        <w:rPr>
          <w:rFonts w:hint="eastAsia"/>
        </w:rPr>
        <w:t>2．检查安装物料是否齐套，包括：1个SNMP卡。</w:t>
      </w:r>
    </w:p>
    <w:p>
      <w:pPr>
        <w:pStyle w:val="6"/>
        <w:numPr>
          <w:ilvl w:val="3"/>
          <w:numId w:val="9"/>
        </w:numPr>
        <w:spacing w:before="200" w:after="80"/>
        <w:ind w:left="680"/>
        <w:rPr>
          <w:szCs w:val="22"/>
        </w:rPr>
      </w:pPr>
      <w:r>
        <w:rPr>
          <w:rFonts w:hint="eastAsia"/>
          <w:szCs w:val="22"/>
        </w:rPr>
        <w:t>安装步骤</w:t>
      </w:r>
    </w:p>
    <w:tbl>
      <w:tblPr>
        <w:tblStyle w:val="50"/>
        <w:tblW w:w="9394"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9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94" w:type="dxa"/>
            <w:vAlign w:val="center"/>
          </w:tcPr>
          <w:p>
            <w:pPr>
              <w:pStyle w:val="72"/>
              <w:spacing w:before="46" w:beforeLines="15" w:line="276" w:lineRule="auto"/>
              <w:jc w:val="both"/>
            </w:pPr>
            <w:r>
              <w:drawing>
                <wp:inline distT="0" distB="0" distL="0" distR="0">
                  <wp:extent cx="362585" cy="315595"/>
                  <wp:effectExtent l="0" t="0" r="0" b="8255"/>
                  <wp:docPr id="17" name="图片 17"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r="49123"/>
                          <a:stretch>
                            <a:fillRect/>
                          </a:stretch>
                        </pic:blipFill>
                        <pic:spPr>
                          <a:xfrm>
                            <a:off x="0" y="0"/>
                            <a:ext cx="362585" cy="315595"/>
                          </a:xfrm>
                          <a:prstGeom prst="rect">
                            <a:avLst/>
                          </a:prstGeom>
                          <a:noFill/>
                          <a:ln>
                            <a:noFill/>
                          </a:ln>
                        </pic:spPr>
                      </pic:pic>
                    </a:graphicData>
                  </a:graphic>
                </wp:inline>
              </w:drawing>
            </w:r>
            <w:r>
              <w:rPr>
                <w:rFonts w:hint="eastAsia"/>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94" w:type="dxa"/>
            <w:vAlign w:val="center"/>
          </w:tcPr>
          <w:p>
            <w:pPr>
              <w:pStyle w:val="73"/>
            </w:pPr>
            <w:r>
              <w:rPr>
                <w:rFonts w:hint="eastAsia"/>
              </w:rPr>
              <w:t>SNMP</w:t>
            </w:r>
            <w:r>
              <w:t>卡</w:t>
            </w:r>
            <w:r>
              <w:rPr>
                <w:rFonts w:hint="eastAsia"/>
              </w:rPr>
              <w:t>支持热插拔，在安装时不必关闭UPS。</w:t>
            </w:r>
          </w:p>
        </w:tc>
      </w:tr>
    </w:tbl>
    <w:p>
      <w:pPr>
        <w:pStyle w:val="79"/>
      </w:pPr>
    </w:p>
    <w:tbl>
      <w:tblPr>
        <w:tblStyle w:val="50"/>
        <w:tblW w:w="9394"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9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94" w:type="dxa"/>
            <w:vAlign w:val="center"/>
          </w:tcPr>
          <w:p>
            <w:pPr>
              <w:pStyle w:val="72"/>
              <w:spacing w:before="46" w:beforeLines="15" w:line="276" w:lineRule="auto"/>
              <w:jc w:val="both"/>
            </w:pPr>
            <w:r>
              <w:drawing>
                <wp:inline distT="0" distB="0" distL="0" distR="0">
                  <wp:extent cx="725170" cy="315595"/>
                  <wp:effectExtent l="0" t="0" r="0" b="8255"/>
                  <wp:docPr id="16" name="图片 16"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rPr>
              <w:t>警告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94" w:type="dxa"/>
            <w:vAlign w:val="center"/>
          </w:tcPr>
          <w:p>
            <w:pPr>
              <w:pStyle w:val="73"/>
            </w:pPr>
            <w:r>
              <w:rPr>
                <w:rFonts w:hint="eastAsia"/>
              </w:rPr>
              <w:t>SNMP卡中的某些电子器件对静电十分敏感，请勿用手或其它带电物体接触SNMP</w:t>
            </w:r>
            <w:r>
              <w:t>卡</w:t>
            </w:r>
            <w:r>
              <w:rPr>
                <w:rFonts w:hint="eastAsia"/>
              </w:rPr>
              <w:t>中的电子器件或电路，以防静电击坏SNMP</w:t>
            </w:r>
            <w:r>
              <w:t>卡</w:t>
            </w:r>
            <w:r>
              <w:rPr>
                <w:rFonts w:hint="eastAsia"/>
              </w:rPr>
              <w:t>。移动或安装SNMP</w:t>
            </w:r>
            <w:r>
              <w:t>卡</w:t>
            </w:r>
            <w:r>
              <w:rPr>
                <w:rFonts w:hint="eastAsia"/>
              </w:rPr>
              <w:t>时必须抓住卡的侧面边缘进行操作。</w:t>
            </w:r>
          </w:p>
        </w:tc>
      </w:tr>
    </w:tbl>
    <w:p>
      <w:pPr>
        <w:pStyle w:val="79"/>
      </w:pPr>
    </w:p>
    <w:p>
      <w:pPr>
        <w:pStyle w:val="3"/>
      </w:pPr>
      <w:r>
        <w:rPr>
          <w:rFonts w:hint="eastAsia"/>
        </w:rPr>
        <w:t>SNMP卡应插入UPS通信盒的智能卡槽（见图3-</w:t>
      </w:r>
      <w:r>
        <w:t>5</w:t>
      </w:r>
      <w:r>
        <w:rPr>
          <w:rFonts w:hint="eastAsia"/>
        </w:rPr>
        <w:t>）。</w:t>
      </w:r>
    </w:p>
    <w:p>
      <w:pPr>
        <w:pStyle w:val="3"/>
      </w:pPr>
      <w:r>
        <w:rPr>
          <w:rFonts w:hint="eastAsia"/>
        </w:rPr>
        <w:t>安装过程如下：</w:t>
      </w:r>
    </w:p>
    <w:p>
      <w:pPr>
        <w:pStyle w:val="3"/>
      </w:pPr>
      <w:r>
        <w:rPr>
          <w:rFonts w:hint="eastAsia"/>
        </w:rPr>
        <w:t>1．卸掉UPS通信盒相应的智能卡接口盖板。</w:t>
      </w:r>
    </w:p>
    <w:p>
      <w:pPr>
        <w:pStyle w:val="3"/>
      </w:pPr>
      <w:r>
        <w:rPr>
          <w:rFonts w:hint="eastAsia"/>
        </w:rPr>
        <w:t>注意保留螺钉，并妥善保管盖板，以备将来使用。</w:t>
      </w:r>
    </w:p>
    <w:p>
      <w:pPr>
        <w:pStyle w:val="3"/>
      </w:pPr>
      <w:r>
        <w:rPr>
          <w:rFonts w:hint="eastAsia"/>
        </w:rPr>
        <w:t>2．将SNMP</w:t>
      </w:r>
      <w:r>
        <w:t>卡</w:t>
      </w:r>
      <w:r>
        <w:rPr>
          <w:rFonts w:hint="eastAsia"/>
        </w:rPr>
        <w:t>顺着智能卡接口两侧的导槽插入，然后拧紧螺钉。</w:t>
      </w:r>
    </w:p>
    <w:p>
      <w:pPr>
        <w:pStyle w:val="3"/>
      </w:pPr>
      <w:r>
        <w:rPr>
          <w:rFonts w:hint="eastAsia"/>
        </w:rPr>
        <w:t>更多信息请参见发货附件内的《SNMP卡用户手册》。</w:t>
      </w:r>
    </w:p>
    <w:p>
      <w:pPr>
        <w:pStyle w:val="3"/>
      </w:pPr>
      <w:r>
        <w:rPr>
          <w:rFonts w:hint="eastAsia"/>
        </w:rPr>
        <w:t>信号电缆进线和走线方法参见</w:t>
      </w:r>
      <w:r>
        <w:rPr>
          <w:rFonts w:hint="eastAsia"/>
          <w:b/>
        </w:rPr>
        <w:t>3.2.9  信号电缆接线步骤</w:t>
      </w:r>
      <w:r>
        <w:rPr>
          <w:rFonts w:hint="eastAsia"/>
        </w:rPr>
        <w:t>。</w:t>
      </w:r>
    </w:p>
    <w:p>
      <w:pPr>
        <w:pStyle w:val="4"/>
        <w:numPr>
          <w:ilvl w:val="1"/>
          <w:numId w:val="9"/>
        </w:numPr>
      </w:pPr>
      <w:bookmarkStart w:id="1138" w:name="_Toc20322"/>
      <w:r>
        <w:rPr>
          <w:rFonts w:hint="eastAsia"/>
        </w:rPr>
        <w:t>干接点卡</w:t>
      </w:r>
      <w:bookmarkEnd w:id="1138"/>
    </w:p>
    <w:p>
      <w:pPr>
        <w:pStyle w:val="3"/>
        <w:rPr>
          <w:rFonts w:ascii="宋体" w:hAnsi="宋体"/>
          <w:szCs w:val="18"/>
        </w:rPr>
      </w:pPr>
      <w:r>
        <w:rPr>
          <w:rFonts w:hint="eastAsia" w:ascii="宋体" w:hAnsi="宋体"/>
          <w:szCs w:val="18"/>
          <w:lang w:eastAsia="zh-CN"/>
        </w:rPr>
        <w:t>本</w:t>
      </w:r>
      <w:r>
        <w:rPr>
          <w:rFonts w:hint="eastAsia" w:ascii="宋体" w:hAnsi="宋体"/>
          <w:szCs w:val="18"/>
        </w:rPr>
        <w:t>自产UPS干接点型号为EMU-RELAYCARD，与</w:t>
      </w:r>
      <w:r>
        <w:rPr>
          <w:rFonts w:hint="eastAsia" w:ascii="宋体" w:hAnsi="宋体"/>
          <w:szCs w:val="18"/>
          <w:lang w:eastAsia="zh-CN"/>
        </w:rPr>
        <w:t>本MX</w:t>
      </w:r>
      <w:r>
        <w:rPr>
          <w:rFonts w:hint="eastAsia" w:ascii="宋体" w:hAnsi="宋体"/>
          <w:szCs w:val="18"/>
        </w:rPr>
        <w:t>,HQ-G系列UPS配套使用。UPS干接点卡安装在UPS智能插槽中，支持热插拔，安装方便。</w:t>
      </w:r>
    </w:p>
    <w:p>
      <w:pPr>
        <w:pStyle w:val="3"/>
        <w:rPr>
          <w:rFonts w:ascii="宋体" w:hAnsi="宋体"/>
          <w:szCs w:val="18"/>
        </w:rPr>
      </w:pPr>
    </w:p>
    <w:p>
      <w:pPr>
        <w:pStyle w:val="3"/>
        <w:rPr>
          <w:rFonts w:ascii="宋体" w:hAnsi="宋体"/>
          <w:szCs w:val="18"/>
        </w:rPr>
      </w:pPr>
    </w:p>
    <w:p>
      <w:pPr>
        <w:pStyle w:val="3"/>
        <w:rPr>
          <w:rFonts w:ascii="宋体" w:hAnsi="宋体"/>
          <w:szCs w:val="18"/>
        </w:rPr>
      </w:pPr>
    </w:p>
    <w:p>
      <w:pPr>
        <w:pStyle w:val="3"/>
        <w:rPr>
          <w:rFonts w:ascii="宋体" w:hAnsi="宋体"/>
          <w:szCs w:val="18"/>
        </w:rPr>
      </w:pPr>
    </w:p>
    <w:p>
      <w:pPr>
        <w:pStyle w:val="3"/>
        <w:rPr>
          <w:rFonts w:ascii="宋体" w:hAnsi="宋体"/>
          <w:szCs w:val="18"/>
        </w:rPr>
      </w:pPr>
    </w:p>
    <w:p>
      <w:pPr>
        <w:pStyle w:val="3"/>
        <w:rPr>
          <w:rFonts w:ascii="Arial" w:hAnsi="Arial" w:eastAsia="黑体" w:cs="Times New Roman"/>
          <w:sz w:val="16"/>
        </w:rPr>
      </w:pPr>
      <w:r>
        <w:rPr>
          <w:rFonts w:hint="eastAsia" w:ascii="宋体" w:hAnsi="宋体"/>
          <w:szCs w:val="18"/>
        </w:rPr>
        <w:t>干接点卡能够向远端提供5路继电器开关信号输出：</w:t>
      </w:r>
    </w:p>
    <w:p>
      <w:pPr>
        <w:pStyle w:val="194"/>
        <w:numPr>
          <w:ilvl w:val="5"/>
          <w:numId w:val="9"/>
        </w:numPr>
        <w:rPr>
          <w:szCs w:val="22"/>
        </w:rPr>
      </w:pPr>
      <w:r>
        <w:rPr>
          <w:rFonts w:hint="eastAsia"/>
          <w:szCs w:val="22"/>
        </w:rPr>
        <w:t>干接点信号</w:t>
      </w:r>
    </w:p>
    <w:tbl>
      <w:tblPr>
        <w:tblStyle w:val="50"/>
        <w:tblW w:w="53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4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pStyle w:val="3"/>
              <w:ind w:left="0"/>
              <w:jc w:val="center"/>
              <w:rPr>
                <w:rFonts w:ascii="宋体" w:hAnsi="宋体"/>
                <w:szCs w:val="18"/>
              </w:rPr>
            </w:pPr>
            <w:r>
              <w:rPr>
                <w:rFonts w:hint="eastAsia" w:ascii="宋体" w:hAnsi="宋体"/>
                <w:szCs w:val="18"/>
              </w:rPr>
              <w:t>1</w:t>
            </w:r>
          </w:p>
        </w:tc>
        <w:tc>
          <w:tcPr>
            <w:tcW w:w="4678" w:type="dxa"/>
          </w:tcPr>
          <w:p>
            <w:pPr>
              <w:pStyle w:val="3"/>
              <w:ind w:left="0"/>
              <w:jc w:val="center"/>
              <w:rPr>
                <w:rFonts w:ascii="宋体" w:hAnsi="宋体"/>
                <w:szCs w:val="18"/>
              </w:rPr>
            </w:pPr>
            <w:r>
              <w:rPr>
                <w:rFonts w:hint="eastAsia" w:ascii="宋体" w:hAnsi="宋体"/>
                <w:szCs w:val="18"/>
              </w:rPr>
              <w:t>UPS电池电压低状态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pStyle w:val="3"/>
              <w:ind w:left="0"/>
              <w:jc w:val="center"/>
              <w:rPr>
                <w:rFonts w:ascii="宋体" w:hAnsi="宋体"/>
                <w:szCs w:val="18"/>
              </w:rPr>
            </w:pPr>
            <w:r>
              <w:rPr>
                <w:rFonts w:hint="eastAsia" w:ascii="宋体" w:hAnsi="宋体"/>
                <w:szCs w:val="18"/>
              </w:rPr>
              <w:t>2</w:t>
            </w:r>
          </w:p>
        </w:tc>
        <w:tc>
          <w:tcPr>
            <w:tcW w:w="4678" w:type="dxa"/>
          </w:tcPr>
          <w:p>
            <w:pPr>
              <w:pStyle w:val="3"/>
              <w:ind w:left="0"/>
              <w:jc w:val="center"/>
              <w:rPr>
                <w:rFonts w:ascii="宋体" w:hAnsi="宋体"/>
                <w:szCs w:val="18"/>
              </w:rPr>
            </w:pPr>
            <w:r>
              <w:rPr>
                <w:rFonts w:hint="eastAsia" w:ascii="宋体" w:hAnsi="宋体"/>
                <w:szCs w:val="18"/>
              </w:rPr>
              <w:t>UPS故障状态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pStyle w:val="3"/>
              <w:ind w:left="0"/>
              <w:jc w:val="center"/>
              <w:rPr>
                <w:rFonts w:ascii="宋体" w:hAnsi="宋体"/>
                <w:szCs w:val="18"/>
              </w:rPr>
            </w:pPr>
            <w:r>
              <w:rPr>
                <w:rFonts w:hint="eastAsia" w:ascii="宋体" w:hAnsi="宋体"/>
                <w:szCs w:val="18"/>
              </w:rPr>
              <w:t>3</w:t>
            </w:r>
          </w:p>
        </w:tc>
        <w:tc>
          <w:tcPr>
            <w:tcW w:w="4678" w:type="dxa"/>
          </w:tcPr>
          <w:p>
            <w:pPr>
              <w:pStyle w:val="3"/>
              <w:ind w:left="0"/>
              <w:jc w:val="center"/>
              <w:rPr>
                <w:rFonts w:ascii="宋体" w:hAnsi="宋体"/>
                <w:szCs w:val="18"/>
              </w:rPr>
            </w:pPr>
            <w:r>
              <w:rPr>
                <w:rFonts w:hint="eastAsia" w:ascii="宋体" w:hAnsi="宋体"/>
                <w:szCs w:val="18"/>
              </w:rPr>
              <w:t>UPS电池供电状态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pStyle w:val="3"/>
              <w:ind w:left="0"/>
              <w:jc w:val="center"/>
              <w:rPr>
                <w:rFonts w:ascii="宋体" w:hAnsi="宋体"/>
                <w:szCs w:val="18"/>
              </w:rPr>
            </w:pPr>
            <w:r>
              <w:rPr>
                <w:rFonts w:hint="eastAsia" w:ascii="宋体" w:hAnsi="宋体"/>
                <w:szCs w:val="18"/>
              </w:rPr>
              <w:t>4</w:t>
            </w:r>
          </w:p>
        </w:tc>
        <w:tc>
          <w:tcPr>
            <w:tcW w:w="4678" w:type="dxa"/>
          </w:tcPr>
          <w:p>
            <w:pPr>
              <w:pStyle w:val="3"/>
              <w:ind w:left="0"/>
              <w:jc w:val="center"/>
              <w:rPr>
                <w:rFonts w:ascii="宋体" w:hAnsi="宋体"/>
                <w:szCs w:val="18"/>
              </w:rPr>
            </w:pPr>
            <w:r>
              <w:rPr>
                <w:rFonts w:hint="eastAsia" w:ascii="宋体" w:hAnsi="宋体"/>
                <w:szCs w:val="18"/>
              </w:rPr>
              <w:t>UPS总告警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pStyle w:val="3"/>
              <w:ind w:left="0"/>
              <w:jc w:val="center"/>
              <w:rPr>
                <w:rFonts w:ascii="宋体" w:hAnsi="宋体"/>
                <w:szCs w:val="18"/>
              </w:rPr>
            </w:pPr>
            <w:r>
              <w:rPr>
                <w:rFonts w:hint="eastAsia" w:ascii="宋体" w:hAnsi="宋体"/>
                <w:szCs w:val="18"/>
              </w:rPr>
              <w:t>5</w:t>
            </w:r>
          </w:p>
        </w:tc>
        <w:tc>
          <w:tcPr>
            <w:tcW w:w="4678" w:type="dxa"/>
          </w:tcPr>
          <w:p>
            <w:pPr>
              <w:pStyle w:val="3"/>
              <w:ind w:left="0"/>
              <w:jc w:val="center"/>
              <w:rPr>
                <w:rFonts w:ascii="宋体" w:hAnsi="宋体"/>
                <w:szCs w:val="18"/>
              </w:rPr>
            </w:pPr>
            <w:r>
              <w:rPr>
                <w:rFonts w:hint="eastAsia" w:ascii="宋体" w:hAnsi="宋体"/>
                <w:szCs w:val="18"/>
              </w:rPr>
              <w:t>UPS旁路供电</w:t>
            </w:r>
          </w:p>
        </w:tc>
      </w:tr>
    </w:tbl>
    <w:p>
      <w:pPr>
        <w:pStyle w:val="3"/>
        <w:rPr>
          <w:rFonts w:ascii="宋体" w:hAnsi="宋体"/>
          <w:szCs w:val="18"/>
        </w:rPr>
      </w:pPr>
    </w:p>
    <w:p>
      <w:pPr>
        <w:pStyle w:val="3"/>
        <w:rPr>
          <w:rFonts w:ascii="宋体" w:hAnsi="宋体"/>
          <w:szCs w:val="18"/>
        </w:rPr>
      </w:pPr>
      <w:r>
        <w:rPr>
          <w:rFonts w:hint="eastAsia" w:ascii="Arial" w:hAnsi="Arial" w:eastAsia="黑体" w:cs="Times New Roman"/>
        </w:rPr>
        <w:t>安装准备</w:t>
      </w:r>
      <w:r>
        <w:rPr>
          <w:rFonts w:hint="eastAsia" w:ascii="宋体" w:hAnsi="宋体"/>
          <w:szCs w:val="18"/>
        </w:rPr>
        <w:t>： 十字螺丝刀</w:t>
      </w:r>
    </w:p>
    <w:p>
      <w:pPr>
        <w:pStyle w:val="3"/>
        <w:rPr>
          <w:rFonts w:ascii="宋体" w:hAnsi="宋体"/>
          <w:szCs w:val="18"/>
        </w:rPr>
      </w:pPr>
      <w:r>
        <w:rPr>
          <w:rFonts w:hint="eastAsia" w:ascii="Arial" w:hAnsi="Arial" w:eastAsia="黑体" w:cs="Times New Roman"/>
        </w:rPr>
        <w:t>安装步骤</w:t>
      </w:r>
      <w:r>
        <w:rPr>
          <w:rFonts w:hint="eastAsia" w:ascii="宋体" w:hAnsi="宋体"/>
          <w:szCs w:val="18"/>
        </w:rPr>
        <w:t>：</w:t>
      </w:r>
    </w:p>
    <w:p>
      <w:pPr>
        <w:pStyle w:val="3"/>
        <w:rPr>
          <w:rFonts w:ascii="宋体" w:hAnsi="宋体"/>
          <w:szCs w:val="18"/>
        </w:rPr>
      </w:pPr>
      <w:r>
        <w:rPr>
          <w:rFonts w:hint="eastAsia" w:ascii="宋体" w:hAnsi="宋体"/>
          <w:szCs w:val="18"/>
        </w:rPr>
        <w:t>1.插入干接点卡</w:t>
      </w:r>
    </w:p>
    <w:tbl>
      <w:tblPr>
        <w:tblStyle w:val="50"/>
        <w:tblW w:w="9394"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9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94" w:type="dxa"/>
            <w:vAlign w:val="center"/>
          </w:tcPr>
          <w:p>
            <w:pPr>
              <w:pStyle w:val="72"/>
              <w:spacing w:before="46" w:beforeLines="15" w:line="276" w:lineRule="auto"/>
              <w:jc w:val="both"/>
            </w:pPr>
            <w:r>
              <w:drawing>
                <wp:inline distT="0" distB="0" distL="0" distR="0">
                  <wp:extent cx="362585" cy="315595"/>
                  <wp:effectExtent l="0" t="0" r="0" b="8255"/>
                  <wp:docPr id="15" name="图片 15"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r="49123"/>
                          <a:stretch>
                            <a:fillRect/>
                          </a:stretch>
                        </pic:blipFill>
                        <pic:spPr>
                          <a:xfrm>
                            <a:off x="0" y="0"/>
                            <a:ext cx="362585" cy="315595"/>
                          </a:xfrm>
                          <a:prstGeom prst="rect">
                            <a:avLst/>
                          </a:prstGeom>
                          <a:noFill/>
                          <a:ln>
                            <a:noFill/>
                          </a:ln>
                        </pic:spPr>
                      </pic:pic>
                    </a:graphicData>
                  </a:graphic>
                </wp:inline>
              </w:drawing>
            </w:r>
            <w:r>
              <w:rPr>
                <w:rFonts w:hint="eastAsia"/>
              </w:rPr>
              <w:t>注意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94" w:type="dxa"/>
            <w:vAlign w:val="center"/>
          </w:tcPr>
          <w:p>
            <w:pPr>
              <w:pStyle w:val="73"/>
            </w:pPr>
            <w:r>
              <w:rPr>
                <w:rFonts w:hint="eastAsia"/>
              </w:rPr>
              <w:t>干接点卡</w:t>
            </w:r>
            <w:r>
              <w:t>卡</w:t>
            </w:r>
            <w:r>
              <w:rPr>
                <w:rFonts w:hint="eastAsia"/>
              </w:rPr>
              <w:t>支持热插拔，在安装时不必关闭UPS。</w:t>
            </w:r>
          </w:p>
        </w:tc>
      </w:tr>
    </w:tbl>
    <w:p>
      <w:pPr>
        <w:pStyle w:val="3"/>
        <w:rPr>
          <w:rFonts w:ascii="宋体" w:hAnsi="宋体"/>
          <w:szCs w:val="18"/>
        </w:rPr>
      </w:pPr>
      <w:r>
        <w:rPr>
          <w:rFonts w:hint="eastAsia" w:ascii="宋体" w:hAnsi="宋体"/>
          <w:szCs w:val="18"/>
        </w:rPr>
        <w:t>（1）取下UPS智能卡插槽的盖板，保留螺钉。</w:t>
      </w:r>
    </w:p>
    <w:p>
      <w:pPr>
        <w:pStyle w:val="3"/>
        <w:rPr>
          <w:rFonts w:ascii="宋体" w:hAnsi="宋体"/>
          <w:szCs w:val="18"/>
        </w:rPr>
      </w:pPr>
      <w:r>
        <w:rPr>
          <w:rFonts w:hint="eastAsia" w:ascii="宋体" w:hAnsi="宋体"/>
          <w:szCs w:val="18"/>
        </w:rPr>
        <w:t>（2）将干接点卡对准智能卡插槽，顺着插槽两侧的导槽插入。</w:t>
      </w:r>
    </w:p>
    <w:p>
      <w:pPr>
        <w:pStyle w:val="3"/>
        <w:rPr>
          <w:rFonts w:ascii="宋体" w:hAnsi="宋体"/>
          <w:szCs w:val="18"/>
        </w:rPr>
      </w:pPr>
      <w:r>
        <w:rPr>
          <w:rFonts w:hint="eastAsia" w:ascii="宋体" w:hAnsi="宋体"/>
          <w:szCs w:val="18"/>
        </w:rPr>
        <w:t>（3）用刚卸下的螺钉通过干接点卡面板固定孔将干接点卡固定。</w:t>
      </w:r>
    </w:p>
    <w:p>
      <w:pPr>
        <w:pStyle w:val="3"/>
        <w:rPr>
          <w:rFonts w:ascii="宋体" w:hAnsi="宋体"/>
          <w:szCs w:val="18"/>
        </w:rPr>
      </w:pPr>
      <w:r>
        <w:rPr>
          <w:rFonts w:hint="eastAsia" w:ascii="宋体" w:hAnsi="宋体"/>
          <w:szCs w:val="18"/>
        </w:rPr>
        <w:t>2.连接线缆</w:t>
      </w:r>
    </w:p>
    <w:p>
      <w:pPr>
        <w:pStyle w:val="3"/>
        <w:rPr>
          <w:rFonts w:ascii="宋体" w:hAnsi="宋体"/>
          <w:szCs w:val="18"/>
        </w:rPr>
      </w:pPr>
      <w:r>
        <w:rPr>
          <w:rFonts w:hint="eastAsia" w:ascii="宋体" w:hAnsi="宋体"/>
          <w:szCs w:val="18"/>
        </w:rPr>
        <w:t xml:space="preserve">  用户根据需要自行制作线缆。线缆连接时，将线缆的公头插入干接点卡的TB1、TB2接口，另一端连接用户设备。</w:t>
      </w:r>
    </w:p>
    <w:tbl>
      <w:tblPr>
        <w:tblStyle w:val="50"/>
        <w:tblW w:w="933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9336" w:type="dxa"/>
            <w:vAlign w:val="center"/>
          </w:tcPr>
          <w:p>
            <w:pPr>
              <w:pStyle w:val="72"/>
              <w:spacing w:before="46" w:beforeLines="15" w:line="276" w:lineRule="auto"/>
              <w:jc w:val="both"/>
            </w:pPr>
            <w:r>
              <w:drawing>
                <wp:inline distT="0" distB="0" distL="0" distR="0">
                  <wp:extent cx="725170" cy="315595"/>
                  <wp:effectExtent l="0" t="0" r="0" b="8255"/>
                  <wp:docPr id="14" name="图片 14"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rPr>
              <w:t>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9336" w:type="dxa"/>
            <w:vAlign w:val="center"/>
          </w:tcPr>
          <w:p>
            <w:pPr>
              <w:pStyle w:val="73"/>
            </w:pPr>
            <w:r>
              <w:rPr>
                <w:rFonts w:hint="eastAsia"/>
              </w:rPr>
              <w:t>1．干接点卡TB1/TB2接口必须连接安全超低压（SELV）电路，否则可能损坏本卡，甚至引发事故。</w:t>
            </w:r>
          </w:p>
        </w:tc>
      </w:tr>
    </w:tbl>
    <w:p>
      <w:pPr>
        <w:pStyle w:val="4"/>
        <w:numPr>
          <w:ilvl w:val="1"/>
          <w:numId w:val="9"/>
        </w:numPr>
      </w:pPr>
      <w:bookmarkStart w:id="1139" w:name="_Toc3028"/>
      <w:r>
        <w:rPr>
          <w:rFonts w:hint="eastAsia"/>
        </w:rPr>
        <w:t>智能云盒</w:t>
      </w:r>
      <w:bookmarkEnd w:id="1139"/>
    </w:p>
    <w:p>
      <w:pPr>
        <w:pStyle w:val="3"/>
        <w:rPr>
          <w:rFonts w:ascii="宋体" w:hAnsi="宋体"/>
          <w:szCs w:val="18"/>
        </w:rPr>
      </w:pPr>
      <w:r>
        <w:rPr>
          <w:rFonts w:hint="eastAsia" w:ascii="宋体" w:hAnsi="宋体"/>
          <w:szCs w:val="18"/>
        </w:rPr>
        <w:t>通过智能云盒，使用手机查看当前UPS的信息状态。</w:t>
      </w:r>
    </w:p>
    <w:p>
      <w:pPr>
        <w:pStyle w:val="3"/>
        <w:rPr>
          <w:rFonts w:ascii="宋体" w:hAnsi="宋体"/>
          <w:szCs w:val="18"/>
        </w:rPr>
      </w:pPr>
      <w:r>
        <w:rPr>
          <w:rFonts w:hint="eastAsia" w:ascii="宋体" w:hAnsi="宋体"/>
          <w:szCs w:val="18"/>
        </w:rPr>
        <w:t>通过RS232与UPS进行连接，再通过GPRS将数据上传云端，使用手机下载的APP，获取当前UPS的实时数据、事件告警、历史数据等。</w:t>
      </w:r>
    </w:p>
    <w:p>
      <w:pPr>
        <w:pStyle w:val="4"/>
        <w:numPr>
          <w:ilvl w:val="1"/>
          <w:numId w:val="9"/>
        </w:numPr>
      </w:pPr>
      <w:bookmarkStart w:id="1140" w:name="_Toc512794936"/>
      <w:bookmarkStart w:id="1141" w:name="_Toc16653"/>
      <w:r>
        <w:rPr>
          <w:rFonts w:hint="eastAsia"/>
        </w:rPr>
        <w:t>电池温度传感器</w:t>
      </w:r>
      <w:bookmarkEnd w:id="1140"/>
      <w:bookmarkEnd w:id="1141"/>
    </w:p>
    <w:p>
      <w:pPr>
        <w:pStyle w:val="3"/>
      </w:pPr>
      <w:r>
        <w:rPr>
          <w:rFonts w:hint="eastAsia"/>
        </w:rPr>
        <w:t>电池温度传感器选件用于检测电池温度。电池温度传感器位于</w:t>
      </w:r>
      <w:r>
        <w:rPr>
          <w:rFonts w:hint="eastAsia"/>
          <w:lang w:val="en-GB"/>
        </w:rPr>
        <w:t>电池附近可检测到电池温度的地方，</w:t>
      </w:r>
      <w:r>
        <w:rPr>
          <w:rFonts w:hint="eastAsia"/>
        </w:rPr>
        <w:t>传感器的信号输出线连接至UPS旁路模块的J4端子，此时温度传感器与UPS内部逻辑电路连接。通过此功能可调节电池的浮充电压，使之与电池柜/室环境温度成反比，防止了高环境温度下的电池过充电。</w:t>
      </w:r>
    </w:p>
    <w:p>
      <w:pPr>
        <w:pStyle w:val="6"/>
        <w:numPr>
          <w:ilvl w:val="3"/>
          <w:numId w:val="9"/>
        </w:numPr>
        <w:spacing w:before="200" w:after="80"/>
        <w:ind w:left="680"/>
        <w:rPr>
          <w:szCs w:val="22"/>
        </w:rPr>
      </w:pPr>
      <w:r>
        <w:rPr>
          <w:rFonts w:hint="eastAsia"/>
          <w:szCs w:val="22"/>
        </w:rPr>
        <w:t>安装步骤</w:t>
      </w:r>
    </w:p>
    <w:tbl>
      <w:tblPr>
        <w:tblStyle w:val="50"/>
        <w:tblW w:w="9394" w:type="dxa"/>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70" w:type="dxa"/>
          <w:bottom w:w="0" w:type="dxa"/>
          <w:right w:w="70" w:type="dxa"/>
        </w:tblCellMar>
      </w:tblPr>
      <w:tblGrid>
        <w:gridCol w:w="939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94" w:type="dxa"/>
            <w:vAlign w:val="center"/>
          </w:tcPr>
          <w:p>
            <w:pPr>
              <w:pStyle w:val="72"/>
              <w:spacing w:before="46" w:beforeLines="15" w:line="276" w:lineRule="auto"/>
              <w:jc w:val="both"/>
            </w:pPr>
            <w:r>
              <w:drawing>
                <wp:inline distT="0" distB="0" distL="0" distR="0">
                  <wp:extent cx="725170" cy="315595"/>
                  <wp:effectExtent l="0" t="0" r="0" b="8255"/>
                  <wp:docPr id="13" name="图片 13"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rPr>
              <w:t>警告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70" w:type="dxa"/>
            <w:bottom w:w="0" w:type="dxa"/>
            <w:right w:w="70" w:type="dxa"/>
          </w:tblCellMar>
        </w:tblPrEx>
        <w:trPr>
          <w:trHeight w:val="20" w:hRule="atLeast"/>
          <w:jc w:val="right"/>
        </w:trPr>
        <w:tc>
          <w:tcPr>
            <w:tcW w:w="9394" w:type="dxa"/>
            <w:vAlign w:val="center"/>
          </w:tcPr>
          <w:p>
            <w:pPr>
              <w:pStyle w:val="73"/>
              <w:rPr>
                <w:lang w:val="en-GB"/>
              </w:rPr>
            </w:pPr>
            <w:r>
              <w:rPr>
                <w:rFonts w:hint="eastAsia"/>
              </w:rPr>
              <w:t>1．</w:t>
            </w:r>
            <w:r>
              <w:rPr>
                <w:rFonts w:hint="eastAsia"/>
                <w:lang w:val="en-GB"/>
              </w:rPr>
              <w:t>严格按照安装步骤进行接线，否则可能损坏UPS和电池。</w:t>
            </w:r>
          </w:p>
          <w:p>
            <w:pPr>
              <w:pStyle w:val="73"/>
              <w:rPr>
                <w:lang w:val="en-GB"/>
              </w:rPr>
            </w:pPr>
            <w:r>
              <w:rPr>
                <w:rFonts w:hint="eastAsia"/>
              </w:rPr>
              <w:t>2．</w:t>
            </w:r>
            <w:r>
              <w:rPr>
                <w:rFonts w:hint="eastAsia"/>
                <w:lang w:val="en-GB"/>
              </w:rPr>
              <w:t>安装电池温度传感器时，需关闭UPS。安装过程中，务必不要触摸电池端子、裸露的铜排和元器件。</w:t>
            </w:r>
          </w:p>
        </w:tc>
      </w:tr>
    </w:tbl>
    <w:p>
      <w:pPr>
        <w:pStyle w:val="79"/>
        <w:rPr>
          <w:lang w:val="en-GB"/>
        </w:rPr>
      </w:pPr>
    </w:p>
    <w:p>
      <w:pPr>
        <w:pStyle w:val="3"/>
        <w:rPr>
          <w:lang w:val="en-GB"/>
        </w:rPr>
      </w:pPr>
      <w:r>
        <w:rPr>
          <w:rFonts w:hint="eastAsia"/>
        </w:rPr>
        <w:t>1．</w:t>
      </w:r>
      <w:r>
        <w:rPr>
          <w:rFonts w:hint="eastAsia"/>
          <w:lang w:val="en-GB"/>
        </w:rPr>
        <w:t>关闭负载。</w:t>
      </w:r>
    </w:p>
    <w:p>
      <w:pPr>
        <w:pStyle w:val="3"/>
        <w:rPr>
          <w:lang w:val="en-GB"/>
        </w:rPr>
      </w:pPr>
      <w:r>
        <w:rPr>
          <w:rFonts w:hint="eastAsia"/>
          <w:lang w:val="en-GB"/>
        </w:rPr>
        <w:t>2．给UPS完全下电，详细操作参见</w:t>
      </w:r>
      <w:r>
        <w:rPr>
          <w:b/>
          <w:bCs/>
          <w:iCs/>
          <w:lang w:val="en-GB"/>
        </w:rPr>
        <w:t>5</w:t>
      </w:r>
      <w:r>
        <w:rPr>
          <w:rFonts w:hint="eastAsia"/>
          <w:b/>
          <w:bCs/>
          <w:iCs/>
          <w:lang w:val="en-GB"/>
        </w:rPr>
        <w:t>.5.1 UPS完全下电。</w:t>
      </w:r>
    </w:p>
    <w:p>
      <w:pPr>
        <w:pStyle w:val="3"/>
        <w:rPr>
          <w:lang w:val="en-GB"/>
        </w:rPr>
      </w:pPr>
      <w:r>
        <w:rPr>
          <w:lang w:val="en-GB"/>
        </w:rPr>
        <w:t>UPS</w:t>
      </w:r>
      <w:r>
        <w:rPr>
          <w:rFonts w:hint="eastAsia"/>
          <w:lang w:val="en-GB"/>
        </w:rPr>
        <w:t>所有显示熄灭，等</w:t>
      </w:r>
      <w:r>
        <w:rPr>
          <w:lang w:val="en-GB"/>
        </w:rPr>
        <w:t>5</w:t>
      </w:r>
      <w:r>
        <w:rPr>
          <w:rFonts w:hint="eastAsia"/>
          <w:lang w:val="en-GB"/>
        </w:rPr>
        <w:t>分钟待直流母线电容放电完毕。</w:t>
      </w:r>
    </w:p>
    <w:p>
      <w:pPr>
        <w:pStyle w:val="3"/>
        <w:rPr>
          <w:lang w:val="en-GB"/>
        </w:rPr>
      </w:pPr>
      <w:r>
        <w:rPr>
          <w:rFonts w:hint="eastAsia"/>
        </w:rPr>
        <w:t>3</w:t>
      </w:r>
      <w:r>
        <w:rPr>
          <w:rFonts w:hint="eastAsia"/>
          <w:lang w:val="en-GB"/>
        </w:rPr>
        <w:t>．将</w:t>
      </w:r>
      <w:r>
        <w:rPr>
          <w:rFonts w:hint="eastAsia"/>
        </w:rPr>
        <w:t>电池温度传感器</w:t>
      </w:r>
      <w:r>
        <w:rPr>
          <w:rFonts w:hint="eastAsia"/>
          <w:lang w:val="en-GB"/>
        </w:rPr>
        <w:t>探头置于电池附近可</w:t>
      </w:r>
      <w:r>
        <w:rPr>
          <w:rFonts w:hint="eastAsia"/>
        </w:rPr>
        <w:t>测量</w:t>
      </w:r>
      <w:r>
        <w:rPr>
          <w:rFonts w:hint="eastAsia"/>
          <w:lang w:val="en-GB"/>
        </w:rPr>
        <w:t>到电池最高温度的地方，将</w:t>
      </w:r>
      <w:r>
        <w:rPr>
          <w:rFonts w:hint="eastAsia"/>
        </w:rPr>
        <w:t>电池温度传感器</w:t>
      </w:r>
      <w:r>
        <w:rPr>
          <w:rFonts w:hint="eastAsia"/>
          <w:lang w:val="en-GB"/>
        </w:rPr>
        <w:t>电缆接至</w:t>
      </w:r>
      <w:r>
        <w:t>UPS</w:t>
      </w:r>
      <w:r>
        <w:rPr>
          <w:rFonts w:hint="eastAsia"/>
        </w:rPr>
        <w:t>的旁路模块</w:t>
      </w:r>
      <w:r>
        <w:t>DRY_1</w:t>
      </w:r>
      <w:r>
        <w:rPr>
          <w:rFonts w:hint="eastAsia"/>
        </w:rPr>
        <w:t>端子的1,3,5,7部分</w:t>
      </w:r>
      <w:r>
        <w:rPr>
          <w:rFonts w:hint="eastAsia"/>
          <w:lang w:val="en-GB"/>
        </w:rPr>
        <w:t>，见图8</w:t>
      </w:r>
      <w:r>
        <w:rPr>
          <w:lang w:val="en-GB"/>
        </w:rPr>
        <w:t>-</w:t>
      </w:r>
      <w:r>
        <w:rPr>
          <w:rFonts w:hint="eastAsia"/>
          <w:lang w:val="en-GB"/>
        </w:rPr>
        <w:t>1。</w:t>
      </w:r>
    </w:p>
    <w:p>
      <w:pPr>
        <w:pStyle w:val="3"/>
        <w:rPr>
          <w:lang w:val="en-GB"/>
        </w:rPr>
      </w:pPr>
      <w:r>
        <w:t>4</w:t>
      </w:r>
      <w:r>
        <w:rPr>
          <w:rFonts w:hint="eastAsia"/>
          <w:lang w:val="en-GB"/>
        </w:rPr>
        <w:t>．将电缆捆扎整齐与整洁，并与功率电缆分开走线，以避免EMI干扰。</w:t>
      </w:r>
    </w:p>
    <w:p>
      <w:pPr>
        <w:pStyle w:val="86"/>
        <w:ind w:left="0"/>
      </w:pPr>
      <w:r>
        <w:drawing>
          <wp:inline distT="0" distB="0" distL="0" distR="0">
            <wp:extent cx="5045075" cy="1071880"/>
            <wp:effectExtent l="0" t="0" r="317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a:xfrm>
                      <a:off x="0" y="0"/>
                      <a:ext cx="5045075" cy="1071880"/>
                    </a:xfrm>
                    <a:prstGeom prst="rect">
                      <a:avLst/>
                    </a:prstGeom>
                    <a:noFill/>
                    <a:ln>
                      <a:noFill/>
                    </a:ln>
                  </pic:spPr>
                </pic:pic>
              </a:graphicData>
            </a:graphic>
          </wp:inline>
        </w:drawing>
      </w:r>
    </w:p>
    <w:p>
      <w:pPr>
        <w:pStyle w:val="83"/>
        <w:numPr>
          <w:ilvl w:val="6"/>
          <w:numId w:val="4"/>
        </w:numPr>
        <w:rPr>
          <w:lang w:val="en-GB"/>
        </w:rPr>
      </w:pPr>
      <w:r>
        <w:rPr>
          <w:rFonts w:hint="eastAsia"/>
          <w:lang w:val="en-GB"/>
        </w:rPr>
        <w:t>电池温度传感器与UPS连接示意图</w:t>
      </w:r>
    </w:p>
    <w:p>
      <w:pPr>
        <w:pStyle w:val="4"/>
        <w:numPr>
          <w:ilvl w:val="1"/>
          <w:numId w:val="9"/>
        </w:numPr>
      </w:pPr>
      <w:bookmarkStart w:id="1142" w:name="_Toc15916"/>
      <w:r>
        <w:rPr>
          <w:rFonts w:hint="eastAsia"/>
        </w:rPr>
        <w:t>防雷组件</w:t>
      </w:r>
      <w:bookmarkEnd w:id="1142"/>
    </w:p>
    <w:p>
      <w:pPr>
        <w:pStyle w:val="3"/>
        <w:rPr>
          <w:rFonts w:ascii="宋体" w:hAnsi="宋体" w:cs="宋体"/>
          <w:color w:val="000000"/>
        </w:rPr>
      </w:pPr>
      <w:r>
        <w:rPr>
          <w:rFonts w:hint="eastAsia" w:ascii="宋体" w:hAnsi="宋体" w:cs="宋体"/>
          <w:color w:val="000000"/>
        </w:rPr>
        <w:t>防雷选件分为C级防雷和D级防雷，根据客户的配置和需求来选择。如果应用场合对防雷要求不高，则可以不装防雷选件。如果有防雷要求则选择C级防雷或D级防雷，注意C级和D级只能二选一。C级防雷防护等级更高。防雷选件里的防雷器接在主路输入铜排上。</w:t>
      </w:r>
    </w:p>
    <w:p>
      <w:pPr>
        <w:pStyle w:val="3"/>
        <w:rPr>
          <w:rFonts w:ascii="宋体" w:hAnsi="宋体" w:cs="宋体"/>
          <w:color w:val="000000"/>
        </w:rPr>
      </w:pPr>
      <w:r>
        <w:rPr>
          <w:rFonts w:hint="eastAsia" w:ascii="黑体" w:hAnsi="黑体" w:eastAsia="黑体" w:cs="黑体"/>
          <w:color w:val="000000"/>
          <w:sz w:val="21"/>
          <w:szCs w:val="21"/>
        </w:rPr>
        <w:t>C级防雷：</w:t>
      </w:r>
    </w:p>
    <w:p>
      <w:pPr>
        <w:pStyle w:val="3"/>
        <w:rPr>
          <w:rFonts w:ascii="宋体" w:hAnsi="宋体" w:cs="宋体"/>
          <w:color w:val="000000"/>
        </w:rPr>
      </w:pPr>
    </w:p>
    <w:p>
      <w:pPr>
        <w:pStyle w:val="3"/>
        <w:ind w:left="0"/>
        <w:jc w:val="center"/>
        <w:rPr>
          <w:rFonts w:ascii="宋体" w:hAnsi="宋体" w:cs="宋体"/>
          <w:color w:val="000000"/>
        </w:rPr>
      </w:pPr>
      <w:r>
        <w:rPr>
          <w:rFonts w:hint="eastAsia" w:ascii="宋体" w:hAnsi="宋体" w:cs="宋体"/>
          <w:color w:val="000000"/>
        </w:rPr>
        <w:drawing>
          <wp:inline distT="0" distB="0" distL="0" distR="0">
            <wp:extent cx="2632710" cy="1986280"/>
            <wp:effectExtent l="0" t="0" r="0" b="0"/>
            <wp:docPr id="11" name="图片 11" descr="微信截图_2019103012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截图_2019103012000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2632710" cy="1986280"/>
                    </a:xfrm>
                    <a:prstGeom prst="rect">
                      <a:avLst/>
                    </a:prstGeom>
                    <a:noFill/>
                    <a:ln>
                      <a:noFill/>
                    </a:ln>
                  </pic:spPr>
                </pic:pic>
              </a:graphicData>
            </a:graphic>
          </wp:inline>
        </w:drawing>
      </w:r>
      <w:r>
        <w:rPr>
          <w:rFonts w:hint="eastAsia" w:ascii="宋体" w:hAnsi="宋体" w:cs="宋体"/>
          <w:color w:val="000000"/>
        </w:rPr>
        <w:drawing>
          <wp:inline distT="0" distB="0" distL="0" distR="0">
            <wp:extent cx="1986280" cy="2270125"/>
            <wp:effectExtent l="0" t="0" r="0" b="0"/>
            <wp:docPr id="10" name="图片 10" descr="微信截图_20191030114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截图_2019103011451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a:xfrm>
                      <a:off x="0" y="0"/>
                      <a:ext cx="1986280" cy="2270125"/>
                    </a:xfrm>
                    <a:prstGeom prst="rect">
                      <a:avLst/>
                    </a:prstGeom>
                    <a:noFill/>
                    <a:ln>
                      <a:noFill/>
                    </a:ln>
                  </pic:spPr>
                </pic:pic>
              </a:graphicData>
            </a:graphic>
          </wp:inline>
        </w:drawing>
      </w:r>
    </w:p>
    <w:p>
      <w:pPr>
        <w:pStyle w:val="83"/>
        <w:numPr>
          <w:ilvl w:val="6"/>
          <w:numId w:val="4"/>
        </w:numPr>
        <w:rPr>
          <w:lang w:val="en-GB"/>
        </w:rPr>
      </w:pPr>
      <w:r>
        <w:rPr>
          <w:rFonts w:hint="eastAsia"/>
          <w:lang w:val="en-GB"/>
        </w:rPr>
        <w:t>C级防雷</w:t>
      </w:r>
    </w:p>
    <w:p>
      <w:pPr>
        <w:pStyle w:val="194"/>
        <w:numPr>
          <w:ilvl w:val="5"/>
          <w:numId w:val="9"/>
        </w:numPr>
        <w:rPr>
          <w:rFonts w:ascii="宋体" w:hAnsi="宋体" w:cs="宋体"/>
          <w:color w:val="000000"/>
        </w:rPr>
      </w:pPr>
      <w:r>
        <w:rPr>
          <w:rFonts w:hint="eastAsia"/>
          <w:szCs w:val="22"/>
        </w:rPr>
        <w:t>C级防雷参数</w:t>
      </w:r>
    </w:p>
    <w:tbl>
      <w:tblPr>
        <w:tblStyle w:val="50"/>
        <w:tblW w:w="77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78"/>
        <w:gridCol w:w="3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tcPr>
          <w:p>
            <w:pPr>
              <w:pStyle w:val="3"/>
              <w:rPr>
                <w:rFonts w:ascii="宋体" w:hAnsi="宋体" w:cs="宋体"/>
                <w:color w:val="000000"/>
                <w:szCs w:val="18"/>
              </w:rPr>
            </w:pPr>
            <w:r>
              <w:rPr>
                <w:rFonts w:hint="eastAsia" w:ascii="宋体" w:hAnsi="宋体" w:cs="宋体"/>
                <w:color w:val="000000"/>
                <w:szCs w:val="18"/>
              </w:rPr>
              <w:t>保护模式</w:t>
            </w:r>
          </w:p>
        </w:tc>
        <w:tc>
          <w:tcPr>
            <w:tcW w:w="3878" w:type="dxa"/>
          </w:tcPr>
          <w:p>
            <w:pPr>
              <w:pStyle w:val="3"/>
              <w:rPr>
                <w:rFonts w:ascii="宋体" w:hAnsi="宋体" w:cs="宋体"/>
                <w:color w:val="000000"/>
                <w:szCs w:val="18"/>
              </w:rPr>
            </w:pPr>
            <w:r>
              <w:rPr>
                <w:rFonts w:hint="eastAsia" w:ascii="宋体" w:hAnsi="宋体" w:cs="宋体"/>
                <w:color w:val="000000"/>
                <w:szCs w:val="18"/>
              </w:rPr>
              <w:t>共模保护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tcPr>
          <w:p>
            <w:pPr>
              <w:pStyle w:val="3"/>
              <w:rPr>
                <w:rFonts w:ascii="宋体" w:hAnsi="宋体" w:cs="宋体"/>
                <w:color w:val="000000"/>
              </w:rPr>
            </w:pPr>
            <w:r>
              <w:rPr>
                <w:rFonts w:hint="eastAsia" w:ascii="宋体" w:hAnsi="宋体" w:cs="宋体"/>
                <w:color w:val="000000"/>
              </w:rPr>
              <w:t>安装级别</w:t>
            </w:r>
          </w:p>
        </w:tc>
        <w:tc>
          <w:tcPr>
            <w:tcW w:w="3878" w:type="dxa"/>
          </w:tcPr>
          <w:p>
            <w:pPr>
              <w:pStyle w:val="3"/>
              <w:rPr>
                <w:rFonts w:ascii="宋体" w:hAnsi="宋体" w:cs="宋体"/>
                <w:color w:val="000000"/>
              </w:rPr>
            </w:pPr>
            <w:r>
              <w:rPr>
                <w:rFonts w:hint="eastAsia" w:ascii="宋体" w:hAnsi="宋体" w:cs="宋体"/>
                <w:color w:val="000000"/>
              </w:rPr>
              <w:t>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tcPr>
          <w:p>
            <w:pPr>
              <w:pStyle w:val="3"/>
              <w:rPr>
                <w:rFonts w:ascii="宋体" w:hAnsi="宋体" w:cs="宋体"/>
                <w:color w:val="000000"/>
              </w:rPr>
            </w:pPr>
            <w:r>
              <w:rPr>
                <w:rFonts w:hint="eastAsia" w:ascii="宋体" w:hAnsi="宋体" w:cs="宋体"/>
                <w:color w:val="000000"/>
              </w:rPr>
              <w:t>保护相线</w:t>
            </w:r>
          </w:p>
        </w:tc>
        <w:tc>
          <w:tcPr>
            <w:tcW w:w="3878" w:type="dxa"/>
          </w:tcPr>
          <w:p>
            <w:pPr>
              <w:pStyle w:val="3"/>
              <w:rPr>
                <w:rFonts w:ascii="宋体" w:hAnsi="宋体" w:cs="宋体"/>
                <w:color w:val="000000"/>
              </w:rPr>
            </w:pPr>
            <w:r>
              <w:rPr>
                <w:rFonts w:hint="eastAsia" w:ascii="宋体" w:hAnsi="宋体" w:cs="宋体"/>
                <w:color w:val="000000"/>
              </w:rPr>
              <w:t>L-PE  N-PE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tcPr>
          <w:p>
            <w:pPr>
              <w:pStyle w:val="3"/>
              <w:rPr>
                <w:rFonts w:ascii="宋体" w:hAnsi="宋体" w:cs="宋体"/>
                <w:color w:val="000000"/>
              </w:rPr>
            </w:pPr>
            <w:r>
              <w:rPr>
                <w:rFonts w:hint="eastAsia" w:ascii="宋体" w:hAnsi="宋体" w:cs="宋体"/>
                <w:color w:val="000000"/>
              </w:rPr>
              <w:t>最大持续工作电压   Uc</w:t>
            </w:r>
          </w:p>
        </w:tc>
        <w:tc>
          <w:tcPr>
            <w:tcW w:w="3878" w:type="dxa"/>
          </w:tcPr>
          <w:p>
            <w:pPr>
              <w:pStyle w:val="3"/>
              <w:rPr>
                <w:rFonts w:ascii="宋体" w:hAnsi="宋体" w:cs="宋体"/>
                <w:color w:val="000000"/>
              </w:rPr>
            </w:pPr>
            <w:r>
              <w:rPr>
                <w:rFonts w:hint="eastAsia" w:ascii="宋体" w:hAnsi="宋体" w:cs="宋体"/>
                <w:color w:val="000000"/>
              </w:rPr>
              <w:t>385V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tcPr>
          <w:p>
            <w:pPr>
              <w:pStyle w:val="3"/>
              <w:rPr>
                <w:rFonts w:ascii="宋体" w:hAnsi="宋体" w:cs="宋体"/>
                <w:color w:val="000000"/>
              </w:rPr>
            </w:pPr>
            <w:r>
              <w:rPr>
                <w:rFonts w:hint="eastAsia" w:ascii="宋体" w:hAnsi="宋体" w:cs="宋体"/>
                <w:color w:val="000000"/>
              </w:rPr>
              <w:t>标称放电电流       In</w:t>
            </w:r>
          </w:p>
        </w:tc>
        <w:tc>
          <w:tcPr>
            <w:tcW w:w="3878" w:type="dxa"/>
          </w:tcPr>
          <w:p>
            <w:pPr>
              <w:pStyle w:val="3"/>
              <w:rPr>
                <w:rFonts w:ascii="宋体" w:hAnsi="宋体" w:cs="宋体"/>
                <w:color w:val="000000"/>
              </w:rPr>
            </w:pPr>
            <w:r>
              <w:rPr>
                <w:rFonts w:hint="eastAsia" w:ascii="宋体" w:hAnsi="宋体" w:cs="宋体"/>
                <w:color w:val="000000"/>
              </w:rPr>
              <w:t>20K/A（8/20μs）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tcPr>
          <w:p>
            <w:pPr>
              <w:pStyle w:val="3"/>
              <w:rPr>
                <w:rFonts w:ascii="宋体" w:hAnsi="宋体" w:cs="宋体"/>
                <w:color w:val="000000"/>
              </w:rPr>
            </w:pPr>
            <w:r>
              <w:rPr>
                <w:rFonts w:hint="eastAsia" w:ascii="宋体" w:hAnsi="宋体" w:cs="宋体"/>
                <w:color w:val="000000"/>
              </w:rPr>
              <w:t>最大放电电流       Imax</w:t>
            </w:r>
          </w:p>
        </w:tc>
        <w:tc>
          <w:tcPr>
            <w:tcW w:w="3878" w:type="dxa"/>
          </w:tcPr>
          <w:p>
            <w:pPr>
              <w:pStyle w:val="3"/>
              <w:rPr>
                <w:rFonts w:ascii="宋体" w:hAnsi="宋体" w:cs="宋体"/>
                <w:color w:val="000000"/>
              </w:rPr>
            </w:pPr>
            <w:r>
              <w:rPr>
                <w:rFonts w:hint="eastAsia" w:ascii="宋体" w:hAnsi="宋体" w:cs="宋体"/>
                <w:color w:val="000000"/>
              </w:rPr>
              <w:t>40K/A（8/20μs）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tcPr>
          <w:p>
            <w:pPr>
              <w:pStyle w:val="3"/>
              <w:rPr>
                <w:rFonts w:ascii="宋体" w:hAnsi="宋体" w:cs="宋体"/>
                <w:color w:val="000000"/>
              </w:rPr>
            </w:pPr>
            <w:r>
              <w:rPr>
                <w:rFonts w:hint="eastAsia" w:ascii="宋体" w:hAnsi="宋体" w:cs="宋体"/>
                <w:color w:val="000000"/>
              </w:rPr>
              <w:t>限制电压           Up</w:t>
            </w:r>
          </w:p>
        </w:tc>
        <w:tc>
          <w:tcPr>
            <w:tcW w:w="3878" w:type="dxa"/>
          </w:tcPr>
          <w:p>
            <w:pPr>
              <w:pStyle w:val="3"/>
              <w:rPr>
                <w:rFonts w:ascii="宋体" w:hAnsi="宋体" w:cs="宋体"/>
                <w:color w:val="000000"/>
              </w:rPr>
            </w:pPr>
            <w:r>
              <w:rPr>
                <w:rFonts w:hint="eastAsia" w:ascii="宋体" w:hAnsi="宋体" w:cs="宋体"/>
                <w:color w:val="000000"/>
              </w:rPr>
              <w:t>1.5KV</w:t>
            </w:r>
          </w:p>
        </w:tc>
      </w:tr>
    </w:tbl>
    <w:p>
      <w:pPr>
        <w:pStyle w:val="3"/>
        <w:rPr>
          <w:rFonts w:ascii="黑体" w:hAnsi="黑体" w:eastAsia="黑体" w:cs="黑体"/>
          <w:color w:val="000000"/>
          <w:sz w:val="21"/>
          <w:szCs w:val="21"/>
        </w:rPr>
      </w:pPr>
    </w:p>
    <w:p>
      <w:pPr>
        <w:pStyle w:val="3"/>
        <w:rPr>
          <w:rFonts w:ascii="黑体" w:hAnsi="黑体" w:eastAsia="黑体" w:cs="黑体"/>
          <w:color w:val="000000"/>
          <w:sz w:val="21"/>
          <w:szCs w:val="21"/>
        </w:rPr>
      </w:pPr>
    </w:p>
    <w:p>
      <w:pPr>
        <w:pStyle w:val="3"/>
        <w:rPr>
          <w:rFonts w:ascii="黑体" w:hAnsi="黑体" w:eastAsia="黑体" w:cs="黑体"/>
          <w:color w:val="000000"/>
          <w:sz w:val="21"/>
          <w:szCs w:val="21"/>
        </w:rPr>
      </w:pPr>
    </w:p>
    <w:p>
      <w:pPr>
        <w:pStyle w:val="3"/>
        <w:rPr>
          <w:rFonts w:ascii="黑体" w:hAnsi="黑体" w:eastAsia="黑体" w:cs="黑体"/>
          <w:color w:val="000000"/>
          <w:sz w:val="21"/>
          <w:szCs w:val="21"/>
        </w:rPr>
      </w:pPr>
      <w:r>
        <w:rPr>
          <w:rFonts w:hint="eastAsia" w:ascii="黑体" w:hAnsi="黑体" w:eastAsia="黑体" w:cs="黑体"/>
          <w:color w:val="000000"/>
          <w:sz w:val="21"/>
          <w:szCs w:val="21"/>
        </w:rPr>
        <w:t>D级防雷：</w:t>
      </w:r>
    </w:p>
    <w:p>
      <w:pPr>
        <w:pStyle w:val="3"/>
        <w:ind w:left="0"/>
        <w:jc w:val="center"/>
        <w:rPr>
          <w:rFonts w:ascii="宋体" w:hAnsi="宋体" w:cs="宋体"/>
          <w:color w:val="000000"/>
        </w:rPr>
      </w:pPr>
      <w:r>
        <w:rPr>
          <w:rFonts w:hint="eastAsia" w:ascii="宋体" w:hAnsi="宋体" w:cs="宋体"/>
          <w:color w:val="000000"/>
        </w:rPr>
        <w:drawing>
          <wp:inline distT="0" distB="0" distL="0" distR="0">
            <wp:extent cx="2632710" cy="1986280"/>
            <wp:effectExtent l="0" t="0" r="0" b="0"/>
            <wp:docPr id="9" name="图片 9" descr="微信截图_2019103012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截图_2019103012000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2632710" cy="1986280"/>
                    </a:xfrm>
                    <a:prstGeom prst="rect">
                      <a:avLst/>
                    </a:prstGeom>
                    <a:noFill/>
                    <a:ln>
                      <a:noFill/>
                    </a:ln>
                  </pic:spPr>
                </pic:pic>
              </a:graphicData>
            </a:graphic>
          </wp:inline>
        </w:drawing>
      </w:r>
      <w:r>
        <w:rPr>
          <w:rFonts w:ascii="宋体" w:hAnsi="宋体" w:cs="宋体"/>
          <w:color w:val="000000"/>
        </w:rPr>
        <w:drawing>
          <wp:inline distT="0" distB="0" distL="0" distR="0">
            <wp:extent cx="2033905" cy="2225675"/>
            <wp:effectExtent l="0" t="0" r="4445" b="3175"/>
            <wp:docPr id="8" name="图片 8" descr="微信截图_2019103011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截图_2019103011444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a:xfrm>
                      <a:off x="0" y="0"/>
                      <a:ext cx="2033905" cy="2225675"/>
                    </a:xfrm>
                    <a:prstGeom prst="rect">
                      <a:avLst/>
                    </a:prstGeom>
                    <a:noFill/>
                    <a:ln>
                      <a:noFill/>
                    </a:ln>
                  </pic:spPr>
                </pic:pic>
              </a:graphicData>
            </a:graphic>
          </wp:inline>
        </w:drawing>
      </w:r>
    </w:p>
    <w:p>
      <w:pPr>
        <w:pStyle w:val="83"/>
        <w:numPr>
          <w:ilvl w:val="6"/>
          <w:numId w:val="4"/>
        </w:numPr>
        <w:rPr>
          <w:rFonts w:ascii="宋体" w:hAnsi="宋体" w:cs="宋体"/>
          <w:color w:val="000000"/>
        </w:rPr>
      </w:pPr>
      <w:r>
        <w:rPr>
          <w:rFonts w:hint="eastAsia"/>
          <w:lang w:val="en-GB"/>
        </w:rPr>
        <w:t>D级防雷</w:t>
      </w:r>
    </w:p>
    <w:p>
      <w:pPr>
        <w:pStyle w:val="194"/>
        <w:numPr>
          <w:ilvl w:val="5"/>
          <w:numId w:val="9"/>
        </w:numPr>
        <w:rPr>
          <w:rFonts w:ascii="宋体" w:hAnsi="宋体" w:cs="宋体"/>
          <w:color w:val="000000"/>
        </w:rPr>
      </w:pPr>
      <w:r>
        <w:rPr>
          <w:rFonts w:hint="eastAsia"/>
          <w:szCs w:val="22"/>
        </w:rPr>
        <w:t>D级防雷参数</w:t>
      </w:r>
    </w:p>
    <w:tbl>
      <w:tblPr>
        <w:tblStyle w:val="50"/>
        <w:tblW w:w="77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78"/>
        <w:gridCol w:w="3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tcPr>
          <w:p>
            <w:pPr>
              <w:pStyle w:val="3"/>
              <w:rPr>
                <w:rFonts w:ascii="宋体" w:hAnsi="宋体" w:cs="宋体"/>
                <w:color w:val="000000"/>
                <w:szCs w:val="18"/>
              </w:rPr>
            </w:pPr>
            <w:r>
              <w:rPr>
                <w:rFonts w:hint="eastAsia" w:ascii="宋体" w:hAnsi="宋体" w:cs="宋体"/>
                <w:color w:val="000000"/>
                <w:szCs w:val="18"/>
              </w:rPr>
              <w:t>保护模式</w:t>
            </w:r>
          </w:p>
        </w:tc>
        <w:tc>
          <w:tcPr>
            <w:tcW w:w="3878" w:type="dxa"/>
          </w:tcPr>
          <w:p>
            <w:pPr>
              <w:pStyle w:val="3"/>
              <w:rPr>
                <w:rFonts w:ascii="宋体" w:hAnsi="宋体" w:cs="宋体"/>
                <w:color w:val="000000"/>
                <w:szCs w:val="18"/>
              </w:rPr>
            </w:pPr>
            <w:r>
              <w:rPr>
                <w:rFonts w:hint="eastAsia" w:ascii="宋体" w:hAnsi="宋体" w:cs="宋体"/>
                <w:color w:val="000000"/>
                <w:szCs w:val="18"/>
              </w:rPr>
              <w:t>共模保护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tcPr>
          <w:p>
            <w:pPr>
              <w:pStyle w:val="3"/>
              <w:rPr>
                <w:rFonts w:ascii="宋体" w:hAnsi="宋体" w:cs="宋体"/>
                <w:color w:val="000000"/>
              </w:rPr>
            </w:pPr>
            <w:r>
              <w:rPr>
                <w:rFonts w:hint="eastAsia" w:ascii="宋体" w:hAnsi="宋体" w:cs="宋体"/>
                <w:color w:val="000000"/>
              </w:rPr>
              <w:t>安装级别</w:t>
            </w:r>
          </w:p>
        </w:tc>
        <w:tc>
          <w:tcPr>
            <w:tcW w:w="3878" w:type="dxa"/>
          </w:tcPr>
          <w:p>
            <w:pPr>
              <w:pStyle w:val="3"/>
              <w:rPr>
                <w:rFonts w:ascii="宋体" w:hAnsi="宋体" w:cs="宋体"/>
                <w:color w:val="000000"/>
              </w:rPr>
            </w:pPr>
            <w:r>
              <w:rPr>
                <w:rFonts w:hint="eastAsia" w:ascii="宋体" w:hAnsi="宋体" w:cs="宋体"/>
                <w:color w:val="000000"/>
              </w:rPr>
              <w:t>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tcPr>
          <w:p>
            <w:pPr>
              <w:pStyle w:val="3"/>
              <w:rPr>
                <w:rFonts w:ascii="宋体" w:hAnsi="宋体" w:cs="宋体"/>
                <w:color w:val="000000"/>
              </w:rPr>
            </w:pPr>
            <w:r>
              <w:rPr>
                <w:rFonts w:hint="eastAsia" w:ascii="宋体" w:hAnsi="宋体" w:cs="宋体"/>
                <w:color w:val="000000"/>
              </w:rPr>
              <w:t>保护相线</w:t>
            </w:r>
          </w:p>
        </w:tc>
        <w:tc>
          <w:tcPr>
            <w:tcW w:w="3878" w:type="dxa"/>
          </w:tcPr>
          <w:p>
            <w:pPr>
              <w:pStyle w:val="3"/>
              <w:rPr>
                <w:rFonts w:ascii="宋体" w:hAnsi="宋体" w:cs="宋体"/>
                <w:color w:val="000000"/>
              </w:rPr>
            </w:pPr>
            <w:r>
              <w:rPr>
                <w:rFonts w:hint="eastAsia" w:ascii="宋体" w:hAnsi="宋体" w:cs="宋体"/>
                <w:color w:val="000000"/>
              </w:rPr>
              <w:t>L-PE  N-PE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tcPr>
          <w:p>
            <w:pPr>
              <w:pStyle w:val="3"/>
              <w:rPr>
                <w:rFonts w:ascii="宋体" w:hAnsi="宋体" w:cs="宋体"/>
                <w:color w:val="000000"/>
              </w:rPr>
            </w:pPr>
            <w:r>
              <w:rPr>
                <w:rFonts w:hint="eastAsia" w:ascii="宋体" w:hAnsi="宋体" w:cs="宋体"/>
                <w:color w:val="000000"/>
              </w:rPr>
              <w:t>最大持续工作电压   Uc</w:t>
            </w:r>
          </w:p>
        </w:tc>
        <w:tc>
          <w:tcPr>
            <w:tcW w:w="3878" w:type="dxa"/>
          </w:tcPr>
          <w:p>
            <w:pPr>
              <w:pStyle w:val="3"/>
              <w:rPr>
                <w:rFonts w:ascii="宋体" w:hAnsi="宋体" w:cs="宋体"/>
                <w:color w:val="000000"/>
              </w:rPr>
            </w:pPr>
            <w:r>
              <w:rPr>
                <w:rFonts w:hint="eastAsia" w:ascii="宋体" w:hAnsi="宋体" w:cs="宋体"/>
                <w:color w:val="000000"/>
              </w:rPr>
              <w:t>320V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tcPr>
          <w:p>
            <w:pPr>
              <w:pStyle w:val="3"/>
              <w:rPr>
                <w:rFonts w:ascii="宋体" w:hAnsi="宋体" w:cs="宋体"/>
                <w:color w:val="000000"/>
              </w:rPr>
            </w:pPr>
            <w:r>
              <w:rPr>
                <w:rFonts w:hint="eastAsia" w:ascii="宋体" w:hAnsi="宋体" w:cs="宋体"/>
                <w:color w:val="000000"/>
              </w:rPr>
              <w:t>标称放电电流       In</w:t>
            </w:r>
          </w:p>
        </w:tc>
        <w:tc>
          <w:tcPr>
            <w:tcW w:w="3878" w:type="dxa"/>
          </w:tcPr>
          <w:p>
            <w:pPr>
              <w:pStyle w:val="3"/>
              <w:rPr>
                <w:rFonts w:ascii="宋体" w:hAnsi="宋体" w:cs="宋体"/>
                <w:color w:val="000000"/>
              </w:rPr>
            </w:pPr>
            <w:r>
              <w:rPr>
                <w:rFonts w:hint="eastAsia" w:ascii="宋体" w:hAnsi="宋体" w:cs="宋体"/>
                <w:color w:val="000000"/>
              </w:rPr>
              <w:t>10K/A（8/20μs）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tcPr>
          <w:p>
            <w:pPr>
              <w:pStyle w:val="3"/>
              <w:rPr>
                <w:rFonts w:ascii="宋体" w:hAnsi="宋体" w:cs="宋体"/>
                <w:color w:val="000000"/>
              </w:rPr>
            </w:pPr>
            <w:r>
              <w:rPr>
                <w:rFonts w:hint="eastAsia" w:ascii="宋体" w:hAnsi="宋体" w:cs="宋体"/>
                <w:color w:val="000000"/>
              </w:rPr>
              <w:t>最大放电电流       Imax</w:t>
            </w:r>
          </w:p>
        </w:tc>
        <w:tc>
          <w:tcPr>
            <w:tcW w:w="3878" w:type="dxa"/>
          </w:tcPr>
          <w:p>
            <w:pPr>
              <w:pStyle w:val="3"/>
              <w:rPr>
                <w:rFonts w:ascii="宋体" w:hAnsi="宋体" w:cs="宋体"/>
                <w:color w:val="000000"/>
              </w:rPr>
            </w:pPr>
            <w:r>
              <w:rPr>
                <w:rFonts w:hint="eastAsia" w:ascii="宋体" w:hAnsi="宋体" w:cs="宋体"/>
                <w:color w:val="000000"/>
              </w:rPr>
              <w:t>20K/A（8/20μs）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tcPr>
          <w:p>
            <w:pPr>
              <w:pStyle w:val="3"/>
              <w:rPr>
                <w:rFonts w:ascii="宋体" w:hAnsi="宋体" w:cs="宋体"/>
                <w:color w:val="000000"/>
              </w:rPr>
            </w:pPr>
            <w:r>
              <w:rPr>
                <w:rFonts w:hint="eastAsia" w:ascii="宋体" w:hAnsi="宋体" w:cs="宋体"/>
                <w:color w:val="000000"/>
              </w:rPr>
              <w:t>限制电压           Up</w:t>
            </w:r>
          </w:p>
        </w:tc>
        <w:tc>
          <w:tcPr>
            <w:tcW w:w="3878" w:type="dxa"/>
          </w:tcPr>
          <w:p>
            <w:pPr>
              <w:pStyle w:val="3"/>
              <w:rPr>
                <w:rFonts w:ascii="宋体" w:hAnsi="宋体" w:cs="宋体"/>
                <w:color w:val="000000"/>
              </w:rPr>
            </w:pPr>
            <w:r>
              <w:rPr>
                <w:rFonts w:hint="eastAsia" w:ascii="宋体" w:hAnsi="宋体" w:cs="宋体"/>
                <w:color w:val="000000"/>
              </w:rPr>
              <w:t>1.0KV</w:t>
            </w:r>
          </w:p>
        </w:tc>
      </w:tr>
    </w:tbl>
    <w:p>
      <w:pPr>
        <w:pStyle w:val="4"/>
        <w:numPr>
          <w:ilvl w:val="1"/>
          <w:numId w:val="9"/>
        </w:numPr>
      </w:pPr>
      <w:bookmarkStart w:id="1143" w:name="_Toc6940"/>
      <w:r>
        <w:rPr>
          <w:rFonts w:hint="eastAsia"/>
        </w:rPr>
        <w:t>输入和输出熔断器</w:t>
      </w:r>
      <w:bookmarkEnd w:id="1143"/>
    </w:p>
    <w:p>
      <w:pPr>
        <w:pStyle w:val="3"/>
        <w:rPr>
          <w:lang w:val="pt-BR"/>
        </w:rPr>
      </w:pPr>
      <w:r>
        <w:rPr>
          <w:rFonts w:hint="eastAsia"/>
          <w:lang w:val="pt-BR" w:eastAsia="zh-CN"/>
        </w:rPr>
        <w:t>MX</w:t>
      </w:r>
      <w:r>
        <w:rPr>
          <w:rFonts w:hint="eastAsia"/>
          <w:lang w:val="pt-BR"/>
        </w:rPr>
        <w:t xml:space="preserve"> </w:t>
      </w:r>
      <w:r>
        <w:rPr>
          <w:lang w:val="pt-BR"/>
        </w:rPr>
        <w:t>18</w:t>
      </w:r>
      <w:r>
        <w:rPr>
          <w:rFonts w:hint="eastAsia"/>
          <w:lang w:val="pt-BR"/>
        </w:rPr>
        <w:t>0-800kVA系统开关为隔离开关，无过流分断能力。可配置输入和输出熔断器，当系统的输入或输出过流时，可起到分断电流的作用。</w:t>
      </w:r>
    </w:p>
    <w:p>
      <w:pPr>
        <w:pStyle w:val="4"/>
        <w:numPr>
          <w:ilvl w:val="1"/>
          <w:numId w:val="9"/>
        </w:numPr>
      </w:pPr>
      <w:bookmarkStart w:id="1144" w:name="_Toc18256"/>
      <w:r>
        <w:rPr>
          <w:rFonts w:hint="eastAsia"/>
        </w:rPr>
        <w:t>防地震组件</w:t>
      </w:r>
      <w:bookmarkEnd w:id="1144"/>
    </w:p>
    <w:p>
      <w:pPr>
        <w:ind w:left="680"/>
        <w:rPr>
          <w:sz w:val="18"/>
          <w:szCs w:val="22"/>
        </w:rPr>
      </w:pPr>
      <w:r>
        <w:rPr>
          <w:rFonts w:hint="eastAsia"/>
          <w:kern w:val="0"/>
          <w:sz w:val="18"/>
          <w:szCs w:val="22"/>
        </w:rPr>
        <w:t>UPS提供防地震组件，可防止和减轻地震或振动对UPS造成的损坏，防止UPS地震或振动时UPS翻倒或横向移动。</w:t>
      </w:r>
    </w:p>
    <w:p>
      <w:pPr>
        <w:ind w:left="680"/>
        <w:rPr>
          <w:sz w:val="18"/>
          <w:szCs w:val="22"/>
        </w:rPr>
      </w:pPr>
      <w:r>
        <w:rPr>
          <w:rFonts w:hint="eastAsia"/>
          <w:sz w:val="18"/>
          <w:szCs w:val="22"/>
        </w:rPr>
        <w:t>用螺栓固定于混凝土地板上后，防地震</w:t>
      </w:r>
      <w:r>
        <w:rPr>
          <w:rFonts w:hint="eastAsia"/>
          <w:sz w:val="18"/>
          <w:szCs w:val="22"/>
          <w:lang w:val="en-GB"/>
        </w:rPr>
        <w:t>组件满足</w:t>
      </w:r>
      <w:r>
        <w:rPr>
          <w:rFonts w:hint="eastAsia"/>
          <w:sz w:val="18"/>
          <w:szCs w:val="22"/>
        </w:rPr>
        <w:t>YD5083-2005的9烈度要求。</w:t>
      </w:r>
    </w:p>
    <w:tbl>
      <w:tblPr>
        <w:tblStyle w:val="50"/>
        <w:tblW w:w="933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9336" w:type="dxa"/>
            <w:vAlign w:val="center"/>
          </w:tcPr>
          <w:p>
            <w:pPr>
              <w:spacing w:before="46" w:beforeLines="15" w:line="276" w:lineRule="auto"/>
              <w:textAlignment w:val="center"/>
              <w:rPr>
                <w:sz w:val="16"/>
                <w:szCs w:val="22"/>
              </w:rPr>
            </w:pPr>
            <w:r>
              <w:rPr>
                <w:sz w:val="16"/>
                <w:szCs w:val="22"/>
              </w:rPr>
              <w:drawing>
                <wp:inline distT="0" distB="0" distL="0" distR="0">
                  <wp:extent cx="725170" cy="315595"/>
                  <wp:effectExtent l="0" t="0" r="0" b="8255"/>
                  <wp:docPr id="7" name="图片 7"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5170" cy="315595"/>
                          </a:xfrm>
                          <a:prstGeom prst="rect">
                            <a:avLst/>
                          </a:prstGeom>
                          <a:noFill/>
                          <a:ln>
                            <a:noFill/>
                          </a:ln>
                        </pic:spPr>
                      </pic:pic>
                    </a:graphicData>
                  </a:graphic>
                </wp:inline>
              </w:drawing>
            </w:r>
            <w:r>
              <w:rPr>
                <w:rFonts w:hint="eastAsia"/>
                <w:sz w:val="16"/>
                <w:szCs w:val="22"/>
              </w:rPr>
              <w:t>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9336" w:type="dxa"/>
            <w:vAlign w:val="center"/>
          </w:tcPr>
          <w:p>
            <w:pPr>
              <w:spacing w:line="300" w:lineRule="auto"/>
              <w:jc w:val="left"/>
              <w:textAlignment w:val="center"/>
              <w:rPr>
                <w:sz w:val="16"/>
                <w:szCs w:val="22"/>
              </w:rPr>
            </w:pPr>
            <w:r>
              <w:rPr>
                <w:rFonts w:hint="eastAsia"/>
                <w:sz w:val="16"/>
                <w:szCs w:val="22"/>
              </w:rPr>
              <w:t>1．防地震选件的安装应由被授权的专业人员操作。</w:t>
            </w:r>
          </w:p>
          <w:p>
            <w:pPr>
              <w:spacing w:line="300" w:lineRule="auto"/>
              <w:jc w:val="left"/>
              <w:textAlignment w:val="center"/>
              <w:rPr>
                <w:sz w:val="16"/>
                <w:szCs w:val="22"/>
              </w:rPr>
            </w:pPr>
            <w:r>
              <w:rPr>
                <w:rFonts w:hint="eastAsia"/>
                <w:sz w:val="16"/>
                <w:szCs w:val="22"/>
              </w:rPr>
              <w:t>2．请严格按照安装步骤进行安装，否则可能造成人身伤害，及损坏UPS和防地震选件。</w:t>
            </w:r>
          </w:p>
        </w:tc>
      </w:tr>
    </w:tbl>
    <w:p>
      <w:pPr>
        <w:keepNext/>
        <w:keepLines/>
        <w:spacing w:before="200" w:after="80"/>
        <w:ind w:left="680"/>
        <w:jc w:val="left"/>
        <w:textAlignment w:val="baseline"/>
        <w:outlineLvl w:val="3"/>
        <w:rPr>
          <w:rFonts w:ascii="Arial" w:hAnsi="Arial" w:eastAsia="黑体"/>
          <w:kern w:val="0"/>
          <w:sz w:val="18"/>
        </w:rPr>
      </w:pPr>
      <w:r>
        <w:rPr>
          <w:rFonts w:hint="eastAsia" w:ascii="Arial" w:hAnsi="Arial" w:eastAsia="黑体"/>
          <w:kern w:val="0"/>
          <w:sz w:val="18"/>
        </w:rPr>
        <w:t>安装准备</w:t>
      </w:r>
    </w:p>
    <w:p>
      <w:pPr>
        <w:ind w:left="680"/>
        <w:rPr>
          <w:kern w:val="0"/>
          <w:sz w:val="18"/>
          <w:szCs w:val="22"/>
        </w:rPr>
      </w:pPr>
      <w:r>
        <w:rPr>
          <w:rFonts w:hint="eastAsia"/>
          <w:kern w:val="0"/>
          <w:sz w:val="18"/>
          <w:szCs w:val="22"/>
        </w:rPr>
        <w:t>1．准备安装工具，包括：1把十字螺丝刀、1把扭矩扳手和1把活动扳手。</w:t>
      </w:r>
    </w:p>
    <w:p>
      <w:pPr>
        <w:ind w:left="680"/>
        <w:rPr>
          <w:kern w:val="0"/>
          <w:sz w:val="18"/>
          <w:szCs w:val="22"/>
        </w:rPr>
      </w:pPr>
      <w:r>
        <w:rPr>
          <w:rFonts w:hint="eastAsia"/>
          <w:kern w:val="0"/>
          <w:sz w:val="18"/>
          <w:szCs w:val="22"/>
        </w:rPr>
        <w:t>2．检查安装物料是否齐套，包括：</w:t>
      </w:r>
    </w:p>
    <w:p>
      <w:pPr>
        <w:ind w:left="680"/>
        <w:rPr>
          <w:kern w:val="0"/>
          <w:sz w:val="18"/>
          <w:szCs w:val="22"/>
        </w:rPr>
      </w:pPr>
      <w:r>
        <w:rPr>
          <w:rFonts w:hint="eastAsia"/>
          <w:kern w:val="0"/>
          <w:sz w:val="18"/>
          <w:szCs w:val="22"/>
        </w:rPr>
        <w:t>1)  7模块抗地震选件、12个M8×25组合螺钉、12个M12膨胀螺栓。</w:t>
      </w:r>
    </w:p>
    <w:p>
      <w:pPr>
        <w:ind w:left="680"/>
        <w:rPr>
          <w:kern w:val="0"/>
          <w:sz w:val="18"/>
          <w:szCs w:val="22"/>
        </w:rPr>
      </w:pPr>
      <w:r>
        <w:rPr>
          <w:rFonts w:hint="eastAsia"/>
          <w:kern w:val="0"/>
          <w:sz w:val="18"/>
          <w:szCs w:val="22"/>
        </w:rPr>
        <w:t>2)  12模块抗地震选件、12个M8×25组合螺钉、14个M12膨胀螺栓。</w:t>
      </w:r>
    </w:p>
    <w:p>
      <w:pPr>
        <w:ind w:left="680"/>
        <w:rPr>
          <w:kern w:val="0"/>
          <w:sz w:val="18"/>
          <w:szCs w:val="22"/>
        </w:rPr>
      </w:pPr>
      <w:r>
        <w:rPr>
          <w:kern w:val="0"/>
          <w:sz w:val="18"/>
          <w:szCs w:val="22"/>
        </w:rPr>
        <w:t>3</w:t>
      </w:r>
      <w:r>
        <w:rPr>
          <w:rFonts w:hint="eastAsia"/>
          <w:kern w:val="0"/>
          <w:sz w:val="18"/>
          <w:szCs w:val="22"/>
        </w:rPr>
        <w:t>）</w:t>
      </w:r>
      <w:r>
        <w:rPr>
          <w:kern w:val="0"/>
          <w:sz w:val="18"/>
          <w:szCs w:val="22"/>
        </w:rPr>
        <w:t>14</w:t>
      </w:r>
      <w:r>
        <w:rPr>
          <w:rFonts w:hint="eastAsia"/>
          <w:kern w:val="0"/>
          <w:sz w:val="18"/>
          <w:szCs w:val="22"/>
        </w:rPr>
        <w:t>模块抗地震选件、40个M8X25组合螺钉、24个M12膨胀螺栓。</w:t>
      </w:r>
    </w:p>
    <w:p>
      <w:pPr>
        <w:keepNext/>
        <w:keepLines/>
        <w:spacing w:before="200" w:after="80"/>
        <w:ind w:left="680"/>
        <w:jc w:val="left"/>
        <w:textAlignment w:val="baseline"/>
        <w:outlineLvl w:val="3"/>
        <w:rPr>
          <w:rFonts w:ascii="Arial" w:hAnsi="Arial" w:eastAsia="黑体"/>
          <w:kern w:val="0"/>
          <w:sz w:val="18"/>
          <w:szCs w:val="22"/>
        </w:rPr>
      </w:pPr>
      <w:bookmarkStart w:id="1145" w:name="_Toc339307551"/>
      <w:bookmarkEnd w:id="1145"/>
      <w:bookmarkStart w:id="1146" w:name="_Toc339294586"/>
      <w:bookmarkEnd w:id="1146"/>
      <w:bookmarkStart w:id="1147" w:name="_Toc339307550"/>
      <w:bookmarkEnd w:id="1147"/>
      <w:bookmarkStart w:id="1148" w:name="_Toc339294587"/>
      <w:bookmarkEnd w:id="1148"/>
      <w:r>
        <w:rPr>
          <w:rFonts w:ascii="Arial" w:hAnsi="Arial" w:eastAsia="黑体"/>
          <w:kern w:val="0"/>
          <w:sz w:val="18"/>
          <w:szCs w:val="22"/>
        </w:rPr>
        <w:t>7</w:t>
      </w:r>
      <w:r>
        <w:rPr>
          <w:rFonts w:hint="eastAsia" w:ascii="Arial" w:hAnsi="Arial" w:eastAsia="黑体"/>
          <w:kern w:val="0"/>
          <w:sz w:val="18"/>
          <w:szCs w:val="22"/>
        </w:rPr>
        <w:t>模块、1</w:t>
      </w:r>
      <w:r>
        <w:rPr>
          <w:rFonts w:ascii="Arial" w:hAnsi="Arial" w:eastAsia="黑体"/>
          <w:kern w:val="0"/>
          <w:sz w:val="18"/>
          <w:szCs w:val="22"/>
        </w:rPr>
        <w:t>2</w:t>
      </w:r>
      <w:r>
        <w:rPr>
          <w:rFonts w:hint="eastAsia" w:ascii="Arial" w:hAnsi="Arial" w:eastAsia="黑体"/>
          <w:kern w:val="0"/>
          <w:sz w:val="18"/>
          <w:szCs w:val="22"/>
        </w:rPr>
        <w:t>模块机柜安装步骤</w:t>
      </w:r>
    </w:p>
    <w:p>
      <w:pPr>
        <w:pStyle w:val="3"/>
      </w:pPr>
      <w:r>
        <w:rPr>
          <w:rFonts w:hint="eastAsia"/>
        </w:rPr>
        <w:t>1.按照下图8-4、8</w:t>
      </w:r>
      <w:r>
        <w:t>-5</w:t>
      </w:r>
      <w:r>
        <w:rPr>
          <w:rFonts w:hint="eastAsia"/>
        </w:rPr>
        <w:t>，在地面上确定好机柜安装位置。7模块系统能够共12个孔位，12模块系统能够共14个孔位。</w:t>
      </w:r>
    </w:p>
    <w:p>
      <w:pPr>
        <w:jc w:val="center"/>
      </w:pPr>
      <w:r>
        <w:object>
          <v:shape id="_x0000_i1035" o:spt="75" type="#_x0000_t75" style="height:173.65pt;width:484.15pt;" o:ole="t" filled="f" o:preferrelative="t" stroked="f" coordsize="21600,21600">
            <v:path/>
            <v:fill on="f" focussize="0,0"/>
            <v:stroke on="f" joinstyle="miter"/>
            <v:imagedata r:id="rId119" cropleft="902f" cropright="-477f" o:title=""/>
            <o:lock v:ext="edit" aspectratio="t"/>
            <w10:wrap type="none"/>
            <w10:anchorlock/>
          </v:shape>
          <o:OLEObject Type="Embed" ProgID="AutoCAD.Drawing.17" ShapeID="_x0000_i1035" DrawAspect="Content" ObjectID="_1468075735" r:id="rId118">
            <o:LockedField>false</o:LockedField>
          </o:OLEObject>
        </w:object>
      </w:r>
    </w:p>
    <w:p>
      <w:pPr>
        <w:pStyle w:val="83"/>
        <w:numPr>
          <w:ilvl w:val="6"/>
          <w:numId w:val="4"/>
        </w:numPr>
        <w:rPr>
          <w:lang w:val="en-GB"/>
        </w:rPr>
      </w:pPr>
      <w:r>
        <w:rPr>
          <w:rFonts w:hint="eastAsia"/>
        </w:rPr>
        <w:t>7</w:t>
      </w:r>
      <w:r>
        <w:rPr>
          <w:rFonts w:hint="eastAsia"/>
          <w:lang w:val="en-GB"/>
        </w:rPr>
        <w:t>模块系统抗地震组件的安装尺寸图                        12模块系统抗地震组件的安装尺寸图</w:t>
      </w:r>
    </w:p>
    <w:p>
      <w:pPr>
        <w:pStyle w:val="83"/>
        <w:numPr>
          <w:ilvl w:val="0"/>
          <w:numId w:val="0"/>
        </w:numPr>
        <w:rPr>
          <w:rFonts w:hint="eastAsia"/>
          <w:lang w:val="en-GB"/>
        </w:rPr>
      </w:pPr>
    </w:p>
    <w:p>
      <w:r>
        <w:rPr>
          <w:rFonts w:hint="eastAsia"/>
        </w:rPr>
        <w:t>2.</w:t>
      </w:r>
      <w:r>
        <w:rPr>
          <w:rFonts w:hint="eastAsia"/>
          <w:sz w:val="18"/>
          <w:szCs w:val="22"/>
        </w:rPr>
        <w:t>使用M10×60的膨胀螺栓将机柜固定在地面的膨胀螺栓安装孔，7模块系统4PCS螺钉，12模块系统6PCS螺钉，孔位如下图8-5。</w:t>
      </w:r>
    </w:p>
    <w:p>
      <w:pPr>
        <w:jc w:val="center"/>
      </w:pPr>
      <w:r>
        <w:object>
          <v:shape id="_x0000_i1036" o:spt="75" type="#_x0000_t75" style="height:148.5pt;width:420.75pt;" o:ole="t" filled="f" o:preferrelative="t" stroked="f" coordsize="21600,21600">
            <v:path/>
            <v:fill on="f" focussize="0,0"/>
            <v:stroke on="f" joinstyle="miter"/>
            <v:imagedata r:id="rId121" cropleft="1730f" cropright="876f" o:title=""/>
            <o:lock v:ext="edit" aspectratio="t"/>
            <w10:wrap type="none"/>
            <w10:anchorlock/>
          </v:shape>
          <o:OLEObject Type="Embed" ProgID="AutoCAD.Drawing.17" ShapeID="_x0000_i1036" DrawAspect="Content" ObjectID="_1468075736" r:id="rId120">
            <o:LockedField>false</o:LockedField>
          </o:OLEObject>
        </w:object>
      </w:r>
    </w:p>
    <w:p>
      <w:pPr>
        <w:pStyle w:val="83"/>
        <w:numPr>
          <w:ilvl w:val="6"/>
          <w:numId w:val="4"/>
        </w:numPr>
        <w:rPr>
          <w:lang w:val="en-GB"/>
        </w:rPr>
      </w:pPr>
      <w:r>
        <w:rPr>
          <w:rFonts w:hint="eastAsia"/>
        </w:rPr>
        <w:t>7</w:t>
      </w:r>
      <w:r>
        <w:rPr>
          <w:rFonts w:hint="eastAsia"/>
          <w:lang w:val="en-GB"/>
        </w:rPr>
        <w:t>模块系统标机的安装尺寸图                12模块系统标机的安装尺寸图</w:t>
      </w:r>
    </w:p>
    <w:p>
      <w:pPr>
        <w:pStyle w:val="3"/>
      </w:pPr>
      <w:r>
        <w:rPr>
          <w:rFonts w:hint="eastAsia"/>
        </w:rPr>
        <w:t>3.预拧紧膨胀螺栓。</w:t>
      </w:r>
    </w:p>
    <w:p>
      <w:pPr>
        <w:pStyle w:val="3"/>
      </w:pPr>
      <w:r>
        <w:rPr>
          <w:rFonts w:hint="eastAsia"/>
        </w:rPr>
        <w:t>4.拧出螺栓，取下弹垫和平垫。</w:t>
      </w:r>
    </w:p>
    <w:p>
      <w:pPr>
        <w:pStyle w:val="3"/>
      </w:pPr>
      <w:r>
        <w:rPr>
          <w:rFonts w:hint="eastAsia"/>
        </w:rPr>
        <w:t>5.使用叉车将机柜移动至安装位置。</w:t>
      </w:r>
    </w:p>
    <w:p>
      <w:pPr>
        <w:pStyle w:val="3"/>
      </w:pPr>
      <w:r>
        <w:rPr>
          <w:rFonts w:hint="eastAsia"/>
        </w:rPr>
        <w:t>6.首先拆除机柜底座上的零件(本来用来安装前后防鼠挡板的零件)。如下图8-</w:t>
      </w:r>
      <w:r>
        <w:t>6</w:t>
      </w:r>
      <w:r>
        <w:rPr>
          <w:rFonts w:hint="eastAsia"/>
        </w:rPr>
        <w:t>。</w:t>
      </w:r>
    </w:p>
    <w:p>
      <w:pPr>
        <w:jc w:val="center"/>
      </w:pPr>
      <w:r>
        <w:object>
          <v:shape id="_x0000_i1037" o:spt="75" type="#_x0000_t75" style="height:132pt;width:280.15pt;" o:ole="t" filled="f" o:preferrelative="t" stroked="f" coordsize="21600,21600">
            <v:path/>
            <v:fill on="f" focussize="0,0"/>
            <v:stroke on="f" joinstyle="miter"/>
            <v:imagedata r:id="rId123" cropleft="2494f" cropright="2323f" o:title=""/>
            <o:lock v:ext="edit" aspectratio="t"/>
            <w10:wrap type="none"/>
            <w10:anchorlock/>
          </v:shape>
          <o:OLEObject Type="Embed" ProgID="AutoCAD.Drawing.17" ShapeID="_x0000_i1037" DrawAspect="Content" ObjectID="_1468075737" r:id="rId122">
            <o:LockedField>false</o:LockedField>
          </o:OLEObject>
        </w:object>
      </w:r>
    </w:p>
    <w:p>
      <w:pPr>
        <w:pStyle w:val="83"/>
        <w:numPr>
          <w:ilvl w:val="6"/>
          <w:numId w:val="4"/>
        </w:numPr>
        <w:rPr>
          <w:lang w:val="en-GB"/>
        </w:rPr>
      </w:pPr>
      <w:r>
        <w:rPr>
          <w:rFonts w:hint="eastAsia"/>
          <w:lang w:val="en-GB"/>
        </w:rPr>
        <w:t>机架组件拆卸示意图</w:t>
      </w:r>
    </w:p>
    <w:p>
      <w:pPr>
        <w:pStyle w:val="3"/>
      </w:pPr>
      <w:r>
        <w:rPr>
          <w:rFonts w:hint="eastAsia"/>
          <w:lang w:val="en-GB"/>
        </w:rPr>
        <w:t>7</w:t>
      </w:r>
      <w:r>
        <w:rPr>
          <w:rFonts w:hint="eastAsia"/>
        </w:rPr>
        <w:t>.   12模块系统按照下图8-7安装中部地震加强组件，使用M8X30组合螺钉共12PCS，前后各6PCS。7模块系统此步骤不用处理。</w:t>
      </w:r>
    </w:p>
    <w:p>
      <w:pPr>
        <w:jc w:val="center"/>
      </w:pPr>
      <w:r>
        <w:object>
          <v:shape id="_x0000_i1038" o:spt="75" type="#_x0000_t75" style="height:99.75pt;width:267.75pt;" o:ole="t" filled="f" o:preferrelative="t" stroked="f" coordsize="21600,21600">
            <v:path/>
            <v:fill on="f" focussize="0,0"/>
            <v:stroke on="f" joinstyle="miter"/>
            <v:imagedata r:id="rId125" cropleft="8888f" croptop="14539f" cropright="11377f" cropbottom="17446f" o:title=""/>
            <o:lock v:ext="edit" aspectratio="t"/>
            <w10:wrap type="none"/>
            <w10:anchorlock/>
          </v:shape>
          <o:OLEObject Type="Embed" ProgID="AutoCAD.Drawing.17" ShapeID="_x0000_i1038" DrawAspect="Content" ObjectID="_1468075738" r:id="rId124">
            <o:LockedField>false</o:LockedField>
          </o:OLEObject>
        </w:object>
      </w:r>
    </w:p>
    <w:p>
      <w:pPr>
        <w:pStyle w:val="83"/>
        <w:numPr>
          <w:ilvl w:val="6"/>
          <w:numId w:val="4"/>
        </w:numPr>
        <w:rPr>
          <w:lang w:val="en-GB"/>
        </w:rPr>
      </w:pPr>
      <w:r>
        <w:rPr>
          <w:rFonts w:hint="eastAsia"/>
          <w:lang w:val="en-GB"/>
        </w:rPr>
        <w:t>地震加强组件安装示意图</w:t>
      </w:r>
    </w:p>
    <w:p>
      <w:pPr>
        <w:pStyle w:val="3"/>
      </w:pPr>
      <w:r>
        <w:rPr>
          <w:rFonts w:hint="eastAsia"/>
        </w:rPr>
        <w:t>8.安装L型夹具，如下图8-8，</w:t>
      </w:r>
    </w:p>
    <w:p>
      <w:pPr>
        <w:pStyle w:val="3"/>
      </w:pPr>
      <w:r>
        <w:rPr>
          <w:rFonts w:hint="eastAsia"/>
        </w:rPr>
        <w:t xml:space="preserve">   7模块系统使用M6X30组合螺钉固定在机架上，共计12PCS，前后各6PCS。</w:t>
      </w:r>
    </w:p>
    <w:p>
      <w:pPr>
        <w:pStyle w:val="3"/>
      </w:pPr>
      <w:r>
        <w:rPr>
          <w:rFonts w:hint="eastAsia"/>
        </w:rPr>
        <w:t xml:space="preserve">   12模块系统使用M8X30组合螺钉固定在机架上，共计16PCS，前后各8PCS。</w:t>
      </w:r>
    </w:p>
    <w:p>
      <w:pPr>
        <w:jc w:val="center"/>
      </w:pPr>
      <w:r>
        <w:drawing>
          <wp:inline distT="0" distB="0" distL="0" distR="0">
            <wp:extent cx="5140960" cy="4384675"/>
            <wp:effectExtent l="19050" t="0" r="2154" b="0"/>
            <wp:docPr id="3"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0"/>
                    <pic:cNvPicPr>
                      <a:picLocks noChangeAspect="1" noChangeArrowheads="1"/>
                    </pic:cNvPicPr>
                  </pic:nvPicPr>
                  <pic:blipFill>
                    <a:blip r:embed="rId126"/>
                    <a:srcRect/>
                    <a:stretch>
                      <a:fillRect/>
                    </a:stretch>
                  </pic:blipFill>
                  <pic:spPr>
                    <a:xfrm>
                      <a:off x="0" y="0"/>
                      <a:ext cx="5144968" cy="4387897"/>
                    </a:xfrm>
                    <a:prstGeom prst="rect">
                      <a:avLst/>
                    </a:prstGeom>
                    <a:noFill/>
                    <a:ln w="9525">
                      <a:noFill/>
                      <a:miter lim="800000"/>
                      <a:headEnd/>
                      <a:tailEnd/>
                    </a:ln>
                  </pic:spPr>
                </pic:pic>
              </a:graphicData>
            </a:graphic>
          </wp:inline>
        </w:drawing>
      </w:r>
    </w:p>
    <w:p>
      <w:pPr>
        <w:pStyle w:val="83"/>
        <w:numPr>
          <w:ilvl w:val="6"/>
          <w:numId w:val="4"/>
        </w:numPr>
        <w:rPr>
          <w:lang w:val="en-GB"/>
        </w:rPr>
      </w:pPr>
      <w:r>
        <w:rPr>
          <w:rFonts w:hint="eastAsia"/>
          <w:lang w:val="en-GB"/>
        </w:rPr>
        <w:t>7模块机柜地震结构件安装示意图      12模块机柜地震结构件安装示意图</w:t>
      </w:r>
    </w:p>
    <w:p>
      <w:pPr>
        <w:pStyle w:val="3"/>
      </w:pPr>
      <w:r>
        <w:rPr>
          <w:rFonts w:hint="eastAsia"/>
        </w:rPr>
        <w:t>9.将L型夹具固定在地面上，如下图8-9，使用M10X60膨胀螺栓，共计8PCS，前后各4PCS。</w:t>
      </w:r>
    </w:p>
    <w:p>
      <w:pPr>
        <w:pStyle w:val="3"/>
        <w:ind w:left="0"/>
        <w:jc w:val="center"/>
      </w:pPr>
      <w:r>
        <w:drawing>
          <wp:inline distT="0" distB="0" distL="0" distR="0">
            <wp:extent cx="5220335" cy="4396740"/>
            <wp:effectExtent l="19050" t="0" r="0" b="0"/>
            <wp:docPr id="4"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6"/>
                    <pic:cNvPicPr>
                      <a:picLocks noChangeAspect="1" noChangeArrowheads="1"/>
                    </pic:cNvPicPr>
                  </pic:nvPicPr>
                  <pic:blipFill>
                    <a:blip r:embed="rId127"/>
                    <a:srcRect/>
                    <a:stretch>
                      <a:fillRect/>
                    </a:stretch>
                  </pic:blipFill>
                  <pic:spPr>
                    <a:xfrm>
                      <a:off x="0" y="0"/>
                      <a:ext cx="5220859" cy="4397341"/>
                    </a:xfrm>
                    <a:prstGeom prst="rect">
                      <a:avLst/>
                    </a:prstGeom>
                    <a:noFill/>
                    <a:ln w="9525">
                      <a:noFill/>
                      <a:miter lim="800000"/>
                      <a:headEnd/>
                      <a:tailEnd/>
                    </a:ln>
                  </pic:spPr>
                </pic:pic>
              </a:graphicData>
            </a:graphic>
          </wp:inline>
        </w:drawing>
      </w:r>
    </w:p>
    <w:p>
      <w:pPr>
        <w:pStyle w:val="83"/>
        <w:numPr>
          <w:ilvl w:val="6"/>
          <w:numId w:val="4"/>
        </w:numPr>
        <w:rPr>
          <w:lang w:val="en-GB"/>
        </w:rPr>
      </w:pPr>
      <w:r>
        <w:rPr>
          <w:rFonts w:hint="eastAsia"/>
          <w:lang w:val="en-GB"/>
        </w:rPr>
        <w:t>7模块机柜地震结构件安装示意图      12模块机柜地震结构件安装示意图</w:t>
      </w:r>
    </w:p>
    <w:p>
      <w:pPr>
        <w:keepNext/>
        <w:keepLines/>
        <w:spacing w:before="200" w:after="80"/>
        <w:ind w:left="680"/>
        <w:jc w:val="left"/>
        <w:textAlignment w:val="baseline"/>
        <w:outlineLvl w:val="3"/>
        <w:rPr>
          <w:lang w:val="en-GB"/>
        </w:rPr>
      </w:pPr>
      <w:r>
        <w:rPr>
          <w:rFonts w:hint="eastAsia" w:ascii="Arial" w:hAnsi="Arial" w:eastAsia="黑体"/>
          <w:kern w:val="0"/>
          <w:sz w:val="18"/>
          <w:szCs w:val="22"/>
        </w:rPr>
        <w:t>1</w:t>
      </w:r>
      <w:r>
        <w:rPr>
          <w:kern w:val="0"/>
          <w:sz w:val="18"/>
        </w:rPr>
        <w:t>4</w:t>
      </w:r>
      <w:r>
        <w:rPr>
          <w:rFonts w:hint="eastAsia" w:ascii="Arial" w:hAnsi="Arial" w:eastAsia="黑体"/>
          <w:kern w:val="0"/>
          <w:sz w:val="18"/>
          <w:szCs w:val="22"/>
        </w:rPr>
        <w:t>模块机柜安装步骤</w:t>
      </w:r>
    </w:p>
    <w:p>
      <w:pPr>
        <w:pStyle w:val="3"/>
      </w:pPr>
      <w:r>
        <w:rPr>
          <w:rFonts w:hint="eastAsia"/>
        </w:rPr>
        <w:t>1.按照下图，在地面上确定好机柜安装位置。共26个孔位。</w:t>
      </w:r>
    </w:p>
    <w:p>
      <w:pPr>
        <w:pStyle w:val="3"/>
        <w:jc w:val="center"/>
      </w:pPr>
      <w:r>
        <w:object>
          <v:shape id="_x0000_i1039" o:spt="75" type="#_x0000_t75" style="height:272.25pt;width:353.65pt;" o:ole="t" filled="f" o:preferrelative="t" stroked="f" coordsize="21600,21600">
            <v:path/>
            <v:fill on="f" focussize="0,0"/>
            <v:stroke on="f" joinstyle="miter"/>
            <v:imagedata r:id="rId129" cropleft="12293f" cropright="13737f" o:title=""/>
            <o:lock v:ext="edit" aspectratio="t"/>
            <w10:wrap type="none"/>
            <w10:anchorlock/>
          </v:shape>
          <o:OLEObject Type="Embed" ProgID="AutoCAD.Drawing.17" ShapeID="_x0000_i1039" DrawAspect="Content" ObjectID="_1468075739" r:id="rId128">
            <o:LockedField>false</o:LockedField>
          </o:OLEObject>
        </w:object>
      </w:r>
    </w:p>
    <w:p>
      <w:pPr>
        <w:pStyle w:val="83"/>
        <w:numPr>
          <w:ilvl w:val="6"/>
          <w:numId w:val="4"/>
        </w:numPr>
        <w:rPr>
          <w:lang w:val="en-GB"/>
        </w:rPr>
      </w:pPr>
      <w:r>
        <w:rPr>
          <w:rFonts w:hint="eastAsia"/>
          <w:lang w:val="en-GB"/>
        </w:rPr>
        <w:t>抗地震组件的安装尺寸图</w:t>
      </w:r>
    </w:p>
    <w:p>
      <w:pPr>
        <w:pStyle w:val="3"/>
      </w:pPr>
      <w:r>
        <w:rPr>
          <w:rFonts w:hint="eastAsia"/>
        </w:rPr>
        <w:t>2. 机柜使用M12的膨胀螺栓。</w:t>
      </w:r>
    </w:p>
    <w:p>
      <w:pPr>
        <w:pStyle w:val="3"/>
      </w:pPr>
      <w:r>
        <w:rPr>
          <w:rFonts w:hint="eastAsia"/>
        </w:rPr>
        <w:t xml:space="preserve">   用冲击钻在膨胀螺栓的安装孔位上钻孔，然后将膨胀管安装到安装孔。</w:t>
      </w:r>
    </w:p>
    <w:p>
      <w:pPr>
        <w:pStyle w:val="3"/>
      </w:pPr>
      <w:r>
        <w:rPr>
          <w:rFonts w:hint="eastAsia"/>
        </w:rPr>
        <w:t>3. 预拧紧膨胀螺栓。</w:t>
      </w:r>
    </w:p>
    <w:p>
      <w:pPr>
        <w:pStyle w:val="3"/>
      </w:pPr>
      <w:r>
        <w:rPr>
          <w:rFonts w:hint="eastAsia"/>
        </w:rPr>
        <w:t>4. 拧出螺母，取下弹垫和平垫。</w:t>
      </w:r>
    </w:p>
    <w:p>
      <w:pPr>
        <w:pStyle w:val="3"/>
      </w:pPr>
      <w:r>
        <w:rPr>
          <w:rFonts w:hint="eastAsia"/>
        </w:rPr>
        <w:t>5. 使用叉车将机柜移动至安装位置，每个机柜本身的固定孔来定位，每个机柜4个。</w:t>
      </w:r>
    </w:p>
    <w:p>
      <w:pPr>
        <w:pStyle w:val="3"/>
        <w:rPr>
          <w:b/>
          <w:sz w:val="28"/>
          <w:szCs w:val="28"/>
        </w:rPr>
      </w:pPr>
      <w:r>
        <w:rPr>
          <w:rFonts w:hint="eastAsia"/>
          <w:b/>
          <w:sz w:val="28"/>
          <w:szCs w:val="28"/>
        </w:rPr>
        <w:t xml:space="preserve">   注：这8个膨胀螺栓只是用来定位，无须安装螺母。</w:t>
      </w:r>
    </w:p>
    <w:p>
      <w:pPr>
        <w:pStyle w:val="3"/>
      </w:pPr>
      <w:r>
        <w:rPr>
          <w:rFonts w:hint="eastAsia"/>
        </w:rPr>
        <w:t xml:space="preserve">  同时，两个柜子要满足前对齐，且紧挨在一起。</w:t>
      </w:r>
    </w:p>
    <w:p>
      <w:pPr>
        <w:pStyle w:val="3"/>
        <w:jc w:val="center"/>
      </w:pPr>
      <w:bookmarkStart w:id="1149" w:name="_Hlk138750637"/>
      <w:r>
        <w:object>
          <v:shape id="_x0000_i1040" o:spt="75" type="#_x0000_t75" style="height:272.25pt;width:390pt;" o:ole="t" filled="f" o:preferrelative="t" stroked="f" coordsize="21600,21600">
            <v:path/>
            <v:fill on="f" focussize="0,0"/>
            <v:stroke on="f" joinstyle="miter"/>
            <v:imagedata r:id="rId131" cropleft="10775f" cropright="11158f" o:title=""/>
            <o:lock v:ext="edit" aspectratio="t"/>
            <w10:wrap type="none"/>
            <w10:anchorlock/>
          </v:shape>
          <o:OLEObject Type="Embed" ProgID="AutoCAD.Drawing.17" ShapeID="_x0000_i1040" DrawAspect="Content" ObjectID="_1468075740" r:id="rId130">
            <o:LockedField>false</o:LockedField>
          </o:OLEObject>
        </w:object>
      </w:r>
      <w:bookmarkEnd w:id="1149"/>
    </w:p>
    <w:p>
      <w:pPr>
        <w:pStyle w:val="83"/>
        <w:numPr>
          <w:ilvl w:val="6"/>
          <w:numId w:val="4"/>
        </w:numPr>
      </w:pPr>
      <w:r>
        <w:rPr>
          <w:rFonts w:hint="eastAsia" w:ascii="宋体" w:hAnsi="宋体" w:cs="宋体"/>
          <w:color w:val="000000"/>
          <w:sz w:val="18"/>
        </w:rPr>
        <w:t>机柜的安装尺寸图</w:t>
      </w:r>
    </w:p>
    <w:p>
      <w:pPr>
        <w:pStyle w:val="3"/>
      </w:pPr>
      <w:r>
        <w:rPr>
          <w:rFonts w:hint="eastAsia"/>
        </w:rPr>
        <w:t xml:space="preserve">6. 首先拆除机柜底座上的零件(本来用来安装前后防鼠挡板的零件)，每个机柜正面两个，后面两个，      </w:t>
      </w:r>
    </w:p>
    <w:p>
      <w:pPr>
        <w:pStyle w:val="3"/>
      </w:pPr>
      <w:r>
        <w:rPr>
          <w:rFonts w:hint="eastAsia"/>
        </w:rPr>
        <w:t xml:space="preserve">   如下图。</w:t>
      </w:r>
    </w:p>
    <w:p>
      <w:pPr>
        <w:pStyle w:val="3"/>
      </w:pPr>
    </w:p>
    <w:p>
      <w:pPr>
        <w:jc w:val="center"/>
      </w:pPr>
      <w:r>
        <w:object>
          <v:shape id="_x0000_i1041" o:spt="75" type="#_x0000_t75" style="height:105pt;width:139.5pt;" o:ole="t" filled="f" o:preferrelative="t" stroked="f" coordsize="21600,21600">
            <v:path/>
            <v:fill on="f" focussize="0,0"/>
            <v:stroke on="f" joinstyle="miter"/>
            <v:imagedata r:id="rId133" cropleft="9718f" cropright="9815f" o:title=""/>
            <o:lock v:ext="edit" aspectratio="t"/>
            <w10:wrap type="none"/>
            <w10:anchorlock/>
          </v:shape>
          <o:OLEObject Type="Embed" ProgID="AutoCAD.Drawing.17" ShapeID="_x0000_i1041" DrawAspect="Content" ObjectID="_1468075741" r:id="rId132">
            <o:LockedField>false</o:LockedField>
          </o:OLEObject>
        </w:object>
      </w:r>
    </w:p>
    <w:p>
      <w:pPr>
        <w:pStyle w:val="83"/>
        <w:numPr>
          <w:ilvl w:val="6"/>
          <w:numId w:val="4"/>
        </w:numPr>
        <w:rPr>
          <w:rFonts w:ascii="宋体" w:hAnsi="宋体" w:cs="宋体"/>
          <w:color w:val="000000"/>
          <w:sz w:val="18"/>
        </w:rPr>
      </w:pPr>
      <w:r>
        <w:rPr>
          <w:rFonts w:hint="eastAsia" w:ascii="宋体" w:hAnsi="宋体" w:cs="宋体"/>
          <w:color w:val="000000"/>
          <w:sz w:val="18"/>
        </w:rPr>
        <w:t>机架组件拆卸示意图</w:t>
      </w:r>
    </w:p>
    <w:p>
      <w:pPr>
        <w:pStyle w:val="3"/>
      </w:pPr>
      <w:r>
        <w:rPr>
          <w:rFonts w:hint="eastAsia"/>
        </w:rPr>
        <w:t>如下图安装宽柜中间支撑。</w:t>
      </w:r>
    </w:p>
    <w:p>
      <w:pPr>
        <w:pStyle w:val="3"/>
        <w:jc w:val="center"/>
      </w:pPr>
      <w:r>
        <w:object>
          <v:shape id="_x0000_i1042" o:spt="75" type="#_x0000_t75" style="height:148.9pt;width:335.65pt;" o:ole="t" filled="f" o:preferrelative="t" stroked="f" coordsize="21600,21600">
            <v:path/>
            <v:fill on="f" focussize="0,0"/>
            <v:stroke on="f" joinstyle="miter"/>
            <v:imagedata r:id="rId135" croptop="2865f" o:title=""/>
            <o:lock v:ext="edit" aspectratio="t"/>
            <w10:wrap type="none"/>
            <w10:anchorlock/>
          </v:shape>
          <o:OLEObject Type="Embed" ProgID="AutoCAD.Drawing.17" ShapeID="_x0000_i1042" DrawAspect="Content" ObjectID="_1468075742" r:id="rId134">
            <o:LockedField>false</o:LockedField>
          </o:OLEObject>
        </w:object>
      </w:r>
    </w:p>
    <w:p>
      <w:pPr>
        <w:pStyle w:val="83"/>
        <w:numPr>
          <w:ilvl w:val="6"/>
          <w:numId w:val="4"/>
        </w:numPr>
        <w:rPr>
          <w:rFonts w:ascii="宋体" w:hAnsi="宋体" w:cs="宋体"/>
          <w:color w:val="000000"/>
          <w:sz w:val="18"/>
        </w:rPr>
      </w:pPr>
      <w:r>
        <w:rPr>
          <w:rFonts w:hint="eastAsia" w:ascii="宋体" w:hAnsi="宋体" w:cs="宋体"/>
          <w:color w:val="000000"/>
          <w:sz w:val="18"/>
        </w:rPr>
        <w:t>安装宽柜中间撑</w:t>
      </w:r>
    </w:p>
    <w:p>
      <w:pPr>
        <w:pStyle w:val="3"/>
      </w:pPr>
      <w:r>
        <w:rPr>
          <w:rFonts w:hint="eastAsia"/>
        </w:rPr>
        <w:t>7. 按照下图安装地震加强组件，使用M8X</w:t>
      </w:r>
      <w:r>
        <w:t>25</w:t>
      </w:r>
      <w:r>
        <w:rPr>
          <w:rFonts w:hint="eastAsia"/>
        </w:rPr>
        <w:t>组合螺钉28PCS， 预紧。</w:t>
      </w:r>
    </w:p>
    <w:p>
      <w:pPr>
        <w:pStyle w:val="3"/>
      </w:pPr>
      <w:r>
        <w:rPr>
          <w:rFonts w:hint="eastAsia"/>
        </w:rPr>
        <w:t xml:space="preserve">   预紧16个膨胀螺栓(机柜本身用来定位的的8个膨胀螺栓不用拧螺母)。</w:t>
      </w:r>
    </w:p>
    <w:p>
      <w:pPr>
        <w:pStyle w:val="3"/>
      </w:pPr>
      <w:r>
        <w:rPr>
          <w:rFonts w:hint="eastAsia"/>
        </w:rPr>
        <w:t xml:space="preserve">  最后把所有螺钉打紧。</w:t>
      </w:r>
    </w:p>
    <w:p>
      <w:pPr>
        <w:jc w:val="center"/>
        <w:rPr>
          <w:b/>
        </w:rPr>
      </w:pPr>
      <w:r>
        <w:object>
          <v:shape id="_x0000_i1043" o:spt="75" type="#_x0000_t75" style="height:195.75pt;width:406.9pt;" o:ole="t" filled="f" o:preferrelative="t" stroked="f" coordsize="21600,21600">
            <v:path/>
            <v:fill on="f" focussize="0,0"/>
            <v:stroke on="f" joinstyle="miter"/>
            <v:imagedata r:id="rId137" cropleft="1242f" cropright="1363f" o:title=""/>
            <o:lock v:ext="edit" aspectratio="t"/>
            <w10:wrap type="none"/>
            <w10:anchorlock/>
          </v:shape>
          <o:OLEObject Type="Embed" ProgID="AutoCAD.Drawing.17" ShapeID="_x0000_i1043" DrawAspect="Content" ObjectID="_1468075743" r:id="rId136">
            <o:LockedField>false</o:LockedField>
          </o:OLEObject>
        </w:object>
      </w:r>
    </w:p>
    <w:p>
      <w:pPr>
        <w:pStyle w:val="83"/>
        <w:numPr>
          <w:ilvl w:val="6"/>
          <w:numId w:val="4"/>
        </w:numPr>
        <w:rPr>
          <w:rFonts w:hint="eastAsia"/>
          <w:lang w:val="en-GB"/>
        </w:rPr>
      </w:pPr>
      <w:r>
        <w:rPr>
          <w:rFonts w:hint="eastAsia"/>
          <w:lang w:val="en-GB"/>
        </w:rPr>
        <w:t>加强组件示意图</w:t>
      </w:r>
    </w:p>
    <w:p>
      <w:pPr>
        <w:pStyle w:val="4"/>
        <w:numPr>
          <w:ilvl w:val="1"/>
          <w:numId w:val="9"/>
        </w:numPr>
      </w:pPr>
      <w:bookmarkStart w:id="1150" w:name="_Toc31197"/>
      <w:r>
        <w:t>L</w:t>
      </w:r>
      <w:r>
        <w:rPr>
          <w:rFonts w:hint="eastAsia"/>
        </w:rPr>
        <w:t>BS电缆</w:t>
      </w:r>
      <w:bookmarkEnd w:id="1150"/>
    </w:p>
    <w:p>
      <w:pPr>
        <w:pStyle w:val="3"/>
      </w:pPr>
      <w:r>
        <w:rPr>
          <w:rFonts w:hint="eastAsia"/>
        </w:rPr>
        <w:t>UPS提供3种规格</w:t>
      </w:r>
      <w:bookmarkStart w:id="1151" w:name="_Hlt336348673"/>
      <w:r>
        <w:rPr>
          <w:rFonts w:hint="eastAsia"/>
        </w:rPr>
        <w:t>（5</w:t>
      </w:r>
      <w:r>
        <w:t>m</w:t>
      </w:r>
      <w:r>
        <w:rPr>
          <w:rFonts w:hint="eastAsia"/>
        </w:rPr>
        <w:t>、10</w:t>
      </w:r>
      <w:r>
        <w:t>m</w:t>
      </w:r>
      <w:r>
        <w:rPr>
          <w:rFonts w:hint="eastAsia"/>
        </w:rPr>
        <w:t>、15</w:t>
      </w:r>
      <w:r>
        <w:t>m</w:t>
      </w:r>
      <w:r>
        <w:rPr>
          <w:rFonts w:hint="eastAsia"/>
        </w:rPr>
        <w:t>）</w:t>
      </w:r>
      <w:bookmarkEnd w:id="1151"/>
      <w:r>
        <w:rPr>
          <w:rFonts w:hint="eastAsia"/>
        </w:rPr>
        <w:t>的负载总线同步（</w:t>
      </w:r>
      <w:r>
        <w:t>LBS</w:t>
      </w:r>
      <w:r>
        <w:rPr>
          <w:rFonts w:hint="eastAsia"/>
        </w:rPr>
        <w:t>）电缆，以实现双母线系统中两个独立的UPS（或并机系统）的输出同步。LBS电缆的连接参见</w:t>
      </w:r>
      <w:r>
        <w:rPr>
          <w:rFonts w:hint="eastAsia"/>
          <w:b/>
        </w:rPr>
        <w:t>7.5.</w:t>
      </w:r>
      <w:r>
        <w:rPr>
          <w:b/>
        </w:rPr>
        <w:t>3</w:t>
      </w:r>
      <w:r>
        <w:rPr>
          <w:rFonts w:hint="eastAsia"/>
          <w:b/>
        </w:rPr>
        <w:t xml:space="preserve">  LBS电缆</w:t>
      </w:r>
      <w:r>
        <w:rPr>
          <w:rFonts w:hint="eastAsia"/>
        </w:rPr>
        <w:t>。</w:t>
      </w:r>
    </w:p>
    <w:p>
      <w:pPr>
        <w:pStyle w:val="4"/>
        <w:numPr>
          <w:ilvl w:val="1"/>
          <w:numId w:val="9"/>
        </w:numPr>
      </w:pPr>
      <w:bookmarkStart w:id="1152" w:name="_Toc31787"/>
      <w:r>
        <w:rPr>
          <w:rFonts w:hint="eastAsia"/>
        </w:rPr>
        <w:t>并机电缆</w:t>
      </w:r>
      <w:bookmarkEnd w:id="1152"/>
    </w:p>
    <w:p>
      <w:pPr>
        <w:pStyle w:val="3"/>
        <w:rPr>
          <w:rFonts w:ascii="宋体" w:hAnsi="宋体"/>
          <w:szCs w:val="18"/>
          <w:lang w:val="en-GB"/>
        </w:rPr>
      </w:pPr>
      <w:r>
        <w:rPr>
          <w:rFonts w:hint="eastAsia" w:ascii="宋体" w:hAnsi="宋体"/>
          <w:szCs w:val="18"/>
        </w:rPr>
        <w:t>UPS</w:t>
      </w:r>
      <w:r>
        <w:rPr>
          <w:rFonts w:hint="eastAsia" w:ascii="宋体" w:hAnsi="宋体"/>
          <w:szCs w:val="18"/>
          <w:lang w:val="en-GB"/>
        </w:rPr>
        <w:t>提供5m、10m和15m三种不同长度的双层绝缘屏蔽并机电缆，必须连接在所有单机之间，形成闭环。</w:t>
      </w:r>
    </w:p>
    <w:p>
      <w:pPr>
        <w:pStyle w:val="3"/>
        <w:rPr>
          <w:rFonts w:ascii="宋体" w:hAnsi="宋体"/>
          <w:szCs w:val="18"/>
          <w:lang w:val="en-GB"/>
        </w:rPr>
      </w:pPr>
      <w:r>
        <w:rPr>
          <w:rFonts w:hint="eastAsia" w:ascii="宋体" w:hAnsi="宋体"/>
          <w:szCs w:val="18"/>
          <w:lang w:val="en-GB"/>
        </w:rPr>
        <w:t>此闭环连接为并机系统控制的可靠性提供了保证。开机前必须确保电缆连接牢靠！</w:t>
      </w:r>
    </w:p>
    <w:p>
      <w:pPr>
        <w:pStyle w:val="3"/>
        <w:rPr>
          <w:rFonts w:ascii="宋体" w:hAnsi="宋体"/>
          <w:szCs w:val="18"/>
        </w:rPr>
      </w:pPr>
      <w:r>
        <w:rPr>
          <w:rFonts w:hint="eastAsia" w:ascii="宋体" w:hAnsi="宋体"/>
          <w:szCs w:val="18"/>
        </w:rPr>
        <w:t>并机电缆的连接参见</w:t>
      </w:r>
      <w:r>
        <w:rPr>
          <w:rFonts w:hint="eastAsia" w:ascii="宋体" w:hAnsi="宋体"/>
          <w:b/>
          <w:szCs w:val="18"/>
        </w:rPr>
        <w:t>7.</w:t>
      </w:r>
      <w:r>
        <w:rPr>
          <w:rFonts w:ascii="宋体" w:hAnsi="宋体"/>
          <w:b/>
          <w:szCs w:val="18"/>
        </w:rPr>
        <w:t>3</w:t>
      </w:r>
      <w:r>
        <w:rPr>
          <w:rFonts w:hint="eastAsia" w:ascii="宋体" w:hAnsi="宋体"/>
          <w:b/>
          <w:szCs w:val="18"/>
        </w:rPr>
        <w:t>.</w:t>
      </w:r>
      <w:r>
        <w:rPr>
          <w:rFonts w:ascii="宋体" w:hAnsi="宋体"/>
          <w:b/>
          <w:szCs w:val="18"/>
        </w:rPr>
        <w:t>5</w:t>
      </w:r>
      <w:r>
        <w:rPr>
          <w:rFonts w:hint="eastAsia" w:ascii="宋体" w:hAnsi="宋体"/>
          <w:b/>
          <w:szCs w:val="18"/>
        </w:rPr>
        <w:t xml:space="preserve">  LBS电缆</w:t>
      </w:r>
      <w:r>
        <w:rPr>
          <w:rFonts w:hint="eastAsia" w:ascii="宋体" w:hAnsi="宋体"/>
          <w:szCs w:val="18"/>
        </w:rPr>
        <w:t>。</w:t>
      </w:r>
    </w:p>
    <w:p>
      <w:pPr>
        <w:pStyle w:val="3"/>
        <w:rPr>
          <w:rFonts w:ascii="宋体" w:hAnsi="宋体"/>
          <w:szCs w:val="18"/>
        </w:rPr>
      </w:pPr>
    </w:p>
    <w:p>
      <w:pPr>
        <w:pStyle w:val="2"/>
        <w:numPr>
          <w:ilvl w:val="0"/>
          <w:numId w:val="16"/>
        </w:numPr>
        <w:ind w:left="0"/>
        <w:sectPr>
          <w:headerReference r:id="rId28" w:type="default"/>
          <w:pgSz w:w="11906" w:h="16838"/>
          <w:pgMar w:top="1304" w:right="737" w:bottom="1134" w:left="1134" w:header="851" w:footer="737" w:gutter="0"/>
          <w:cols w:space="720" w:num="1"/>
          <w:docGrid w:type="lines" w:linePitch="312" w:charSpace="0"/>
        </w:sectPr>
      </w:pPr>
      <w:bookmarkStart w:id="1153" w:name="_Hlt322693688"/>
      <w:bookmarkEnd w:id="1153"/>
      <w:bookmarkStart w:id="1154" w:name="_Hlt241809739"/>
      <w:bookmarkEnd w:id="1154"/>
      <w:bookmarkStart w:id="1155" w:name="_Toc512794939"/>
      <w:bookmarkStart w:id="1156" w:name="_Toc193075904"/>
      <w:bookmarkStart w:id="1157" w:name="_Toc212952052"/>
    </w:p>
    <w:p>
      <w:pPr>
        <w:pStyle w:val="2"/>
        <w:numPr>
          <w:ilvl w:val="0"/>
          <w:numId w:val="9"/>
        </w:numPr>
      </w:pPr>
      <w:bookmarkStart w:id="1158" w:name="_Toc16856"/>
      <w:r>
        <w:rPr>
          <w:rFonts w:hint="eastAsia"/>
        </w:rPr>
        <w:t>通信</w:t>
      </w:r>
      <w:bookmarkEnd w:id="1155"/>
      <w:bookmarkEnd w:id="1158"/>
    </w:p>
    <w:p>
      <w:pPr>
        <w:pStyle w:val="3"/>
      </w:pPr>
      <w:r>
        <w:rPr>
          <w:rFonts w:hint="eastAsia"/>
        </w:rPr>
        <w:t>UPS支持简单网络监控（SNMP）协议通信，Modbus协议通信，电总协议通信和干接点通信。本章主要介绍各种通信类型的相关信息。</w:t>
      </w:r>
    </w:p>
    <w:p>
      <w:pPr>
        <w:pStyle w:val="4"/>
        <w:numPr>
          <w:ilvl w:val="1"/>
          <w:numId w:val="9"/>
        </w:numPr>
        <w:rPr>
          <w:szCs w:val="22"/>
        </w:rPr>
      </w:pPr>
      <w:bookmarkStart w:id="1159" w:name="_Hlt324149307"/>
      <w:bookmarkEnd w:id="1159"/>
      <w:bookmarkStart w:id="1160" w:name="_Toc512794940"/>
      <w:bookmarkStart w:id="1161" w:name="_Toc10311"/>
      <w:bookmarkStart w:id="1162" w:name="_Toc247535337"/>
      <w:r>
        <w:rPr>
          <w:rFonts w:hint="eastAsia"/>
          <w:szCs w:val="22"/>
        </w:rPr>
        <w:t>SNMP协议通信</w:t>
      </w:r>
      <w:bookmarkEnd w:id="1160"/>
      <w:bookmarkEnd w:id="1161"/>
      <w:bookmarkEnd w:id="1162"/>
    </w:p>
    <w:p>
      <w:pPr>
        <w:pStyle w:val="3"/>
        <w:rPr>
          <w:kern w:val="0"/>
        </w:rPr>
      </w:pPr>
      <w:r>
        <w:rPr>
          <w:rFonts w:hint="eastAsia"/>
        </w:rPr>
        <w:t>若您需要通过网络监控</w:t>
      </w:r>
      <w:r>
        <w:rPr>
          <w:rFonts w:hint="eastAsia"/>
          <w:kern w:val="0"/>
        </w:rPr>
        <w:t>UPS，可选择</w:t>
      </w:r>
      <w:r>
        <w:rPr>
          <w:rFonts w:hint="eastAsia"/>
          <w:kern w:val="0"/>
          <w:lang w:eastAsia="zh-CN"/>
        </w:rPr>
        <w:t>本</w:t>
      </w:r>
      <w:r>
        <w:rPr>
          <w:rFonts w:hint="eastAsia"/>
          <w:kern w:val="0"/>
        </w:rPr>
        <w:t>为您提供的</w:t>
      </w:r>
      <w:r>
        <w:rPr>
          <w:rFonts w:hint="eastAsia"/>
        </w:rPr>
        <w:t>SNMP卡，该卡支持SNMP协议</w:t>
      </w:r>
      <w:r>
        <w:rPr>
          <w:rFonts w:hint="eastAsia"/>
          <w:kern w:val="0"/>
        </w:rPr>
        <w:t>。</w:t>
      </w:r>
    </w:p>
    <w:p>
      <w:pPr>
        <w:pStyle w:val="3"/>
      </w:pPr>
      <w:r>
        <w:rPr>
          <w:rFonts w:hint="eastAsia"/>
        </w:rPr>
        <w:t>SNMP卡是一种网络管理卡，它可以使UPS具备网络通信能力。当</w:t>
      </w:r>
      <w:bookmarkStart w:id="1163" w:name="_Hlt323895878"/>
      <w:bookmarkEnd w:id="1163"/>
      <w:r>
        <w:rPr>
          <w:rFonts w:hint="eastAsia"/>
        </w:rPr>
        <w:t>智能设备发生告警时，SNMP</w:t>
      </w:r>
      <w:r>
        <w:t>卡</w:t>
      </w:r>
      <w:r>
        <w:rPr>
          <w:rFonts w:hint="eastAsia"/>
        </w:rPr>
        <w:t>可通过记录日志、发送</w:t>
      </w:r>
      <w:r>
        <w:t>Trap</w:t>
      </w:r>
      <w:r>
        <w:rPr>
          <w:rFonts w:hint="eastAsia"/>
        </w:rPr>
        <w:t>消息、发送邮件等多种方式通知用户。</w:t>
      </w:r>
    </w:p>
    <w:p>
      <w:pPr>
        <w:pStyle w:val="3"/>
      </w:pPr>
      <w:r>
        <w:rPr>
          <w:rFonts w:hint="eastAsia"/>
        </w:rPr>
        <w:t>SNMP卡为用户提供以下三种途径对智能设备和机房环境量进行监控：</w:t>
      </w:r>
    </w:p>
    <w:p>
      <w:pPr>
        <w:pStyle w:val="114"/>
        <w:numPr>
          <w:ilvl w:val="8"/>
          <w:numId w:val="17"/>
        </w:numPr>
        <w:ind w:left="680" w:firstLine="0"/>
      </w:pPr>
      <w:r>
        <w:rPr>
          <w:rFonts w:hint="eastAsia"/>
        </w:rPr>
        <w:t>利用</w:t>
      </w:r>
      <w:r>
        <w:t>Web</w:t>
      </w:r>
      <w:r>
        <w:rPr>
          <w:rFonts w:hint="eastAsia"/>
        </w:rPr>
        <w:t>浏览器，通过SNMP</w:t>
      </w:r>
      <w:r>
        <w:t>卡</w:t>
      </w:r>
      <w:r>
        <w:rPr>
          <w:rFonts w:hint="eastAsia"/>
        </w:rPr>
        <w:t>提供的</w:t>
      </w:r>
      <w:r>
        <w:t>Web</w:t>
      </w:r>
      <w:r>
        <w:rPr>
          <w:rFonts w:hint="eastAsia"/>
        </w:rPr>
        <w:t>服务器功能来监控智能设备和机房环境量</w:t>
      </w:r>
    </w:p>
    <w:p>
      <w:pPr>
        <w:pStyle w:val="114"/>
        <w:numPr>
          <w:ilvl w:val="8"/>
          <w:numId w:val="17"/>
        </w:numPr>
        <w:ind w:left="680" w:firstLine="0"/>
      </w:pPr>
      <w:r>
        <w:rPr>
          <w:rFonts w:hint="eastAsia"/>
        </w:rPr>
        <w:t>利用网络管理系统（</w:t>
      </w:r>
      <w:r>
        <w:t>NMS</w:t>
      </w:r>
      <w:r>
        <w:rPr>
          <w:rFonts w:hint="eastAsia"/>
        </w:rPr>
        <w:t>），通过SNMP</w:t>
      </w:r>
      <w:r>
        <w:t>卡</w:t>
      </w:r>
      <w:r>
        <w:rPr>
          <w:rFonts w:hint="eastAsia"/>
        </w:rPr>
        <w:t>提供的</w:t>
      </w:r>
      <w:r>
        <w:t>SNMP</w:t>
      </w:r>
      <w:r>
        <w:rPr>
          <w:rFonts w:hint="eastAsia"/>
        </w:rPr>
        <w:t>功能来监控智能设备和机房环境量</w:t>
      </w:r>
    </w:p>
    <w:p>
      <w:pPr>
        <w:pStyle w:val="3"/>
      </w:pPr>
      <w:r>
        <w:rPr>
          <w:rFonts w:hint="eastAsia"/>
        </w:rPr>
        <w:t>SNMP</w:t>
      </w:r>
      <w:r>
        <w:t>卡</w:t>
      </w:r>
      <w:r>
        <w:rPr>
          <w:rFonts w:hint="eastAsia"/>
        </w:rPr>
        <w:t>应安装在旁路模块的智能卡槽接口（位置见</w:t>
      </w:r>
      <w:r>
        <w:rPr>
          <w:rFonts w:hint="eastAsia"/>
          <w:b/>
        </w:rPr>
        <w:t>图3-</w:t>
      </w:r>
      <w:r>
        <w:rPr>
          <w:b/>
        </w:rPr>
        <w:t>5</w:t>
      </w:r>
      <w:r>
        <w:rPr>
          <w:rFonts w:hint="eastAsia"/>
        </w:rPr>
        <w:t>）。</w:t>
      </w:r>
      <w:bookmarkStart w:id="1164" w:name="_Hlt323896740"/>
      <w:bookmarkEnd w:id="1164"/>
    </w:p>
    <w:p>
      <w:pPr>
        <w:pStyle w:val="3"/>
        <w:rPr>
          <w:kern w:val="0"/>
        </w:rPr>
      </w:pPr>
      <w:r>
        <w:rPr>
          <w:rFonts w:hint="eastAsia"/>
        </w:rPr>
        <w:t>SNMP卡的安装和设置信息详见《SNMP卡用户手册》。</w:t>
      </w:r>
    </w:p>
    <w:p>
      <w:pPr>
        <w:pStyle w:val="4"/>
        <w:numPr>
          <w:ilvl w:val="1"/>
          <w:numId w:val="9"/>
        </w:numPr>
        <w:rPr>
          <w:szCs w:val="22"/>
        </w:rPr>
      </w:pPr>
      <w:bookmarkStart w:id="1165" w:name="_Toc247535342"/>
      <w:bookmarkStart w:id="1166" w:name="_Toc512794941"/>
      <w:bookmarkStart w:id="1167" w:name="_Toc29988"/>
      <w:r>
        <w:rPr>
          <w:rFonts w:hint="eastAsia"/>
          <w:szCs w:val="22"/>
        </w:rPr>
        <w:t>Modbus协议通信</w:t>
      </w:r>
      <w:bookmarkEnd w:id="1165"/>
      <w:bookmarkEnd w:id="1166"/>
      <w:bookmarkEnd w:id="1167"/>
    </w:p>
    <w:p>
      <w:pPr>
        <w:pStyle w:val="3"/>
      </w:pPr>
      <w:r>
        <w:rPr>
          <w:rFonts w:hint="eastAsia"/>
        </w:rPr>
        <w:t>UPS通过SNMP卡（选件）实现Modbus协议通信。</w:t>
      </w:r>
      <w:bookmarkStart w:id="1168" w:name="_Hlt250648277"/>
      <w:bookmarkEnd w:id="1168"/>
      <w:bookmarkStart w:id="1169" w:name="_Hlt282157802"/>
      <w:bookmarkEnd w:id="1169"/>
      <w:bookmarkStart w:id="1170" w:name="_Hlt282155965"/>
      <w:bookmarkEnd w:id="1170"/>
      <w:bookmarkStart w:id="1171" w:name="_Hlt250648452"/>
      <w:bookmarkEnd w:id="1171"/>
    </w:p>
    <w:p>
      <w:pPr>
        <w:pStyle w:val="3"/>
      </w:pPr>
      <w:r>
        <w:rPr>
          <w:rFonts w:hint="eastAsia"/>
        </w:rPr>
        <w:t>SNMP卡可实现UPS的内部协议到Modbus RTU协议的转换，从而用户可通过后台使用Modbus RTU协议获取</w:t>
      </w:r>
      <w:bookmarkStart w:id="1172" w:name="_Hlt324148147"/>
      <w:bookmarkEnd w:id="1172"/>
      <w:r>
        <w:rPr>
          <w:rFonts w:hint="eastAsia"/>
        </w:rPr>
        <w:t>UPS状态量，达</w:t>
      </w:r>
      <w:bookmarkStart w:id="1173" w:name="_Hlt324148300"/>
      <w:bookmarkEnd w:id="1173"/>
      <w:r>
        <w:rPr>
          <w:rFonts w:hint="eastAsia"/>
        </w:rPr>
        <w:t>到监控UPS的目的。</w:t>
      </w:r>
      <w:bookmarkStart w:id="1174" w:name="_Hlt324148190"/>
      <w:bookmarkEnd w:id="1174"/>
    </w:p>
    <w:p>
      <w:pPr>
        <w:pStyle w:val="4"/>
        <w:numPr>
          <w:ilvl w:val="1"/>
          <w:numId w:val="9"/>
        </w:numPr>
        <w:rPr>
          <w:szCs w:val="22"/>
        </w:rPr>
      </w:pPr>
      <w:bookmarkStart w:id="1175" w:name="_Hlt324409820"/>
      <w:bookmarkEnd w:id="1175"/>
      <w:bookmarkStart w:id="1176" w:name="_Toc512794942"/>
      <w:bookmarkStart w:id="1177" w:name="_Toc5823"/>
      <w:r>
        <w:rPr>
          <w:rFonts w:hint="eastAsia"/>
          <w:szCs w:val="22"/>
        </w:rPr>
        <w:t>电总协议通信</w:t>
      </w:r>
      <w:bookmarkEnd w:id="1176"/>
      <w:bookmarkEnd w:id="1177"/>
    </w:p>
    <w:p>
      <w:pPr>
        <w:pStyle w:val="3"/>
      </w:pPr>
      <w:r>
        <w:rPr>
          <w:rFonts w:hint="eastAsia"/>
        </w:rPr>
        <w:t>UPS</w:t>
      </w:r>
      <w:bookmarkStart w:id="1178" w:name="_Hlt324410216"/>
      <w:bookmarkEnd w:id="1178"/>
      <w:r>
        <w:rPr>
          <w:rFonts w:hint="eastAsia"/>
        </w:rPr>
        <w:t>电总协议实现通信。</w:t>
      </w:r>
      <w:bookmarkStart w:id="1179" w:name="_Hlt250706218"/>
      <w:bookmarkEnd w:id="1179"/>
    </w:p>
    <w:p>
      <w:pPr>
        <w:pStyle w:val="4"/>
        <w:numPr>
          <w:ilvl w:val="1"/>
          <w:numId w:val="9"/>
        </w:numPr>
        <w:rPr>
          <w:szCs w:val="22"/>
        </w:rPr>
      </w:pPr>
      <w:bookmarkStart w:id="1180" w:name="_Toc16203"/>
      <w:bookmarkStart w:id="1181" w:name="_Toc512794943"/>
      <w:bookmarkStart w:id="1182" w:name="_Toc321729200"/>
      <w:r>
        <w:rPr>
          <w:rFonts w:hint="eastAsia"/>
          <w:szCs w:val="22"/>
        </w:rPr>
        <w:t>干接点通信</w:t>
      </w:r>
      <w:bookmarkEnd w:id="1180"/>
      <w:bookmarkEnd w:id="1181"/>
      <w:bookmarkEnd w:id="1182"/>
    </w:p>
    <w:p>
      <w:pPr>
        <w:pStyle w:val="3"/>
        <w:rPr>
          <w:kern w:val="0"/>
        </w:rPr>
      </w:pPr>
      <w:r>
        <w:rPr>
          <w:rFonts w:hint="eastAsia"/>
          <w:kern w:val="0"/>
        </w:rPr>
        <w:t>根据现场的具体需要，UPS可能需要辅助连接以实现获取外部设备状态信息，向外部装置提供告警信号，实现远程紧急停机等功能。这些功能可外部接口板（EIB）的以下接口来实现：</w:t>
      </w:r>
    </w:p>
    <w:p>
      <w:pPr>
        <w:pStyle w:val="114"/>
        <w:numPr>
          <w:ilvl w:val="8"/>
          <w:numId w:val="17"/>
        </w:numPr>
        <w:ind w:left="680" w:firstLine="0"/>
        <w:jc w:val="left"/>
        <w:rPr>
          <w:kern w:val="0"/>
        </w:rPr>
      </w:pPr>
      <w:r>
        <w:rPr>
          <w:rFonts w:hint="eastAsia"/>
          <w:kern w:val="0"/>
          <w:lang w:val="en-GB"/>
        </w:rPr>
        <w:t>输入干接点接口</w:t>
      </w:r>
    </w:p>
    <w:p>
      <w:pPr>
        <w:pStyle w:val="114"/>
        <w:numPr>
          <w:ilvl w:val="8"/>
          <w:numId w:val="17"/>
        </w:numPr>
        <w:ind w:left="680" w:firstLine="0"/>
        <w:jc w:val="left"/>
        <w:rPr>
          <w:kern w:val="0"/>
          <w:lang w:val="en-GB"/>
        </w:rPr>
      </w:pPr>
      <w:r>
        <w:rPr>
          <w:rFonts w:hint="eastAsia"/>
          <w:kern w:val="0"/>
          <w:lang w:val="en-GB"/>
        </w:rPr>
        <w:t>输出干接点接口</w:t>
      </w:r>
    </w:p>
    <w:p>
      <w:pPr>
        <w:pStyle w:val="114"/>
        <w:numPr>
          <w:ilvl w:val="8"/>
          <w:numId w:val="17"/>
        </w:numPr>
        <w:ind w:left="680" w:firstLine="0"/>
        <w:jc w:val="left"/>
        <w:rPr>
          <w:kern w:val="0"/>
          <w:lang w:val="en-GB"/>
        </w:rPr>
      </w:pPr>
      <w:r>
        <w:rPr>
          <w:rFonts w:hint="eastAsia"/>
          <w:kern w:val="0"/>
          <w:lang w:val="en-GB"/>
        </w:rPr>
        <w:t>紧急停机输入接口</w:t>
      </w:r>
    </w:p>
    <w:p>
      <w:pPr>
        <w:pStyle w:val="3"/>
        <w:sectPr>
          <w:headerReference r:id="rId29" w:type="default"/>
          <w:headerReference r:id="rId30" w:type="even"/>
          <w:pgSz w:w="11906" w:h="16838"/>
          <w:pgMar w:top="1304" w:right="737" w:bottom="1134" w:left="1134" w:header="851" w:footer="737" w:gutter="0"/>
          <w:cols w:space="720" w:num="1"/>
          <w:docGrid w:type="lines" w:linePitch="312" w:charSpace="0"/>
        </w:sectPr>
      </w:pPr>
      <w:r>
        <w:rPr>
          <w:rFonts w:hint="eastAsia"/>
          <w:kern w:val="0"/>
        </w:rPr>
        <w:t>以上接</w:t>
      </w:r>
      <w:r>
        <w:rPr>
          <w:rFonts w:hint="eastAsia"/>
        </w:rPr>
        <w:t>口的功能和具体信息详见</w:t>
      </w:r>
      <w:r>
        <w:rPr>
          <w:rFonts w:hint="eastAsia"/>
          <w:b/>
        </w:rPr>
        <w:t>3.2  信号电缆布线</w:t>
      </w:r>
      <w:r>
        <w:rPr>
          <w:rFonts w:hint="eastAsia"/>
        </w:rPr>
        <w:t>的相关章节</w:t>
      </w:r>
    </w:p>
    <w:bookmarkEnd w:id="1156"/>
    <w:bookmarkEnd w:id="1157"/>
    <w:p>
      <w:pPr>
        <w:pStyle w:val="2"/>
        <w:numPr>
          <w:ilvl w:val="0"/>
          <w:numId w:val="9"/>
        </w:numPr>
      </w:pPr>
      <w:bookmarkStart w:id="1183" w:name="_Hlt227480033"/>
      <w:bookmarkEnd w:id="1183"/>
      <w:bookmarkStart w:id="1184" w:name="_Hlt241809745"/>
      <w:bookmarkEnd w:id="1184"/>
      <w:bookmarkStart w:id="1185" w:name="_Hlt323890503"/>
      <w:bookmarkEnd w:id="1185"/>
      <w:bookmarkStart w:id="1186" w:name="_Hlt133239693"/>
      <w:bookmarkEnd w:id="1186"/>
      <w:bookmarkStart w:id="1187" w:name="_Hlt227480123"/>
      <w:bookmarkEnd w:id="1187"/>
      <w:bookmarkStart w:id="1188" w:name="_Hlt323895165"/>
      <w:bookmarkEnd w:id="1188"/>
      <w:bookmarkStart w:id="1189" w:name="_Hlt323891419"/>
      <w:bookmarkEnd w:id="1189"/>
      <w:bookmarkStart w:id="1190" w:name="_Toc27582"/>
      <w:bookmarkStart w:id="1191" w:name="_Toc512794945"/>
      <w:bookmarkStart w:id="1192" w:name="_Toc24264"/>
      <w:bookmarkStart w:id="1193" w:name="_Hlk111279370"/>
      <w:r>
        <w:rPr>
          <w:rFonts w:hint="eastAsia"/>
        </w:rPr>
        <w:t>维护和保养</w:t>
      </w:r>
      <w:bookmarkEnd w:id="1190"/>
      <w:bookmarkEnd w:id="1191"/>
      <w:bookmarkEnd w:id="1192"/>
    </w:p>
    <w:p>
      <w:pPr>
        <w:pStyle w:val="3"/>
      </w:pPr>
      <w:r>
        <w:rPr>
          <w:rFonts w:hint="eastAsia"/>
        </w:rPr>
        <w:t>UPS系统（包括电池）在长期的运行中，需要定期维护和保养。本</w:t>
      </w:r>
      <w:bookmarkStart w:id="1194" w:name="_Hlt323887207"/>
      <w:bookmarkEnd w:id="1194"/>
      <w:bookmarkStart w:id="1195" w:name="_Hlt323887171"/>
      <w:bookmarkEnd w:id="1195"/>
      <w:r>
        <w:rPr>
          <w:rFonts w:hint="eastAsia"/>
        </w:rPr>
        <w:t>章主要阐述UPS关键器件的寿命特性、定期检查和维护更换等建议，以及UPS和选件的维护与保养。有效维护和保养UPS系统</w:t>
      </w:r>
      <w:bookmarkStart w:id="1196" w:name="_Hlt324241832"/>
      <w:bookmarkEnd w:id="1196"/>
      <w:r>
        <w:rPr>
          <w:rFonts w:hint="eastAsia"/>
        </w:rPr>
        <w:t>，可降低UPS故障风险和提供更长的UPS工作年限。</w:t>
      </w:r>
    </w:p>
    <w:p>
      <w:pPr>
        <w:pStyle w:val="157"/>
        <w:keepNext/>
        <w:keepLines/>
        <w:widowControl/>
        <w:numPr>
          <w:ilvl w:val="0"/>
          <w:numId w:val="18"/>
        </w:numPr>
        <w:tabs>
          <w:tab w:val="left" w:pos="0"/>
        </w:tabs>
        <w:adjustRightInd w:val="0"/>
        <w:snapToGrid w:val="0"/>
        <w:spacing w:before="200" w:after="80"/>
        <w:ind w:firstLineChars="0"/>
        <w:jc w:val="left"/>
        <w:outlineLvl w:val="1"/>
        <w:rPr>
          <w:rFonts w:ascii="Arial" w:hAnsi="Arial" w:eastAsia="黑体"/>
          <w:vanish/>
          <w:kern w:val="0"/>
          <w:sz w:val="28"/>
          <w:szCs w:val="20"/>
        </w:rPr>
      </w:pPr>
      <w:bookmarkStart w:id="1197" w:name="_Hlt323888784"/>
      <w:bookmarkEnd w:id="1197"/>
      <w:bookmarkStart w:id="1198" w:name="_Toc512794946"/>
      <w:bookmarkStart w:id="1199" w:name="_Toc31664"/>
      <w:bookmarkStart w:id="1200" w:name="_Toc212952053"/>
      <w:bookmarkStart w:id="1201" w:name="_Toc193075906"/>
    </w:p>
    <w:p>
      <w:pPr>
        <w:pStyle w:val="157"/>
        <w:keepNext/>
        <w:keepLines/>
        <w:widowControl/>
        <w:numPr>
          <w:ilvl w:val="0"/>
          <w:numId w:val="18"/>
        </w:numPr>
        <w:tabs>
          <w:tab w:val="left" w:pos="0"/>
        </w:tabs>
        <w:adjustRightInd w:val="0"/>
        <w:snapToGrid w:val="0"/>
        <w:spacing w:before="200" w:after="80"/>
        <w:ind w:firstLineChars="0"/>
        <w:jc w:val="left"/>
        <w:outlineLvl w:val="1"/>
        <w:rPr>
          <w:rFonts w:ascii="Arial" w:hAnsi="Arial" w:eastAsia="黑体"/>
          <w:vanish/>
          <w:kern w:val="0"/>
          <w:sz w:val="28"/>
          <w:szCs w:val="20"/>
        </w:rPr>
      </w:pPr>
    </w:p>
    <w:p>
      <w:pPr>
        <w:pStyle w:val="157"/>
        <w:keepNext/>
        <w:keepLines/>
        <w:widowControl/>
        <w:numPr>
          <w:ilvl w:val="0"/>
          <w:numId w:val="18"/>
        </w:numPr>
        <w:tabs>
          <w:tab w:val="left" w:pos="0"/>
        </w:tabs>
        <w:adjustRightInd w:val="0"/>
        <w:snapToGrid w:val="0"/>
        <w:spacing w:before="200" w:after="80"/>
        <w:ind w:firstLineChars="0"/>
        <w:jc w:val="left"/>
        <w:outlineLvl w:val="1"/>
        <w:rPr>
          <w:rFonts w:ascii="Arial" w:hAnsi="Arial" w:eastAsia="黑体"/>
          <w:vanish/>
          <w:kern w:val="0"/>
          <w:sz w:val="28"/>
          <w:szCs w:val="20"/>
        </w:rPr>
      </w:pPr>
    </w:p>
    <w:p>
      <w:pPr>
        <w:pStyle w:val="157"/>
        <w:keepNext/>
        <w:keepLines/>
        <w:widowControl/>
        <w:numPr>
          <w:ilvl w:val="0"/>
          <w:numId w:val="18"/>
        </w:numPr>
        <w:tabs>
          <w:tab w:val="left" w:pos="0"/>
        </w:tabs>
        <w:adjustRightInd w:val="0"/>
        <w:snapToGrid w:val="0"/>
        <w:spacing w:before="200" w:after="80"/>
        <w:ind w:firstLineChars="0"/>
        <w:jc w:val="left"/>
        <w:outlineLvl w:val="1"/>
        <w:rPr>
          <w:rFonts w:ascii="Arial" w:hAnsi="Arial" w:eastAsia="黑体"/>
          <w:vanish/>
          <w:kern w:val="0"/>
          <w:sz w:val="28"/>
          <w:szCs w:val="20"/>
        </w:rPr>
      </w:pPr>
    </w:p>
    <w:p>
      <w:pPr>
        <w:pStyle w:val="157"/>
        <w:keepNext/>
        <w:keepLines/>
        <w:widowControl/>
        <w:numPr>
          <w:ilvl w:val="0"/>
          <w:numId w:val="18"/>
        </w:numPr>
        <w:tabs>
          <w:tab w:val="left" w:pos="0"/>
        </w:tabs>
        <w:adjustRightInd w:val="0"/>
        <w:snapToGrid w:val="0"/>
        <w:spacing w:before="200" w:after="80"/>
        <w:ind w:firstLineChars="0"/>
        <w:jc w:val="left"/>
        <w:outlineLvl w:val="1"/>
        <w:rPr>
          <w:rFonts w:ascii="Arial" w:hAnsi="Arial" w:eastAsia="黑体"/>
          <w:vanish/>
          <w:kern w:val="0"/>
          <w:sz w:val="28"/>
          <w:szCs w:val="20"/>
        </w:rPr>
      </w:pPr>
    </w:p>
    <w:p>
      <w:pPr>
        <w:pStyle w:val="157"/>
        <w:keepNext/>
        <w:keepLines/>
        <w:widowControl/>
        <w:numPr>
          <w:ilvl w:val="0"/>
          <w:numId w:val="18"/>
        </w:numPr>
        <w:tabs>
          <w:tab w:val="left" w:pos="0"/>
        </w:tabs>
        <w:adjustRightInd w:val="0"/>
        <w:snapToGrid w:val="0"/>
        <w:spacing w:before="200" w:after="80"/>
        <w:ind w:firstLineChars="0"/>
        <w:jc w:val="left"/>
        <w:outlineLvl w:val="1"/>
        <w:rPr>
          <w:rFonts w:ascii="Arial" w:hAnsi="Arial" w:eastAsia="黑体"/>
          <w:vanish/>
          <w:kern w:val="0"/>
          <w:sz w:val="28"/>
          <w:szCs w:val="20"/>
        </w:rPr>
      </w:pPr>
    </w:p>
    <w:p>
      <w:pPr>
        <w:pStyle w:val="157"/>
        <w:keepNext/>
        <w:keepLines/>
        <w:widowControl/>
        <w:numPr>
          <w:ilvl w:val="0"/>
          <w:numId w:val="18"/>
        </w:numPr>
        <w:tabs>
          <w:tab w:val="left" w:pos="0"/>
        </w:tabs>
        <w:adjustRightInd w:val="0"/>
        <w:snapToGrid w:val="0"/>
        <w:spacing w:before="200" w:after="80"/>
        <w:ind w:firstLineChars="0"/>
        <w:jc w:val="left"/>
        <w:outlineLvl w:val="1"/>
        <w:rPr>
          <w:rFonts w:ascii="Arial" w:hAnsi="Arial" w:eastAsia="黑体"/>
          <w:vanish/>
          <w:kern w:val="0"/>
          <w:sz w:val="28"/>
          <w:szCs w:val="20"/>
        </w:rPr>
      </w:pPr>
    </w:p>
    <w:p>
      <w:pPr>
        <w:pStyle w:val="157"/>
        <w:keepNext/>
        <w:keepLines/>
        <w:widowControl/>
        <w:numPr>
          <w:ilvl w:val="0"/>
          <w:numId w:val="18"/>
        </w:numPr>
        <w:tabs>
          <w:tab w:val="left" w:pos="0"/>
        </w:tabs>
        <w:adjustRightInd w:val="0"/>
        <w:snapToGrid w:val="0"/>
        <w:spacing w:before="200" w:after="80"/>
        <w:ind w:firstLineChars="0"/>
        <w:jc w:val="left"/>
        <w:outlineLvl w:val="1"/>
        <w:rPr>
          <w:rFonts w:ascii="Arial" w:hAnsi="Arial" w:eastAsia="黑体"/>
          <w:vanish/>
          <w:kern w:val="0"/>
          <w:sz w:val="28"/>
          <w:szCs w:val="20"/>
        </w:rPr>
      </w:pPr>
    </w:p>
    <w:p>
      <w:pPr>
        <w:pStyle w:val="4"/>
        <w:numPr>
          <w:ilvl w:val="1"/>
          <w:numId w:val="18"/>
        </w:numPr>
      </w:pPr>
      <w:bookmarkStart w:id="1202" w:name="_Toc18834"/>
      <w:r>
        <w:rPr>
          <w:rFonts w:hint="eastAsia"/>
        </w:rPr>
        <w:t>安全</w:t>
      </w:r>
      <w:bookmarkEnd w:id="1198"/>
      <w:bookmarkEnd w:id="1199"/>
      <w:bookmarkEnd w:id="1200"/>
      <w:bookmarkEnd w:id="1201"/>
      <w:bookmarkEnd w:id="1202"/>
    </w:p>
    <w:tbl>
      <w:tblPr>
        <w:tblStyle w:val="50"/>
        <w:tblW w:w="9393"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9393" w:type="dxa"/>
            <w:vAlign w:val="center"/>
          </w:tcPr>
          <w:p>
            <w:pPr>
              <w:pStyle w:val="72"/>
              <w:spacing w:before="46" w:beforeLines="15" w:line="276" w:lineRule="auto"/>
              <w:jc w:val="both"/>
              <w:rPr>
                <w:rStyle w:val="87"/>
              </w:rPr>
            </w:pPr>
            <w:r>
              <w:rPr>
                <w:rStyle w:val="87"/>
              </w:rPr>
              <w:drawing>
                <wp:inline distT="0" distB="0" distL="0" distR="0">
                  <wp:extent cx="641350" cy="286385"/>
                  <wp:effectExtent l="0" t="0" r="6350" b="0"/>
                  <wp:docPr id="73" name="图片 73"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图形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41350" cy="286385"/>
                          </a:xfrm>
                          <a:prstGeom prst="rect">
                            <a:avLst/>
                          </a:prstGeom>
                          <a:noFill/>
                          <a:ln>
                            <a:noFill/>
                          </a:ln>
                        </pic:spPr>
                      </pic:pic>
                    </a:graphicData>
                  </a:graphic>
                </wp:inline>
              </w:drawing>
            </w:r>
            <w:r>
              <w:rPr>
                <w:rStyle w:val="87"/>
                <w:rFonts w:hint="eastAsia"/>
              </w:rPr>
              <w:t>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right"/>
        </w:trPr>
        <w:tc>
          <w:tcPr>
            <w:tcW w:w="9393" w:type="dxa"/>
            <w:vAlign w:val="center"/>
          </w:tcPr>
          <w:p>
            <w:pPr>
              <w:pStyle w:val="73"/>
            </w:pPr>
            <w:r>
              <w:rPr>
                <w:rFonts w:hint="eastAsia"/>
              </w:rPr>
              <w:t>1</w:t>
            </w:r>
            <w:bookmarkStart w:id="1203" w:name="_Hlt323892999"/>
            <w:r>
              <w:rPr>
                <w:rFonts w:hint="eastAsia"/>
              </w:rPr>
              <w:t>．</w:t>
            </w:r>
            <w:bookmarkEnd w:id="1203"/>
            <w:r>
              <w:rPr>
                <w:rFonts w:hint="eastAsia"/>
              </w:rPr>
              <w:t>UPS系统的日常巡视可由接受过相关培训的人员执行，其器件的检查和更换应由被授权的专业人员操作。</w:t>
            </w:r>
          </w:p>
          <w:p>
            <w:pPr>
              <w:pStyle w:val="73"/>
            </w:pPr>
            <w:r>
              <w:rPr>
                <w:rFonts w:hint="eastAsia"/>
              </w:rPr>
              <w:t>2．需工具才可打开的保护盖板后的部件为用户不可操作部件，只有合格维护人员才允许打开此类保护盖板。</w:t>
            </w:r>
          </w:p>
          <w:p>
            <w:pPr>
              <w:pStyle w:val="73"/>
            </w:pPr>
            <w:r>
              <w:rPr>
                <w:rFonts w:hint="eastAsia"/>
              </w:rPr>
              <w:t>3．维护</w:t>
            </w:r>
            <w:r>
              <w:t>UPS</w:t>
            </w:r>
            <w:r>
              <w:rPr>
                <w:rFonts w:hint="eastAsia"/>
              </w:rPr>
              <w:t>时，注意</w:t>
            </w:r>
            <w:r>
              <w:t>N</w:t>
            </w:r>
            <w:r>
              <w:rPr>
                <w:rFonts w:hint="eastAsia"/>
              </w:rPr>
              <w:t>线带电。</w:t>
            </w:r>
          </w:p>
        </w:tc>
      </w:tr>
    </w:tbl>
    <w:p>
      <w:pPr>
        <w:pStyle w:val="4"/>
        <w:numPr>
          <w:ilvl w:val="1"/>
          <w:numId w:val="18"/>
        </w:numPr>
        <w:rPr>
          <w:szCs w:val="22"/>
        </w:rPr>
      </w:pPr>
      <w:bookmarkStart w:id="1204" w:name="_Toc2882"/>
      <w:bookmarkStart w:id="1205" w:name="_Toc193075907"/>
      <w:bookmarkStart w:id="1206" w:name="_Toc212952054"/>
      <w:bookmarkStart w:id="1207" w:name="_Toc17985"/>
      <w:bookmarkStart w:id="1208" w:name="_Toc512794947"/>
      <w:r>
        <w:rPr>
          <w:rFonts w:hint="eastAsia"/>
          <w:szCs w:val="22"/>
        </w:rPr>
        <w:t>UPS关键器件及其寿命</w:t>
      </w:r>
      <w:bookmarkEnd w:id="1204"/>
      <w:bookmarkEnd w:id="1205"/>
      <w:bookmarkEnd w:id="1206"/>
      <w:bookmarkEnd w:id="1207"/>
      <w:bookmarkEnd w:id="1208"/>
    </w:p>
    <w:p>
      <w:pPr>
        <w:pStyle w:val="3"/>
      </w:pPr>
      <w:r>
        <w:rPr>
          <w:rFonts w:hint="eastAsia"/>
        </w:rPr>
        <w:t>UPS在使用过程中，其中的一些器件因在工作中存在磨损而比UPS本身的使用寿命短。为了UPS系统的供电安全，需要对这些器件做定期检查和更换。本节介绍UPS的关键器件及其工作寿命的参考年限。对于不同使用条件（环境、负载率等）下的系统，可参考本节信息由专业人员做出评估，并提供器件是否需要更换的建议。</w:t>
      </w:r>
    </w:p>
    <w:p>
      <w:pPr>
        <w:pStyle w:val="5"/>
        <w:numPr>
          <w:ilvl w:val="2"/>
          <w:numId w:val="18"/>
        </w:numPr>
        <w:rPr>
          <w:szCs w:val="22"/>
          <w:lang w:val="en-GB"/>
        </w:rPr>
      </w:pPr>
      <w:bookmarkStart w:id="1209" w:name="_Toc30297"/>
      <w:bookmarkStart w:id="1210" w:name="_Toc3746"/>
      <w:bookmarkStart w:id="1211" w:name="_Toc338686130"/>
      <w:bookmarkStart w:id="1212" w:name="_Toc512794948"/>
      <w:bookmarkStart w:id="1213" w:name="_Toc193075908"/>
      <w:bookmarkStart w:id="1214" w:name="_Toc212952055"/>
      <w:r>
        <w:rPr>
          <w:rFonts w:hint="eastAsia"/>
          <w:szCs w:val="22"/>
          <w:lang w:val="en-GB"/>
        </w:rPr>
        <w:t>磁性元件</w:t>
      </w:r>
      <w:bookmarkEnd w:id="1209"/>
      <w:bookmarkEnd w:id="1210"/>
      <w:bookmarkEnd w:id="1211"/>
      <w:bookmarkEnd w:id="1212"/>
      <w:bookmarkEnd w:id="1213"/>
      <w:bookmarkEnd w:id="1214"/>
    </w:p>
    <w:p>
      <w:pPr>
        <w:pStyle w:val="3"/>
      </w:pPr>
      <w:r>
        <w:rPr>
          <w:rFonts w:hint="eastAsia"/>
        </w:rPr>
        <w:t>磁性元件的设计使用寿命为15年。影响其使用寿命的关键因素在于绕组间采用何种绝缘系统和实际工作中的温度。</w:t>
      </w:r>
    </w:p>
    <w:p>
      <w:pPr>
        <w:pStyle w:val="5"/>
        <w:numPr>
          <w:ilvl w:val="2"/>
          <w:numId w:val="18"/>
        </w:numPr>
        <w:rPr>
          <w:szCs w:val="22"/>
          <w:lang w:val="en-GB"/>
        </w:rPr>
      </w:pPr>
      <w:bookmarkStart w:id="1215" w:name="_Toc212952056"/>
      <w:bookmarkStart w:id="1216" w:name="_Toc14182"/>
      <w:bookmarkStart w:id="1217" w:name="_Toc512794949"/>
      <w:bookmarkStart w:id="1218" w:name="_Toc16795"/>
      <w:bookmarkStart w:id="1219" w:name="_Toc338686131"/>
      <w:bookmarkStart w:id="1220" w:name="_Toc193075909"/>
      <w:r>
        <w:rPr>
          <w:rFonts w:hint="eastAsia"/>
          <w:szCs w:val="22"/>
          <w:lang w:val="en-GB"/>
        </w:rPr>
        <w:t>功率半导体器件</w:t>
      </w:r>
      <w:bookmarkEnd w:id="1215"/>
      <w:bookmarkEnd w:id="1216"/>
      <w:bookmarkEnd w:id="1217"/>
      <w:bookmarkEnd w:id="1218"/>
      <w:bookmarkEnd w:id="1219"/>
      <w:bookmarkEnd w:id="1220"/>
    </w:p>
    <w:p>
      <w:pPr>
        <w:pStyle w:val="3"/>
      </w:pPr>
      <w:r>
        <w:rPr>
          <w:rFonts w:hint="eastAsia"/>
        </w:rPr>
        <w:t>功率半导体器件包括可控硅（SCR）和</w:t>
      </w:r>
      <w:r>
        <w:t>绝缘栅双极型晶体管</w:t>
      </w:r>
      <w:r>
        <w:rPr>
          <w:rFonts w:hint="eastAsia"/>
        </w:rPr>
        <w:t>（IGBT）。在UPS正常的工作状态下，功率半导体器件没有额定的工作寿命年限，SCR和IGBT的失效总是由其它的问题引发。但在系统的维护和保养过程中，应每年一次定期检查功率半导体器件的外观是否出现腐蚀或外壳破损的情况。对检查出有失效风险的器件，应该予以更换。</w:t>
      </w:r>
    </w:p>
    <w:p>
      <w:pPr>
        <w:pStyle w:val="5"/>
        <w:numPr>
          <w:ilvl w:val="2"/>
          <w:numId w:val="18"/>
        </w:numPr>
        <w:rPr>
          <w:szCs w:val="22"/>
          <w:lang w:val="en-GB"/>
        </w:rPr>
      </w:pPr>
      <w:bookmarkStart w:id="1221" w:name="_Toc338686132"/>
      <w:bookmarkStart w:id="1222" w:name="_Toc27761"/>
      <w:bookmarkStart w:id="1223" w:name="_Toc512794950"/>
      <w:bookmarkStart w:id="1224" w:name="_Toc212952057"/>
      <w:bookmarkStart w:id="1225" w:name="_Toc193075910"/>
      <w:bookmarkStart w:id="1226" w:name="_Toc16340"/>
      <w:r>
        <w:rPr>
          <w:rFonts w:hint="eastAsia"/>
          <w:szCs w:val="22"/>
          <w:lang w:val="en-GB"/>
        </w:rPr>
        <w:t>直流电解电容</w:t>
      </w:r>
      <w:bookmarkEnd w:id="1221"/>
      <w:bookmarkEnd w:id="1222"/>
      <w:bookmarkEnd w:id="1223"/>
      <w:bookmarkEnd w:id="1224"/>
      <w:bookmarkEnd w:id="1225"/>
      <w:bookmarkEnd w:id="1226"/>
    </w:p>
    <w:p>
      <w:pPr>
        <w:pStyle w:val="3"/>
      </w:pPr>
      <w:r>
        <w:rPr>
          <w:rFonts w:hint="eastAsia"/>
        </w:rPr>
        <w:t>电解电容的实际工作寿命主要受系统的直流母线电压、电容纹波电流和UPS的环境温度影响。</w:t>
      </w:r>
    </w:p>
    <w:p>
      <w:pPr>
        <w:pStyle w:val="3"/>
      </w:pPr>
      <w:r>
        <w:rPr>
          <w:rFonts w:hint="eastAsia"/>
        </w:rPr>
        <w:t>为了保证UPS供电系统的安全稳定工作，电解电容必须在其工作寿命终结前更换。电解电容的建议更换年限为5年</w:t>
      </w:r>
      <w:r>
        <w:rPr>
          <w:rFonts w:hint="eastAsia" w:ascii="宋体" w:hAnsi="宋体"/>
        </w:rPr>
        <w:t>～</w:t>
      </w:r>
      <w:r>
        <w:rPr>
          <w:rFonts w:hint="eastAsia"/>
        </w:rPr>
        <w:t>6年。建议每年定期检查，如发现异常，应该予以更换。</w:t>
      </w:r>
    </w:p>
    <w:p>
      <w:pPr>
        <w:pStyle w:val="5"/>
        <w:numPr>
          <w:ilvl w:val="2"/>
          <w:numId w:val="18"/>
        </w:numPr>
        <w:rPr>
          <w:szCs w:val="22"/>
          <w:lang w:val="en-GB"/>
        </w:rPr>
      </w:pPr>
      <w:bookmarkStart w:id="1227" w:name="_Toc193075911"/>
      <w:bookmarkStart w:id="1228" w:name="_Toc212952058"/>
      <w:bookmarkStart w:id="1229" w:name="_Toc338686133"/>
      <w:bookmarkStart w:id="1230" w:name="_Toc512794951"/>
      <w:bookmarkStart w:id="1231" w:name="_Toc28556"/>
      <w:bookmarkStart w:id="1232" w:name="_Toc17674"/>
      <w:r>
        <w:rPr>
          <w:rFonts w:hint="eastAsia"/>
          <w:szCs w:val="22"/>
          <w:lang w:val="en-GB"/>
        </w:rPr>
        <w:t>交流电容</w:t>
      </w:r>
      <w:bookmarkEnd w:id="1227"/>
      <w:bookmarkEnd w:id="1228"/>
      <w:bookmarkEnd w:id="1229"/>
      <w:bookmarkEnd w:id="1230"/>
      <w:bookmarkEnd w:id="1231"/>
      <w:bookmarkEnd w:id="1232"/>
    </w:p>
    <w:p>
      <w:pPr>
        <w:pStyle w:val="3"/>
      </w:pPr>
      <w:r>
        <w:rPr>
          <w:rFonts w:hint="eastAsia"/>
        </w:rPr>
        <w:t>交流电容建议在其连续工作5年</w:t>
      </w:r>
      <w:r>
        <w:rPr>
          <w:rFonts w:hint="eastAsia" w:ascii="宋体" w:hAnsi="宋体"/>
        </w:rPr>
        <w:t>～</w:t>
      </w:r>
      <w:r>
        <w:rPr>
          <w:rFonts w:hint="eastAsia"/>
        </w:rPr>
        <w:t>6年进行更换。建议每半年一次定期检查交流电容，如发现异常，应该予以更换。</w:t>
      </w:r>
    </w:p>
    <w:p>
      <w:pPr>
        <w:pStyle w:val="5"/>
        <w:numPr>
          <w:ilvl w:val="2"/>
          <w:numId w:val="18"/>
        </w:numPr>
        <w:rPr>
          <w:szCs w:val="22"/>
          <w:lang w:val="en-GB"/>
        </w:rPr>
      </w:pPr>
      <w:bookmarkStart w:id="1233" w:name="_Toc193075912"/>
      <w:bookmarkStart w:id="1234" w:name="_Toc9683"/>
      <w:bookmarkStart w:id="1235" w:name="_Toc512794952"/>
      <w:bookmarkStart w:id="1236" w:name="_Toc7956"/>
      <w:bookmarkStart w:id="1237" w:name="_Toc212952060"/>
      <w:r>
        <w:rPr>
          <w:rFonts w:hint="eastAsia"/>
          <w:szCs w:val="22"/>
          <w:lang w:val="en-GB"/>
        </w:rPr>
        <w:t>关键器件的更换时间</w:t>
      </w:r>
      <w:bookmarkEnd w:id="1233"/>
      <w:bookmarkEnd w:id="1234"/>
      <w:bookmarkEnd w:id="1235"/>
      <w:bookmarkEnd w:id="1236"/>
      <w:bookmarkEnd w:id="1237"/>
    </w:p>
    <w:p>
      <w:pPr>
        <w:pStyle w:val="3"/>
      </w:pPr>
      <w:r>
        <w:rPr>
          <w:rFonts w:hint="eastAsia"/>
        </w:rPr>
        <w:t>表10-1中的关键器件使用在UPS系统中，为了防止器件磨损失效而导致系统故障，建议对其进行定期检查，并在其预期的寿命年限内进行更换。</w:t>
      </w:r>
      <w:bookmarkStart w:id="1238" w:name="_Ref211765148"/>
    </w:p>
    <w:p>
      <w:pPr>
        <w:pStyle w:val="3"/>
      </w:pPr>
    </w:p>
    <w:p>
      <w:pPr>
        <w:pStyle w:val="157"/>
        <w:keepNext/>
        <w:keepLines/>
        <w:widowControl/>
        <w:numPr>
          <w:ilvl w:val="0"/>
          <w:numId w:val="19"/>
        </w:numPr>
        <w:tabs>
          <w:tab w:val="left" w:pos="0"/>
        </w:tabs>
        <w:adjustRightInd w:val="0"/>
        <w:snapToGrid w:val="0"/>
        <w:ind w:firstLineChars="0"/>
        <w:jc w:val="center"/>
        <w:rPr>
          <w:rFonts w:ascii="Arial" w:hAnsi="Arial" w:eastAsia="黑体"/>
          <w:vanish/>
          <w:kern w:val="0"/>
          <w:sz w:val="16"/>
          <w:szCs w:val="20"/>
        </w:rPr>
      </w:pPr>
    </w:p>
    <w:p>
      <w:pPr>
        <w:pStyle w:val="157"/>
        <w:keepNext/>
        <w:keepLines/>
        <w:widowControl/>
        <w:numPr>
          <w:ilvl w:val="0"/>
          <w:numId w:val="19"/>
        </w:numPr>
        <w:tabs>
          <w:tab w:val="left" w:pos="0"/>
        </w:tabs>
        <w:adjustRightInd w:val="0"/>
        <w:snapToGrid w:val="0"/>
        <w:ind w:firstLineChars="0"/>
        <w:jc w:val="center"/>
        <w:rPr>
          <w:rFonts w:ascii="Arial" w:hAnsi="Arial" w:eastAsia="黑体"/>
          <w:vanish/>
          <w:kern w:val="0"/>
          <w:sz w:val="16"/>
          <w:szCs w:val="20"/>
        </w:rPr>
      </w:pPr>
    </w:p>
    <w:p>
      <w:pPr>
        <w:pStyle w:val="157"/>
        <w:keepNext/>
        <w:keepLines/>
        <w:widowControl/>
        <w:numPr>
          <w:ilvl w:val="0"/>
          <w:numId w:val="19"/>
        </w:numPr>
        <w:tabs>
          <w:tab w:val="left" w:pos="0"/>
        </w:tabs>
        <w:adjustRightInd w:val="0"/>
        <w:snapToGrid w:val="0"/>
        <w:ind w:firstLineChars="0"/>
        <w:jc w:val="center"/>
        <w:rPr>
          <w:rFonts w:ascii="Arial" w:hAnsi="Arial" w:eastAsia="黑体"/>
          <w:vanish/>
          <w:kern w:val="0"/>
          <w:sz w:val="16"/>
          <w:szCs w:val="20"/>
        </w:rPr>
      </w:pPr>
    </w:p>
    <w:p>
      <w:pPr>
        <w:pStyle w:val="157"/>
        <w:keepNext/>
        <w:keepLines/>
        <w:widowControl/>
        <w:numPr>
          <w:ilvl w:val="0"/>
          <w:numId w:val="19"/>
        </w:numPr>
        <w:tabs>
          <w:tab w:val="left" w:pos="0"/>
        </w:tabs>
        <w:adjustRightInd w:val="0"/>
        <w:snapToGrid w:val="0"/>
        <w:ind w:firstLineChars="0"/>
        <w:jc w:val="center"/>
        <w:rPr>
          <w:rFonts w:ascii="Arial" w:hAnsi="Arial" w:eastAsia="黑体"/>
          <w:vanish/>
          <w:kern w:val="0"/>
          <w:sz w:val="16"/>
          <w:szCs w:val="20"/>
        </w:rPr>
      </w:pPr>
    </w:p>
    <w:p>
      <w:pPr>
        <w:pStyle w:val="157"/>
        <w:keepNext/>
        <w:keepLines/>
        <w:widowControl/>
        <w:numPr>
          <w:ilvl w:val="0"/>
          <w:numId w:val="19"/>
        </w:numPr>
        <w:tabs>
          <w:tab w:val="left" w:pos="0"/>
        </w:tabs>
        <w:adjustRightInd w:val="0"/>
        <w:snapToGrid w:val="0"/>
        <w:ind w:firstLineChars="0"/>
        <w:jc w:val="center"/>
        <w:rPr>
          <w:rFonts w:ascii="Arial" w:hAnsi="Arial" w:eastAsia="黑体"/>
          <w:vanish/>
          <w:kern w:val="0"/>
          <w:sz w:val="16"/>
          <w:szCs w:val="20"/>
        </w:rPr>
      </w:pPr>
    </w:p>
    <w:p>
      <w:pPr>
        <w:pStyle w:val="157"/>
        <w:keepNext/>
        <w:keepLines/>
        <w:widowControl/>
        <w:numPr>
          <w:ilvl w:val="0"/>
          <w:numId w:val="19"/>
        </w:numPr>
        <w:tabs>
          <w:tab w:val="left" w:pos="0"/>
        </w:tabs>
        <w:adjustRightInd w:val="0"/>
        <w:snapToGrid w:val="0"/>
        <w:ind w:firstLineChars="0"/>
        <w:jc w:val="center"/>
        <w:rPr>
          <w:rFonts w:ascii="Arial" w:hAnsi="Arial" w:eastAsia="黑体"/>
          <w:vanish/>
          <w:kern w:val="0"/>
          <w:sz w:val="16"/>
          <w:szCs w:val="20"/>
        </w:rPr>
      </w:pPr>
    </w:p>
    <w:p>
      <w:pPr>
        <w:pStyle w:val="157"/>
        <w:keepNext/>
        <w:keepLines/>
        <w:widowControl/>
        <w:numPr>
          <w:ilvl w:val="1"/>
          <w:numId w:val="19"/>
        </w:numPr>
        <w:tabs>
          <w:tab w:val="left" w:pos="0"/>
        </w:tabs>
        <w:adjustRightInd w:val="0"/>
        <w:snapToGrid w:val="0"/>
        <w:ind w:firstLineChars="0"/>
        <w:jc w:val="center"/>
        <w:rPr>
          <w:rFonts w:ascii="Arial" w:hAnsi="Arial" w:eastAsia="黑体"/>
          <w:vanish/>
          <w:kern w:val="0"/>
          <w:sz w:val="16"/>
          <w:szCs w:val="20"/>
        </w:rPr>
      </w:pPr>
    </w:p>
    <w:p>
      <w:pPr>
        <w:pStyle w:val="157"/>
        <w:keepNext/>
        <w:keepLines/>
        <w:widowControl/>
        <w:numPr>
          <w:ilvl w:val="2"/>
          <w:numId w:val="19"/>
        </w:numPr>
        <w:tabs>
          <w:tab w:val="left" w:pos="0"/>
        </w:tabs>
        <w:adjustRightInd w:val="0"/>
        <w:snapToGrid w:val="0"/>
        <w:ind w:firstLineChars="0"/>
        <w:jc w:val="center"/>
        <w:rPr>
          <w:rFonts w:ascii="Arial" w:hAnsi="Arial" w:eastAsia="黑体"/>
          <w:vanish/>
          <w:kern w:val="0"/>
          <w:sz w:val="16"/>
          <w:szCs w:val="20"/>
        </w:rPr>
      </w:pPr>
    </w:p>
    <w:p>
      <w:pPr>
        <w:pStyle w:val="157"/>
        <w:keepNext/>
        <w:keepLines/>
        <w:widowControl/>
        <w:numPr>
          <w:ilvl w:val="3"/>
          <w:numId w:val="19"/>
        </w:numPr>
        <w:tabs>
          <w:tab w:val="left" w:pos="0"/>
        </w:tabs>
        <w:adjustRightInd w:val="0"/>
        <w:snapToGrid w:val="0"/>
        <w:ind w:firstLineChars="0"/>
        <w:jc w:val="center"/>
        <w:rPr>
          <w:rFonts w:ascii="Arial" w:hAnsi="Arial" w:eastAsia="黑体"/>
          <w:vanish/>
          <w:kern w:val="0"/>
          <w:sz w:val="16"/>
          <w:szCs w:val="20"/>
        </w:rPr>
      </w:pPr>
    </w:p>
    <w:p>
      <w:pPr>
        <w:pStyle w:val="157"/>
        <w:keepNext/>
        <w:keepLines/>
        <w:widowControl/>
        <w:numPr>
          <w:ilvl w:val="4"/>
          <w:numId w:val="19"/>
        </w:numPr>
        <w:tabs>
          <w:tab w:val="left" w:pos="0"/>
        </w:tabs>
        <w:adjustRightInd w:val="0"/>
        <w:snapToGrid w:val="0"/>
        <w:ind w:firstLineChars="0"/>
        <w:jc w:val="center"/>
        <w:rPr>
          <w:rFonts w:ascii="Arial" w:hAnsi="Arial" w:eastAsia="黑体"/>
          <w:vanish/>
          <w:kern w:val="0"/>
          <w:sz w:val="16"/>
          <w:szCs w:val="20"/>
        </w:rPr>
      </w:pPr>
    </w:p>
    <w:p>
      <w:pPr>
        <w:pStyle w:val="194"/>
        <w:numPr>
          <w:ilvl w:val="5"/>
          <w:numId w:val="19"/>
        </w:numPr>
      </w:pPr>
      <w:r>
        <w:rPr>
          <w:rFonts w:hint="eastAsia"/>
        </w:rPr>
        <w:t>关键器件的寿命</w:t>
      </w:r>
      <w:bookmarkStart w:id="1239" w:name="_Hlt323888781"/>
      <w:bookmarkEnd w:id="1239"/>
      <w:r>
        <w:rPr>
          <w:rFonts w:hint="eastAsia"/>
        </w:rPr>
        <w:t>和</w:t>
      </w:r>
      <w:bookmarkStart w:id="1240" w:name="_Hlt324409373"/>
      <w:bookmarkEnd w:id="1240"/>
      <w:r>
        <w:rPr>
          <w:rFonts w:hint="eastAsia"/>
        </w:rPr>
        <w:t>建议更换时间</w:t>
      </w:r>
      <w:bookmarkEnd w:id="1238"/>
    </w:p>
    <w:tbl>
      <w:tblPr>
        <w:tblStyle w:val="50"/>
        <w:tblW w:w="8686" w:type="dxa"/>
        <w:tblInd w:w="7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9"/>
        <w:gridCol w:w="2335"/>
        <w:gridCol w:w="170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2949" w:type="dxa"/>
            <w:shd w:val="clear" w:color="auto" w:fill="D9D9D9"/>
            <w:vAlign w:val="center"/>
          </w:tcPr>
          <w:p>
            <w:pPr>
              <w:pStyle w:val="88"/>
              <w:rPr>
                <w:lang w:val="en-GB"/>
              </w:rPr>
            </w:pPr>
            <w:r>
              <w:rPr>
                <w:rFonts w:hint="eastAsia"/>
                <w:lang w:val="en-GB"/>
              </w:rPr>
              <w:t>关键器件</w:t>
            </w:r>
          </w:p>
        </w:tc>
        <w:tc>
          <w:tcPr>
            <w:tcW w:w="2335" w:type="dxa"/>
            <w:shd w:val="clear" w:color="auto" w:fill="D9D9D9"/>
            <w:vAlign w:val="center"/>
          </w:tcPr>
          <w:p>
            <w:pPr>
              <w:pStyle w:val="88"/>
              <w:rPr>
                <w:lang w:val="en-GB"/>
              </w:rPr>
            </w:pPr>
            <w:r>
              <w:rPr>
                <w:rFonts w:hint="eastAsia"/>
                <w:lang w:val="en-GB"/>
              </w:rPr>
              <w:t>预计寿命</w:t>
            </w:r>
          </w:p>
        </w:tc>
        <w:tc>
          <w:tcPr>
            <w:tcW w:w="1701" w:type="dxa"/>
            <w:shd w:val="clear" w:color="auto" w:fill="D9D9D9"/>
            <w:vAlign w:val="center"/>
          </w:tcPr>
          <w:p>
            <w:pPr>
              <w:pStyle w:val="88"/>
              <w:rPr>
                <w:lang w:val="en-GB"/>
              </w:rPr>
            </w:pPr>
            <w:r>
              <w:rPr>
                <w:rFonts w:hint="eastAsia"/>
                <w:lang w:val="en-GB"/>
              </w:rPr>
              <w:t>建议更换年限</w:t>
            </w:r>
          </w:p>
        </w:tc>
        <w:tc>
          <w:tcPr>
            <w:tcW w:w="1701" w:type="dxa"/>
            <w:shd w:val="clear" w:color="auto" w:fill="D9D9D9"/>
            <w:vAlign w:val="center"/>
          </w:tcPr>
          <w:p>
            <w:pPr>
              <w:pStyle w:val="88"/>
              <w:rPr>
                <w:lang w:val="en-GB"/>
              </w:rPr>
            </w:pPr>
            <w:r>
              <w:rPr>
                <w:rFonts w:hint="eastAsia"/>
                <w:lang w:val="en-GB"/>
              </w:rPr>
              <w:t>建议检查周期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49" w:type="dxa"/>
            <w:vAlign w:val="center"/>
          </w:tcPr>
          <w:p>
            <w:pPr>
              <w:pStyle w:val="73"/>
              <w:rPr>
                <w:lang w:val="en-GB"/>
              </w:rPr>
            </w:pPr>
            <w:r>
              <w:rPr>
                <w:rFonts w:hint="eastAsia"/>
                <w:lang w:val="en-GB"/>
              </w:rPr>
              <w:t>交流电容</w:t>
            </w:r>
          </w:p>
        </w:tc>
        <w:tc>
          <w:tcPr>
            <w:tcW w:w="2335" w:type="dxa"/>
            <w:vAlign w:val="center"/>
          </w:tcPr>
          <w:p>
            <w:pPr>
              <w:pStyle w:val="73"/>
              <w:rPr>
                <w:lang w:val="en-GB"/>
              </w:rPr>
            </w:pPr>
            <w:r>
              <w:rPr>
                <w:rFonts w:hint="eastAsia"/>
                <w:lang w:val="en-GB"/>
              </w:rPr>
              <w:t>≥</w:t>
            </w:r>
            <w:r>
              <w:rPr>
                <w:lang w:val="en-GB"/>
              </w:rPr>
              <w:t>7</w:t>
            </w:r>
            <w:r>
              <w:rPr>
                <w:rFonts w:hint="eastAsia"/>
                <w:lang w:val="en-GB"/>
              </w:rPr>
              <w:t>年</w:t>
            </w:r>
          </w:p>
        </w:tc>
        <w:tc>
          <w:tcPr>
            <w:tcW w:w="1701" w:type="dxa"/>
            <w:vAlign w:val="center"/>
          </w:tcPr>
          <w:p>
            <w:pPr>
              <w:pStyle w:val="73"/>
              <w:rPr>
                <w:lang w:val="en-GB"/>
              </w:rPr>
            </w:pPr>
            <w:r>
              <w:rPr>
                <w:lang w:val="en-GB"/>
              </w:rPr>
              <w:t>5</w:t>
            </w:r>
            <w:r>
              <w:rPr>
                <w:rFonts w:hint="eastAsia"/>
              </w:rPr>
              <w:t>年</w:t>
            </w:r>
            <w:r>
              <w:rPr>
                <w:rFonts w:hint="eastAsia"/>
                <w:lang w:val="en-GB"/>
              </w:rPr>
              <w:t>～</w:t>
            </w:r>
            <w:r>
              <w:rPr>
                <w:lang w:val="en-GB"/>
              </w:rPr>
              <w:t>6年</w:t>
            </w:r>
          </w:p>
        </w:tc>
        <w:tc>
          <w:tcPr>
            <w:tcW w:w="1701" w:type="dxa"/>
            <w:vAlign w:val="center"/>
          </w:tcPr>
          <w:p>
            <w:pPr>
              <w:pStyle w:val="73"/>
              <w:rPr>
                <w:lang w:val="en-GB"/>
              </w:rPr>
            </w:pPr>
            <w:r>
              <w:rPr>
                <w:rFonts w:hint="eastAsia"/>
                <w:lang w:val="en-GB"/>
              </w:rPr>
              <w:t>6个月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49" w:type="dxa"/>
            <w:vAlign w:val="center"/>
          </w:tcPr>
          <w:p>
            <w:pPr>
              <w:pStyle w:val="73"/>
              <w:rPr>
                <w:lang w:val="en-GB"/>
              </w:rPr>
            </w:pPr>
            <w:r>
              <w:rPr>
                <w:rFonts w:hint="eastAsia"/>
                <w:lang w:val="en-GB"/>
              </w:rPr>
              <w:t>直流电解电容</w:t>
            </w:r>
          </w:p>
        </w:tc>
        <w:tc>
          <w:tcPr>
            <w:tcW w:w="2335" w:type="dxa"/>
            <w:vAlign w:val="center"/>
          </w:tcPr>
          <w:p>
            <w:pPr>
              <w:pStyle w:val="73"/>
              <w:rPr>
                <w:lang w:val="en-GB"/>
              </w:rPr>
            </w:pPr>
            <w:r>
              <w:rPr>
                <w:rFonts w:hint="eastAsia"/>
                <w:lang w:val="en-GB"/>
              </w:rPr>
              <w:t>≥</w:t>
            </w:r>
            <w:r>
              <w:rPr>
                <w:lang w:val="en-GB"/>
              </w:rPr>
              <w:t>7</w:t>
            </w:r>
            <w:r>
              <w:rPr>
                <w:rFonts w:hint="eastAsia"/>
                <w:lang w:val="en-GB"/>
              </w:rPr>
              <w:t>年</w:t>
            </w:r>
          </w:p>
        </w:tc>
        <w:tc>
          <w:tcPr>
            <w:tcW w:w="1701" w:type="dxa"/>
            <w:vAlign w:val="center"/>
          </w:tcPr>
          <w:p>
            <w:pPr>
              <w:pStyle w:val="73"/>
              <w:rPr>
                <w:lang w:val="en-GB"/>
              </w:rPr>
            </w:pPr>
            <w:r>
              <w:rPr>
                <w:lang w:val="en-GB"/>
              </w:rPr>
              <w:t>5</w:t>
            </w:r>
            <w:r>
              <w:rPr>
                <w:rFonts w:hint="eastAsia"/>
              </w:rPr>
              <w:t>年</w:t>
            </w:r>
            <w:r>
              <w:rPr>
                <w:rFonts w:hint="eastAsia"/>
                <w:lang w:val="en-GB"/>
              </w:rPr>
              <w:t>～</w:t>
            </w:r>
            <w:r>
              <w:rPr>
                <w:lang w:val="en-GB"/>
              </w:rPr>
              <w:t>6年</w:t>
            </w:r>
            <w:bookmarkStart w:id="1241" w:name="_Hlt323888752"/>
            <w:bookmarkEnd w:id="1241"/>
          </w:p>
        </w:tc>
        <w:tc>
          <w:tcPr>
            <w:tcW w:w="1701" w:type="dxa"/>
            <w:vAlign w:val="center"/>
          </w:tcPr>
          <w:p>
            <w:pPr>
              <w:pStyle w:val="73"/>
              <w:rPr>
                <w:lang w:val="en-GB"/>
              </w:rPr>
            </w:pPr>
            <w:r>
              <w:rPr>
                <w:rFonts w:hint="eastAsia"/>
                <w:lang w:val="en-GB"/>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49" w:type="dxa"/>
            <w:vAlign w:val="center"/>
          </w:tcPr>
          <w:p>
            <w:pPr>
              <w:pStyle w:val="73"/>
              <w:rPr>
                <w:lang w:val="en-GB"/>
              </w:rPr>
            </w:pPr>
            <w:r>
              <w:rPr>
                <w:rFonts w:hint="eastAsia"/>
                <w:lang w:val="en-GB"/>
              </w:rPr>
              <w:t>风扇</w:t>
            </w:r>
          </w:p>
        </w:tc>
        <w:tc>
          <w:tcPr>
            <w:tcW w:w="2335" w:type="dxa"/>
            <w:vAlign w:val="center"/>
          </w:tcPr>
          <w:p>
            <w:pPr>
              <w:pStyle w:val="73"/>
              <w:rPr>
                <w:lang w:val="en-GB"/>
              </w:rPr>
            </w:pPr>
            <w:r>
              <w:rPr>
                <w:rFonts w:hint="eastAsia"/>
                <w:lang w:val="en-GB"/>
              </w:rPr>
              <w:t>≥</w:t>
            </w:r>
            <w:r>
              <w:rPr>
                <w:lang w:val="en-GB"/>
              </w:rPr>
              <w:t>7</w:t>
            </w:r>
            <w:r>
              <w:rPr>
                <w:rFonts w:hint="eastAsia"/>
                <w:lang w:val="en-GB"/>
              </w:rPr>
              <w:t>年</w:t>
            </w:r>
          </w:p>
        </w:tc>
        <w:tc>
          <w:tcPr>
            <w:tcW w:w="1701" w:type="dxa"/>
            <w:vAlign w:val="center"/>
          </w:tcPr>
          <w:p>
            <w:pPr>
              <w:pStyle w:val="73"/>
              <w:rPr>
                <w:lang w:val="en-GB"/>
              </w:rPr>
            </w:pPr>
            <w:r>
              <w:rPr>
                <w:lang w:val="en-GB"/>
              </w:rPr>
              <w:t>5</w:t>
            </w:r>
            <w:r>
              <w:rPr>
                <w:rFonts w:hint="eastAsia"/>
              </w:rPr>
              <w:t>年</w:t>
            </w:r>
            <w:r>
              <w:rPr>
                <w:rFonts w:hint="eastAsia"/>
                <w:lang w:val="en-GB"/>
              </w:rPr>
              <w:t>～</w:t>
            </w:r>
            <w:r>
              <w:rPr>
                <w:lang w:val="en-GB"/>
              </w:rPr>
              <w:t>6年</w:t>
            </w:r>
          </w:p>
        </w:tc>
        <w:tc>
          <w:tcPr>
            <w:tcW w:w="1701" w:type="dxa"/>
            <w:vAlign w:val="center"/>
          </w:tcPr>
          <w:p>
            <w:pPr>
              <w:pStyle w:val="73"/>
              <w:rPr>
                <w:lang w:val="en-GB"/>
              </w:rPr>
            </w:pPr>
            <w:r>
              <w:rPr>
                <w:rFonts w:hint="eastAsia"/>
                <w:lang w:val="en-GB"/>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49" w:type="dxa"/>
            <w:vAlign w:val="center"/>
          </w:tcPr>
          <w:p>
            <w:pPr>
              <w:pStyle w:val="73"/>
              <w:rPr>
                <w:lang w:val="en-GB"/>
              </w:rPr>
            </w:pPr>
            <w:r>
              <w:rPr>
                <w:rFonts w:hint="eastAsia"/>
                <w:lang w:val="en-GB"/>
              </w:rPr>
              <w:t>防尘网</w:t>
            </w:r>
          </w:p>
        </w:tc>
        <w:tc>
          <w:tcPr>
            <w:tcW w:w="2335" w:type="dxa"/>
            <w:vAlign w:val="center"/>
          </w:tcPr>
          <w:p>
            <w:pPr>
              <w:pStyle w:val="73"/>
              <w:rPr>
                <w:lang w:val="en-GB"/>
              </w:rPr>
            </w:pPr>
            <w:r>
              <w:rPr>
                <w:lang w:val="en-GB"/>
              </w:rPr>
              <w:t>1</w:t>
            </w:r>
            <w:r>
              <w:rPr>
                <w:rFonts w:hint="eastAsia"/>
              </w:rPr>
              <w:t>年</w:t>
            </w:r>
            <w:r>
              <w:rPr>
                <w:rFonts w:hint="eastAsia"/>
                <w:lang w:val="en-GB"/>
              </w:rPr>
              <w:t>～</w:t>
            </w:r>
            <w:r>
              <w:rPr>
                <w:lang w:val="en-GB"/>
              </w:rPr>
              <w:t>3年</w:t>
            </w:r>
          </w:p>
        </w:tc>
        <w:tc>
          <w:tcPr>
            <w:tcW w:w="1701" w:type="dxa"/>
            <w:vAlign w:val="center"/>
          </w:tcPr>
          <w:p>
            <w:pPr>
              <w:pStyle w:val="73"/>
              <w:rPr>
                <w:lang w:val="en-GB"/>
              </w:rPr>
            </w:pPr>
            <w:r>
              <w:rPr>
                <w:lang w:val="en-GB"/>
              </w:rPr>
              <w:t>1</w:t>
            </w:r>
            <w:r>
              <w:rPr>
                <w:rFonts w:hint="eastAsia"/>
              </w:rPr>
              <w:t>年</w:t>
            </w:r>
            <w:r>
              <w:rPr>
                <w:rFonts w:hint="eastAsia"/>
                <w:lang w:val="en-GB"/>
              </w:rPr>
              <w:t>～2</w:t>
            </w:r>
            <w:r>
              <w:rPr>
                <w:lang w:val="en-GB"/>
              </w:rPr>
              <w:t>年</w:t>
            </w:r>
          </w:p>
        </w:tc>
        <w:tc>
          <w:tcPr>
            <w:tcW w:w="1701" w:type="dxa"/>
            <w:vAlign w:val="center"/>
          </w:tcPr>
          <w:p>
            <w:pPr>
              <w:pStyle w:val="73"/>
              <w:rPr>
                <w:lang w:val="en-GB"/>
              </w:rPr>
            </w:pPr>
            <w:r>
              <w:rPr>
                <w:rFonts w:hint="eastAsia"/>
                <w:lang w:val="en-GB"/>
              </w:rPr>
              <w:t>2个月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49" w:type="dxa"/>
            <w:vAlign w:val="center"/>
          </w:tcPr>
          <w:p>
            <w:pPr>
              <w:pStyle w:val="73"/>
              <w:rPr>
                <w:lang w:val="en-GB"/>
              </w:rPr>
            </w:pPr>
            <w:r>
              <w:rPr>
                <w:rFonts w:hint="eastAsia"/>
                <w:lang w:val="en-GB"/>
              </w:rPr>
              <w:t>阀控铅酸电池（5年寿命）</w:t>
            </w:r>
          </w:p>
        </w:tc>
        <w:tc>
          <w:tcPr>
            <w:tcW w:w="2335" w:type="dxa"/>
            <w:vAlign w:val="center"/>
          </w:tcPr>
          <w:p>
            <w:pPr>
              <w:pStyle w:val="73"/>
              <w:rPr>
                <w:lang w:val="en-GB"/>
              </w:rPr>
            </w:pPr>
            <w:r>
              <w:rPr>
                <w:lang w:val="en-GB"/>
              </w:rPr>
              <w:t>5</w:t>
            </w:r>
            <w:r>
              <w:rPr>
                <w:rFonts w:hint="eastAsia"/>
                <w:lang w:val="en-GB"/>
              </w:rPr>
              <w:t>年</w:t>
            </w:r>
          </w:p>
        </w:tc>
        <w:tc>
          <w:tcPr>
            <w:tcW w:w="1701" w:type="dxa"/>
            <w:vAlign w:val="center"/>
          </w:tcPr>
          <w:p>
            <w:pPr>
              <w:pStyle w:val="73"/>
              <w:rPr>
                <w:lang w:val="en-GB"/>
              </w:rPr>
            </w:pPr>
            <w:r>
              <w:rPr>
                <w:lang w:val="en-GB"/>
              </w:rPr>
              <w:t>3</w:t>
            </w:r>
            <w:r>
              <w:rPr>
                <w:rFonts w:hint="eastAsia"/>
              </w:rPr>
              <w:t>年</w:t>
            </w:r>
            <w:r>
              <w:rPr>
                <w:rFonts w:hint="eastAsia"/>
                <w:lang w:val="en-GB"/>
              </w:rPr>
              <w:t>～</w:t>
            </w:r>
            <w:r>
              <w:rPr>
                <w:lang w:val="en-GB"/>
              </w:rPr>
              <w:t>4年</w:t>
            </w:r>
          </w:p>
        </w:tc>
        <w:tc>
          <w:tcPr>
            <w:tcW w:w="1701" w:type="dxa"/>
            <w:vAlign w:val="center"/>
          </w:tcPr>
          <w:p>
            <w:pPr>
              <w:pStyle w:val="73"/>
              <w:rPr>
                <w:lang w:val="en-GB"/>
              </w:rPr>
            </w:pPr>
            <w:r>
              <w:rPr>
                <w:rFonts w:hint="eastAsia"/>
                <w:lang w:val="en-GB"/>
              </w:rPr>
              <w:t>6个月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49" w:type="dxa"/>
            <w:vAlign w:val="center"/>
          </w:tcPr>
          <w:p>
            <w:pPr>
              <w:pStyle w:val="73"/>
              <w:rPr>
                <w:lang w:val="en-GB"/>
              </w:rPr>
            </w:pPr>
            <w:r>
              <w:rPr>
                <w:rFonts w:hint="eastAsia"/>
                <w:lang w:val="en-GB"/>
              </w:rPr>
              <w:t>阀控铅酸电池（10年寿命）</w:t>
            </w:r>
            <w:bookmarkStart w:id="1242" w:name="_Hlt323887617"/>
            <w:bookmarkEnd w:id="1242"/>
          </w:p>
        </w:tc>
        <w:tc>
          <w:tcPr>
            <w:tcW w:w="2335" w:type="dxa"/>
            <w:vAlign w:val="center"/>
          </w:tcPr>
          <w:p>
            <w:pPr>
              <w:pStyle w:val="73"/>
              <w:rPr>
                <w:lang w:val="en-GB"/>
              </w:rPr>
            </w:pPr>
            <w:r>
              <w:rPr>
                <w:lang w:val="en-GB"/>
              </w:rPr>
              <w:t>10年</w:t>
            </w:r>
          </w:p>
        </w:tc>
        <w:tc>
          <w:tcPr>
            <w:tcW w:w="1701" w:type="dxa"/>
            <w:vAlign w:val="center"/>
          </w:tcPr>
          <w:p>
            <w:pPr>
              <w:pStyle w:val="73"/>
              <w:rPr>
                <w:lang w:val="en-GB"/>
              </w:rPr>
            </w:pPr>
            <w:r>
              <w:rPr>
                <w:lang w:val="en-GB"/>
              </w:rPr>
              <w:t>6</w:t>
            </w:r>
            <w:r>
              <w:rPr>
                <w:rFonts w:hint="eastAsia"/>
              </w:rPr>
              <w:t>年</w:t>
            </w:r>
            <w:r>
              <w:rPr>
                <w:rFonts w:hint="eastAsia"/>
                <w:lang w:val="en-GB"/>
              </w:rPr>
              <w:t>～</w:t>
            </w:r>
            <w:r>
              <w:rPr>
                <w:lang w:val="en-GB"/>
              </w:rPr>
              <w:t>8年</w:t>
            </w:r>
          </w:p>
        </w:tc>
        <w:tc>
          <w:tcPr>
            <w:tcW w:w="1701" w:type="dxa"/>
            <w:vAlign w:val="center"/>
          </w:tcPr>
          <w:p>
            <w:pPr>
              <w:pStyle w:val="73"/>
              <w:rPr>
                <w:lang w:val="en-GB"/>
              </w:rPr>
            </w:pPr>
            <w:r>
              <w:rPr>
                <w:rFonts w:hint="eastAsia"/>
                <w:lang w:val="en-GB"/>
              </w:rPr>
              <w:t>6个月</w:t>
            </w:r>
          </w:p>
        </w:tc>
      </w:tr>
    </w:tbl>
    <w:p>
      <w:pPr>
        <w:pStyle w:val="5"/>
        <w:numPr>
          <w:ilvl w:val="2"/>
          <w:numId w:val="18"/>
        </w:numPr>
        <w:rPr>
          <w:szCs w:val="22"/>
          <w:lang w:val="en-GB"/>
        </w:rPr>
      </w:pPr>
      <w:bookmarkStart w:id="1243" w:name="_Toc512794953"/>
      <w:bookmarkStart w:id="1244" w:name="_Toc193075913"/>
      <w:bookmarkStart w:id="1245" w:name="_Toc212952061"/>
      <w:bookmarkStart w:id="1246" w:name="_Toc3693"/>
      <w:bookmarkStart w:id="1247" w:name="_Toc23268"/>
      <w:r>
        <w:rPr>
          <w:rFonts w:hint="eastAsia"/>
          <w:szCs w:val="22"/>
          <w:lang w:val="en-GB"/>
        </w:rPr>
        <w:t>更换保险</w:t>
      </w:r>
      <w:bookmarkEnd w:id="1243"/>
      <w:bookmarkEnd w:id="1244"/>
      <w:bookmarkEnd w:id="1245"/>
      <w:bookmarkEnd w:id="1246"/>
      <w:bookmarkEnd w:id="1247"/>
    </w:p>
    <w:p>
      <w:pPr>
        <w:pStyle w:val="3"/>
      </w:pPr>
      <w:r>
        <w:rPr>
          <w:rFonts w:hint="eastAsia"/>
        </w:rPr>
        <w:t>更换保险时，应使用与原来相同型号的保险，避免因保险盒上的参数丝印而引起误导。</w:t>
      </w:r>
    </w:p>
    <w:p>
      <w:pPr>
        <w:pStyle w:val="5"/>
        <w:numPr>
          <w:ilvl w:val="2"/>
          <w:numId w:val="18"/>
        </w:numPr>
        <w:rPr>
          <w:szCs w:val="22"/>
          <w:lang w:val="en-GB"/>
        </w:rPr>
      </w:pPr>
      <w:bookmarkStart w:id="1248" w:name="_Toc10608"/>
      <w:bookmarkStart w:id="1249" w:name="_Toc512794954"/>
      <w:bookmarkStart w:id="1250" w:name="_Toc24370"/>
      <w:bookmarkStart w:id="1251" w:name="_Toc212952059"/>
      <w:r>
        <w:rPr>
          <w:rFonts w:hint="eastAsia"/>
          <w:szCs w:val="22"/>
          <w:lang w:val="en-GB"/>
        </w:rPr>
        <w:t>更换</w:t>
      </w:r>
      <w:bookmarkStart w:id="1252" w:name="_Hlt323889073"/>
      <w:bookmarkEnd w:id="1252"/>
      <w:r>
        <w:rPr>
          <w:rFonts w:hint="eastAsia"/>
          <w:szCs w:val="22"/>
          <w:lang w:val="en-GB"/>
        </w:rPr>
        <w:t>防尘网</w:t>
      </w:r>
      <w:bookmarkEnd w:id="1248"/>
      <w:bookmarkEnd w:id="1249"/>
      <w:bookmarkEnd w:id="1250"/>
      <w:bookmarkEnd w:id="1251"/>
    </w:p>
    <w:p>
      <w:pPr>
        <w:pStyle w:val="3"/>
      </w:pPr>
      <w:r>
        <w:rPr>
          <w:rFonts w:hint="eastAsia" w:ascii="宋体" w:hAnsi="宋体" w:cs="宋体"/>
        </w:rPr>
        <w:t>防尘网</w:t>
      </w:r>
      <w:r>
        <w:rPr>
          <w:rFonts w:hint="eastAsia"/>
        </w:rPr>
        <w:t>必须定期检查和更换，检查和更换的时间间隔与UPS所处的环境条件有关。通常的环境条件下下，</w:t>
      </w:r>
      <w:r>
        <w:rPr>
          <w:rFonts w:hint="eastAsia" w:ascii="宋体" w:hAnsi="宋体" w:cs="宋体"/>
        </w:rPr>
        <w:t>防尘网</w:t>
      </w:r>
      <w:r>
        <w:rPr>
          <w:rFonts w:hint="eastAsia"/>
        </w:rPr>
        <w:t>应每两个月清洁或更换一次，灰尘较多或其它较恶劣的环境下则需要更频繁的清洁与更换防尘网，在新建的建筑里面也应频繁的检查或更换。</w:t>
      </w:r>
      <w:bookmarkStart w:id="1253" w:name="_Hlt324409335"/>
      <w:bookmarkEnd w:id="1253"/>
    </w:p>
    <w:p>
      <w:pPr>
        <w:pStyle w:val="3"/>
      </w:pPr>
      <w:r>
        <w:rPr>
          <w:rFonts w:hint="eastAsia"/>
        </w:rPr>
        <w:t>防尘网位于前门的内侧，可在机器运行过程中更换</w:t>
      </w:r>
      <w:r>
        <w:rPr>
          <w:rFonts w:hint="eastAsia" w:ascii="宋体" w:hAnsi="宋体" w:cs="宋体"/>
        </w:rPr>
        <w:t>防尘网</w:t>
      </w:r>
      <w:r>
        <w:rPr>
          <w:rFonts w:hint="eastAsia"/>
        </w:rPr>
        <w:t>。</w:t>
      </w:r>
    </w:p>
    <w:p>
      <w:pPr>
        <w:pStyle w:val="3"/>
        <w:rPr>
          <w:lang w:val="en-GB"/>
        </w:rPr>
      </w:pPr>
      <w:r>
        <w:rPr>
          <w:rFonts w:hint="eastAsia"/>
          <w:lang w:val="en-GB"/>
        </w:rPr>
        <w:t>每个防尘网的左侧（打开前门，正视防尘网）有特征进行限位，右侧使用一个固定条将防尘网固定，参见图10-1。</w:t>
      </w:r>
    </w:p>
    <w:p>
      <w:pPr>
        <w:pStyle w:val="3"/>
      </w:pPr>
      <w:r>
        <w:rPr>
          <w:rFonts w:hint="eastAsia"/>
          <w:lang w:val="en-GB"/>
        </w:rPr>
        <w:t>更换步骤如下：</w:t>
      </w:r>
    </w:p>
    <w:p>
      <w:pPr>
        <w:pStyle w:val="3"/>
      </w:pPr>
      <w:r>
        <w:rPr>
          <w:rFonts w:hint="eastAsia"/>
        </w:rPr>
        <w:t>1．打开UPS前门，可见前门内侧防尘网。</w:t>
      </w:r>
    </w:p>
    <w:p>
      <w:pPr>
        <w:pStyle w:val="3"/>
      </w:pPr>
      <w:r>
        <w:rPr>
          <w:rFonts w:hint="eastAsia"/>
        </w:rPr>
        <w:t>2．显示组件下部的防尘网拆除顺序为从下向上拆除。安装时从上往下安装。</w:t>
      </w:r>
    </w:p>
    <w:p>
      <w:pPr>
        <w:pStyle w:val="3"/>
      </w:pPr>
      <w:r>
        <w:rPr>
          <w:rFonts w:hint="eastAsia"/>
        </w:rPr>
        <w:t>3．取下两侧固定条，保存螺钉及该固定条。</w:t>
      </w:r>
    </w:p>
    <w:p>
      <w:pPr>
        <w:pStyle w:val="3"/>
      </w:pPr>
      <w:r>
        <w:rPr>
          <w:rFonts w:hint="eastAsia"/>
        </w:rPr>
        <w:t>4．取下需更换的防尘网。</w:t>
      </w:r>
    </w:p>
    <w:p>
      <w:pPr>
        <w:pStyle w:val="3"/>
      </w:pPr>
      <w:r>
        <w:rPr>
          <w:rFonts w:hint="eastAsia"/>
        </w:rPr>
        <w:t>5．装入干净的防尘网。</w:t>
      </w:r>
    </w:p>
    <w:p>
      <w:pPr>
        <w:pStyle w:val="3"/>
      </w:pPr>
      <w:r>
        <w:rPr>
          <w:rFonts w:hint="eastAsia"/>
        </w:rPr>
        <w:t>6．将取下的固定条安装回原来位置，并拧紧固定螺钉。</w:t>
      </w:r>
    </w:p>
    <w:p>
      <w:pPr>
        <w:pStyle w:val="3"/>
        <w:ind w:left="0"/>
        <w:jc w:val="center"/>
      </w:pPr>
      <w:r>
        <w:drawing>
          <wp:inline distT="0" distB="0" distL="0" distR="0">
            <wp:extent cx="6372225" cy="2461260"/>
            <wp:effectExtent l="0" t="0" r="9525"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138"/>
                    <a:stretch>
                      <a:fillRect/>
                    </a:stretch>
                  </pic:blipFill>
                  <pic:spPr>
                    <a:xfrm>
                      <a:off x="0" y="0"/>
                      <a:ext cx="6372225" cy="2461260"/>
                    </a:xfrm>
                    <a:prstGeom prst="rect">
                      <a:avLst/>
                    </a:prstGeom>
                  </pic:spPr>
                </pic:pic>
              </a:graphicData>
            </a:graphic>
          </wp:inline>
        </w:drawing>
      </w:r>
    </w:p>
    <w:p>
      <w:pPr>
        <w:pStyle w:val="83"/>
        <w:numPr>
          <w:ilvl w:val="6"/>
          <w:numId w:val="20"/>
        </w:numPr>
        <w:rPr>
          <w:lang w:val="en-GB"/>
        </w:rPr>
      </w:pPr>
      <w:r>
        <w:rPr>
          <w:rFonts w:hint="eastAsia"/>
          <w:lang w:val="en-GB"/>
        </w:rPr>
        <w:t>UPS防尘网</w:t>
      </w:r>
    </w:p>
    <w:p>
      <w:pPr>
        <w:pStyle w:val="5"/>
        <w:numPr>
          <w:ilvl w:val="2"/>
          <w:numId w:val="20"/>
        </w:numPr>
        <w:rPr>
          <w:szCs w:val="22"/>
          <w:lang w:val="en-GB"/>
        </w:rPr>
      </w:pPr>
      <w:bookmarkStart w:id="1254" w:name="_Hlt323888878"/>
      <w:bookmarkEnd w:id="1254"/>
      <w:bookmarkStart w:id="1255" w:name="_Toc212952062"/>
      <w:bookmarkStart w:id="1256" w:name="_Toc2777"/>
      <w:bookmarkStart w:id="1257" w:name="_Toc512794955"/>
      <w:bookmarkStart w:id="1258" w:name="_Toc21575"/>
      <w:r>
        <w:rPr>
          <w:rFonts w:hint="eastAsia"/>
          <w:szCs w:val="22"/>
          <w:lang w:val="en-GB"/>
        </w:rPr>
        <w:t>UPS和选件的维护</w:t>
      </w:r>
      <w:bookmarkEnd w:id="1255"/>
      <w:r>
        <w:rPr>
          <w:rFonts w:hint="eastAsia"/>
          <w:szCs w:val="22"/>
          <w:lang w:val="en-GB"/>
        </w:rPr>
        <w:t>与保养</w:t>
      </w:r>
      <w:bookmarkEnd w:id="1256"/>
      <w:bookmarkEnd w:id="1257"/>
      <w:bookmarkEnd w:id="1258"/>
      <w:bookmarkStart w:id="1259" w:name="_Hlt227472917"/>
    </w:p>
    <w:bookmarkEnd w:id="1259"/>
    <w:p>
      <w:pPr>
        <w:pStyle w:val="3"/>
      </w:pPr>
      <w:r>
        <w:rPr>
          <w:rFonts w:hint="eastAsia"/>
        </w:rPr>
        <w:t>UPS及其选件需要以下常识性的维护工作：</w:t>
      </w:r>
    </w:p>
    <w:p>
      <w:pPr>
        <w:pStyle w:val="3"/>
        <w:rPr>
          <w:rFonts w:ascii="宋体" w:hAnsi="宋体"/>
        </w:rPr>
      </w:pPr>
      <w:r>
        <w:rPr>
          <w:rFonts w:hint="eastAsia"/>
        </w:rPr>
        <w:t>1．做好历史记录。做好历史记录有利于故障处理</w:t>
      </w:r>
      <w:r>
        <w:rPr>
          <w:rFonts w:hint="eastAsia" w:ascii="宋体" w:hAnsi="宋体"/>
        </w:rPr>
        <w:t>。</w:t>
      </w:r>
    </w:p>
    <w:p>
      <w:pPr>
        <w:pStyle w:val="3"/>
      </w:pPr>
      <w:r>
        <w:rPr>
          <w:rFonts w:hint="eastAsia"/>
        </w:rPr>
        <w:t>2．保持清洁，使UPS免受尘埃和潮湿的侵袭。</w:t>
      </w:r>
    </w:p>
    <w:p>
      <w:pPr>
        <w:pStyle w:val="3"/>
        <w:rPr>
          <w:rFonts w:ascii="宋体" w:hAnsi="宋体"/>
        </w:rPr>
      </w:pPr>
      <w:r>
        <w:rPr>
          <w:rFonts w:hint="eastAsia"/>
        </w:rPr>
        <w:t>3．</w:t>
      </w:r>
      <w:r>
        <w:rPr>
          <w:rFonts w:hint="eastAsia" w:ascii="宋体" w:hAnsi="宋体"/>
        </w:rPr>
        <w:t>保持适宜的环境温度。电池</w:t>
      </w:r>
      <w:r>
        <w:rPr>
          <w:rFonts w:hint="eastAsia"/>
        </w:rPr>
        <w:t>最适宜温度是20℃～25℃，温度过低会减小电池容量，过高会减小电池寿命。</w:t>
      </w:r>
    </w:p>
    <w:p>
      <w:pPr>
        <w:pStyle w:val="3"/>
      </w:pPr>
      <w:r>
        <w:rPr>
          <w:rFonts w:hint="eastAsia"/>
        </w:rPr>
        <w:t>4．检查连接。检查所有连接螺钉的紧固性，每年最少例行紧固一次。</w:t>
      </w:r>
    </w:p>
    <w:p>
      <w:pPr>
        <w:pStyle w:val="3"/>
      </w:pPr>
      <w:r>
        <w:rPr>
          <w:rFonts w:hint="eastAsia"/>
        </w:rPr>
        <w:t>5．定期检查UPS的上级或下级开关有无异常情况，以保证电流过大时能切断输入或输出。</w:t>
      </w:r>
    </w:p>
    <w:p>
      <w:pPr>
        <w:pStyle w:val="3"/>
      </w:pPr>
      <w:r>
        <w:rPr>
          <w:rFonts w:hint="eastAsia"/>
        </w:rPr>
        <w:t>维护人员应熟悉UPS工作的典型环境条件，以便能迅速定位哪些环境条件是异常的；也应熟悉UPS操作控制显示面板的设置</w:t>
      </w:r>
      <w:bookmarkStart w:id="1260" w:name="_Hlt323895201"/>
      <w:bookmarkEnd w:id="1260"/>
      <w:r>
        <w:rPr>
          <w:rFonts w:hint="eastAsia"/>
        </w:rPr>
        <w:t>。UPS电池的维护参见</w:t>
      </w:r>
      <w:r>
        <w:rPr>
          <w:rFonts w:hint="eastAsia"/>
          <w:i/>
          <w:iCs/>
        </w:rPr>
        <w:t>6.1</w:t>
      </w:r>
      <w:r>
        <w:rPr>
          <w:i/>
          <w:iCs/>
        </w:rPr>
        <w:t>0</w:t>
      </w:r>
      <w:r>
        <w:rPr>
          <w:rFonts w:hint="eastAsia"/>
          <w:i/>
          <w:iCs/>
        </w:rPr>
        <w:t>电池的维护</w:t>
      </w:r>
      <w:r>
        <w:rPr>
          <w:rFonts w:hint="eastAsia"/>
        </w:rPr>
        <w:t>。</w:t>
      </w:r>
    </w:p>
    <w:p>
      <w:pPr>
        <w:pStyle w:val="208"/>
        <w:spacing w:before="240"/>
        <w:jc w:val="both"/>
        <w:rPr>
          <w:rFonts w:eastAsia="宋体"/>
        </w:rPr>
      </w:pPr>
    </w:p>
    <w:p>
      <w:pPr>
        <w:pStyle w:val="208"/>
        <w:spacing w:before="240"/>
        <w:jc w:val="both"/>
        <w:rPr>
          <w:rFonts w:eastAsia="宋体"/>
        </w:rPr>
      </w:pPr>
    </w:p>
    <w:p>
      <w:pPr>
        <w:spacing w:line="540" w:lineRule="exact"/>
        <w:ind w:left="420"/>
        <w:jc w:val="left"/>
        <w:rPr>
          <w:rFonts w:ascii="微软雅黑" w:hAnsi="微软雅黑" w:eastAsia="微软雅黑"/>
          <w:color w:val="404040"/>
          <w:spacing w:val="20"/>
          <w:sz w:val="24"/>
        </w:rPr>
      </w:pPr>
    </w:p>
    <w:p>
      <w:pPr>
        <w:spacing w:line="540" w:lineRule="exact"/>
        <w:ind w:left="420"/>
        <w:jc w:val="left"/>
        <w:rPr>
          <w:rFonts w:ascii="微软雅黑" w:hAnsi="微软雅黑" w:eastAsia="微软雅黑"/>
          <w:color w:val="404040"/>
          <w:spacing w:val="20"/>
          <w:sz w:val="24"/>
        </w:rPr>
      </w:pPr>
    </w:p>
    <w:p>
      <w:pPr>
        <w:spacing w:line="540" w:lineRule="exact"/>
        <w:ind w:left="420"/>
        <w:jc w:val="left"/>
        <w:rPr>
          <w:rFonts w:ascii="微软雅黑" w:hAnsi="微软雅黑" w:eastAsia="微软雅黑"/>
          <w:color w:val="404040"/>
          <w:spacing w:val="20"/>
          <w:sz w:val="24"/>
        </w:rPr>
      </w:pPr>
    </w:p>
    <w:p>
      <w:pPr>
        <w:spacing w:line="540" w:lineRule="exact"/>
        <w:ind w:left="420"/>
        <w:jc w:val="left"/>
        <w:rPr>
          <w:rFonts w:ascii="微软雅黑" w:hAnsi="微软雅黑" w:eastAsia="微软雅黑"/>
          <w:color w:val="404040"/>
          <w:spacing w:val="20"/>
          <w:sz w:val="24"/>
        </w:rPr>
      </w:pPr>
    </w:p>
    <w:p>
      <w:pPr>
        <w:spacing w:line="540" w:lineRule="exact"/>
        <w:ind w:left="420"/>
        <w:jc w:val="left"/>
        <w:rPr>
          <w:rFonts w:ascii="微软雅黑" w:hAnsi="微软雅黑" w:eastAsia="微软雅黑"/>
          <w:color w:val="404040"/>
          <w:spacing w:val="20"/>
          <w:sz w:val="24"/>
        </w:rPr>
      </w:pPr>
    </w:p>
    <w:p>
      <w:pPr>
        <w:spacing w:line="540" w:lineRule="exact"/>
        <w:ind w:left="420"/>
        <w:jc w:val="left"/>
        <w:rPr>
          <w:rFonts w:ascii="微软雅黑" w:hAnsi="微软雅黑" w:eastAsia="微软雅黑"/>
          <w:color w:val="404040"/>
          <w:spacing w:val="20"/>
          <w:sz w:val="24"/>
        </w:rPr>
        <w:sectPr>
          <w:headerReference r:id="rId31" w:type="default"/>
          <w:headerReference r:id="rId32" w:type="even"/>
          <w:pgSz w:w="11906" w:h="16838"/>
          <w:pgMar w:top="1304" w:right="737" w:bottom="1134" w:left="1134" w:header="851" w:footer="737" w:gutter="0"/>
          <w:cols w:space="720" w:num="1"/>
          <w:docGrid w:type="lines" w:linePitch="312" w:charSpace="0"/>
        </w:sectPr>
      </w:pPr>
    </w:p>
    <w:bookmarkEnd w:id="1193"/>
    <w:p>
      <w:pPr>
        <w:spacing w:line="540" w:lineRule="exact"/>
        <w:ind w:left="420"/>
        <w:jc w:val="left"/>
        <w:rPr>
          <w:rFonts w:ascii="微软雅黑" w:hAnsi="微软雅黑" w:eastAsia="微软雅黑"/>
          <w:color w:val="404040"/>
          <w:spacing w:val="20"/>
          <w:sz w:val="24"/>
        </w:rPr>
      </w:pPr>
    </w:p>
    <w:p>
      <w:pPr>
        <w:spacing w:line="540" w:lineRule="exact"/>
        <w:ind w:left="420"/>
        <w:jc w:val="left"/>
        <w:rPr>
          <w:rFonts w:ascii="微软雅黑" w:hAnsi="微软雅黑" w:eastAsia="微软雅黑"/>
          <w:color w:val="404040"/>
          <w:spacing w:val="20"/>
          <w:sz w:val="24"/>
        </w:rPr>
      </w:pPr>
    </w:p>
    <w:p>
      <w:pPr>
        <w:spacing w:line="540" w:lineRule="exact"/>
        <w:ind w:left="420"/>
        <w:jc w:val="left"/>
        <w:rPr>
          <w:rFonts w:ascii="微软雅黑" w:hAnsi="微软雅黑" w:eastAsia="微软雅黑"/>
          <w:color w:val="404040"/>
          <w:spacing w:val="20"/>
          <w:sz w:val="24"/>
        </w:rPr>
      </w:pPr>
    </w:p>
    <w:p>
      <w:pPr>
        <w:spacing w:line="540" w:lineRule="exact"/>
        <w:ind w:left="420"/>
        <w:jc w:val="left"/>
        <w:rPr>
          <w:rFonts w:ascii="微软雅黑" w:hAnsi="微软雅黑" w:eastAsia="微软雅黑"/>
          <w:color w:val="404040"/>
          <w:spacing w:val="20"/>
          <w:sz w:val="24"/>
        </w:rPr>
      </w:pPr>
    </w:p>
    <w:p>
      <w:pPr>
        <w:spacing w:line="540" w:lineRule="exact"/>
        <w:ind w:left="420"/>
        <w:jc w:val="left"/>
        <w:rPr>
          <w:rFonts w:ascii="微软雅黑" w:hAnsi="微软雅黑" w:eastAsia="微软雅黑"/>
          <w:color w:val="404040"/>
          <w:spacing w:val="20"/>
          <w:sz w:val="24"/>
        </w:rPr>
      </w:pPr>
    </w:p>
    <w:p>
      <w:pPr>
        <w:spacing w:line="540" w:lineRule="exact"/>
        <w:ind w:left="420"/>
        <w:jc w:val="left"/>
        <w:rPr>
          <w:rFonts w:ascii="微软雅黑" w:hAnsi="微软雅黑" w:eastAsia="微软雅黑"/>
          <w:color w:val="404040"/>
          <w:spacing w:val="20"/>
          <w:sz w:val="24"/>
        </w:rPr>
      </w:pPr>
    </w:p>
    <w:p>
      <w:pPr>
        <w:spacing w:line="540" w:lineRule="exact"/>
        <w:ind w:left="420"/>
        <w:jc w:val="right"/>
        <w:rPr>
          <w:rFonts w:ascii="微软雅黑" w:hAnsi="微软雅黑" w:eastAsia="微软雅黑"/>
          <w:color w:val="404040"/>
          <w:spacing w:val="20"/>
          <w:sz w:val="24"/>
        </w:rPr>
      </w:pPr>
    </w:p>
    <w:p>
      <w:pPr>
        <w:spacing w:line="540" w:lineRule="exact"/>
        <w:ind w:left="420"/>
        <w:jc w:val="left"/>
        <w:rPr>
          <w:rFonts w:ascii="微软雅黑" w:hAnsi="微软雅黑" w:eastAsia="微软雅黑"/>
          <w:color w:val="404040"/>
          <w:spacing w:val="20"/>
          <w:sz w:val="24"/>
        </w:rPr>
      </w:pPr>
    </w:p>
    <w:p>
      <w:pPr>
        <w:spacing w:before="240" w:line="540" w:lineRule="exact"/>
        <w:ind w:left="420"/>
        <w:jc w:val="left"/>
        <w:rPr>
          <w:rFonts w:ascii="微软雅黑" w:hAnsi="微软雅黑" w:eastAsia="微软雅黑"/>
          <w:color w:val="404040"/>
          <w:spacing w:val="20"/>
          <w:sz w:val="24"/>
        </w:rPr>
      </w:pPr>
    </w:p>
    <w:p>
      <w:pPr>
        <w:spacing w:line="540" w:lineRule="exact"/>
        <w:ind w:left="420"/>
        <w:jc w:val="left"/>
        <w:rPr>
          <w:rFonts w:ascii="微软雅黑" w:hAnsi="微软雅黑" w:eastAsia="微软雅黑"/>
          <w:color w:val="404040"/>
          <w:spacing w:val="20"/>
          <w:sz w:val="24"/>
        </w:rPr>
      </w:pPr>
    </w:p>
    <w:p>
      <w:pPr>
        <w:spacing w:line="540" w:lineRule="exact"/>
        <w:ind w:left="420"/>
        <w:jc w:val="left"/>
        <w:rPr>
          <w:rFonts w:ascii="微软雅黑" w:hAnsi="微软雅黑" w:eastAsia="微软雅黑"/>
          <w:color w:val="404040"/>
          <w:spacing w:val="20"/>
          <w:sz w:val="24"/>
        </w:rPr>
      </w:pPr>
    </w:p>
    <w:p>
      <w:pPr>
        <w:tabs>
          <w:tab w:val="left" w:pos="6555"/>
        </w:tabs>
        <w:spacing w:line="540" w:lineRule="exact"/>
        <w:ind w:left="420"/>
        <w:jc w:val="left"/>
        <w:rPr>
          <w:rFonts w:ascii="微软雅黑" w:hAnsi="微软雅黑" w:eastAsia="微软雅黑"/>
          <w:color w:val="404040"/>
          <w:spacing w:val="20"/>
          <w:sz w:val="24"/>
        </w:rPr>
      </w:pPr>
      <w:r>
        <w:rPr>
          <w:rFonts w:ascii="微软雅黑" w:hAnsi="微软雅黑" w:eastAsia="微软雅黑"/>
          <w:color w:val="404040"/>
          <w:spacing w:val="20"/>
          <w:sz w:val="24"/>
        </w:rPr>
        <w:tab/>
      </w:r>
      <w:r>
        <w:rPr>
          <w:rFonts w:ascii="微软雅黑" w:hAnsi="微软雅黑" w:eastAsia="微软雅黑"/>
          <w:color w:val="404040"/>
          <w:spacing w:val="20"/>
          <w:sz w:val="24"/>
        </w:rPr>
        <w:tab/>
      </w:r>
    </w:p>
    <w:p>
      <w:pPr>
        <w:tabs>
          <w:tab w:val="left" w:pos="1870"/>
        </w:tabs>
        <w:spacing w:line="540" w:lineRule="exact"/>
        <w:ind w:left="420"/>
        <w:jc w:val="left"/>
        <w:rPr>
          <w:rFonts w:ascii="微软雅黑" w:hAnsi="微软雅黑" w:eastAsia="微软雅黑"/>
          <w:color w:val="404040"/>
          <w:spacing w:val="20"/>
          <w:sz w:val="24"/>
        </w:rPr>
      </w:pPr>
      <w:r>
        <w:rPr>
          <w:rFonts w:ascii="微软雅黑" w:hAnsi="微软雅黑" w:eastAsia="微软雅黑"/>
          <w:color w:val="404040"/>
          <w:spacing w:val="20"/>
          <w:sz w:val="24"/>
        </w:rPr>
        <w:tab/>
      </w:r>
    </w:p>
    <w:p>
      <w:pPr>
        <w:spacing w:line="540" w:lineRule="exact"/>
        <w:ind w:left="420"/>
        <w:jc w:val="left"/>
        <w:rPr>
          <w:rFonts w:ascii="微软雅黑" w:hAnsi="微软雅黑" w:eastAsia="微软雅黑"/>
          <w:color w:val="404040"/>
          <w:spacing w:val="20"/>
          <w:sz w:val="24"/>
        </w:rPr>
      </w:pPr>
    </w:p>
    <w:p>
      <w:pPr>
        <w:spacing w:line="540" w:lineRule="exact"/>
        <w:ind w:left="420"/>
        <w:jc w:val="left"/>
        <w:rPr>
          <w:rFonts w:ascii="微软雅黑" w:hAnsi="微软雅黑" w:eastAsia="微软雅黑"/>
          <w:color w:val="404040"/>
          <w:spacing w:val="20"/>
          <w:sz w:val="24"/>
        </w:rPr>
      </w:pPr>
    </w:p>
    <w:p>
      <w:pPr>
        <w:spacing w:line="540" w:lineRule="exact"/>
        <w:ind w:left="420"/>
        <w:jc w:val="left"/>
        <w:rPr>
          <w:rFonts w:ascii="微软雅黑" w:hAnsi="微软雅黑" w:eastAsia="微软雅黑"/>
          <w:color w:val="404040"/>
          <w:spacing w:val="20"/>
          <w:sz w:val="24"/>
        </w:rPr>
      </w:pPr>
    </w:p>
    <w:p>
      <w:pPr>
        <w:tabs>
          <w:tab w:val="left" w:pos="3224"/>
        </w:tabs>
        <w:jc w:val="left"/>
        <w:rPr>
          <w:rFonts w:ascii="微软雅黑" w:hAnsi="微软雅黑" w:eastAsia="微软雅黑"/>
          <w:color w:val="404040"/>
          <w:spacing w:val="20"/>
          <w:sz w:val="24"/>
        </w:rPr>
      </w:pPr>
    </w:p>
    <w:p>
      <w:pPr>
        <w:pStyle w:val="200"/>
        <w:widowControl/>
        <w:spacing w:line="360" w:lineRule="exact"/>
        <w:ind w:left="0" w:right="1134"/>
        <w:rPr>
          <w:b/>
          <w:bCs/>
        </w:rPr>
      </w:pPr>
    </w:p>
    <w:p>
      <w:pPr>
        <w:spacing w:line="540" w:lineRule="exact"/>
        <w:ind w:left="420"/>
        <w:jc w:val="left"/>
        <w:rPr>
          <w:rFonts w:ascii="微软雅黑" w:hAnsi="微软雅黑" w:eastAsia="微软雅黑"/>
          <w:color w:val="404040"/>
          <w:spacing w:val="20"/>
          <w:sz w:val="24"/>
        </w:rPr>
      </w:pPr>
    </w:p>
    <w:p>
      <w:pPr>
        <w:spacing w:line="540" w:lineRule="exact"/>
        <w:ind w:left="420"/>
        <w:jc w:val="left"/>
        <w:rPr>
          <w:rFonts w:ascii="微软雅黑" w:hAnsi="微软雅黑" w:eastAsia="微软雅黑"/>
          <w:color w:val="404040"/>
          <w:spacing w:val="20"/>
          <w:sz w:val="24"/>
        </w:rPr>
      </w:pPr>
    </w:p>
    <w:sectPr>
      <w:headerReference r:id="rId33" w:type="default"/>
      <w:footerReference r:id="rId34" w:type="default"/>
      <w:pgSz w:w="11906" w:h="16838"/>
      <w:pgMar w:top="1304" w:right="737" w:bottom="1134" w:left="1134" w:header="851" w:footer="737"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enturySchoolbook">
    <w:altName w:val="Times New Roman"/>
    <w:panose1 w:val="00000000000000000000"/>
    <w:charset w:val="00"/>
    <w:family w:val="roman"/>
    <w:pitch w:val="default"/>
    <w:sig w:usb0="00000000" w:usb1="00000000" w:usb2="00000000" w:usb3="00000000" w:csb0="00000001" w:csb1="00000000"/>
  </w:font>
  <w:font w:name="楷体_GB2312">
    <w:altName w:val="楷体"/>
    <w:panose1 w:val="00000000000000000000"/>
    <w:charset w:val="86"/>
    <w:family w:val="auto"/>
    <w:pitch w:val="default"/>
    <w:sig w:usb0="00000000" w:usb1="0000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思源黑体 CN Medium">
    <w:altName w:val="微软雅黑"/>
    <w:panose1 w:val="00000000000000000000"/>
    <w:charset w:val="86"/>
    <w:family w:val="swiss"/>
    <w:pitch w:val="default"/>
    <w:sig w:usb0="00000000" w:usb1="00000000" w:usb2="00000016" w:usb3="00000000" w:csb0="00060107" w:csb1="00000000"/>
  </w:font>
  <w:font w:name="Century Schoolbook">
    <w:altName w:val="Segoe Print"/>
    <w:panose1 w:val="02040604050505020304"/>
    <w:charset w:val="00"/>
    <w:family w:val="roman"/>
    <w:pitch w:val="default"/>
    <w:sig w:usb0="00000000" w:usb1="00000000" w:usb2="00000000" w:usb3="00000000" w:csb0="2000009F" w:csb1="DFD7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 w:name="汉仪超粗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1"/>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Pr>
    <w:r>
      <w:pict>
        <v:shape id="文本框 151" o:spid="_x0000_s1028" o:spt="202" type="#_x0000_t202" style="position:absolute;left:0pt;margin-top:0pt;height:16.5pt;width:8.15pt;mso-position-horizontal:center;mso-position-horizontal-relative:margin;mso-wrap-style:none;z-index:25166131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">
          <v:path/>
          <v:fill on="f" focussize="0,0"/>
          <v:stroke on="f" joinstyle="miter"/>
          <v:imagedata o:title=""/>
          <o:lock v:ext="edit"/>
          <v:textbox inset="0mm,0mm,0mm,0mm" style="mso-fit-shape-to-text:t;">
            <w:txbxContent>
              <w:p>
                <w:pPr>
                  <w:rPr>
                    <w:sz w:val="18"/>
                  </w:rPr>
                </w:pP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1"/>
      <w:jc w:val="center"/>
    </w:pPr>
    <w:r>
      <w:pict>
        <v:shape id="文本框 152" o:spid="_x0000_s1029" o:spt="202" type="#_x0000_t202" style="position:absolute;left:0pt;margin-left:234.6pt;margin-top:-1.25pt;height:144pt;width:144pt;mso-position-horizontal-relative:margin;mso-wrap-style:none;z-index:25166233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">
          <v:path/>
          <v:fill on="f" focussize="0,0"/>
          <v:stroke on="f" joinstyle="miter"/>
          <v:imagedata o:title=""/>
          <o:lock v:ext="edit"/>
          <v:textbox inset="0mm,0mm,0mm,0mm" style="mso-fit-shape-to-text:t;">
            <w:txbxContent>
              <w:p>
                <w:r>
                  <w:fldChar w:fldCharType="begin"/>
                </w:r>
                <w:r>
                  <w:instrText xml:space="preserve"> PAGE  \* MERGEFORMAT </w:instrText>
                </w:r>
                <w:r>
                  <w:fldChar w:fldCharType="separate"/>
                </w:r>
                <w:r>
                  <w:t>46</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Pr>
  </w:p>
  <w:p>
    <w:pPr>
      <w:pStyle w:val="3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1"/>
      <w:jc w:val="center"/>
    </w:pPr>
    <w:r>
      <w:pict>
        <v:shape id="文本框 150" o:spid="_x0000_s1027" o:spt="202" type="#_x0000_t202" style="position:absolute;left:0pt;margin-left:235.8pt;margin-top:-2.5pt;height:144pt;width:144pt;mso-position-horizontal-relative:margin;mso-wrap-style:none;z-index:25166028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">
          <v:path/>
          <v:fill on="f" focussize="0,0"/>
          <v:stroke on="f" joinstyle="miter"/>
          <v:imagedata o:title=""/>
          <o:lock v:ext="edit"/>
          <v:textbox inset="0mm,0mm,0mm,0mm" style="mso-fit-shape-to-text:t;">
            <w:txbxContent>
              <w:p>
                <w:r>
                  <w:fldChar w:fldCharType="begin"/>
                </w:r>
                <w:r>
                  <w:instrText xml:space="preserve"> PAGE  \* MERGEFORMAT </w:instrText>
                </w:r>
                <w:r>
                  <w:fldChar w:fldCharType="separate"/>
                </w:r>
                <w:r>
                  <w:t>8</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jc w:val="center"/>
    </w:pPr>
    <w:r>
      <w:fldChar w:fldCharType="begin"/>
    </w:r>
    <w:r>
      <w:instrText xml:space="preserve">PAGE   \* MERGEFORMAT</w:instrText>
    </w:r>
    <w:r>
      <w:fldChar w:fldCharType="separate"/>
    </w:r>
    <w:r>
      <w:rPr>
        <w:lang w:val="zh-CN"/>
      </w:rPr>
      <w:t>12</w:t>
    </w:r>
    <w:r>
      <w:rPr>
        <w:lang w:val="zh-CN"/>
      </w:rPr>
      <w:fldChar w:fldCharType="end"/>
    </w:r>
  </w:p>
  <w:p>
    <w:pPr>
      <w:tabs>
        <w:tab w:val="center" w:pos="5017"/>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文本框 149" o:spid="_x0000_s1026" o:spt="202" type="#_x0000_t202" style="position:absolute;left:0pt;margin-left:242pt;margin-top:1.9pt;height:144pt;width:144pt;mso-position-horizontal-relative:margin;mso-wrap-style:none;z-index:25166438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">
          <v:path/>
          <v:fill on="f" focussize="0,0"/>
          <v:stroke on="f" joinstyle="miter"/>
          <v:imagedata o:title=""/>
          <o:lock v:ext="edit"/>
          <v:textbox inset="0mm,0mm,0mm,0mm" style="mso-fit-shape-to-text:t;">
            <w:txbxContent>
              <w:p>
                <w:r>
                  <w:fldChar w:fldCharType="begin"/>
                </w:r>
                <w:r>
                  <w:instrText xml:space="preserve"> PAGE  \* MERGEFORMAT </w:instrText>
                </w:r>
                <w:r>
                  <w:fldChar w:fldCharType="separate"/>
                </w:r>
                <w:r>
                  <w:t>20</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jc w:val="center"/>
    </w:pPr>
    <w:r>
      <w:fldChar w:fldCharType="begin"/>
    </w:r>
    <w:r>
      <w:instrText xml:space="preserve">PAGE   \* MERGEFORMAT</w:instrText>
    </w:r>
    <w:r>
      <w:fldChar w:fldCharType="separate"/>
    </w:r>
    <w:r>
      <w:rPr>
        <w:lang w:val="zh-CN"/>
      </w:rPr>
      <w:t>64</w:t>
    </w:r>
    <w:r>
      <w:rPr>
        <w:lang w:val="zh-CN"/>
      </w:rPr>
      <w:fldChar w:fldCharType="end"/>
    </w:r>
  </w:p>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rPr>
        <w:rStyle w:val="54"/>
      </w:rPr>
    </w:pPr>
    <w:r>
      <w:pict>
        <v:shape id="文本框 145" o:spid="_x0000_s1025" o:spt="202" type="#_x0000_t202" style="position:absolute;left:0pt;margin-left:242.6pt;margin-top:1.9pt;height:144pt;width:144pt;mso-position-horizontal-relative:margin;mso-wrap-style:none;z-index:25166336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">
          <v:path/>
          <v:fill on="f" focussize="0,0"/>
          <v:stroke on="f" joinstyle="miter"/>
          <v:imagedata o:title=""/>
          <o:lock v:ext="edit"/>
          <v:textbox inset="0mm,0mm,0mm,0mm" style="mso-fit-shape-to-text:t;">
            <w:txbxContent>
              <w:p>
                <w:r>
                  <w:fldChar w:fldCharType="begin"/>
                </w:r>
                <w:r>
                  <w:instrText xml:space="preserve"> PAGE  \* MERGEFORMAT </w:instrText>
                </w:r>
                <w:r>
                  <w:fldChar w:fldCharType="separate"/>
                </w:r>
                <w:r>
                  <w:t>82</w:t>
                </w:r>
                <w: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Pr>
    <w:r>
      <w:rPr>
        <w:rFonts w:hint="eastAsia"/>
      </w:rPr>
      <w:t>第六章操作步骤  31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Pr>
    <w:r>
      <w:rPr>
        <w:rFonts w:hint="eastAsia"/>
      </w:rPr>
      <w:t>第一章产品概述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Pr>
    <w:r>
      <w:rPr>
        <w:rFonts w:hint="eastAsia"/>
      </w:rPr>
      <w:t>第二章机械安装</w:t>
    </w:r>
  </w:p>
  <w:p>
    <w:pPr>
      <w:pStyle w:val="38"/>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Pr>
    <w:r>
      <w:rPr>
        <w:rFonts w:hint="eastAsia"/>
      </w:rPr>
      <w:t>第二章机械安装</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Pr>
    <w:r>
      <w:rPr>
        <w:rFonts w:hint="eastAsia"/>
      </w:rPr>
      <w:t>第三章电气安装</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Pr>
    <w:r>
      <w:rPr>
        <w:rFonts w:hint="eastAsia"/>
      </w:rPr>
      <w:t>第四章控制与显示</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Pr>
    <w:r>
      <w:rPr>
        <w:rFonts w:hint="eastAsia"/>
      </w:rPr>
      <w:t>第五章操作步骤</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Pr>
    <w:r>
      <w:rPr>
        <w:rFonts w:hint="eastAsia"/>
      </w:rPr>
      <w:t>第六章电池</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Pr>
    <w:r>
      <w:rPr>
        <w:rFonts w:hint="eastAsia"/>
      </w:rPr>
      <w:t>第七章系统与双母线系统</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Pr>
    <w:r>
      <w:rPr>
        <w:rFonts w:hint="eastAsia"/>
      </w:rPr>
      <w:t>第八章选件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Pr>
    <w:r>
      <w:rPr>
        <w:rFonts w:hint="eastAsia"/>
      </w:rPr>
      <w:t>第九章通信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Bdr>
        <w:bottom w:val="single" w:color="auto" w:sz="4" w:space="1"/>
      </w:pBdr>
    </w:pPr>
    <w:r>
      <w:rPr>
        <w:rFonts w:hint="eastAsia"/>
      </w:rPr>
      <w:t>第十章维护和保养</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Bdr>
        <w:bottom w:val="single" w:color="auto" w:sz="6" w:space="0"/>
      </w:pBdr>
    </w:pPr>
    <w:r>
      <w:rPr>
        <w:rFonts w:hint="eastAsia"/>
      </w:rPr>
      <w:t>第十一章维护和保养</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5C324E"/>
    <w:multiLevelType w:val="singleLevel"/>
    <w:tmpl w:val="A05C324E"/>
    <w:lvl w:ilvl="0" w:tentative="0">
      <w:start w:val="1"/>
      <w:numFmt w:val="decimal"/>
      <w:lvlText w:val="%1."/>
      <w:lvlJc w:val="left"/>
      <w:pPr>
        <w:ind w:left="425" w:hanging="425"/>
      </w:pPr>
      <w:rPr>
        <w:rFonts w:hint="default"/>
      </w:rPr>
    </w:lvl>
  </w:abstractNum>
  <w:abstractNum w:abstractNumId="1">
    <w:nsid w:val="B16AE4E8"/>
    <w:multiLevelType w:val="multilevel"/>
    <w:tmpl w:val="B16AE4E8"/>
    <w:lvl w:ilvl="0" w:tentative="0">
      <w:start w:val="5"/>
      <w:numFmt w:val="chineseCountingThousand"/>
      <w:suff w:val="space"/>
      <w:lvlText w:val="第%1章  "/>
      <w:lvlJc w:val="center"/>
      <w:pPr>
        <w:ind w:left="5670" w:firstLine="0"/>
      </w:pPr>
      <w:rPr>
        <w:rFonts w:hint="eastAsia"/>
      </w:rPr>
    </w:lvl>
    <w:lvl w:ilvl="1" w:tentative="0">
      <w:start w:val="1"/>
      <w:numFmt w:val="decimal"/>
      <w:isLgl/>
      <w:suff w:val="space"/>
      <w:lvlText w:val="2.%2  "/>
      <w:lvlJc w:val="left"/>
      <w:pPr>
        <w:ind w:left="0" w:firstLine="0"/>
      </w:pPr>
      <w:rPr>
        <w:rFonts w:hint="eastAsia"/>
      </w:rPr>
    </w:lvl>
    <w:lvl w:ilvl="2" w:tentative="0">
      <w:start w:val="1"/>
      <w:numFmt w:val="decimal"/>
      <w:isLgl/>
      <w:suff w:val="space"/>
      <w:lvlText w:val="%1.%2.%3  "/>
      <w:lvlJc w:val="left"/>
      <w:pPr>
        <w:ind w:left="454" w:firstLine="255"/>
      </w:pPr>
      <w:rPr>
        <w:rFonts w:hint="eastAsia"/>
      </w:rPr>
    </w:lvl>
    <w:lvl w:ilvl="3" w:tentative="0">
      <w:start w:val="1"/>
      <w:numFmt w:val="none"/>
      <w:suff w:val="space"/>
      <w:lvlText w:val=""/>
      <w:lvlJc w:val="left"/>
      <w:pPr>
        <w:ind w:left="624" w:firstLine="0"/>
      </w:pPr>
      <w:rPr>
        <w:rFonts w:hint="eastAsia"/>
      </w:rPr>
    </w:lvl>
    <w:lvl w:ilvl="4" w:tentative="0">
      <w:start w:val="1"/>
      <w:numFmt w:val="decimal"/>
      <w:suff w:val="space"/>
      <w:lvlText w:val="%5. "/>
      <w:lvlJc w:val="left"/>
      <w:pPr>
        <w:ind w:left="680" w:firstLine="0"/>
      </w:pPr>
      <w:rPr>
        <w:rFonts w:hint="eastAsia"/>
      </w:rPr>
    </w:lvl>
    <w:lvl w:ilvl="5" w:tentative="0">
      <w:start w:val="1"/>
      <w:numFmt w:val="decimal"/>
      <w:lvlRestart w:val="1"/>
      <w:isLgl/>
      <w:suff w:val="nothing"/>
      <w:lvlText w:val="表%1-%6"/>
      <w:lvlJc w:val="center"/>
      <w:pPr>
        <w:ind w:left="4536" w:firstLine="0"/>
      </w:pPr>
      <w:rPr>
        <w:rFonts w:hint="eastAsia"/>
      </w:rPr>
    </w:lvl>
    <w:lvl w:ilvl="6" w:tentative="0">
      <w:start w:val="1"/>
      <w:numFmt w:val="decimal"/>
      <w:lvlRestart w:val="1"/>
      <w:isLgl/>
      <w:suff w:val="nothing"/>
      <w:lvlText w:val="图%1-%7"/>
      <w:lvlJc w:val="center"/>
      <w:pPr>
        <w:ind w:left="4536" w:firstLine="0"/>
      </w:pPr>
      <w:rPr>
        <w:rFonts w:hint="eastAsia"/>
      </w:rPr>
    </w:lvl>
    <w:lvl w:ilvl="7" w:tentative="0">
      <w:start w:val="1"/>
      <w:numFmt w:val="decimal"/>
      <w:lvlRestart w:val="5"/>
      <w:suff w:val="space"/>
      <w:lvlText w:val="(%8)"/>
      <w:lvlJc w:val="left"/>
      <w:pPr>
        <w:ind w:left="1134" w:hanging="227"/>
      </w:pPr>
      <w:rPr>
        <w:rFonts w:hint="eastAsia"/>
      </w:rPr>
    </w:lvl>
    <w:lvl w:ilvl="8" w:tentative="0">
      <w:start w:val="1"/>
      <w:numFmt w:val="bullet"/>
      <w:lvlRestart w:val="5"/>
      <w:suff w:val="space"/>
      <w:lvlText w:val=""/>
      <w:lvlJc w:val="left"/>
      <w:pPr>
        <w:ind w:left="1134" w:hanging="227"/>
      </w:pPr>
      <w:rPr>
        <w:rFonts w:hint="default" w:ascii="Wingdings" w:hAnsi="Wingdings"/>
        <w:color w:val="auto"/>
      </w:rPr>
    </w:lvl>
  </w:abstractNum>
  <w:abstractNum w:abstractNumId="2">
    <w:nsid w:val="FFFFFF83"/>
    <w:multiLevelType w:val="singleLevel"/>
    <w:tmpl w:val="FFFFFF83"/>
    <w:lvl w:ilvl="0" w:tentative="0">
      <w:start w:val="1"/>
      <w:numFmt w:val="bullet"/>
      <w:lvlText w:val=""/>
      <w:lvlJc w:val="left"/>
      <w:pPr>
        <w:tabs>
          <w:tab w:val="left" w:pos="780"/>
        </w:tabs>
        <w:ind w:left="780" w:hanging="360"/>
      </w:pPr>
      <w:rPr>
        <w:rFonts w:hint="default" w:ascii="Wingdings" w:hAnsi="Wingdings"/>
      </w:rPr>
    </w:lvl>
  </w:abstractNum>
  <w:abstractNum w:abstractNumId="3">
    <w:nsid w:val="02B177C9"/>
    <w:multiLevelType w:val="multilevel"/>
    <w:tmpl w:val="02B177C9"/>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C722CC2"/>
    <w:multiLevelType w:val="multilevel"/>
    <w:tmpl w:val="0C722CC2"/>
    <w:lvl w:ilvl="0" w:tentative="0">
      <w:start w:val="3"/>
      <w:numFmt w:val="chineseCounting"/>
      <w:suff w:val="space"/>
      <w:lvlText w:val="第%1章  "/>
      <w:lvlJc w:val="center"/>
      <w:pPr>
        <w:ind w:left="0" w:firstLine="0"/>
      </w:pPr>
      <w:rPr>
        <w:rFonts w:hint="eastAsia" w:ascii="宋体" w:hAnsi="宋体" w:eastAsia="宋体" w:cs="宋体"/>
      </w:rPr>
    </w:lvl>
    <w:lvl w:ilvl="1" w:tentative="0">
      <w:start w:val="1"/>
      <w:numFmt w:val="decimal"/>
      <w:isLgl/>
      <w:suff w:val="space"/>
      <w:lvlText w:val="%1.%2  "/>
      <w:lvlJc w:val="left"/>
      <w:pPr>
        <w:ind w:left="0" w:firstLine="0"/>
      </w:pPr>
      <w:rPr>
        <w:rFonts w:hint="eastAsia" w:ascii="宋体" w:hAnsi="宋体" w:eastAsia="宋体" w:cs="宋体"/>
      </w:rPr>
    </w:lvl>
    <w:lvl w:ilvl="2" w:tentative="0">
      <w:start w:val="1"/>
      <w:numFmt w:val="decimal"/>
      <w:isLgl/>
      <w:suff w:val="space"/>
      <w:lvlText w:val="%1.%2.%3  "/>
      <w:lvlJc w:val="left"/>
      <w:pPr>
        <w:ind w:left="0" w:firstLine="0"/>
      </w:pPr>
      <w:rPr>
        <w:rFonts w:hint="eastAsia" w:ascii="宋体" w:hAnsi="宋体" w:eastAsia="宋体" w:cs="宋体"/>
        <w:b w:val="0"/>
        <w:bCs w:val="0"/>
        <w:i w:val="0"/>
        <w:iCs w:val="0"/>
        <w:caps w:val="0"/>
        <w:smallCaps w:val="0"/>
        <w:strike w:val="0"/>
        <w:dstrike w:val="0"/>
        <w:vanish w:val="0"/>
        <w:spacing w:val="0"/>
        <w:kern w:val="0"/>
        <w:position w:val="0"/>
        <w:u w:val="none"/>
        <w:vertAlign w:val="baseline"/>
      </w:rPr>
    </w:lvl>
    <w:lvl w:ilvl="3" w:tentative="0">
      <w:start w:val="1"/>
      <w:numFmt w:val="none"/>
      <w:suff w:val="nothing"/>
      <w:lvlText w:val=""/>
      <w:lvlJc w:val="left"/>
      <w:pPr>
        <w:ind w:left="680" w:firstLine="0"/>
      </w:pPr>
      <w:rPr>
        <w:rFonts w:hint="eastAsia" w:ascii="宋体" w:hAnsi="宋体" w:eastAsia="宋体" w:cs="宋体"/>
      </w:rPr>
    </w:lvl>
    <w:lvl w:ilvl="4" w:tentative="0">
      <w:start w:val="1"/>
      <w:numFmt w:val="none"/>
      <w:suff w:val="space"/>
      <w:lvlText w:val=""/>
      <w:lvlJc w:val="left"/>
      <w:pPr>
        <w:ind w:left="680" w:firstLine="0"/>
      </w:pPr>
      <w:rPr>
        <w:rFonts w:hint="eastAsia" w:ascii="宋体" w:hAnsi="宋体" w:eastAsia="宋体" w:cs="宋体"/>
      </w:rPr>
    </w:lvl>
    <w:lvl w:ilvl="5" w:tentative="0">
      <w:start w:val="1"/>
      <w:numFmt w:val="decimal"/>
      <w:lvlRestart w:val="1"/>
      <w:isLgl/>
      <w:suff w:val="nothing"/>
      <w:lvlText w:val="表%1-%6  "/>
      <w:lvlJc w:val="center"/>
      <w:pPr>
        <w:ind w:left="0" w:firstLine="0"/>
      </w:pPr>
      <w:rPr>
        <w:rFonts w:hint="eastAsia" w:ascii="宋体" w:hAnsi="宋体" w:eastAsia="宋体" w:cs="宋体"/>
      </w:rPr>
    </w:lvl>
    <w:lvl w:ilvl="6" w:tentative="0">
      <w:start w:val="4"/>
      <w:numFmt w:val="decimal"/>
      <w:lvlRestart w:val="1"/>
      <w:isLgl/>
      <w:suff w:val="nothing"/>
      <w:lvlText w:val="图%1-%7  "/>
      <w:lvlJc w:val="center"/>
      <w:pPr>
        <w:ind w:left="0" w:firstLine="0"/>
      </w:pPr>
      <w:rPr>
        <w:rFonts w:hint="eastAsia" w:ascii="宋体" w:hAnsi="宋体" w:eastAsia="宋体" w:cs="宋体"/>
      </w:rPr>
    </w:lvl>
    <w:lvl w:ilvl="7" w:tentative="0">
      <w:start w:val="1"/>
      <w:numFmt w:val="decimal"/>
      <w:lvlRestart w:val="5"/>
      <w:suff w:val="space"/>
      <w:lvlText w:val="(%8)"/>
      <w:lvlJc w:val="left"/>
      <w:pPr>
        <w:ind w:left="1134" w:hanging="227"/>
      </w:pPr>
      <w:rPr>
        <w:rFonts w:hint="eastAsia"/>
      </w:rPr>
    </w:lvl>
    <w:lvl w:ilvl="8" w:tentative="0">
      <w:start w:val="1"/>
      <w:numFmt w:val="bullet"/>
      <w:lvlRestart w:val="5"/>
      <w:suff w:val="space"/>
      <w:lvlText w:val=""/>
      <w:lvlJc w:val="left"/>
      <w:pPr>
        <w:ind w:left="1134" w:hanging="227"/>
      </w:pPr>
      <w:rPr>
        <w:rFonts w:hint="eastAsia" w:ascii="Wingdings" w:hAnsi="Wingdings"/>
        <w:color w:val="auto"/>
      </w:rPr>
    </w:lvl>
  </w:abstractNum>
  <w:abstractNum w:abstractNumId="5">
    <w:nsid w:val="171B2D42"/>
    <w:multiLevelType w:val="multilevel"/>
    <w:tmpl w:val="171B2D4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18593666"/>
    <w:multiLevelType w:val="multilevel"/>
    <w:tmpl w:val="18593666"/>
    <w:lvl w:ilvl="0" w:tentative="0">
      <w:start w:val="10"/>
      <w:numFmt w:val="chineseCounting"/>
      <w:suff w:val="space"/>
      <w:lvlText w:val="第%1章  "/>
      <w:lvlJc w:val="center"/>
      <w:pPr>
        <w:ind w:left="0" w:firstLine="0"/>
      </w:pPr>
      <w:rPr>
        <w:rFonts w:hint="eastAsia" w:ascii="宋体" w:hAnsi="宋体" w:eastAsia="宋体" w:cs="宋体"/>
      </w:rPr>
    </w:lvl>
    <w:lvl w:ilvl="1" w:tentative="0">
      <w:start w:val="2"/>
      <w:numFmt w:val="decimal"/>
      <w:isLgl/>
      <w:suff w:val="space"/>
      <w:lvlText w:val="%1.%2  "/>
      <w:lvlJc w:val="left"/>
      <w:pPr>
        <w:ind w:left="0" w:firstLine="0"/>
      </w:pPr>
      <w:rPr>
        <w:rFonts w:hint="eastAsia" w:ascii="宋体" w:hAnsi="宋体" w:eastAsia="宋体" w:cs="宋体"/>
      </w:rPr>
    </w:lvl>
    <w:lvl w:ilvl="2" w:tentative="0">
      <w:start w:val="7"/>
      <w:numFmt w:val="decimal"/>
      <w:isLgl/>
      <w:suff w:val="space"/>
      <w:lvlText w:val="%1.%2.%3  "/>
      <w:lvlJc w:val="left"/>
      <w:pPr>
        <w:ind w:left="0" w:firstLine="0"/>
      </w:pPr>
      <w:rPr>
        <w:rFonts w:hint="eastAsia" w:ascii="宋体" w:hAnsi="宋体" w:eastAsia="宋体" w:cs="宋体"/>
        <w:b w:val="0"/>
        <w:bCs w:val="0"/>
        <w:i w:val="0"/>
        <w:iCs w:val="0"/>
        <w:caps w:val="0"/>
        <w:smallCaps w:val="0"/>
        <w:strike w:val="0"/>
        <w:dstrike w:val="0"/>
        <w:vanish w:val="0"/>
        <w:spacing w:val="0"/>
        <w:kern w:val="0"/>
        <w:position w:val="0"/>
        <w:u w:val="none"/>
        <w:vertAlign w:val="baseline"/>
      </w:rPr>
    </w:lvl>
    <w:lvl w:ilvl="3" w:tentative="0">
      <w:start w:val="1"/>
      <w:numFmt w:val="none"/>
      <w:suff w:val="nothing"/>
      <w:lvlText w:val=""/>
      <w:lvlJc w:val="left"/>
      <w:pPr>
        <w:ind w:left="680" w:firstLine="0"/>
      </w:pPr>
      <w:rPr>
        <w:rFonts w:hint="eastAsia" w:ascii="宋体" w:hAnsi="宋体" w:eastAsia="宋体" w:cs="宋体"/>
      </w:rPr>
    </w:lvl>
    <w:lvl w:ilvl="4" w:tentative="0">
      <w:start w:val="1"/>
      <w:numFmt w:val="none"/>
      <w:suff w:val="space"/>
      <w:lvlText w:val=""/>
      <w:lvlJc w:val="left"/>
      <w:pPr>
        <w:ind w:left="680" w:firstLine="0"/>
      </w:pPr>
      <w:rPr>
        <w:rFonts w:hint="eastAsia" w:ascii="宋体" w:hAnsi="宋体" w:eastAsia="宋体" w:cs="宋体"/>
      </w:rPr>
    </w:lvl>
    <w:lvl w:ilvl="5" w:tentative="0">
      <w:start w:val="1"/>
      <w:numFmt w:val="decimal"/>
      <w:lvlRestart w:val="1"/>
      <w:isLgl/>
      <w:suff w:val="nothing"/>
      <w:lvlText w:val="表%1-%6  "/>
      <w:lvlJc w:val="center"/>
      <w:pPr>
        <w:ind w:left="0" w:firstLine="0"/>
      </w:pPr>
      <w:rPr>
        <w:rFonts w:hint="eastAsia" w:ascii="宋体" w:hAnsi="宋体" w:eastAsia="宋体" w:cs="宋体"/>
      </w:rPr>
    </w:lvl>
    <w:lvl w:ilvl="6" w:tentative="0">
      <w:start w:val="1"/>
      <w:numFmt w:val="decimal"/>
      <w:lvlRestart w:val="1"/>
      <w:isLgl/>
      <w:suff w:val="nothing"/>
      <w:lvlText w:val="图%1-%7  "/>
      <w:lvlJc w:val="center"/>
      <w:pPr>
        <w:ind w:left="0" w:firstLine="0"/>
      </w:pPr>
      <w:rPr>
        <w:rFonts w:hint="eastAsia" w:ascii="宋体" w:hAnsi="宋体" w:eastAsia="宋体" w:cs="宋体"/>
      </w:rPr>
    </w:lvl>
    <w:lvl w:ilvl="7" w:tentative="0">
      <w:start w:val="1"/>
      <w:numFmt w:val="decimal"/>
      <w:lvlRestart w:val="5"/>
      <w:suff w:val="space"/>
      <w:lvlText w:val="(%8)"/>
      <w:lvlJc w:val="left"/>
      <w:pPr>
        <w:ind w:left="1134" w:hanging="227"/>
      </w:pPr>
      <w:rPr>
        <w:rFonts w:hint="eastAsia"/>
      </w:rPr>
    </w:lvl>
    <w:lvl w:ilvl="8" w:tentative="0">
      <w:start w:val="1"/>
      <w:numFmt w:val="bullet"/>
      <w:lvlRestart w:val="5"/>
      <w:suff w:val="space"/>
      <w:lvlText w:val=""/>
      <w:lvlJc w:val="left"/>
      <w:pPr>
        <w:ind w:left="1134" w:hanging="227"/>
      </w:pPr>
      <w:rPr>
        <w:rFonts w:hint="eastAsia" w:ascii="Wingdings" w:hAnsi="Wingdings"/>
        <w:color w:val="auto"/>
      </w:rPr>
    </w:lvl>
  </w:abstractNum>
  <w:abstractNum w:abstractNumId="7">
    <w:nsid w:val="1B4B46BB"/>
    <w:multiLevelType w:val="multilevel"/>
    <w:tmpl w:val="1B4B46BB"/>
    <w:lvl w:ilvl="0" w:tentative="0">
      <w:start w:val="5"/>
      <w:numFmt w:val="chineseCountingThousand"/>
      <w:suff w:val="space"/>
      <w:lvlText w:val="第%1章  "/>
      <w:lvlJc w:val="center"/>
      <w:pPr>
        <w:ind w:left="5670" w:firstLine="0"/>
      </w:pPr>
      <w:rPr>
        <w:rFonts w:hint="eastAsia"/>
      </w:rPr>
    </w:lvl>
    <w:lvl w:ilvl="1" w:tentative="0">
      <w:start w:val="1"/>
      <w:numFmt w:val="decimal"/>
      <w:isLgl/>
      <w:suff w:val="space"/>
      <w:lvlText w:val="2.%2  "/>
      <w:lvlJc w:val="left"/>
      <w:pPr>
        <w:ind w:left="0" w:firstLine="0"/>
      </w:pPr>
      <w:rPr>
        <w:rFonts w:hint="eastAsia"/>
      </w:rPr>
    </w:lvl>
    <w:lvl w:ilvl="2" w:tentative="0">
      <w:start w:val="1"/>
      <w:numFmt w:val="decimal"/>
      <w:isLgl/>
      <w:suff w:val="space"/>
      <w:lvlText w:val="%1.%2.%3  "/>
      <w:lvlJc w:val="left"/>
      <w:pPr>
        <w:ind w:left="454" w:firstLine="255"/>
      </w:pPr>
      <w:rPr>
        <w:rFonts w:hint="eastAsia"/>
      </w:rPr>
    </w:lvl>
    <w:lvl w:ilvl="3" w:tentative="0">
      <w:start w:val="1"/>
      <w:numFmt w:val="none"/>
      <w:suff w:val="space"/>
      <w:lvlText w:val=""/>
      <w:lvlJc w:val="left"/>
      <w:pPr>
        <w:ind w:left="624" w:firstLine="0"/>
      </w:pPr>
      <w:rPr>
        <w:rFonts w:hint="eastAsia"/>
      </w:rPr>
    </w:lvl>
    <w:lvl w:ilvl="4" w:tentative="0">
      <w:start w:val="1"/>
      <w:numFmt w:val="decimal"/>
      <w:suff w:val="space"/>
      <w:lvlText w:val="%5. "/>
      <w:lvlJc w:val="left"/>
      <w:pPr>
        <w:ind w:left="680" w:firstLine="0"/>
      </w:pPr>
      <w:rPr>
        <w:rFonts w:hint="eastAsia"/>
      </w:rPr>
    </w:lvl>
    <w:lvl w:ilvl="5" w:tentative="0">
      <w:start w:val="1"/>
      <w:numFmt w:val="decimal"/>
      <w:lvlRestart w:val="1"/>
      <w:isLgl/>
      <w:suff w:val="nothing"/>
      <w:lvlText w:val="表%1-%6"/>
      <w:lvlJc w:val="center"/>
      <w:pPr>
        <w:ind w:left="4536" w:firstLine="0"/>
      </w:pPr>
      <w:rPr>
        <w:rFonts w:hint="eastAsia"/>
      </w:rPr>
    </w:lvl>
    <w:lvl w:ilvl="6" w:tentative="0">
      <w:start w:val="1"/>
      <w:numFmt w:val="decimal"/>
      <w:lvlRestart w:val="1"/>
      <w:isLgl/>
      <w:suff w:val="nothing"/>
      <w:lvlText w:val="图%1-%7"/>
      <w:lvlJc w:val="center"/>
      <w:pPr>
        <w:ind w:left="4536" w:firstLine="0"/>
      </w:pPr>
      <w:rPr>
        <w:rFonts w:hint="eastAsia"/>
      </w:rPr>
    </w:lvl>
    <w:lvl w:ilvl="7" w:tentative="0">
      <w:start w:val="1"/>
      <w:numFmt w:val="decimal"/>
      <w:lvlRestart w:val="5"/>
      <w:suff w:val="space"/>
      <w:lvlText w:val="(%8)"/>
      <w:lvlJc w:val="left"/>
      <w:pPr>
        <w:ind w:left="1134" w:hanging="227"/>
      </w:pPr>
      <w:rPr>
        <w:rFonts w:hint="eastAsia"/>
      </w:rPr>
    </w:lvl>
    <w:lvl w:ilvl="8" w:tentative="0">
      <w:start w:val="1"/>
      <w:numFmt w:val="bullet"/>
      <w:lvlRestart w:val="5"/>
      <w:suff w:val="space"/>
      <w:lvlText w:val=""/>
      <w:lvlJc w:val="left"/>
      <w:pPr>
        <w:ind w:left="1134" w:hanging="227"/>
      </w:pPr>
      <w:rPr>
        <w:rFonts w:hint="default" w:ascii="Wingdings" w:hAnsi="Wingdings"/>
        <w:color w:val="auto"/>
      </w:rPr>
    </w:lvl>
  </w:abstractNum>
  <w:abstractNum w:abstractNumId="8">
    <w:nsid w:val="282F433A"/>
    <w:multiLevelType w:val="multilevel"/>
    <w:tmpl w:val="282F433A"/>
    <w:lvl w:ilvl="0" w:tentative="0">
      <w:start w:val="1"/>
      <w:numFmt w:val="decimal"/>
      <w:lvlText w:val="%1."/>
      <w:lvlJc w:val="left"/>
      <w:pPr>
        <w:ind w:left="1044" w:hanging="420"/>
      </w:pPr>
    </w:lvl>
    <w:lvl w:ilvl="1" w:tentative="0">
      <w:start w:val="1"/>
      <w:numFmt w:val="lowerLetter"/>
      <w:lvlText w:val="%2)"/>
      <w:lvlJc w:val="left"/>
      <w:pPr>
        <w:ind w:left="1464" w:hanging="420"/>
      </w:pPr>
    </w:lvl>
    <w:lvl w:ilvl="2" w:tentative="0">
      <w:start w:val="1"/>
      <w:numFmt w:val="lowerRoman"/>
      <w:lvlText w:val="%3."/>
      <w:lvlJc w:val="right"/>
      <w:pPr>
        <w:ind w:left="1884" w:hanging="420"/>
      </w:pPr>
    </w:lvl>
    <w:lvl w:ilvl="3" w:tentative="0">
      <w:start w:val="1"/>
      <w:numFmt w:val="decimal"/>
      <w:lvlText w:val="%4."/>
      <w:lvlJc w:val="left"/>
      <w:pPr>
        <w:ind w:left="2304" w:hanging="420"/>
      </w:pPr>
    </w:lvl>
    <w:lvl w:ilvl="4" w:tentative="0">
      <w:start w:val="1"/>
      <w:numFmt w:val="lowerLetter"/>
      <w:lvlText w:val="%5)"/>
      <w:lvlJc w:val="left"/>
      <w:pPr>
        <w:ind w:left="2724" w:hanging="420"/>
      </w:pPr>
    </w:lvl>
    <w:lvl w:ilvl="5" w:tentative="0">
      <w:start w:val="1"/>
      <w:numFmt w:val="lowerRoman"/>
      <w:lvlText w:val="%6."/>
      <w:lvlJc w:val="right"/>
      <w:pPr>
        <w:ind w:left="3144" w:hanging="420"/>
      </w:pPr>
    </w:lvl>
    <w:lvl w:ilvl="6" w:tentative="0">
      <w:start w:val="1"/>
      <w:numFmt w:val="decimal"/>
      <w:lvlText w:val="%7."/>
      <w:lvlJc w:val="left"/>
      <w:pPr>
        <w:ind w:left="3564" w:hanging="420"/>
      </w:pPr>
    </w:lvl>
    <w:lvl w:ilvl="7" w:tentative="0">
      <w:start w:val="1"/>
      <w:numFmt w:val="lowerLetter"/>
      <w:lvlText w:val="%8)"/>
      <w:lvlJc w:val="left"/>
      <w:pPr>
        <w:ind w:left="3984" w:hanging="420"/>
      </w:pPr>
    </w:lvl>
    <w:lvl w:ilvl="8" w:tentative="0">
      <w:start w:val="1"/>
      <w:numFmt w:val="lowerRoman"/>
      <w:lvlText w:val="%9."/>
      <w:lvlJc w:val="right"/>
      <w:pPr>
        <w:ind w:left="4404" w:hanging="420"/>
      </w:pPr>
    </w:lvl>
  </w:abstractNum>
  <w:abstractNum w:abstractNumId="9">
    <w:nsid w:val="2FBB4BA6"/>
    <w:multiLevelType w:val="multilevel"/>
    <w:tmpl w:val="2FBB4BA6"/>
    <w:lvl w:ilvl="0" w:tentative="0">
      <w:start w:val="1"/>
      <w:numFmt w:val="chineseCountingThousand"/>
      <w:suff w:val="space"/>
      <w:lvlText w:val="第%1章  "/>
      <w:lvlJc w:val="center"/>
      <w:pPr>
        <w:ind w:left="3260" w:firstLine="0"/>
      </w:pPr>
    </w:lvl>
    <w:lvl w:ilvl="1" w:tentative="0">
      <w:start w:val="1"/>
      <w:numFmt w:val="decimal"/>
      <w:isLgl/>
      <w:suff w:val="space"/>
      <w:lvlText w:val="%1.%2  "/>
      <w:lvlJc w:val="left"/>
      <w:pPr>
        <w:ind w:left="0" w:firstLine="0"/>
      </w:pPr>
      <w:rPr>
        <w:rFonts w:hint="eastAsia"/>
        <w:color w:val="auto"/>
      </w:rPr>
    </w:lvl>
    <w:lvl w:ilvl="2" w:tentative="0">
      <w:start w:val="1"/>
      <w:numFmt w:val="decimal"/>
      <w:isLgl/>
      <w:suff w:val="space"/>
      <w:lvlText w:val="%1.%2.%3  "/>
      <w:lvlJc w:val="left"/>
      <w:pPr>
        <w:ind w:left="284" w:firstLine="0"/>
      </w:pPr>
    </w:lvl>
    <w:lvl w:ilvl="3" w:tentative="0">
      <w:start w:val="1"/>
      <w:numFmt w:val="none"/>
      <w:suff w:val="space"/>
      <w:lvlText w:val=""/>
      <w:lvlJc w:val="left"/>
      <w:pPr>
        <w:ind w:left="624" w:firstLine="0"/>
      </w:pPr>
      <w:rPr>
        <w:rFonts w:hint="eastAsia"/>
      </w:rPr>
    </w:lvl>
    <w:lvl w:ilvl="4" w:tentative="0">
      <w:start w:val="1"/>
      <w:numFmt w:val="decimal"/>
      <w:suff w:val="space"/>
      <w:lvlText w:val="%5. "/>
      <w:lvlJc w:val="left"/>
      <w:pPr>
        <w:ind w:left="680" w:firstLine="0"/>
      </w:pPr>
      <w:rPr>
        <w:rFonts w:hint="eastAsia"/>
      </w:rPr>
    </w:lvl>
    <w:lvl w:ilvl="5" w:tentative="0">
      <w:start w:val="1"/>
      <w:numFmt w:val="decimal"/>
      <w:lvlRestart w:val="1"/>
      <w:isLgl/>
      <w:suff w:val="nothing"/>
      <w:lvlText w:val="表%1-%6"/>
      <w:lvlJc w:val="center"/>
      <w:pPr>
        <w:ind w:left="4679" w:firstLine="0"/>
      </w:pPr>
      <w:rPr>
        <w:rFonts w:hint="eastAsia"/>
        <w:lang w:val="en-US"/>
      </w:rPr>
    </w:lvl>
    <w:lvl w:ilvl="6" w:tentative="0">
      <w:start w:val="1"/>
      <w:numFmt w:val="decimal"/>
      <w:lvlRestart w:val="1"/>
      <w:isLgl/>
      <w:suff w:val="nothing"/>
      <w:lvlText w:val="图%1-%7"/>
      <w:lvlJc w:val="center"/>
      <w:pPr>
        <w:ind w:left="3828" w:firstLine="0"/>
      </w:pPr>
      <w:rPr>
        <w:rFonts w:hint="eastAsia"/>
        <w:color w:val="auto"/>
        <w:lang w:val="en-US"/>
      </w:rPr>
    </w:lvl>
    <w:lvl w:ilvl="7" w:tentative="0">
      <w:start w:val="1"/>
      <w:numFmt w:val="decimal"/>
      <w:lvlRestart w:val="5"/>
      <w:suff w:val="space"/>
      <w:lvlText w:val="(%8)"/>
      <w:lvlJc w:val="left"/>
      <w:pPr>
        <w:ind w:left="1134" w:hanging="227"/>
      </w:pPr>
      <w:rPr>
        <w:rFonts w:hint="eastAsia"/>
      </w:rPr>
    </w:lvl>
    <w:lvl w:ilvl="8" w:tentative="0">
      <w:start w:val="1"/>
      <w:numFmt w:val="bullet"/>
      <w:lvlRestart w:val="5"/>
      <w:suff w:val="space"/>
      <w:lvlText w:val=""/>
      <w:lvlJc w:val="left"/>
      <w:pPr>
        <w:ind w:left="1134" w:hanging="227"/>
      </w:pPr>
      <w:rPr>
        <w:rFonts w:hint="default" w:ascii="Wingdings" w:hAnsi="Wingdings"/>
        <w:color w:val="auto"/>
      </w:rPr>
    </w:lvl>
  </w:abstractNum>
  <w:abstractNum w:abstractNumId="10">
    <w:nsid w:val="344F6EB6"/>
    <w:multiLevelType w:val="multilevel"/>
    <w:tmpl w:val="344F6EB6"/>
    <w:lvl w:ilvl="0" w:tentative="0">
      <w:start w:val="1"/>
      <w:numFmt w:val="chineseCountingThousand"/>
      <w:suff w:val="space"/>
      <w:lvlText w:val="第%1章  "/>
      <w:lvlJc w:val="center"/>
      <w:pPr>
        <w:ind w:left="0" w:firstLine="0"/>
      </w:pPr>
    </w:lvl>
    <w:lvl w:ilvl="1" w:tentative="0">
      <w:start w:val="1"/>
      <w:numFmt w:val="decimal"/>
      <w:isLgl/>
      <w:suff w:val="space"/>
      <w:lvlText w:val="%1.%2  "/>
      <w:lvlJc w:val="left"/>
      <w:pPr>
        <w:ind w:left="0" w:firstLine="0"/>
      </w:pPr>
    </w:lvl>
    <w:lvl w:ilvl="2" w:tentative="0">
      <w:start w:val="1"/>
      <w:numFmt w:val="decimal"/>
      <w:isLgl/>
      <w:suff w:val="space"/>
      <w:lvlText w:val="%1.%2.%3  "/>
      <w:lvlJc w:val="left"/>
      <w:pPr>
        <w:ind w:left="709" w:firstLine="0"/>
      </w:pPr>
    </w:lvl>
    <w:lvl w:ilvl="3" w:tentative="0">
      <w:start w:val="1"/>
      <w:numFmt w:val="none"/>
      <w:suff w:val="space"/>
      <w:lvlText w:val=""/>
      <w:lvlJc w:val="left"/>
      <w:pPr>
        <w:ind w:left="624" w:firstLine="0"/>
      </w:pPr>
      <w:rPr>
        <w:rFonts w:hint="eastAsia"/>
      </w:rPr>
    </w:lvl>
    <w:lvl w:ilvl="4" w:tentative="0">
      <w:start w:val="1"/>
      <w:numFmt w:val="decimal"/>
      <w:suff w:val="space"/>
      <w:lvlText w:val="%5. "/>
      <w:lvlJc w:val="left"/>
      <w:pPr>
        <w:ind w:left="680" w:firstLine="0"/>
      </w:pPr>
      <w:rPr>
        <w:rFonts w:hint="eastAsia"/>
      </w:rPr>
    </w:lvl>
    <w:lvl w:ilvl="5" w:tentative="0">
      <w:start w:val="1"/>
      <w:numFmt w:val="decimal"/>
      <w:lvlRestart w:val="1"/>
      <w:isLgl/>
      <w:suff w:val="nothing"/>
      <w:lvlText w:val="表%1-%6"/>
      <w:lvlJc w:val="center"/>
      <w:pPr>
        <w:ind w:left="4679" w:firstLine="0"/>
      </w:pPr>
    </w:lvl>
    <w:lvl w:ilvl="6" w:tentative="0">
      <w:start w:val="1"/>
      <w:numFmt w:val="decimal"/>
      <w:lvlRestart w:val="1"/>
      <w:isLgl/>
      <w:suff w:val="nothing"/>
      <w:lvlText w:val="图%1-%7"/>
      <w:lvlJc w:val="center"/>
      <w:pPr>
        <w:ind w:left="3828" w:firstLine="0"/>
      </w:pPr>
    </w:lvl>
    <w:lvl w:ilvl="7" w:tentative="0">
      <w:start w:val="1"/>
      <w:numFmt w:val="decimal"/>
      <w:lvlRestart w:val="5"/>
      <w:suff w:val="space"/>
      <w:lvlText w:val="(%8)"/>
      <w:lvlJc w:val="left"/>
      <w:pPr>
        <w:ind w:left="1134" w:hanging="227"/>
      </w:pPr>
      <w:rPr>
        <w:rFonts w:hint="eastAsia"/>
      </w:rPr>
    </w:lvl>
    <w:lvl w:ilvl="8" w:tentative="0">
      <w:start w:val="1"/>
      <w:numFmt w:val="bullet"/>
      <w:lvlRestart w:val="5"/>
      <w:suff w:val="space"/>
      <w:lvlText w:val=""/>
      <w:lvlJc w:val="left"/>
      <w:pPr>
        <w:ind w:left="1134" w:hanging="227"/>
      </w:pPr>
      <w:rPr>
        <w:rFonts w:hint="default" w:ascii="Wingdings" w:hAnsi="Wingdings"/>
        <w:color w:val="auto"/>
      </w:rPr>
    </w:lvl>
  </w:abstractNum>
  <w:abstractNum w:abstractNumId="11">
    <w:nsid w:val="3C6109A3"/>
    <w:multiLevelType w:val="multilevel"/>
    <w:tmpl w:val="3C6109A3"/>
    <w:lvl w:ilvl="0" w:tentative="0">
      <w:start w:val="1"/>
      <w:numFmt w:val="bullet"/>
      <w:lvlText w:val=""/>
      <w:lvlJc w:val="left"/>
      <w:pPr>
        <w:ind w:left="1134" w:hanging="227"/>
      </w:pPr>
      <w:rPr>
        <w:rFonts w:hint="default" w:ascii="Wingdings" w:hAnsi="Wingdings"/>
      </w:rPr>
    </w:lvl>
    <w:lvl w:ilvl="1" w:tentative="0">
      <w:start w:val="1"/>
      <w:numFmt w:val="bullet"/>
      <w:lvlText w:val=""/>
      <w:lvlJc w:val="left"/>
      <w:pPr>
        <w:ind w:left="1747" w:hanging="420"/>
      </w:pPr>
      <w:rPr>
        <w:rFonts w:hint="default" w:ascii="Wingdings" w:hAnsi="Wingdings"/>
      </w:rPr>
    </w:lvl>
    <w:lvl w:ilvl="2" w:tentative="0">
      <w:start w:val="1"/>
      <w:numFmt w:val="bullet"/>
      <w:lvlText w:val=""/>
      <w:lvlJc w:val="left"/>
      <w:pPr>
        <w:ind w:left="2167" w:hanging="420"/>
      </w:pPr>
      <w:rPr>
        <w:rFonts w:hint="default" w:ascii="Wingdings" w:hAnsi="Wingdings"/>
      </w:rPr>
    </w:lvl>
    <w:lvl w:ilvl="3" w:tentative="0">
      <w:start w:val="1"/>
      <w:numFmt w:val="bullet"/>
      <w:lvlText w:val=""/>
      <w:lvlJc w:val="left"/>
      <w:pPr>
        <w:ind w:left="2587" w:hanging="420"/>
      </w:pPr>
      <w:rPr>
        <w:rFonts w:hint="default" w:ascii="Wingdings" w:hAnsi="Wingdings"/>
      </w:rPr>
    </w:lvl>
    <w:lvl w:ilvl="4" w:tentative="0">
      <w:start w:val="1"/>
      <w:numFmt w:val="bullet"/>
      <w:lvlText w:val=""/>
      <w:lvlJc w:val="left"/>
      <w:pPr>
        <w:ind w:left="3007" w:hanging="420"/>
      </w:pPr>
      <w:rPr>
        <w:rFonts w:hint="default" w:ascii="Wingdings" w:hAnsi="Wingdings"/>
      </w:rPr>
    </w:lvl>
    <w:lvl w:ilvl="5" w:tentative="0">
      <w:start w:val="1"/>
      <w:numFmt w:val="bullet"/>
      <w:lvlText w:val=""/>
      <w:lvlJc w:val="left"/>
      <w:pPr>
        <w:ind w:left="3427" w:hanging="420"/>
      </w:pPr>
      <w:rPr>
        <w:rFonts w:hint="default" w:ascii="Wingdings" w:hAnsi="Wingdings"/>
      </w:rPr>
    </w:lvl>
    <w:lvl w:ilvl="6" w:tentative="0">
      <w:start w:val="1"/>
      <w:numFmt w:val="bullet"/>
      <w:lvlText w:val=""/>
      <w:lvlJc w:val="left"/>
      <w:pPr>
        <w:ind w:left="3847" w:hanging="420"/>
      </w:pPr>
      <w:rPr>
        <w:rFonts w:hint="default" w:ascii="Wingdings" w:hAnsi="Wingdings"/>
      </w:rPr>
    </w:lvl>
    <w:lvl w:ilvl="7" w:tentative="0">
      <w:start w:val="1"/>
      <w:numFmt w:val="bullet"/>
      <w:lvlText w:val=""/>
      <w:lvlJc w:val="left"/>
      <w:pPr>
        <w:ind w:left="4267" w:hanging="420"/>
      </w:pPr>
      <w:rPr>
        <w:rFonts w:hint="default" w:ascii="Wingdings" w:hAnsi="Wingdings"/>
      </w:rPr>
    </w:lvl>
    <w:lvl w:ilvl="8" w:tentative="0">
      <w:start w:val="1"/>
      <w:numFmt w:val="bullet"/>
      <w:lvlText w:val=""/>
      <w:lvlJc w:val="left"/>
      <w:pPr>
        <w:ind w:left="4687" w:hanging="420"/>
      </w:pPr>
      <w:rPr>
        <w:rFonts w:hint="default" w:ascii="Wingdings" w:hAnsi="Wingdings"/>
      </w:rPr>
    </w:lvl>
  </w:abstractNum>
  <w:abstractNum w:abstractNumId="12">
    <w:nsid w:val="3D4E4841"/>
    <w:multiLevelType w:val="singleLevel"/>
    <w:tmpl w:val="3D4E4841"/>
    <w:lvl w:ilvl="0" w:tentative="0">
      <w:start w:val="1"/>
      <w:numFmt w:val="decimal"/>
      <w:suff w:val="nothing"/>
      <w:lvlText w:val="%1．"/>
      <w:lvlJc w:val="left"/>
    </w:lvl>
  </w:abstractNum>
  <w:abstractNum w:abstractNumId="13">
    <w:nsid w:val="3F277B36"/>
    <w:multiLevelType w:val="multilevel"/>
    <w:tmpl w:val="3F277B36"/>
    <w:lvl w:ilvl="0" w:tentative="0">
      <w:start w:val="1"/>
      <w:numFmt w:val="bullet"/>
      <w:lvlText w:val=""/>
      <w:lvlJc w:val="left"/>
      <w:pPr>
        <w:tabs>
          <w:tab w:val="left" w:pos="1040"/>
        </w:tabs>
        <w:ind w:left="1021" w:hanging="341"/>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4">
    <w:nsid w:val="4A0E3C59"/>
    <w:multiLevelType w:val="multilevel"/>
    <w:tmpl w:val="4A0E3C59"/>
    <w:lvl w:ilvl="0" w:tentative="0">
      <w:start w:val="1"/>
      <w:numFmt w:val="chineseCounting"/>
      <w:pStyle w:val="2"/>
      <w:suff w:val="space"/>
      <w:lvlText w:val="第%1章  "/>
      <w:lvlJc w:val="center"/>
      <w:pPr>
        <w:ind w:left="0" w:firstLine="0"/>
      </w:pPr>
      <w:rPr>
        <w:rFonts w:hint="eastAsia" w:ascii="宋体" w:hAnsi="宋体" w:eastAsia="宋体" w:cs="宋体"/>
      </w:rPr>
    </w:lvl>
    <w:lvl w:ilvl="1" w:tentative="0">
      <w:start w:val="1"/>
      <w:numFmt w:val="decimal"/>
      <w:pStyle w:val="4"/>
      <w:isLgl/>
      <w:suff w:val="space"/>
      <w:lvlText w:val="%1.%2  "/>
      <w:lvlJc w:val="left"/>
      <w:pPr>
        <w:tabs>
          <w:tab w:val="left" w:pos="0"/>
        </w:tabs>
        <w:ind w:left="0" w:firstLine="0"/>
      </w:pPr>
      <w:rPr>
        <w:rFonts w:hint="eastAsia" w:ascii="宋体" w:hAnsi="宋体" w:eastAsia="宋体" w:cs="宋体"/>
      </w:rPr>
    </w:lvl>
    <w:lvl w:ilvl="2" w:tentative="0">
      <w:start w:val="1"/>
      <w:numFmt w:val="decimal"/>
      <w:pStyle w:val="5"/>
      <w:isLgl/>
      <w:suff w:val="space"/>
      <w:lvlText w:val="%1.%2.%3  "/>
      <w:lvlJc w:val="left"/>
      <w:pPr>
        <w:tabs>
          <w:tab w:val="left" w:pos="0"/>
        </w:tabs>
        <w:ind w:left="0" w:firstLine="0"/>
      </w:pPr>
      <w:rPr>
        <w:rFonts w:hint="eastAsia" w:ascii="宋体" w:hAnsi="宋体" w:eastAsia="宋体" w:cs="宋体"/>
      </w:rPr>
    </w:lvl>
    <w:lvl w:ilvl="3" w:tentative="0">
      <w:start w:val="1"/>
      <w:numFmt w:val="decimal"/>
      <w:pStyle w:val="6"/>
      <w:suff w:val="space"/>
      <w:lvlText w:val="%4"/>
      <w:lvlJc w:val="left"/>
      <w:pPr>
        <w:tabs>
          <w:tab w:val="left" w:pos="420"/>
        </w:tabs>
        <w:ind w:left="624" w:firstLine="0"/>
      </w:pPr>
      <w:rPr>
        <w:rFonts w:hint="eastAsia" w:ascii="宋体" w:hAnsi="宋体" w:eastAsia="宋体" w:cs="宋体"/>
      </w:rPr>
    </w:lvl>
    <w:lvl w:ilvl="4" w:tentative="0">
      <w:start w:val="1"/>
      <w:numFmt w:val="decimal"/>
      <w:pStyle w:val="7"/>
      <w:suff w:val="space"/>
      <w:lvlText w:val="%5. "/>
      <w:lvlJc w:val="left"/>
      <w:pPr>
        <w:tabs>
          <w:tab w:val="left" w:pos="420"/>
        </w:tabs>
        <w:ind w:left="680" w:firstLine="0"/>
      </w:pPr>
      <w:rPr>
        <w:rFonts w:hint="eastAsia" w:ascii="宋体" w:hAnsi="宋体" w:eastAsia="宋体" w:cs="宋体"/>
      </w:rPr>
    </w:lvl>
    <w:lvl w:ilvl="5" w:tentative="0">
      <w:start w:val="1"/>
      <w:numFmt w:val="decimal"/>
      <w:lvlRestart w:val="1"/>
      <w:pStyle w:val="194"/>
      <w:isLgl/>
      <w:suff w:val="nothing"/>
      <w:lvlText w:val="表%1-%6  "/>
      <w:lvlJc w:val="center"/>
      <w:pPr>
        <w:tabs>
          <w:tab w:val="left" w:pos="0"/>
        </w:tabs>
        <w:ind w:left="0" w:firstLine="0"/>
      </w:pPr>
      <w:rPr>
        <w:rFonts w:hint="eastAsia" w:ascii="宋体" w:hAnsi="宋体" w:eastAsia="宋体" w:cs="宋体"/>
      </w:rPr>
    </w:lvl>
    <w:lvl w:ilvl="6" w:tentative="0">
      <w:start w:val="1"/>
      <w:numFmt w:val="decimal"/>
      <w:lvlRestart w:val="1"/>
      <w:pStyle w:val="83"/>
      <w:isLgl/>
      <w:suff w:val="nothing"/>
      <w:lvlText w:val="图%1-%7  "/>
      <w:lvlJc w:val="center"/>
      <w:pPr>
        <w:tabs>
          <w:tab w:val="left" w:pos="420"/>
        </w:tabs>
        <w:ind w:left="0" w:firstLine="0"/>
      </w:pPr>
      <w:rPr>
        <w:rFonts w:hint="eastAsia" w:ascii="宋体" w:hAnsi="宋体" w:eastAsia="宋体" w:cs="宋体"/>
      </w:rPr>
    </w:lvl>
    <w:lvl w:ilvl="7" w:tentative="0">
      <w:start w:val="1"/>
      <w:numFmt w:val="decimal"/>
      <w:lvlRestart w:val="5"/>
      <w:pStyle w:val="158"/>
      <w:suff w:val="space"/>
      <w:lvlText w:val="(%8)"/>
      <w:lvlJc w:val="left"/>
      <w:pPr>
        <w:ind w:left="1134" w:hanging="227"/>
      </w:pPr>
      <w:rPr>
        <w:rFonts w:hint="eastAsia" w:ascii="宋体" w:hAnsi="宋体" w:eastAsia="宋体" w:cs="宋体"/>
      </w:rPr>
    </w:lvl>
    <w:lvl w:ilvl="8" w:tentative="0">
      <w:start w:val="1"/>
      <w:numFmt w:val="bullet"/>
      <w:lvlRestart w:val="5"/>
      <w:pStyle w:val="114"/>
      <w:suff w:val="space"/>
      <w:lvlText w:val=""/>
      <w:lvlJc w:val="left"/>
      <w:pPr>
        <w:ind w:left="1134" w:hanging="227"/>
      </w:pPr>
      <w:rPr>
        <w:rFonts w:hint="eastAsia" w:ascii="Wingdings" w:hAnsi="Wingdings"/>
        <w:color w:val="auto"/>
      </w:rPr>
    </w:lvl>
  </w:abstractNum>
  <w:abstractNum w:abstractNumId="15">
    <w:nsid w:val="4B097009"/>
    <w:multiLevelType w:val="multilevel"/>
    <w:tmpl w:val="4B097009"/>
    <w:lvl w:ilvl="0" w:tentative="0">
      <w:start w:val="5"/>
      <w:numFmt w:val="chineseCountingThousand"/>
      <w:suff w:val="space"/>
      <w:lvlText w:val="第%1章  "/>
      <w:lvlJc w:val="center"/>
      <w:pPr>
        <w:ind w:left="5670" w:firstLine="0"/>
      </w:pPr>
      <w:rPr>
        <w:rFonts w:hint="eastAsia"/>
      </w:rPr>
    </w:lvl>
    <w:lvl w:ilvl="1" w:tentative="0">
      <w:start w:val="1"/>
      <w:numFmt w:val="decimal"/>
      <w:isLgl/>
      <w:suff w:val="space"/>
      <w:lvlText w:val="%1.%2  "/>
      <w:lvlJc w:val="left"/>
      <w:pPr>
        <w:ind w:left="0" w:firstLine="0"/>
      </w:pPr>
      <w:rPr>
        <w:rFonts w:hint="eastAsia"/>
      </w:rPr>
    </w:lvl>
    <w:lvl w:ilvl="2" w:tentative="0">
      <w:start w:val="1"/>
      <w:numFmt w:val="decimal"/>
      <w:isLgl/>
      <w:suff w:val="space"/>
      <w:lvlText w:val="%1.%2.%3  "/>
      <w:lvlJc w:val="left"/>
      <w:pPr>
        <w:ind w:left="454" w:firstLine="255"/>
      </w:pPr>
      <w:rPr>
        <w:rFonts w:hint="eastAsia"/>
      </w:rPr>
    </w:lvl>
    <w:lvl w:ilvl="3" w:tentative="0">
      <w:start w:val="1"/>
      <w:numFmt w:val="none"/>
      <w:suff w:val="space"/>
      <w:lvlText w:val=""/>
      <w:lvlJc w:val="left"/>
      <w:pPr>
        <w:ind w:left="624" w:firstLine="0"/>
      </w:pPr>
      <w:rPr>
        <w:rFonts w:hint="eastAsia"/>
      </w:rPr>
    </w:lvl>
    <w:lvl w:ilvl="4" w:tentative="0">
      <w:start w:val="1"/>
      <w:numFmt w:val="decimal"/>
      <w:suff w:val="space"/>
      <w:lvlText w:val="%5. "/>
      <w:lvlJc w:val="left"/>
      <w:pPr>
        <w:ind w:left="680" w:firstLine="0"/>
      </w:pPr>
      <w:rPr>
        <w:rFonts w:hint="eastAsia"/>
      </w:rPr>
    </w:lvl>
    <w:lvl w:ilvl="5" w:tentative="0">
      <w:start w:val="1"/>
      <w:numFmt w:val="decimal"/>
      <w:lvlRestart w:val="1"/>
      <w:isLgl/>
      <w:suff w:val="nothing"/>
      <w:lvlText w:val="表%1-%6"/>
      <w:lvlJc w:val="center"/>
      <w:pPr>
        <w:ind w:left="4536" w:firstLine="0"/>
      </w:pPr>
      <w:rPr>
        <w:rFonts w:hint="eastAsia"/>
      </w:rPr>
    </w:lvl>
    <w:lvl w:ilvl="6" w:tentative="0">
      <w:start w:val="1"/>
      <w:numFmt w:val="decimal"/>
      <w:lvlRestart w:val="1"/>
      <w:isLgl/>
      <w:suff w:val="nothing"/>
      <w:lvlText w:val="图%1-%7"/>
      <w:lvlJc w:val="center"/>
      <w:pPr>
        <w:ind w:left="4536" w:firstLine="0"/>
      </w:pPr>
      <w:rPr>
        <w:rFonts w:hint="eastAsia"/>
      </w:rPr>
    </w:lvl>
    <w:lvl w:ilvl="7" w:tentative="0">
      <w:start w:val="1"/>
      <w:numFmt w:val="decimal"/>
      <w:lvlRestart w:val="5"/>
      <w:suff w:val="space"/>
      <w:lvlText w:val="(%8)"/>
      <w:lvlJc w:val="left"/>
      <w:pPr>
        <w:ind w:left="1134" w:hanging="227"/>
      </w:pPr>
      <w:rPr>
        <w:rFonts w:hint="eastAsia"/>
      </w:rPr>
    </w:lvl>
    <w:lvl w:ilvl="8" w:tentative="0">
      <w:start w:val="1"/>
      <w:numFmt w:val="bullet"/>
      <w:lvlRestart w:val="5"/>
      <w:suff w:val="space"/>
      <w:lvlText w:val=""/>
      <w:lvlJc w:val="left"/>
      <w:pPr>
        <w:ind w:left="1134" w:hanging="227"/>
      </w:pPr>
      <w:rPr>
        <w:rFonts w:hint="default" w:ascii="Wingdings" w:hAnsi="Wingdings"/>
        <w:color w:val="auto"/>
      </w:rPr>
    </w:lvl>
  </w:abstractNum>
  <w:abstractNum w:abstractNumId="16">
    <w:nsid w:val="574116BE"/>
    <w:multiLevelType w:val="multilevel"/>
    <w:tmpl w:val="574116BE"/>
    <w:lvl w:ilvl="0" w:tentative="0">
      <w:start w:val="5"/>
      <w:numFmt w:val="chineseCountingThousand"/>
      <w:suff w:val="space"/>
      <w:lvlText w:val="第%1章  "/>
      <w:lvlJc w:val="center"/>
      <w:pPr>
        <w:ind w:left="5670" w:firstLine="0"/>
      </w:pPr>
      <w:rPr>
        <w:rFonts w:hint="eastAsia"/>
      </w:rPr>
    </w:lvl>
    <w:lvl w:ilvl="1" w:tentative="0">
      <w:start w:val="1"/>
      <w:numFmt w:val="decimal"/>
      <w:isLgl/>
      <w:suff w:val="space"/>
      <w:lvlText w:val="%1.%2  "/>
      <w:lvlJc w:val="left"/>
      <w:pPr>
        <w:ind w:left="0" w:firstLine="0"/>
      </w:pPr>
      <w:rPr>
        <w:rFonts w:hint="eastAsia"/>
      </w:rPr>
    </w:lvl>
    <w:lvl w:ilvl="2" w:tentative="0">
      <w:start w:val="1"/>
      <w:numFmt w:val="decimal"/>
      <w:isLgl/>
      <w:suff w:val="space"/>
      <w:lvlText w:val="%1.%2.%3  "/>
      <w:lvlJc w:val="left"/>
      <w:pPr>
        <w:ind w:left="454" w:firstLine="255"/>
      </w:pPr>
      <w:rPr>
        <w:rFonts w:hint="eastAsia"/>
      </w:rPr>
    </w:lvl>
    <w:lvl w:ilvl="3" w:tentative="0">
      <w:start w:val="1"/>
      <w:numFmt w:val="decimal"/>
      <w:lvlText w:val="2.1.%4"/>
      <w:lvlJc w:val="left"/>
      <w:pPr>
        <w:ind w:left="624" w:firstLine="0"/>
      </w:pPr>
      <w:rPr>
        <w:rFonts w:hint="eastAsia"/>
      </w:rPr>
    </w:lvl>
    <w:lvl w:ilvl="4" w:tentative="0">
      <w:start w:val="1"/>
      <w:numFmt w:val="decimal"/>
      <w:suff w:val="space"/>
      <w:lvlText w:val="%5. "/>
      <w:lvlJc w:val="left"/>
      <w:pPr>
        <w:ind w:left="680" w:firstLine="0"/>
      </w:pPr>
      <w:rPr>
        <w:rFonts w:hint="eastAsia"/>
      </w:rPr>
    </w:lvl>
    <w:lvl w:ilvl="5" w:tentative="0">
      <w:start w:val="1"/>
      <w:numFmt w:val="decimal"/>
      <w:lvlRestart w:val="1"/>
      <w:isLgl/>
      <w:suff w:val="nothing"/>
      <w:lvlText w:val="表%1-%6"/>
      <w:lvlJc w:val="center"/>
      <w:pPr>
        <w:ind w:left="4536" w:firstLine="0"/>
      </w:pPr>
      <w:rPr>
        <w:rFonts w:hint="eastAsia"/>
      </w:rPr>
    </w:lvl>
    <w:lvl w:ilvl="6" w:tentative="0">
      <w:start w:val="1"/>
      <w:numFmt w:val="decimal"/>
      <w:lvlRestart w:val="1"/>
      <w:isLgl/>
      <w:suff w:val="nothing"/>
      <w:lvlText w:val="图%1-%7"/>
      <w:lvlJc w:val="center"/>
      <w:pPr>
        <w:ind w:left="4536" w:firstLine="0"/>
      </w:pPr>
      <w:rPr>
        <w:rFonts w:hint="eastAsia"/>
      </w:rPr>
    </w:lvl>
    <w:lvl w:ilvl="7" w:tentative="0">
      <w:start w:val="1"/>
      <w:numFmt w:val="decimal"/>
      <w:lvlRestart w:val="5"/>
      <w:suff w:val="space"/>
      <w:lvlText w:val="(%8)"/>
      <w:lvlJc w:val="left"/>
      <w:pPr>
        <w:ind w:left="1134" w:hanging="227"/>
      </w:pPr>
      <w:rPr>
        <w:rFonts w:hint="eastAsia"/>
      </w:rPr>
    </w:lvl>
    <w:lvl w:ilvl="8" w:tentative="0">
      <w:start w:val="1"/>
      <w:numFmt w:val="bullet"/>
      <w:lvlRestart w:val="5"/>
      <w:suff w:val="space"/>
      <w:lvlText w:val=""/>
      <w:lvlJc w:val="left"/>
      <w:pPr>
        <w:ind w:left="1134" w:hanging="227"/>
      </w:pPr>
      <w:rPr>
        <w:rFonts w:hint="default" w:ascii="Wingdings" w:hAnsi="Wingdings"/>
        <w:color w:val="auto"/>
      </w:rPr>
    </w:lvl>
  </w:abstractNum>
  <w:abstractNum w:abstractNumId="17">
    <w:nsid w:val="5A831F9F"/>
    <w:multiLevelType w:val="multilevel"/>
    <w:tmpl w:val="5A831F9F"/>
    <w:lvl w:ilvl="0" w:tentative="0">
      <w:start w:val="5"/>
      <w:numFmt w:val="chineseCounting"/>
      <w:suff w:val="space"/>
      <w:lvlText w:val="第%1章  "/>
      <w:lvlJc w:val="center"/>
      <w:pPr>
        <w:ind w:left="0" w:firstLine="0"/>
      </w:pPr>
      <w:rPr>
        <w:rFonts w:hint="eastAsia" w:ascii="宋体" w:hAnsi="宋体" w:eastAsia="宋体" w:cs="宋体"/>
      </w:rPr>
    </w:lvl>
    <w:lvl w:ilvl="1" w:tentative="0">
      <w:start w:val="1"/>
      <w:numFmt w:val="decimal"/>
      <w:isLgl/>
      <w:suff w:val="space"/>
      <w:lvlText w:val="%1.%2  "/>
      <w:lvlJc w:val="left"/>
      <w:pPr>
        <w:ind w:left="0" w:firstLine="0"/>
      </w:pPr>
      <w:rPr>
        <w:rFonts w:hint="eastAsia" w:ascii="宋体" w:hAnsi="宋体" w:eastAsia="宋体" w:cs="宋体"/>
      </w:rPr>
    </w:lvl>
    <w:lvl w:ilvl="2" w:tentative="0">
      <w:start w:val="1"/>
      <w:numFmt w:val="decimal"/>
      <w:isLgl/>
      <w:suff w:val="space"/>
      <w:lvlText w:val="%1.%2.%3  "/>
      <w:lvlJc w:val="left"/>
      <w:pPr>
        <w:ind w:left="0" w:firstLine="0"/>
      </w:pPr>
      <w:rPr>
        <w:rFonts w:hint="eastAsia" w:ascii="宋体" w:hAnsi="宋体" w:eastAsia="宋体" w:cs="宋体"/>
        <w:b w:val="0"/>
        <w:bCs w:val="0"/>
        <w:i w:val="0"/>
        <w:iCs w:val="0"/>
        <w:caps w:val="0"/>
        <w:smallCaps w:val="0"/>
        <w:strike w:val="0"/>
        <w:dstrike w:val="0"/>
        <w:vanish w:val="0"/>
        <w:spacing w:val="0"/>
        <w:kern w:val="0"/>
        <w:position w:val="0"/>
        <w:u w:val="none"/>
        <w:vertAlign w:val="baseline"/>
      </w:rPr>
    </w:lvl>
    <w:lvl w:ilvl="3" w:tentative="0">
      <w:start w:val="1"/>
      <w:numFmt w:val="none"/>
      <w:suff w:val="nothing"/>
      <w:lvlText w:val=""/>
      <w:lvlJc w:val="left"/>
      <w:pPr>
        <w:ind w:left="680" w:firstLine="0"/>
      </w:pPr>
      <w:rPr>
        <w:rFonts w:hint="eastAsia" w:ascii="宋体" w:hAnsi="宋体" w:eastAsia="宋体" w:cs="宋体"/>
      </w:rPr>
    </w:lvl>
    <w:lvl w:ilvl="4" w:tentative="0">
      <w:start w:val="1"/>
      <w:numFmt w:val="none"/>
      <w:suff w:val="space"/>
      <w:lvlText w:val=""/>
      <w:lvlJc w:val="left"/>
      <w:pPr>
        <w:ind w:left="680" w:firstLine="0"/>
      </w:pPr>
      <w:rPr>
        <w:rFonts w:hint="eastAsia" w:ascii="宋体" w:hAnsi="宋体" w:eastAsia="宋体" w:cs="宋体"/>
      </w:rPr>
    </w:lvl>
    <w:lvl w:ilvl="5" w:tentative="0">
      <w:start w:val="1"/>
      <w:numFmt w:val="decimal"/>
      <w:lvlRestart w:val="1"/>
      <w:isLgl/>
      <w:suff w:val="nothing"/>
      <w:lvlText w:val="表%1-%6  "/>
      <w:lvlJc w:val="center"/>
      <w:pPr>
        <w:ind w:left="0" w:firstLine="0"/>
      </w:pPr>
      <w:rPr>
        <w:rFonts w:hint="eastAsia" w:ascii="宋体" w:hAnsi="宋体" w:eastAsia="宋体" w:cs="宋体"/>
      </w:rPr>
    </w:lvl>
    <w:lvl w:ilvl="6" w:tentative="0">
      <w:start w:val="2"/>
      <w:numFmt w:val="decimal"/>
      <w:lvlRestart w:val="1"/>
      <w:isLgl/>
      <w:suff w:val="nothing"/>
      <w:lvlText w:val="图%1-%7  "/>
      <w:lvlJc w:val="center"/>
      <w:pPr>
        <w:ind w:left="0" w:firstLine="0"/>
      </w:pPr>
      <w:rPr>
        <w:rFonts w:hint="eastAsia" w:ascii="宋体" w:hAnsi="宋体" w:eastAsia="宋体" w:cs="宋体"/>
      </w:rPr>
    </w:lvl>
    <w:lvl w:ilvl="7" w:tentative="0">
      <w:start w:val="1"/>
      <w:numFmt w:val="decimal"/>
      <w:lvlRestart w:val="5"/>
      <w:suff w:val="space"/>
      <w:lvlText w:val="(%8)"/>
      <w:lvlJc w:val="left"/>
      <w:pPr>
        <w:ind w:left="1134" w:hanging="227"/>
      </w:pPr>
      <w:rPr>
        <w:rFonts w:hint="eastAsia"/>
      </w:rPr>
    </w:lvl>
    <w:lvl w:ilvl="8" w:tentative="0">
      <w:start w:val="1"/>
      <w:numFmt w:val="bullet"/>
      <w:lvlRestart w:val="5"/>
      <w:suff w:val="space"/>
      <w:lvlText w:val=""/>
      <w:lvlJc w:val="left"/>
      <w:pPr>
        <w:ind w:left="1134" w:hanging="227"/>
      </w:pPr>
      <w:rPr>
        <w:rFonts w:hint="eastAsia" w:ascii="Wingdings" w:hAnsi="Wingdings"/>
        <w:color w:val="auto"/>
      </w:rPr>
    </w:lvl>
  </w:abstractNum>
  <w:num w:numId="1">
    <w:abstractNumId w:val="14"/>
  </w:num>
  <w:num w:numId="2">
    <w:abstractNumId w:val="11"/>
  </w:num>
  <w:num w:numId="3">
    <w:abstractNumId w:val="8"/>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2"/>
  </w:num>
  <w:num w:numId="7">
    <w:abstractNumId w:val="7"/>
  </w:num>
  <w:num w:numId="8">
    <w:abstractNumId w:val="1"/>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2"/>
  </w:num>
  <w:num w:numId="12">
    <w:abstractNumId w:val="13"/>
  </w:num>
  <w:num w:numId="13">
    <w:abstractNumId w:val="10"/>
  </w:num>
  <w:num w:numId="14">
    <w:abstractNumId w:val="5"/>
  </w:num>
  <w:num w:numId="15">
    <w:abstractNumId w:val="16"/>
  </w:num>
  <w:num w:numId="16">
    <w:abstractNumId w:val="3"/>
  </w:num>
  <w:num w:numId="17">
    <w:abstractNumId w:val="9"/>
  </w:num>
  <w:num w:numId="18">
    <w:abstractNumId w:val="4"/>
  </w:num>
  <w:num w:numId="19">
    <w:abstractNumId w:val="17"/>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2U4M2QzOWQxZTc1ZWRmNmRhYzUzMTU2Yzk3OWViZDgifQ=="/>
  </w:docVars>
  <w:rsids>
    <w:rsidRoot w:val="00527A24"/>
    <w:rsid w:val="0006688A"/>
    <w:rsid w:val="00093EE7"/>
    <w:rsid w:val="00094198"/>
    <w:rsid w:val="000C29F4"/>
    <w:rsid w:val="000D18DE"/>
    <w:rsid w:val="000D6F70"/>
    <w:rsid w:val="000E540B"/>
    <w:rsid w:val="000E710C"/>
    <w:rsid w:val="00110FC7"/>
    <w:rsid w:val="00115C6B"/>
    <w:rsid w:val="00121F94"/>
    <w:rsid w:val="0015434F"/>
    <w:rsid w:val="001841D5"/>
    <w:rsid w:val="001935B2"/>
    <w:rsid w:val="001B3C43"/>
    <w:rsid w:val="001C7628"/>
    <w:rsid w:val="001E4AD0"/>
    <w:rsid w:val="001F2048"/>
    <w:rsid w:val="001F3E6B"/>
    <w:rsid w:val="00203A9D"/>
    <w:rsid w:val="002125BA"/>
    <w:rsid w:val="00213F17"/>
    <w:rsid w:val="002222A9"/>
    <w:rsid w:val="00223A06"/>
    <w:rsid w:val="002319AF"/>
    <w:rsid w:val="00233190"/>
    <w:rsid w:val="002520BF"/>
    <w:rsid w:val="00254774"/>
    <w:rsid w:val="002678D2"/>
    <w:rsid w:val="00273B97"/>
    <w:rsid w:val="002A0E7E"/>
    <w:rsid w:val="002B2B42"/>
    <w:rsid w:val="002C27E4"/>
    <w:rsid w:val="002C2E5A"/>
    <w:rsid w:val="002C37B8"/>
    <w:rsid w:val="002D7D79"/>
    <w:rsid w:val="002F1841"/>
    <w:rsid w:val="002F5639"/>
    <w:rsid w:val="00302405"/>
    <w:rsid w:val="00311091"/>
    <w:rsid w:val="00317072"/>
    <w:rsid w:val="00322E5D"/>
    <w:rsid w:val="00351E8C"/>
    <w:rsid w:val="00353760"/>
    <w:rsid w:val="003723CE"/>
    <w:rsid w:val="00385324"/>
    <w:rsid w:val="003A1E76"/>
    <w:rsid w:val="003B0094"/>
    <w:rsid w:val="003B54D4"/>
    <w:rsid w:val="003E7DBB"/>
    <w:rsid w:val="00400489"/>
    <w:rsid w:val="004017E0"/>
    <w:rsid w:val="00401DDD"/>
    <w:rsid w:val="00413B3B"/>
    <w:rsid w:val="00416824"/>
    <w:rsid w:val="004448A5"/>
    <w:rsid w:val="00463975"/>
    <w:rsid w:val="00463C9D"/>
    <w:rsid w:val="00470537"/>
    <w:rsid w:val="00476A59"/>
    <w:rsid w:val="004B21E2"/>
    <w:rsid w:val="004C3815"/>
    <w:rsid w:val="004C6DC8"/>
    <w:rsid w:val="004C728F"/>
    <w:rsid w:val="004E50FE"/>
    <w:rsid w:val="004F4DB5"/>
    <w:rsid w:val="00516B56"/>
    <w:rsid w:val="00527A24"/>
    <w:rsid w:val="0054359E"/>
    <w:rsid w:val="00561372"/>
    <w:rsid w:val="0058073D"/>
    <w:rsid w:val="0058250D"/>
    <w:rsid w:val="00593D62"/>
    <w:rsid w:val="00595078"/>
    <w:rsid w:val="005973EA"/>
    <w:rsid w:val="005A7A8F"/>
    <w:rsid w:val="005B200E"/>
    <w:rsid w:val="005D63CB"/>
    <w:rsid w:val="005D6A42"/>
    <w:rsid w:val="005E2BBF"/>
    <w:rsid w:val="005F048E"/>
    <w:rsid w:val="00613225"/>
    <w:rsid w:val="00624460"/>
    <w:rsid w:val="006354F9"/>
    <w:rsid w:val="00635514"/>
    <w:rsid w:val="006511DD"/>
    <w:rsid w:val="006524E8"/>
    <w:rsid w:val="00654E93"/>
    <w:rsid w:val="00654EB2"/>
    <w:rsid w:val="00656486"/>
    <w:rsid w:val="006B1B7A"/>
    <w:rsid w:val="006C3B40"/>
    <w:rsid w:val="006D523D"/>
    <w:rsid w:val="006E5174"/>
    <w:rsid w:val="00700E66"/>
    <w:rsid w:val="00726BEE"/>
    <w:rsid w:val="00734EE2"/>
    <w:rsid w:val="007403D7"/>
    <w:rsid w:val="007570AA"/>
    <w:rsid w:val="00767386"/>
    <w:rsid w:val="007806FD"/>
    <w:rsid w:val="007918D9"/>
    <w:rsid w:val="00791CDE"/>
    <w:rsid w:val="00796544"/>
    <w:rsid w:val="00797048"/>
    <w:rsid w:val="0079720D"/>
    <w:rsid w:val="007A4CFE"/>
    <w:rsid w:val="007B62EA"/>
    <w:rsid w:val="007B7A80"/>
    <w:rsid w:val="007E2607"/>
    <w:rsid w:val="008225CB"/>
    <w:rsid w:val="00837241"/>
    <w:rsid w:val="00841762"/>
    <w:rsid w:val="00845643"/>
    <w:rsid w:val="00847C06"/>
    <w:rsid w:val="008569B6"/>
    <w:rsid w:val="008603E9"/>
    <w:rsid w:val="0086121C"/>
    <w:rsid w:val="0086398C"/>
    <w:rsid w:val="00873951"/>
    <w:rsid w:val="0088166B"/>
    <w:rsid w:val="00883294"/>
    <w:rsid w:val="008870D9"/>
    <w:rsid w:val="00894C41"/>
    <w:rsid w:val="00895167"/>
    <w:rsid w:val="008C2D92"/>
    <w:rsid w:val="008D01BF"/>
    <w:rsid w:val="008D7473"/>
    <w:rsid w:val="008E79AE"/>
    <w:rsid w:val="008F153F"/>
    <w:rsid w:val="0090669D"/>
    <w:rsid w:val="009077F2"/>
    <w:rsid w:val="00910807"/>
    <w:rsid w:val="009108ED"/>
    <w:rsid w:val="009179C5"/>
    <w:rsid w:val="009413CF"/>
    <w:rsid w:val="0094456B"/>
    <w:rsid w:val="009606C4"/>
    <w:rsid w:val="00980F6F"/>
    <w:rsid w:val="009851A3"/>
    <w:rsid w:val="00986B5B"/>
    <w:rsid w:val="00992D9A"/>
    <w:rsid w:val="009D3EAC"/>
    <w:rsid w:val="009D72DB"/>
    <w:rsid w:val="009E508D"/>
    <w:rsid w:val="009F4024"/>
    <w:rsid w:val="009F46FD"/>
    <w:rsid w:val="00A11C2E"/>
    <w:rsid w:val="00A2071D"/>
    <w:rsid w:val="00A21610"/>
    <w:rsid w:val="00A22DC9"/>
    <w:rsid w:val="00A37AC7"/>
    <w:rsid w:val="00A42248"/>
    <w:rsid w:val="00A46A71"/>
    <w:rsid w:val="00A54207"/>
    <w:rsid w:val="00A61643"/>
    <w:rsid w:val="00A72D28"/>
    <w:rsid w:val="00A86E3C"/>
    <w:rsid w:val="00A93037"/>
    <w:rsid w:val="00A94E9C"/>
    <w:rsid w:val="00A97077"/>
    <w:rsid w:val="00AF2799"/>
    <w:rsid w:val="00B0181F"/>
    <w:rsid w:val="00B141E4"/>
    <w:rsid w:val="00B36C82"/>
    <w:rsid w:val="00B46ED7"/>
    <w:rsid w:val="00B54DF7"/>
    <w:rsid w:val="00B875DF"/>
    <w:rsid w:val="00B94E7C"/>
    <w:rsid w:val="00BB534C"/>
    <w:rsid w:val="00BC4E8F"/>
    <w:rsid w:val="00BD652B"/>
    <w:rsid w:val="00BE1E3B"/>
    <w:rsid w:val="00C165C9"/>
    <w:rsid w:val="00C46317"/>
    <w:rsid w:val="00C472A9"/>
    <w:rsid w:val="00C65225"/>
    <w:rsid w:val="00C93033"/>
    <w:rsid w:val="00C93D43"/>
    <w:rsid w:val="00C93F30"/>
    <w:rsid w:val="00CA6F4C"/>
    <w:rsid w:val="00CA7DAD"/>
    <w:rsid w:val="00CB44B3"/>
    <w:rsid w:val="00CE715C"/>
    <w:rsid w:val="00D06894"/>
    <w:rsid w:val="00D16AB5"/>
    <w:rsid w:val="00D30DD6"/>
    <w:rsid w:val="00D32C15"/>
    <w:rsid w:val="00D42A2A"/>
    <w:rsid w:val="00D4711E"/>
    <w:rsid w:val="00D579BE"/>
    <w:rsid w:val="00D71920"/>
    <w:rsid w:val="00D928B4"/>
    <w:rsid w:val="00DB3BB0"/>
    <w:rsid w:val="00DB48CC"/>
    <w:rsid w:val="00DD2747"/>
    <w:rsid w:val="00DE2D7E"/>
    <w:rsid w:val="00DE3F17"/>
    <w:rsid w:val="00DE6F49"/>
    <w:rsid w:val="00DF1910"/>
    <w:rsid w:val="00DF6E5A"/>
    <w:rsid w:val="00E11138"/>
    <w:rsid w:val="00E26450"/>
    <w:rsid w:val="00E33FDA"/>
    <w:rsid w:val="00E636DE"/>
    <w:rsid w:val="00E72998"/>
    <w:rsid w:val="00E74A1C"/>
    <w:rsid w:val="00EE3B54"/>
    <w:rsid w:val="00EF31FB"/>
    <w:rsid w:val="00EF3CF2"/>
    <w:rsid w:val="00EF5EC0"/>
    <w:rsid w:val="00F03A57"/>
    <w:rsid w:val="00F26829"/>
    <w:rsid w:val="00F42890"/>
    <w:rsid w:val="00F45DDD"/>
    <w:rsid w:val="00F540BA"/>
    <w:rsid w:val="00F6067E"/>
    <w:rsid w:val="00F62498"/>
    <w:rsid w:val="00F84EAD"/>
    <w:rsid w:val="00F86734"/>
    <w:rsid w:val="00FD07F0"/>
    <w:rsid w:val="00FD2DC5"/>
    <w:rsid w:val="00FD60CF"/>
    <w:rsid w:val="00FE0FB3"/>
    <w:rsid w:val="00FE5E2E"/>
    <w:rsid w:val="00FF0F32"/>
    <w:rsid w:val="0179789E"/>
    <w:rsid w:val="02245871"/>
    <w:rsid w:val="0A9A4AA0"/>
    <w:rsid w:val="0A9E00B5"/>
    <w:rsid w:val="0B154457"/>
    <w:rsid w:val="0B6515BC"/>
    <w:rsid w:val="0D110C4F"/>
    <w:rsid w:val="0D132C19"/>
    <w:rsid w:val="0D2D1D3C"/>
    <w:rsid w:val="0DF25C50"/>
    <w:rsid w:val="0E1214C3"/>
    <w:rsid w:val="0E223216"/>
    <w:rsid w:val="0E7E2A62"/>
    <w:rsid w:val="10364054"/>
    <w:rsid w:val="121E7ABD"/>
    <w:rsid w:val="12DA5D13"/>
    <w:rsid w:val="12DD5184"/>
    <w:rsid w:val="130C6140"/>
    <w:rsid w:val="15B55BCB"/>
    <w:rsid w:val="16C62AAA"/>
    <w:rsid w:val="19C145EC"/>
    <w:rsid w:val="1A6D43C1"/>
    <w:rsid w:val="1CE9074D"/>
    <w:rsid w:val="1F1174A0"/>
    <w:rsid w:val="20F52909"/>
    <w:rsid w:val="21E840FA"/>
    <w:rsid w:val="24C83773"/>
    <w:rsid w:val="25260563"/>
    <w:rsid w:val="271B104A"/>
    <w:rsid w:val="2759161C"/>
    <w:rsid w:val="2A830F86"/>
    <w:rsid w:val="2BD4081A"/>
    <w:rsid w:val="2BFA0DD4"/>
    <w:rsid w:val="2D3A4EFB"/>
    <w:rsid w:val="2D7921CC"/>
    <w:rsid w:val="2D8A262B"/>
    <w:rsid w:val="2E5C3FC8"/>
    <w:rsid w:val="2FA8323D"/>
    <w:rsid w:val="320A705C"/>
    <w:rsid w:val="32313075"/>
    <w:rsid w:val="33ED1F0D"/>
    <w:rsid w:val="36006844"/>
    <w:rsid w:val="3A6442C8"/>
    <w:rsid w:val="3A910A1D"/>
    <w:rsid w:val="3CC94A0D"/>
    <w:rsid w:val="3E7C45B0"/>
    <w:rsid w:val="3EFE7D5D"/>
    <w:rsid w:val="43171E14"/>
    <w:rsid w:val="433B1DC8"/>
    <w:rsid w:val="434A21E9"/>
    <w:rsid w:val="45275307"/>
    <w:rsid w:val="497D63FE"/>
    <w:rsid w:val="4D937CA6"/>
    <w:rsid w:val="4E673F7C"/>
    <w:rsid w:val="4F3354BE"/>
    <w:rsid w:val="4F665410"/>
    <w:rsid w:val="514566E6"/>
    <w:rsid w:val="51D9129E"/>
    <w:rsid w:val="52CD24EF"/>
    <w:rsid w:val="52E44AEC"/>
    <w:rsid w:val="544E676D"/>
    <w:rsid w:val="546D3F92"/>
    <w:rsid w:val="58913FBE"/>
    <w:rsid w:val="59164BBB"/>
    <w:rsid w:val="5C403D31"/>
    <w:rsid w:val="5C4B3703"/>
    <w:rsid w:val="5CD921AF"/>
    <w:rsid w:val="609C7CFC"/>
    <w:rsid w:val="625977FE"/>
    <w:rsid w:val="63A42006"/>
    <w:rsid w:val="666F593F"/>
    <w:rsid w:val="673C399E"/>
    <w:rsid w:val="67AA29A7"/>
    <w:rsid w:val="69A578CA"/>
    <w:rsid w:val="6A503CD9"/>
    <w:rsid w:val="6D054451"/>
    <w:rsid w:val="6E7E703A"/>
    <w:rsid w:val="70442D9A"/>
    <w:rsid w:val="70B839A2"/>
    <w:rsid w:val="70D63CB9"/>
    <w:rsid w:val="70F93287"/>
    <w:rsid w:val="714479C8"/>
    <w:rsid w:val="733D0020"/>
    <w:rsid w:val="74071C5D"/>
    <w:rsid w:val="79167E9C"/>
    <w:rsid w:val="7AE13987"/>
    <w:rsid w:val="7BDD6708"/>
    <w:rsid w:val="7C613B24"/>
    <w:rsid w:val="7DB36D49"/>
    <w:rsid w:val="7F856A65"/>
    <w:rsid w:val="7FC94EB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_x0000_s2077"/>
        <o:r id="V:Rule2" type="connector" idref="#_x0000_s2078"/>
        <o:r id="V:Rule3" type="connector" idref="#_x0000_s2099"/>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0" w:name="table of figures"/>
    <w:lsdException w:uiPriority="99" w:name="envelope address"/>
    <w:lsdException w:uiPriority="99" w:name="envelope return"/>
    <w:lsdException w:uiPriority="0" w:name="footnote reference"/>
    <w:lsdException w:qFormat="1" w:uiPriority="0" w:name="annotation reference"/>
    <w:lsdException w:uiPriority="99" w:name="line number"/>
    <w:lsdException w:qFormat="1" w:unhideWhenUsed="0" w:uiPriority="0"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qFormat="1" w:unhideWhenUsed="0" w:uiPriority="0" w:name="toa heading"/>
    <w:lsdException w:uiPriority="99" w:name="List"/>
    <w:lsdException w:qFormat="1" w:unhideWhenUsed="0" w:uiPriority="0" w:semiHidden="0" w:name="List Bullet"/>
    <w:lsdException w:qFormat="1" w:unhideWhenUsed="0" w:uiPriority="0" w:semiHidden="0"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nhideWhenUsed="0" w:uiPriority="0"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line="360" w:lineRule="auto"/>
      <w:jc w:val="both"/>
    </w:pPr>
    <w:rPr>
      <w:rFonts w:ascii="Calibri" w:hAnsi="Calibri" w:eastAsia="宋体" w:cs="Times New Roman"/>
      <w:kern w:val="2"/>
      <w:sz w:val="21"/>
      <w:lang w:val="en-US" w:eastAsia="zh-CN" w:bidi="ar-SA"/>
    </w:rPr>
  </w:style>
  <w:style w:type="paragraph" w:styleId="2">
    <w:name w:val="heading 1"/>
    <w:next w:val="3"/>
    <w:link w:val="59"/>
    <w:autoRedefine/>
    <w:qFormat/>
    <w:uiPriority w:val="0"/>
    <w:pPr>
      <w:keepNext/>
      <w:keepLines/>
      <w:pageBreakBefore/>
      <w:numPr>
        <w:ilvl w:val="0"/>
        <w:numId w:val="1"/>
      </w:numPr>
      <w:adjustRightInd w:val="0"/>
      <w:snapToGrid w:val="0"/>
      <w:spacing w:before="400" w:after="280" w:line="360" w:lineRule="auto"/>
      <w:jc w:val="center"/>
      <w:outlineLvl w:val="0"/>
    </w:pPr>
    <w:rPr>
      <w:rFonts w:ascii="Arial" w:hAnsi="Arial" w:eastAsia="黑体" w:cs="Times New Roman"/>
      <w:sz w:val="32"/>
      <w:lang w:val="en-US" w:eastAsia="zh-CN" w:bidi="ar-SA"/>
    </w:rPr>
  </w:style>
  <w:style w:type="paragraph" w:styleId="4">
    <w:name w:val="heading 2"/>
    <w:next w:val="3"/>
    <w:link w:val="60"/>
    <w:autoRedefine/>
    <w:qFormat/>
    <w:uiPriority w:val="0"/>
    <w:pPr>
      <w:keepNext/>
      <w:keepLines/>
      <w:numPr>
        <w:ilvl w:val="1"/>
        <w:numId w:val="1"/>
      </w:numPr>
      <w:adjustRightInd w:val="0"/>
      <w:snapToGrid w:val="0"/>
      <w:spacing w:before="200" w:after="80" w:line="360" w:lineRule="auto"/>
      <w:outlineLvl w:val="1"/>
    </w:pPr>
    <w:rPr>
      <w:rFonts w:ascii="Arial" w:hAnsi="Arial" w:eastAsia="黑体" w:cs="Times New Roman"/>
      <w:sz w:val="28"/>
      <w:lang w:val="en-US" w:eastAsia="zh-CN" w:bidi="ar-SA"/>
    </w:rPr>
  </w:style>
  <w:style w:type="paragraph" w:styleId="5">
    <w:name w:val="heading 3"/>
    <w:basedOn w:val="1"/>
    <w:next w:val="1"/>
    <w:link w:val="61"/>
    <w:autoRedefine/>
    <w:qFormat/>
    <w:uiPriority w:val="0"/>
    <w:pPr>
      <w:keepNext/>
      <w:keepLines/>
      <w:numPr>
        <w:ilvl w:val="2"/>
        <w:numId w:val="1"/>
      </w:numPr>
      <w:spacing w:before="200" w:after="80"/>
      <w:outlineLvl w:val="2"/>
    </w:pPr>
    <w:rPr>
      <w:rFonts w:ascii="Arial" w:hAnsi="Arial" w:eastAsia="黑体"/>
      <w:lang w:val="pt-BR"/>
    </w:rPr>
  </w:style>
  <w:style w:type="paragraph" w:styleId="6">
    <w:name w:val="heading 4"/>
    <w:next w:val="3"/>
    <w:link w:val="62"/>
    <w:autoRedefine/>
    <w:qFormat/>
    <w:uiPriority w:val="0"/>
    <w:pPr>
      <w:keepNext/>
      <w:keepLines/>
      <w:numPr>
        <w:ilvl w:val="3"/>
        <w:numId w:val="1"/>
      </w:numPr>
      <w:adjustRightInd w:val="0"/>
      <w:snapToGrid w:val="0"/>
      <w:spacing w:before="80" w:line="360" w:lineRule="auto"/>
      <w:textAlignment w:val="baseline"/>
      <w:outlineLvl w:val="3"/>
    </w:pPr>
    <w:rPr>
      <w:rFonts w:ascii="Arial" w:hAnsi="Arial" w:eastAsia="黑体" w:cs="Times New Roman"/>
      <w:sz w:val="18"/>
      <w:lang w:val="en-US" w:eastAsia="zh-CN" w:bidi="ar-SA"/>
    </w:rPr>
  </w:style>
  <w:style w:type="paragraph" w:styleId="7">
    <w:name w:val="heading 5"/>
    <w:basedOn w:val="3"/>
    <w:next w:val="1"/>
    <w:link w:val="63"/>
    <w:autoRedefine/>
    <w:qFormat/>
    <w:uiPriority w:val="0"/>
    <w:pPr>
      <w:keepNext/>
      <w:keepLines/>
      <w:numPr>
        <w:ilvl w:val="4"/>
        <w:numId w:val="1"/>
      </w:numPr>
      <w:spacing w:before="120"/>
      <w:jc w:val="left"/>
      <w:outlineLvl w:val="4"/>
    </w:pPr>
    <w:rPr>
      <w:kern w:val="0"/>
      <w:lang w:val="zh-CN"/>
    </w:rPr>
  </w:style>
  <w:style w:type="paragraph" w:styleId="8">
    <w:name w:val="heading 6"/>
    <w:basedOn w:val="7"/>
    <w:next w:val="1"/>
    <w:link w:val="64"/>
    <w:autoRedefine/>
    <w:qFormat/>
    <w:uiPriority w:val="0"/>
    <w:pPr>
      <w:ind w:left="0" w:firstLine="1701"/>
      <w:outlineLvl w:val="5"/>
    </w:pPr>
  </w:style>
  <w:style w:type="paragraph" w:styleId="9">
    <w:name w:val="heading 7"/>
    <w:basedOn w:val="1"/>
    <w:next w:val="1"/>
    <w:link w:val="65"/>
    <w:autoRedefine/>
    <w:qFormat/>
    <w:uiPriority w:val="0"/>
    <w:pPr>
      <w:keepNext/>
      <w:keepLines/>
      <w:spacing w:line="300" w:lineRule="auto"/>
      <w:ind w:left="567"/>
      <w:textAlignment w:val="baseline"/>
      <w:outlineLvl w:val="6"/>
    </w:pPr>
    <w:rPr>
      <w:kern w:val="0"/>
    </w:rPr>
  </w:style>
  <w:style w:type="paragraph" w:styleId="10">
    <w:name w:val="heading 8"/>
    <w:basedOn w:val="1"/>
    <w:next w:val="1"/>
    <w:link w:val="66"/>
    <w:autoRedefine/>
    <w:qFormat/>
    <w:uiPriority w:val="0"/>
    <w:pPr>
      <w:keepNext/>
      <w:keepLines/>
      <w:spacing w:line="300" w:lineRule="auto"/>
      <w:ind w:left="794"/>
      <w:textAlignment w:val="baseline"/>
      <w:outlineLvl w:val="7"/>
    </w:pPr>
    <w:rPr>
      <w:kern w:val="0"/>
    </w:rPr>
  </w:style>
  <w:style w:type="paragraph" w:styleId="11">
    <w:name w:val="heading 9"/>
    <w:basedOn w:val="1"/>
    <w:next w:val="1"/>
    <w:link w:val="67"/>
    <w:autoRedefine/>
    <w:qFormat/>
    <w:uiPriority w:val="0"/>
    <w:pPr>
      <w:spacing w:before="240" w:after="64" w:line="320" w:lineRule="atLeast"/>
      <w:outlineLvl w:val="8"/>
    </w:pPr>
    <w:rPr>
      <w:rFonts w:ascii="Arial" w:hAnsi="Arial" w:eastAsia="黑体"/>
      <w:kern w:val="0"/>
    </w:rPr>
  </w:style>
  <w:style w:type="character" w:default="1" w:styleId="52">
    <w:name w:val="Default Paragraph Font"/>
    <w:autoRedefine/>
    <w:semiHidden/>
    <w:unhideWhenUsed/>
    <w:qFormat/>
    <w:uiPriority w:val="1"/>
  </w:style>
  <w:style w:type="table" w:default="1" w:styleId="50">
    <w:name w:val="Normal Table"/>
    <w:autoRedefine/>
    <w:semiHidden/>
    <w:unhideWhenUsed/>
    <w:qFormat/>
    <w:uiPriority w:val="99"/>
    <w:tblPr>
      <w:tblCellMar>
        <w:top w:w="0" w:type="dxa"/>
        <w:left w:w="108" w:type="dxa"/>
        <w:bottom w:w="0" w:type="dxa"/>
        <w:right w:w="108" w:type="dxa"/>
      </w:tblCellMar>
    </w:tblPr>
  </w:style>
  <w:style w:type="paragraph" w:customStyle="1" w:styleId="3">
    <w:name w:val="正文 1"/>
    <w:basedOn w:val="1"/>
    <w:link w:val="58"/>
    <w:autoRedefine/>
    <w:qFormat/>
    <w:uiPriority w:val="0"/>
    <w:pPr>
      <w:ind w:left="680"/>
    </w:pPr>
    <w:rPr>
      <w:rFonts w:asciiTheme="minorHAnsi" w:hAnsiTheme="minorHAnsi" w:cstheme="minorBidi"/>
      <w:sz w:val="18"/>
      <w:szCs w:val="22"/>
    </w:rPr>
  </w:style>
  <w:style w:type="paragraph" w:styleId="12">
    <w:name w:val="toc 7"/>
    <w:basedOn w:val="1"/>
    <w:next w:val="1"/>
    <w:autoRedefine/>
    <w:qFormat/>
    <w:uiPriority w:val="39"/>
    <w:pPr>
      <w:spacing w:line="300" w:lineRule="auto"/>
      <w:ind w:left="839"/>
      <w:jc w:val="left"/>
    </w:pPr>
    <w:rPr>
      <w:rFonts w:ascii="Arial" w:hAnsi="Arial"/>
    </w:rPr>
  </w:style>
  <w:style w:type="paragraph" w:styleId="13">
    <w:name w:val="List Number 2"/>
    <w:basedOn w:val="1"/>
    <w:autoRedefine/>
    <w:qFormat/>
    <w:uiPriority w:val="0"/>
    <w:pPr>
      <w:tabs>
        <w:tab w:val="left" w:pos="643"/>
      </w:tabs>
      <w:suppressAutoHyphens/>
      <w:adjustRightInd/>
      <w:snapToGrid/>
      <w:spacing w:line="240" w:lineRule="auto"/>
      <w:ind w:left="643" w:hanging="360"/>
      <w:jc w:val="left"/>
    </w:pPr>
    <w:rPr>
      <w:spacing w:val="-2"/>
      <w:kern w:val="0"/>
      <w:sz w:val="20"/>
      <w:lang w:eastAsia="en-US"/>
    </w:rPr>
  </w:style>
  <w:style w:type="paragraph" w:styleId="14">
    <w:name w:val="List Bullet 4"/>
    <w:basedOn w:val="1"/>
    <w:autoRedefine/>
    <w:qFormat/>
    <w:uiPriority w:val="0"/>
    <w:pPr>
      <w:tabs>
        <w:tab w:val="left" w:pos="1209"/>
      </w:tabs>
      <w:suppressAutoHyphens/>
      <w:adjustRightInd/>
      <w:snapToGrid/>
      <w:spacing w:line="240" w:lineRule="auto"/>
      <w:ind w:left="1209" w:hanging="360"/>
      <w:jc w:val="left"/>
    </w:pPr>
    <w:rPr>
      <w:spacing w:val="-2"/>
      <w:kern w:val="0"/>
      <w:sz w:val="20"/>
      <w:lang w:eastAsia="en-US"/>
    </w:rPr>
  </w:style>
  <w:style w:type="paragraph" w:styleId="15">
    <w:name w:val="List Number"/>
    <w:basedOn w:val="1"/>
    <w:autoRedefine/>
    <w:qFormat/>
    <w:uiPriority w:val="0"/>
    <w:pPr>
      <w:tabs>
        <w:tab w:val="left" w:pos="360"/>
      </w:tabs>
      <w:suppressAutoHyphens/>
      <w:adjustRightInd/>
      <w:snapToGrid/>
      <w:spacing w:line="240" w:lineRule="auto"/>
      <w:ind w:left="360" w:hanging="360"/>
      <w:jc w:val="left"/>
    </w:pPr>
    <w:rPr>
      <w:spacing w:val="-2"/>
      <w:kern w:val="0"/>
      <w:sz w:val="20"/>
      <w:lang w:eastAsia="en-US"/>
    </w:rPr>
  </w:style>
  <w:style w:type="paragraph" w:styleId="16">
    <w:name w:val="Normal Indent"/>
    <w:basedOn w:val="1"/>
    <w:autoRedefine/>
    <w:qFormat/>
    <w:uiPriority w:val="0"/>
    <w:pPr>
      <w:widowControl w:val="0"/>
      <w:autoSpaceDE w:val="0"/>
      <w:autoSpaceDN w:val="0"/>
      <w:snapToGrid/>
      <w:spacing w:line="240" w:lineRule="auto"/>
      <w:ind w:firstLine="420"/>
    </w:pPr>
    <w:rPr>
      <w:kern w:val="0"/>
      <w:szCs w:val="21"/>
    </w:rPr>
  </w:style>
  <w:style w:type="paragraph" w:styleId="17">
    <w:name w:val="caption"/>
    <w:basedOn w:val="1"/>
    <w:next w:val="1"/>
    <w:autoRedefine/>
    <w:qFormat/>
    <w:uiPriority w:val="0"/>
    <w:pPr>
      <w:spacing w:before="152" w:after="160"/>
    </w:pPr>
    <w:rPr>
      <w:rFonts w:eastAsia="黑体"/>
    </w:rPr>
  </w:style>
  <w:style w:type="paragraph" w:styleId="18">
    <w:name w:val="List Bullet"/>
    <w:basedOn w:val="1"/>
    <w:autoRedefine/>
    <w:qFormat/>
    <w:uiPriority w:val="0"/>
    <w:pPr>
      <w:tabs>
        <w:tab w:val="left" w:pos="360"/>
      </w:tabs>
      <w:suppressAutoHyphens/>
      <w:adjustRightInd/>
      <w:snapToGrid/>
      <w:spacing w:line="240" w:lineRule="auto"/>
      <w:ind w:left="360" w:hanging="360"/>
      <w:jc w:val="left"/>
    </w:pPr>
    <w:rPr>
      <w:spacing w:val="-2"/>
      <w:kern w:val="0"/>
      <w:sz w:val="20"/>
      <w:lang w:eastAsia="en-US"/>
    </w:rPr>
  </w:style>
  <w:style w:type="paragraph" w:styleId="19">
    <w:name w:val="Document Map"/>
    <w:basedOn w:val="1"/>
    <w:link w:val="75"/>
    <w:autoRedefine/>
    <w:semiHidden/>
    <w:qFormat/>
    <w:uiPriority w:val="0"/>
    <w:pPr>
      <w:shd w:val="clear" w:color="auto" w:fill="000080"/>
    </w:pPr>
    <w:rPr>
      <w:rFonts w:asciiTheme="minorHAnsi" w:hAnsiTheme="minorHAnsi" w:cstheme="minorBidi"/>
      <w:szCs w:val="22"/>
    </w:rPr>
  </w:style>
  <w:style w:type="paragraph" w:styleId="20">
    <w:name w:val="toa heading"/>
    <w:next w:val="1"/>
    <w:autoRedefine/>
    <w:semiHidden/>
    <w:qFormat/>
    <w:uiPriority w:val="0"/>
    <w:pPr>
      <w:adjustRightInd w:val="0"/>
      <w:snapToGrid w:val="0"/>
      <w:spacing w:after="360" w:line="360" w:lineRule="auto"/>
      <w:jc w:val="center"/>
      <w:textAlignment w:val="baseline"/>
    </w:pPr>
    <w:rPr>
      <w:rFonts w:ascii="Arial" w:hAnsi="Arial" w:eastAsia="黑体" w:cs="Times New Roman"/>
      <w:sz w:val="36"/>
      <w:lang w:val="en-US" w:eastAsia="zh-CN" w:bidi="ar-SA"/>
    </w:rPr>
  </w:style>
  <w:style w:type="paragraph" w:styleId="21">
    <w:name w:val="annotation text"/>
    <w:basedOn w:val="1"/>
    <w:link w:val="76"/>
    <w:autoRedefine/>
    <w:semiHidden/>
    <w:qFormat/>
    <w:uiPriority w:val="0"/>
    <w:pPr>
      <w:jc w:val="left"/>
    </w:pPr>
    <w:rPr>
      <w:rFonts w:asciiTheme="minorHAnsi" w:hAnsiTheme="minorHAnsi" w:cstheme="minorBidi"/>
      <w:szCs w:val="22"/>
    </w:rPr>
  </w:style>
  <w:style w:type="paragraph" w:styleId="22">
    <w:name w:val="List Bullet 3"/>
    <w:basedOn w:val="1"/>
    <w:qFormat/>
    <w:uiPriority w:val="0"/>
    <w:pPr>
      <w:tabs>
        <w:tab w:val="left" w:pos="926"/>
      </w:tabs>
      <w:suppressAutoHyphens/>
      <w:adjustRightInd/>
      <w:snapToGrid/>
      <w:spacing w:line="240" w:lineRule="auto"/>
      <w:ind w:left="926" w:hanging="360"/>
      <w:jc w:val="left"/>
    </w:pPr>
    <w:rPr>
      <w:spacing w:val="-2"/>
      <w:kern w:val="0"/>
      <w:sz w:val="20"/>
      <w:lang w:eastAsia="en-US"/>
    </w:rPr>
  </w:style>
  <w:style w:type="paragraph" w:styleId="23">
    <w:name w:val="Body Text"/>
    <w:basedOn w:val="1"/>
    <w:link w:val="89"/>
    <w:autoRedefine/>
    <w:semiHidden/>
    <w:qFormat/>
    <w:uiPriority w:val="0"/>
    <w:pPr>
      <w:autoSpaceDE w:val="0"/>
      <w:autoSpaceDN w:val="0"/>
      <w:jc w:val="left"/>
    </w:pPr>
    <w:rPr>
      <w:rFonts w:ascii="CenturySchoolbook" w:hAnsi="CenturySchoolbook" w:cstheme="minorBidi"/>
      <w:sz w:val="22"/>
      <w:szCs w:val="22"/>
    </w:rPr>
  </w:style>
  <w:style w:type="paragraph" w:styleId="24">
    <w:name w:val="Body Text Indent"/>
    <w:basedOn w:val="1"/>
    <w:link w:val="110"/>
    <w:qFormat/>
    <w:uiPriority w:val="0"/>
    <w:pPr>
      <w:widowControl w:val="0"/>
      <w:tabs>
        <w:tab w:val="left" w:pos="3480"/>
        <w:tab w:val="left" w:pos="5760"/>
      </w:tabs>
      <w:adjustRightInd/>
      <w:snapToGrid/>
      <w:ind w:right="16" w:firstLine="567"/>
    </w:pPr>
    <w:rPr>
      <w:rFonts w:ascii="宋体"/>
      <w:szCs w:val="24"/>
    </w:rPr>
  </w:style>
  <w:style w:type="paragraph" w:styleId="25">
    <w:name w:val="List Number 3"/>
    <w:basedOn w:val="1"/>
    <w:autoRedefine/>
    <w:qFormat/>
    <w:uiPriority w:val="0"/>
    <w:pPr>
      <w:tabs>
        <w:tab w:val="left" w:pos="926"/>
      </w:tabs>
      <w:suppressAutoHyphens/>
      <w:adjustRightInd/>
      <w:snapToGrid/>
      <w:spacing w:line="240" w:lineRule="auto"/>
      <w:ind w:left="926" w:hanging="360"/>
      <w:jc w:val="left"/>
    </w:pPr>
    <w:rPr>
      <w:spacing w:val="-2"/>
      <w:kern w:val="0"/>
      <w:sz w:val="20"/>
      <w:lang w:eastAsia="en-US"/>
    </w:rPr>
  </w:style>
  <w:style w:type="paragraph" w:styleId="26">
    <w:name w:val="Block Text"/>
    <w:basedOn w:val="1"/>
    <w:qFormat/>
    <w:uiPriority w:val="0"/>
    <w:pPr>
      <w:widowControl w:val="0"/>
      <w:tabs>
        <w:tab w:val="left" w:pos="452"/>
        <w:tab w:val="left" w:pos="1155"/>
        <w:tab w:val="left" w:pos="1356"/>
      </w:tabs>
      <w:adjustRightInd/>
      <w:snapToGrid/>
      <w:ind w:left="2579" w:leftChars="470" w:right="211" w:hanging="1592" w:hangingChars="758"/>
    </w:pPr>
    <w:rPr>
      <w:rFonts w:ascii="宋体"/>
      <w:szCs w:val="24"/>
    </w:rPr>
  </w:style>
  <w:style w:type="paragraph" w:styleId="27">
    <w:name w:val="List Bullet 2"/>
    <w:basedOn w:val="1"/>
    <w:autoRedefine/>
    <w:qFormat/>
    <w:uiPriority w:val="0"/>
    <w:pPr>
      <w:tabs>
        <w:tab w:val="left" w:pos="643"/>
      </w:tabs>
      <w:suppressAutoHyphens/>
      <w:adjustRightInd/>
      <w:snapToGrid/>
      <w:spacing w:line="240" w:lineRule="auto"/>
      <w:ind w:left="643" w:hanging="360"/>
      <w:jc w:val="left"/>
    </w:pPr>
    <w:rPr>
      <w:spacing w:val="-2"/>
      <w:kern w:val="0"/>
      <w:sz w:val="20"/>
      <w:lang w:eastAsia="en-US"/>
    </w:rPr>
  </w:style>
  <w:style w:type="paragraph" w:styleId="28">
    <w:name w:val="HTML Address"/>
    <w:basedOn w:val="1"/>
    <w:link w:val="107"/>
    <w:autoRedefine/>
    <w:qFormat/>
    <w:uiPriority w:val="0"/>
    <w:pPr>
      <w:widowControl w:val="0"/>
      <w:adjustRightInd/>
      <w:snapToGrid/>
      <w:spacing w:line="240" w:lineRule="auto"/>
    </w:pPr>
    <w:rPr>
      <w:i/>
      <w:iCs/>
      <w:szCs w:val="24"/>
    </w:rPr>
  </w:style>
  <w:style w:type="paragraph" w:styleId="29">
    <w:name w:val="toc 5"/>
    <w:basedOn w:val="1"/>
    <w:next w:val="1"/>
    <w:autoRedefine/>
    <w:qFormat/>
    <w:uiPriority w:val="39"/>
    <w:pPr>
      <w:keepNext/>
      <w:spacing w:before="120" w:line="300" w:lineRule="auto"/>
      <w:jc w:val="left"/>
    </w:pPr>
    <w:rPr>
      <w:rFonts w:ascii="Arial" w:hAnsi="Arial"/>
    </w:rPr>
  </w:style>
  <w:style w:type="paragraph" w:styleId="30">
    <w:name w:val="toc 3"/>
    <w:next w:val="1"/>
    <w:autoRedefine/>
    <w:qFormat/>
    <w:uiPriority w:val="39"/>
    <w:pPr>
      <w:adjustRightInd w:val="0"/>
      <w:snapToGrid w:val="0"/>
      <w:spacing w:before="30" w:after="30" w:line="300" w:lineRule="auto"/>
      <w:ind w:left="839"/>
      <w:jc w:val="both"/>
      <w:textAlignment w:val="baseline"/>
    </w:pPr>
    <w:rPr>
      <w:rFonts w:ascii="Calibri" w:hAnsi="Calibri" w:eastAsia="宋体" w:cs="Times New Roman"/>
      <w:sz w:val="18"/>
      <w:lang w:val="en-US" w:eastAsia="zh-CN" w:bidi="ar-SA"/>
    </w:rPr>
  </w:style>
  <w:style w:type="paragraph" w:styleId="31">
    <w:name w:val="List Bullet 5"/>
    <w:basedOn w:val="1"/>
    <w:autoRedefine/>
    <w:qFormat/>
    <w:uiPriority w:val="0"/>
    <w:pPr>
      <w:tabs>
        <w:tab w:val="left" w:pos="1492"/>
      </w:tabs>
      <w:suppressAutoHyphens/>
      <w:adjustRightInd/>
      <w:snapToGrid/>
      <w:spacing w:line="240" w:lineRule="auto"/>
      <w:ind w:left="1492" w:hanging="360"/>
      <w:jc w:val="left"/>
    </w:pPr>
    <w:rPr>
      <w:spacing w:val="-2"/>
      <w:kern w:val="0"/>
      <w:sz w:val="20"/>
      <w:lang w:eastAsia="en-US"/>
    </w:rPr>
  </w:style>
  <w:style w:type="paragraph" w:styleId="32">
    <w:name w:val="List Number 4"/>
    <w:basedOn w:val="1"/>
    <w:autoRedefine/>
    <w:qFormat/>
    <w:uiPriority w:val="0"/>
    <w:pPr>
      <w:tabs>
        <w:tab w:val="left" w:pos="1209"/>
      </w:tabs>
      <w:suppressAutoHyphens/>
      <w:adjustRightInd/>
      <w:snapToGrid/>
      <w:spacing w:line="240" w:lineRule="auto"/>
      <w:ind w:left="1209" w:hanging="360"/>
      <w:jc w:val="left"/>
    </w:pPr>
    <w:rPr>
      <w:spacing w:val="-2"/>
      <w:kern w:val="0"/>
      <w:sz w:val="20"/>
      <w:lang w:eastAsia="en-US"/>
    </w:rPr>
  </w:style>
  <w:style w:type="paragraph" w:styleId="33">
    <w:name w:val="toc 8"/>
    <w:basedOn w:val="1"/>
    <w:next w:val="1"/>
    <w:autoRedefine/>
    <w:qFormat/>
    <w:uiPriority w:val="39"/>
    <w:pPr>
      <w:spacing w:line="300" w:lineRule="auto"/>
      <w:ind w:left="1259"/>
      <w:jc w:val="left"/>
    </w:pPr>
    <w:rPr>
      <w:rFonts w:ascii="Arial" w:hAnsi="Arial"/>
    </w:rPr>
  </w:style>
  <w:style w:type="paragraph" w:styleId="34">
    <w:name w:val="Date"/>
    <w:basedOn w:val="1"/>
    <w:next w:val="1"/>
    <w:link w:val="70"/>
    <w:autoRedefine/>
    <w:qFormat/>
    <w:uiPriority w:val="0"/>
    <w:pPr>
      <w:widowControl w:val="0"/>
      <w:adjustRightInd/>
      <w:snapToGrid/>
      <w:spacing w:line="240" w:lineRule="auto"/>
      <w:ind w:left="100" w:leftChars="2500"/>
    </w:pPr>
    <w:rPr>
      <w:rFonts w:asciiTheme="minorHAnsi" w:hAnsiTheme="minorHAnsi" w:cstheme="minorBidi"/>
      <w:szCs w:val="24"/>
    </w:rPr>
  </w:style>
  <w:style w:type="paragraph" w:styleId="35">
    <w:name w:val="endnote text"/>
    <w:basedOn w:val="1"/>
    <w:link w:val="121"/>
    <w:autoRedefine/>
    <w:semiHidden/>
    <w:qFormat/>
    <w:uiPriority w:val="0"/>
    <w:pPr>
      <w:jc w:val="left"/>
    </w:pPr>
  </w:style>
  <w:style w:type="paragraph" w:styleId="36">
    <w:name w:val="Balloon Text"/>
    <w:basedOn w:val="1"/>
    <w:link w:val="80"/>
    <w:autoRedefine/>
    <w:semiHidden/>
    <w:qFormat/>
    <w:uiPriority w:val="0"/>
    <w:rPr>
      <w:rFonts w:asciiTheme="minorHAnsi" w:hAnsiTheme="minorHAnsi" w:cstheme="minorBidi"/>
      <w:sz w:val="18"/>
      <w:szCs w:val="18"/>
    </w:rPr>
  </w:style>
  <w:style w:type="paragraph" w:styleId="37">
    <w:name w:val="footer"/>
    <w:basedOn w:val="1"/>
    <w:link w:val="69"/>
    <w:unhideWhenUsed/>
    <w:qFormat/>
    <w:uiPriority w:val="99"/>
    <w:pPr>
      <w:tabs>
        <w:tab w:val="center" w:pos="4153"/>
        <w:tab w:val="right" w:pos="8306"/>
      </w:tabs>
      <w:jc w:val="left"/>
    </w:pPr>
    <w:rPr>
      <w:sz w:val="18"/>
      <w:szCs w:val="18"/>
    </w:rPr>
  </w:style>
  <w:style w:type="paragraph" w:styleId="38">
    <w:name w:val="header"/>
    <w:basedOn w:val="1"/>
    <w:link w:val="68"/>
    <w:unhideWhenUsed/>
    <w:qFormat/>
    <w:uiPriority w:val="99"/>
    <w:pPr>
      <w:pBdr>
        <w:bottom w:val="single" w:color="auto" w:sz="6" w:space="1"/>
      </w:pBdr>
      <w:tabs>
        <w:tab w:val="center" w:pos="4153"/>
        <w:tab w:val="right" w:pos="8306"/>
      </w:tabs>
      <w:jc w:val="center"/>
    </w:pPr>
    <w:rPr>
      <w:sz w:val="18"/>
      <w:szCs w:val="18"/>
    </w:rPr>
  </w:style>
  <w:style w:type="paragraph" w:styleId="39">
    <w:name w:val="toc 1"/>
    <w:next w:val="1"/>
    <w:qFormat/>
    <w:uiPriority w:val="39"/>
    <w:pPr>
      <w:keepNext/>
      <w:adjustRightInd w:val="0"/>
      <w:snapToGrid w:val="0"/>
      <w:spacing w:before="80" w:after="80" w:line="360" w:lineRule="auto"/>
      <w:jc w:val="both"/>
      <w:textAlignment w:val="baseline"/>
    </w:pPr>
    <w:rPr>
      <w:rFonts w:ascii="Arial" w:hAnsi="Arial" w:eastAsia="黑体" w:cs="Times New Roman"/>
      <w:sz w:val="18"/>
      <w:lang w:val="en-US" w:eastAsia="zh-CN" w:bidi="ar-SA"/>
    </w:rPr>
  </w:style>
  <w:style w:type="paragraph" w:styleId="40">
    <w:name w:val="toc 4"/>
    <w:basedOn w:val="1"/>
    <w:next w:val="1"/>
    <w:autoRedefine/>
    <w:qFormat/>
    <w:uiPriority w:val="39"/>
    <w:pPr>
      <w:ind w:left="1259"/>
    </w:pPr>
    <w:rPr>
      <w:sz w:val="18"/>
    </w:rPr>
  </w:style>
  <w:style w:type="paragraph" w:styleId="41">
    <w:name w:val="List Number 5"/>
    <w:basedOn w:val="1"/>
    <w:qFormat/>
    <w:uiPriority w:val="0"/>
    <w:pPr>
      <w:tabs>
        <w:tab w:val="left" w:pos="1492"/>
      </w:tabs>
      <w:suppressAutoHyphens/>
      <w:adjustRightInd/>
      <w:snapToGrid/>
      <w:spacing w:line="240" w:lineRule="auto"/>
      <w:ind w:left="1492" w:hanging="360"/>
      <w:jc w:val="left"/>
    </w:pPr>
    <w:rPr>
      <w:spacing w:val="-2"/>
      <w:kern w:val="0"/>
      <w:sz w:val="20"/>
      <w:lang w:eastAsia="en-US"/>
    </w:rPr>
  </w:style>
  <w:style w:type="paragraph" w:styleId="42">
    <w:name w:val="footnote text"/>
    <w:basedOn w:val="1"/>
    <w:link w:val="137"/>
    <w:semiHidden/>
    <w:qFormat/>
    <w:uiPriority w:val="0"/>
    <w:pPr>
      <w:jc w:val="left"/>
    </w:pPr>
    <w:rPr>
      <w:sz w:val="18"/>
      <w:szCs w:val="18"/>
    </w:rPr>
  </w:style>
  <w:style w:type="paragraph" w:styleId="43">
    <w:name w:val="toc 6"/>
    <w:basedOn w:val="1"/>
    <w:next w:val="1"/>
    <w:autoRedefine/>
    <w:qFormat/>
    <w:uiPriority w:val="39"/>
    <w:pPr>
      <w:spacing w:line="300" w:lineRule="auto"/>
      <w:ind w:left="420"/>
      <w:jc w:val="left"/>
    </w:pPr>
    <w:rPr>
      <w:rFonts w:ascii="Arial" w:hAnsi="Arial"/>
    </w:rPr>
  </w:style>
  <w:style w:type="paragraph" w:styleId="44">
    <w:name w:val="toc 2"/>
    <w:next w:val="1"/>
    <w:autoRedefine/>
    <w:qFormat/>
    <w:uiPriority w:val="39"/>
    <w:pPr>
      <w:adjustRightInd w:val="0"/>
      <w:snapToGrid w:val="0"/>
      <w:spacing w:before="30" w:after="30" w:line="300" w:lineRule="auto"/>
      <w:ind w:left="420"/>
      <w:jc w:val="both"/>
      <w:textAlignment w:val="baseline"/>
    </w:pPr>
    <w:rPr>
      <w:rFonts w:ascii="Calibri" w:hAnsi="Calibri" w:eastAsia="宋体" w:cs="Times New Roman"/>
      <w:sz w:val="18"/>
      <w:lang w:val="en-US" w:eastAsia="zh-CN" w:bidi="ar-SA"/>
    </w:rPr>
  </w:style>
  <w:style w:type="paragraph" w:styleId="45">
    <w:name w:val="toc 9"/>
    <w:basedOn w:val="1"/>
    <w:next w:val="1"/>
    <w:autoRedefine/>
    <w:qFormat/>
    <w:uiPriority w:val="39"/>
    <w:pPr>
      <w:ind w:left="3360" w:leftChars="1600"/>
    </w:pPr>
  </w:style>
  <w:style w:type="paragraph" w:styleId="46">
    <w:name w:val="HTML Preformatted"/>
    <w:basedOn w:val="1"/>
    <w:link w:val="133"/>
    <w:autoRedefine/>
    <w:qFormat/>
    <w:uiPriority w:val="0"/>
    <w:pPr>
      <w:widowControl w:val="0"/>
      <w:adjustRightInd/>
      <w:snapToGrid/>
      <w:spacing w:line="240" w:lineRule="auto"/>
    </w:pPr>
    <w:rPr>
      <w:rFonts w:ascii="Courier New" w:hAnsi="Courier New" w:cs="Courier New"/>
      <w:sz w:val="20"/>
    </w:rPr>
  </w:style>
  <w:style w:type="paragraph" w:styleId="47">
    <w:name w:val="Normal (Web)"/>
    <w:basedOn w:val="1"/>
    <w:autoRedefine/>
    <w:qFormat/>
    <w:uiPriority w:val="0"/>
    <w:pPr>
      <w:adjustRightInd/>
      <w:snapToGrid/>
      <w:spacing w:before="100" w:beforeAutospacing="1" w:after="100" w:afterAutospacing="1" w:line="240" w:lineRule="auto"/>
      <w:jc w:val="left"/>
    </w:pPr>
    <w:rPr>
      <w:rFonts w:ascii="宋体" w:hAnsi="宋体" w:cs="宋体"/>
      <w:kern w:val="0"/>
      <w:sz w:val="24"/>
      <w:szCs w:val="24"/>
    </w:rPr>
  </w:style>
  <w:style w:type="paragraph" w:styleId="48">
    <w:name w:val="Title"/>
    <w:basedOn w:val="1"/>
    <w:link w:val="127"/>
    <w:autoRedefine/>
    <w:qFormat/>
    <w:uiPriority w:val="0"/>
    <w:pPr>
      <w:widowControl w:val="0"/>
      <w:adjustRightInd/>
      <w:snapToGrid/>
      <w:spacing w:before="240" w:after="60" w:line="240" w:lineRule="auto"/>
      <w:jc w:val="center"/>
      <w:outlineLvl w:val="0"/>
    </w:pPr>
    <w:rPr>
      <w:rFonts w:ascii="Arial" w:hAnsi="Arial" w:cs="Arial"/>
      <w:b/>
      <w:bCs/>
      <w:sz w:val="32"/>
      <w:szCs w:val="32"/>
    </w:rPr>
  </w:style>
  <w:style w:type="paragraph" w:styleId="49">
    <w:name w:val="annotation subject"/>
    <w:basedOn w:val="21"/>
    <w:next w:val="21"/>
    <w:link w:val="131"/>
    <w:autoRedefine/>
    <w:semiHidden/>
    <w:qFormat/>
    <w:uiPriority w:val="0"/>
    <w:rPr>
      <w:b/>
      <w:bCs/>
    </w:rPr>
  </w:style>
  <w:style w:type="table" w:styleId="51">
    <w:name w:val="Table Grid"/>
    <w:basedOn w:val="5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3">
    <w:name w:val="endnote reference"/>
    <w:autoRedefine/>
    <w:semiHidden/>
    <w:qFormat/>
    <w:uiPriority w:val="0"/>
    <w:rPr>
      <w:vertAlign w:val="superscript"/>
    </w:rPr>
  </w:style>
  <w:style w:type="character" w:styleId="54">
    <w:name w:val="page number"/>
    <w:basedOn w:val="52"/>
    <w:autoRedefine/>
    <w:qFormat/>
    <w:uiPriority w:val="0"/>
  </w:style>
  <w:style w:type="character" w:styleId="55">
    <w:name w:val="FollowedHyperlink"/>
    <w:autoRedefine/>
    <w:qFormat/>
    <w:uiPriority w:val="0"/>
    <w:rPr>
      <w:color w:val="800080"/>
      <w:u w:val="single"/>
    </w:rPr>
  </w:style>
  <w:style w:type="character" w:styleId="56">
    <w:name w:val="Hyperlink"/>
    <w:autoRedefine/>
    <w:qFormat/>
    <w:uiPriority w:val="99"/>
    <w:rPr>
      <w:color w:val="0000FF"/>
      <w:u w:val="single"/>
    </w:rPr>
  </w:style>
  <w:style w:type="character" w:styleId="57">
    <w:name w:val="annotation reference"/>
    <w:basedOn w:val="52"/>
    <w:autoRedefine/>
    <w:semiHidden/>
    <w:unhideWhenUsed/>
    <w:qFormat/>
    <w:uiPriority w:val="0"/>
    <w:rPr>
      <w:sz w:val="21"/>
      <w:szCs w:val="21"/>
    </w:rPr>
  </w:style>
  <w:style w:type="character" w:customStyle="1" w:styleId="58">
    <w:name w:val="正文 1 Char"/>
    <w:link w:val="3"/>
    <w:autoRedefine/>
    <w:qFormat/>
    <w:uiPriority w:val="0"/>
    <w:rPr>
      <w:rFonts w:eastAsia="宋体" w:asciiTheme="minorHAnsi" w:hAnsiTheme="minorHAnsi"/>
      <w:sz w:val="18"/>
    </w:rPr>
  </w:style>
  <w:style w:type="character" w:customStyle="1" w:styleId="59">
    <w:name w:val="标题 1 字符"/>
    <w:basedOn w:val="52"/>
    <w:link w:val="2"/>
    <w:autoRedefine/>
    <w:qFormat/>
    <w:uiPriority w:val="0"/>
    <w:rPr>
      <w:rFonts w:ascii="Arial" w:hAnsi="Arial" w:eastAsia="黑体" w:cs="Times New Roman"/>
      <w:kern w:val="0"/>
      <w:sz w:val="32"/>
      <w:szCs w:val="20"/>
    </w:rPr>
  </w:style>
  <w:style w:type="character" w:customStyle="1" w:styleId="60">
    <w:name w:val="标题 2 字符"/>
    <w:basedOn w:val="52"/>
    <w:link w:val="4"/>
    <w:autoRedefine/>
    <w:qFormat/>
    <w:uiPriority w:val="0"/>
    <w:rPr>
      <w:rFonts w:ascii="Arial" w:hAnsi="Arial" w:eastAsia="黑体" w:cs="Times New Roman"/>
      <w:kern w:val="0"/>
      <w:sz w:val="28"/>
      <w:szCs w:val="20"/>
    </w:rPr>
  </w:style>
  <w:style w:type="character" w:customStyle="1" w:styleId="61">
    <w:name w:val="标题 3 字符"/>
    <w:basedOn w:val="52"/>
    <w:link w:val="5"/>
    <w:autoRedefine/>
    <w:qFormat/>
    <w:uiPriority w:val="0"/>
    <w:rPr>
      <w:rFonts w:ascii="Arial" w:hAnsi="Arial" w:eastAsia="黑体" w:cs="Times New Roman"/>
      <w:kern w:val="0"/>
      <w:szCs w:val="20"/>
      <w:lang w:val="pt-BR" w:eastAsia="zh-CN"/>
    </w:rPr>
  </w:style>
  <w:style w:type="character" w:customStyle="1" w:styleId="62">
    <w:name w:val="标题 4 字符"/>
    <w:basedOn w:val="52"/>
    <w:link w:val="6"/>
    <w:autoRedefine/>
    <w:qFormat/>
    <w:uiPriority w:val="0"/>
    <w:rPr>
      <w:rFonts w:ascii="Arial" w:hAnsi="Arial" w:eastAsia="黑体" w:cs="Times New Roman"/>
      <w:kern w:val="0"/>
      <w:sz w:val="18"/>
      <w:szCs w:val="20"/>
    </w:rPr>
  </w:style>
  <w:style w:type="character" w:customStyle="1" w:styleId="63">
    <w:name w:val="标题 5 字符"/>
    <w:basedOn w:val="52"/>
    <w:link w:val="7"/>
    <w:autoRedefine/>
    <w:qFormat/>
    <w:uiPriority w:val="0"/>
    <w:rPr>
      <w:rFonts w:ascii="Calibri" w:hAnsi="Calibri" w:eastAsia="宋体" w:cs="Times New Roman"/>
      <w:kern w:val="0"/>
      <w:sz w:val="18"/>
      <w:szCs w:val="20"/>
      <w:lang w:val="zh-CN" w:eastAsia="zh-CN"/>
    </w:rPr>
  </w:style>
  <w:style w:type="character" w:customStyle="1" w:styleId="64">
    <w:name w:val="标题 6 字符"/>
    <w:basedOn w:val="52"/>
    <w:link w:val="8"/>
    <w:autoRedefine/>
    <w:qFormat/>
    <w:uiPriority w:val="0"/>
    <w:rPr>
      <w:rFonts w:ascii="Calibri" w:hAnsi="Calibri" w:eastAsia="宋体" w:cs="Times New Roman"/>
      <w:kern w:val="0"/>
      <w:sz w:val="18"/>
      <w:szCs w:val="20"/>
      <w:lang w:val="zh-CN" w:eastAsia="zh-CN"/>
    </w:rPr>
  </w:style>
  <w:style w:type="character" w:customStyle="1" w:styleId="65">
    <w:name w:val="标题 7 字符"/>
    <w:basedOn w:val="52"/>
    <w:link w:val="9"/>
    <w:autoRedefine/>
    <w:qFormat/>
    <w:uiPriority w:val="0"/>
    <w:rPr>
      <w:rFonts w:ascii="Calibri" w:hAnsi="Calibri" w:eastAsia="宋体" w:cs="Times New Roman"/>
      <w:kern w:val="0"/>
      <w:szCs w:val="20"/>
    </w:rPr>
  </w:style>
  <w:style w:type="character" w:customStyle="1" w:styleId="66">
    <w:name w:val="标题 8 字符"/>
    <w:basedOn w:val="52"/>
    <w:link w:val="10"/>
    <w:autoRedefine/>
    <w:qFormat/>
    <w:uiPriority w:val="0"/>
    <w:rPr>
      <w:rFonts w:ascii="Calibri" w:hAnsi="Calibri" w:eastAsia="宋体" w:cs="Times New Roman"/>
      <w:kern w:val="0"/>
      <w:szCs w:val="20"/>
    </w:rPr>
  </w:style>
  <w:style w:type="character" w:customStyle="1" w:styleId="67">
    <w:name w:val="标题 9 字符"/>
    <w:basedOn w:val="52"/>
    <w:link w:val="11"/>
    <w:autoRedefine/>
    <w:qFormat/>
    <w:uiPriority w:val="0"/>
    <w:rPr>
      <w:rFonts w:ascii="Arial" w:hAnsi="Arial" w:eastAsia="黑体" w:cs="Times New Roman"/>
      <w:kern w:val="0"/>
      <w:szCs w:val="20"/>
    </w:rPr>
  </w:style>
  <w:style w:type="character" w:customStyle="1" w:styleId="68">
    <w:name w:val="页眉 字符"/>
    <w:basedOn w:val="52"/>
    <w:link w:val="38"/>
    <w:autoRedefine/>
    <w:qFormat/>
    <w:uiPriority w:val="99"/>
    <w:rPr>
      <w:sz w:val="18"/>
      <w:szCs w:val="18"/>
    </w:rPr>
  </w:style>
  <w:style w:type="character" w:customStyle="1" w:styleId="69">
    <w:name w:val="页脚 字符1"/>
    <w:basedOn w:val="52"/>
    <w:link w:val="37"/>
    <w:autoRedefine/>
    <w:qFormat/>
    <w:uiPriority w:val="99"/>
    <w:rPr>
      <w:sz w:val="18"/>
      <w:szCs w:val="18"/>
    </w:rPr>
  </w:style>
  <w:style w:type="character" w:customStyle="1" w:styleId="70">
    <w:name w:val="日期 字符"/>
    <w:link w:val="34"/>
    <w:autoRedefine/>
    <w:qFormat/>
    <w:locked/>
    <w:uiPriority w:val="0"/>
    <w:rPr>
      <w:rFonts w:eastAsia="宋体"/>
      <w:szCs w:val="24"/>
    </w:rPr>
  </w:style>
  <w:style w:type="character" w:customStyle="1" w:styleId="71">
    <w:name w:val="表身（中） Char"/>
    <w:link w:val="72"/>
    <w:autoRedefine/>
    <w:qFormat/>
    <w:locked/>
    <w:uiPriority w:val="0"/>
    <w:rPr>
      <w:sz w:val="16"/>
      <w:lang w:val="en-US" w:eastAsia="zh-CN"/>
    </w:rPr>
  </w:style>
  <w:style w:type="paragraph" w:customStyle="1" w:styleId="72">
    <w:name w:val="表身（中）"/>
    <w:basedOn w:val="73"/>
    <w:link w:val="71"/>
    <w:autoRedefine/>
    <w:qFormat/>
    <w:uiPriority w:val="0"/>
    <w:pPr>
      <w:jc w:val="center"/>
    </w:pPr>
  </w:style>
  <w:style w:type="paragraph" w:customStyle="1" w:styleId="73">
    <w:name w:val="表身（左）"/>
    <w:link w:val="74"/>
    <w:qFormat/>
    <w:uiPriority w:val="0"/>
    <w:pPr>
      <w:adjustRightInd w:val="0"/>
      <w:snapToGrid w:val="0"/>
      <w:spacing w:line="300" w:lineRule="auto"/>
      <w:textAlignment w:val="center"/>
    </w:pPr>
    <w:rPr>
      <w:rFonts w:asciiTheme="minorHAnsi" w:hAnsiTheme="minorHAnsi" w:eastAsiaTheme="minorEastAsia" w:cstheme="minorBidi"/>
      <w:kern w:val="2"/>
      <w:sz w:val="16"/>
      <w:szCs w:val="22"/>
      <w:lang w:val="en-US" w:eastAsia="zh-CN" w:bidi="ar-SA"/>
    </w:rPr>
  </w:style>
  <w:style w:type="character" w:customStyle="1" w:styleId="74">
    <w:name w:val="表身（左） Char"/>
    <w:link w:val="73"/>
    <w:autoRedefine/>
    <w:qFormat/>
    <w:locked/>
    <w:uiPriority w:val="0"/>
    <w:rPr>
      <w:sz w:val="16"/>
    </w:rPr>
  </w:style>
  <w:style w:type="character" w:customStyle="1" w:styleId="75">
    <w:name w:val="文档结构图 字符"/>
    <w:link w:val="19"/>
    <w:autoRedefine/>
    <w:semiHidden/>
    <w:qFormat/>
    <w:locked/>
    <w:uiPriority w:val="0"/>
    <w:rPr>
      <w:rFonts w:eastAsia="宋体"/>
      <w:shd w:val="clear" w:color="auto" w:fill="000080"/>
    </w:rPr>
  </w:style>
  <w:style w:type="character" w:customStyle="1" w:styleId="76">
    <w:name w:val="批注文字 字符"/>
    <w:link w:val="21"/>
    <w:autoRedefine/>
    <w:semiHidden/>
    <w:qFormat/>
    <w:locked/>
    <w:uiPriority w:val="0"/>
    <w:rPr>
      <w:rFonts w:eastAsia="宋体"/>
    </w:rPr>
  </w:style>
  <w:style w:type="character" w:customStyle="1" w:styleId="77">
    <w:name w:val="Char Char13"/>
    <w:autoRedefine/>
    <w:qFormat/>
    <w:locked/>
    <w:uiPriority w:val="0"/>
    <w:rPr>
      <w:rFonts w:ascii="Arial" w:hAnsi="Arial" w:eastAsia="黑体"/>
      <w:sz w:val="18"/>
      <w:lang w:val="en-US" w:eastAsia="zh-CN" w:bidi="ar-SA"/>
    </w:rPr>
  </w:style>
  <w:style w:type="character" w:customStyle="1" w:styleId="78">
    <w:name w:val="框下空行 Char"/>
    <w:basedOn w:val="58"/>
    <w:link w:val="79"/>
    <w:autoRedefine/>
    <w:qFormat/>
    <w:uiPriority w:val="0"/>
    <w:rPr>
      <w:rFonts w:eastAsia="宋体" w:asciiTheme="minorHAnsi" w:hAnsiTheme="minorHAnsi"/>
      <w:sz w:val="18"/>
    </w:rPr>
  </w:style>
  <w:style w:type="paragraph" w:customStyle="1" w:styleId="79">
    <w:name w:val="框下空行"/>
    <w:basedOn w:val="3"/>
    <w:next w:val="3"/>
    <w:link w:val="78"/>
    <w:qFormat/>
    <w:uiPriority w:val="0"/>
    <w:pPr>
      <w:spacing w:line="200" w:lineRule="exact"/>
    </w:pPr>
  </w:style>
  <w:style w:type="character" w:customStyle="1" w:styleId="80">
    <w:name w:val="批注框文本 字符"/>
    <w:link w:val="36"/>
    <w:autoRedefine/>
    <w:semiHidden/>
    <w:qFormat/>
    <w:locked/>
    <w:uiPriority w:val="0"/>
    <w:rPr>
      <w:rFonts w:eastAsia="宋体"/>
      <w:sz w:val="18"/>
      <w:szCs w:val="18"/>
    </w:rPr>
  </w:style>
  <w:style w:type="character" w:customStyle="1" w:styleId="81">
    <w:name w:val="标题 3 Char1"/>
    <w:autoRedefine/>
    <w:qFormat/>
    <w:locked/>
    <w:uiPriority w:val="0"/>
    <w:rPr>
      <w:rFonts w:ascii="Arial" w:hAnsi="Arial" w:eastAsia="黑体"/>
      <w:sz w:val="21"/>
      <w:lang w:val="en-US" w:eastAsia="zh-CN" w:bidi="ar-SA"/>
    </w:rPr>
  </w:style>
  <w:style w:type="character" w:customStyle="1" w:styleId="82">
    <w:name w:val="图题 Char"/>
    <w:link w:val="83"/>
    <w:autoRedefine/>
    <w:qFormat/>
    <w:locked/>
    <w:uiPriority w:val="0"/>
    <w:rPr>
      <w:rFonts w:ascii="Arial" w:hAnsi="Arial" w:eastAsia="黑体"/>
      <w:sz w:val="16"/>
    </w:rPr>
  </w:style>
  <w:style w:type="paragraph" w:customStyle="1" w:styleId="83">
    <w:name w:val="图题"/>
    <w:basedOn w:val="3"/>
    <w:link w:val="82"/>
    <w:autoRedefine/>
    <w:qFormat/>
    <w:uiPriority w:val="0"/>
    <w:pPr>
      <w:numPr>
        <w:ilvl w:val="6"/>
        <w:numId w:val="1"/>
      </w:numPr>
      <w:jc w:val="center"/>
    </w:pPr>
    <w:rPr>
      <w:rFonts w:ascii="Arial" w:hAnsi="Arial" w:eastAsia="黑体"/>
      <w:sz w:val="16"/>
    </w:rPr>
  </w:style>
  <w:style w:type="character" w:customStyle="1" w:styleId="84">
    <w:name w:val="文内注"/>
    <w:autoRedefine/>
    <w:qFormat/>
    <w:uiPriority w:val="0"/>
    <w:rPr>
      <w:rFonts w:ascii="Arial" w:hAnsi="Arial" w:eastAsia="楷体_GB2312"/>
      <w:sz w:val="18"/>
    </w:rPr>
  </w:style>
  <w:style w:type="character" w:customStyle="1" w:styleId="85">
    <w:name w:val="图片（中） Char"/>
    <w:basedOn w:val="82"/>
    <w:link w:val="86"/>
    <w:qFormat/>
    <w:locked/>
    <w:uiPriority w:val="0"/>
    <w:rPr>
      <w:rFonts w:ascii="Arial" w:hAnsi="Arial" w:eastAsia="黑体"/>
      <w:sz w:val="16"/>
    </w:rPr>
  </w:style>
  <w:style w:type="paragraph" w:customStyle="1" w:styleId="86">
    <w:name w:val="图片（中）"/>
    <w:basedOn w:val="83"/>
    <w:next w:val="83"/>
    <w:link w:val="85"/>
    <w:autoRedefine/>
    <w:qFormat/>
    <w:uiPriority w:val="0"/>
    <w:pPr>
      <w:keepNext/>
      <w:numPr>
        <w:ilvl w:val="0"/>
        <w:numId w:val="0"/>
      </w:numPr>
      <w:ind w:left="680"/>
    </w:pPr>
  </w:style>
  <w:style w:type="character" w:customStyle="1" w:styleId="87">
    <w:name w:val="表项 Char"/>
    <w:link w:val="88"/>
    <w:qFormat/>
    <w:uiPriority w:val="0"/>
    <w:rPr>
      <w:rFonts w:ascii="Arial" w:hAnsi="Arial" w:eastAsia="黑体" w:cs="Arial"/>
      <w:iCs/>
      <w:sz w:val="16"/>
    </w:rPr>
  </w:style>
  <w:style w:type="paragraph" w:customStyle="1" w:styleId="88">
    <w:name w:val="表项"/>
    <w:next w:val="73"/>
    <w:link w:val="87"/>
    <w:qFormat/>
    <w:uiPriority w:val="0"/>
    <w:pPr>
      <w:adjustRightInd w:val="0"/>
      <w:snapToGrid w:val="0"/>
      <w:spacing w:line="300" w:lineRule="auto"/>
      <w:jc w:val="center"/>
    </w:pPr>
    <w:rPr>
      <w:rFonts w:ascii="Arial" w:hAnsi="Arial" w:eastAsia="黑体" w:cs="Arial"/>
      <w:iCs/>
      <w:kern w:val="2"/>
      <w:sz w:val="16"/>
      <w:szCs w:val="22"/>
      <w:lang w:val="en-US" w:eastAsia="zh-CN" w:bidi="ar-SA"/>
    </w:rPr>
  </w:style>
  <w:style w:type="character" w:customStyle="1" w:styleId="89">
    <w:name w:val="正文文本 字符"/>
    <w:link w:val="23"/>
    <w:autoRedefine/>
    <w:semiHidden/>
    <w:qFormat/>
    <w:locked/>
    <w:uiPriority w:val="0"/>
    <w:rPr>
      <w:rFonts w:ascii="CenturySchoolbook" w:hAnsi="CenturySchoolbook" w:eastAsia="宋体"/>
      <w:sz w:val="22"/>
    </w:rPr>
  </w:style>
  <w:style w:type="character" w:customStyle="1" w:styleId="90">
    <w:name w:val="无间隔 字符"/>
    <w:link w:val="91"/>
    <w:qFormat/>
    <w:uiPriority w:val="1"/>
    <w:rPr>
      <w:sz w:val="22"/>
    </w:rPr>
  </w:style>
  <w:style w:type="paragraph" w:styleId="91">
    <w:name w:val="No Spacing"/>
    <w:link w:val="90"/>
    <w:autoRedefine/>
    <w:qFormat/>
    <w:uiPriority w:val="1"/>
    <w:rPr>
      <w:rFonts w:asciiTheme="minorHAnsi" w:hAnsiTheme="minorHAnsi" w:eastAsiaTheme="minorEastAsia" w:cstheme="minorBidi"/>
      <w:kern w:val="2"/>
      <w:sz w:val="22"/>
      <w:szCs w:val="22"/>
      <w:lang w:val="en-US" w:eastAsia="zh-CN" w:bidi="ar-SA"/>
    </w:rPr>
  </w:style>
  <w:style w:type="character" w:customStyle="1" w:styleId="92">
    <w:name w:val="fontstyle01"/>
    <w:autoRedefine/>
    <w:qFormat/>
    <w:uiPriority w:val="0"/>
    <w:rPr>
      <w:rFonts w:hint="default" w:ascii="Helvetica" w:hAnsi="Helvetica"/>
      <w:color w:val="000000"/>
      <w:sz w:val="10"/>
      <w:szCs w:val="10"/>
    </w:rPr>
  </w:style>
  <w:style w:type="paragraph" w:customStyle="1" w:styleId="93">
    <w:name w:val="正文表标题"/>
    <w:next w:val="94"/>
    <w:qFormat/>
    <w:uiPriority w:val="0"/>
    <w:pPr>
      <w:jc w:val="center"/>
    </w:pPr>
    <w:rPr>
      <w:rFonts w:ascii="黑体" w:hAnsi="Calibri" w:eastAsia="黑体" w:cs="Times New Roman"/>
      <w:sz w:val="21"/>
      <w:lang w:val="en-US" w:eastAsia="zh-CN" w:bidi="ar-SA"/>
    </w:rPr>
  </w:style>
  <w:style w:type="paragraph" w:customStyle="1" w:styleId="94">
    <w:name w:val="段"/>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customStyle="1" w:styleId="95">
    <w:name w:val="附录标识"/>
    <w:basedOn w:val="96"/>
    <w:autoRedefine/>
    <w:qFormat/>
    <w:uiPriority w:val="0"/>
    <w:pPr>
      <w:tabs>
        <w:tab w:val="left" w:pos="6405"/>
      </w:tabs>
      <w:spacing w:after="200"/>
    </w:pPr>
    <w:rPr>
      <w:rFonts w:ascii="宋体" w:hAnsi="宋体" w:eastAsia="宋体"/>
      <w:color w:val="000000"/>
      <w:sz w:val="24"/>
    </w:rPr>
  </w:style>
  <w:style w:type="paragraph" w:customStyle="1" w:styleId="96">
    <w:name w:val="前言、引言标题"/>
    <w:next w:val="1"/>
    <w:autoRedefine/>
    <w:qFormat/>
    <w:uiPriority w:val="0"/>
    <w:pPr>
      <w:shd w:val="clear" w:color="FFFFFF" w:fill="FFFFFF"/>
      <w:spacing w:before="640" w:after="560"/>
      <w:jc w:val="center"/>
      <w:outlineLvl w:val="0"/>
    </w:pPr>
    <w:rPr>
      <w:rFonts w:ascii="黑体" w:hAnsi="Calibri" w:eastAsia="黑体" w:cs="Times New Roman"/>
      <w:sz w:val="32"/>
      <w:lang w:val="en-US" w:eastAsia="zh-CN" w:bidi="ar-SA"/>
    </w:rPr>
  </w:style>
  <w:style w:type="paragraph" w:customStyle="1" w:styleId="97">
    <w:name w:val="注："/>
    <w:next w:val="94"/>
    <w:qFormat/>
    <w:uiPriority w:val="0"/>
    <w:pPr>
      <w:widowControl w:val="0"/>
      <w:autoSpaceDE w:val="0"/>
      <w:autoSpaceDN w:val="0"/>
      <w:ind w:left="840" w:hanging="420"/>
      <w:jc w:val="both"/>
    </w:pPr>
    <w:rPr>
      <w:rFonts w:ascii="宋体" w:hAnsi="Calibri" w:eastAsia="宋体" w:cs="Times New Roman"/>
      <w:sz w:val="18"/>
      <w:lang w:val="en-US" w:eastAsia="zh-CN" w:bidi="ar-SA"/>
    </w:rPr>
  </w:style>
  <w:style w:type="paragraph" w:customStyle="1" w:styleId="98">
    <w:name w:val="标准书眉_偶数页"/>
    <w:basedOn w:val="99"/>
    <w:next w:val="1"/>
    <w:autoRedefine/>
    <w:qFormat/>
    <w:uiPriority w:val="0"/>
    <w:pPr>
      <w:tabs>
        <w:tab w:val="center" w:pos="4154"/>
        <w:tab w:val="right" w:pos="8306"/>
      </w:tabs>
      <w:jc w:val="left"/>
    </w:pPr>
  </w:style>
  <w:style w:type="paragraph" w:customStyle="1" w:styleId="99">
    <w:name w:val="标准书眉_奇数页"/>
    <w:next w:val="1"/>
    <w:qFormat/>
    <w:uiPriority w:val="0"/>
    <w:pPr>
      <w:tabs>
        <w:tab w:val="center" w:pos="4154"/>
        <w:tab w:val="right" w:pos="8306"/>
      </w:tabs>
      <w:spacing w:after="120"/>
      <w:jc w:val="right"/>
    </w:pPr>
    <w:rPr>
      <w:rFonts w:ascii="Calibri" w:hAnsi="Calibri" w:eastAsia="宋体" w:cs="Times New Roman"/>
      <w:sz w:val="21"/>
      <w:lang w:val="en-US" w:eastAsia="zh-CN" w:bidi="ar-SA"/>
    </w:rPr>
  </w:style>
  <w:style w:type="paragraph" w:customStyle="1" w:styleId="100">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Calibri" w:eastAsia="黑体" w:cs="Times New Roman"/>
      <w:sz w:val="52"/>
      <w:lang w:val="en-US" w:eastAsia="zh-CN" w:bidi="ar-SA"/>
    </w:rPr>
  </w:style>
  <w:style w:type="character" w:customStyle="1" w:styleId="101">
    <w:name w:val="批注框文本 Char1"/>
    <w:basedOn w:val="52"/>
    <w:semiHidden/>
    <w:qFormat/>
    <w:uiPriority w:val="99"/>
    <w:rPr>
      <w:rFonts w:ascii="Calibri" w:hAnsi="Calibri" w:eastAsia="宋体" w:cs="Times New Roman"/>
      <w:sz w:val="18"/>
      <w:szCs w:val="18"/>
    </w:rPr>
  </w:style>
  <w:style w:type="paragraph" w:customStyle="1" w:styleId="102">
    <w:name w:val="三级无标题条"/>
    <w:basedOn w:val="1"/>
    <w:autoRedefine/>
    <w:qFormat/>
    <w:uiPriority w:val="0"/>
    <w:pPr>
      <w:widowControl w:val="0"/>
      <w:adjustRightInd/>
      <w:snapToGrid/>
      <w:spacing w:line="240" w:lineRule="auto"/>
    </w:pPr>
    <w:rPr>
      <w:szCs w:val="24"/>
    </w:rPr>
  </w:style>
  <w:style w:type="paragraph" w:customStyle="1" w:styleId="103">
    <w:name w:val="附录图标题"/>
    <w:next w:val="94"/>
    <w:qFormat/>
    <w:uiPriority w:val="0"/>
    <w:pPr>
      <w:jc w:val="center"/>
    </w:pPr>
    <w:rPr>
      <w:rFonts w:ascii="黑体" w:hAnsi="Calibri" w:eastAsia="黑体" w:cs="Times New Roman"/>
      <w:sz w:val="21"/>
      <w:lang w:val="en-US" w:eastAsia="zh-CN" w:bidi="ar-SA"/>
    </w:rPr>
  </w:style>
  <w:style w:type="paragraph" w:customStyle="1" w:styleId="104">
    <w:name w:val="责任类型"/>
    <w:basedOn w:val="1"/>
    <w:autoRedefine/>
    <w:qFormat/>
    <w:uiPriority w:val="0"/>
    <w:pPr>
      <w:widowControl w:val="0"/>
      <w:autoSpaceDE w:val="0"/>
      <w:autoSpaceDN w:val="0"/>
      <w:snapToGrid/>
      <w:spacing w:before="80" w:after="80" w:line="240" w:lineRule="auto"/>
      <w:jc w:val="right"/>
    </w:pPr>
    <w:rPr>
      <w:kern w:val="0"/>
    </w:rPr>
  </w:style>
  <w:style w:type="paragraph" w:customStyle="1" w:styleId="105">
    <w:name w:val="封面标准号1"/>
    <w:autoRedefine/>
    <w:qFormat/>
    <w:uiPriority w:val="0"/>
    <w:pPr>
      <w:widowControl w:val="0"/>
      <w:kinsoku w:val="0"/>
      <w:overflowPunct w:val="0"/>
      <w:autoSpaceDE w:val="0"/>
      <w:autoSpaceDN w:val="0"/>
      <w:spacing w:before="308"/>
      <w:jc w:val="right"/>
      <w:textAlignment w:val="center"/>
    </w:pPr>
    <w:rPr>
      <w:rFonts w:ascii="Calibri" w:hAnsi="Calibri" w:eastAsia="宋体" w:cs="Times New Roman"/>
      <w:sz w:val="28"/>
      <w:lang w:val="en-US" w:eastAsia="zh-CN" w:bidi="ar-SA"/>
    </w:rPr>
  </w:style>
  <w:style w:type="paragraph" w:customStyle="1" w:styleId="106">
    <w:name w:val="注×："/>
    <w:qFormat/>
    <w:uiPriority w:val="0"/>
    <w:pPr>
      <w:widowControl w:val="0"/>
      <w:tabs>
        <w:tab w:val="left" w:pos="630"/>
      </w:tabs>
      <w:autoSpaceDE w:val="0"/>
      <w:autoSpaceDN w:val="0"/>
      <w:ind w:left="900" w:hanging="500"/>
      <w:jc w:val="both"/>
    </w:pPr>
    <w:rPr>
      <w:rFonts w:ascii="宋体" w:hAnsi="Calibri" w:eastAsia="宋体" w:cs="Times New Roman"/>
      <w:sz w:val="18"/>
      <w:lang w:val="en-US" w:eastAsia="zh-CN" w:bidi="ar-SA"/>
    </w:rPr>
  </w:style>
  <w:style w:type="character" w:customStyle="1" w:styleId="107">
    <w:name w:val="HTML 地址 字符"/>
    <w:basedOn w:val="52"/>
    <w:link w:val="28"/>
    <w:autoRedefine/>
    <w:qFormat/>
    <w:uiPriority w:val="0"/>
    <w:rPr>
      <w:rFonts w:ascii="Calibri" w:hAnsi="Calibri" w:eastAsia="宋体" w:cs="Times New Roman"/>
      <w:i/>
      <w:iCs/>
      <w:szCs w:val="24"/>
    </w:rPr>
  </w:style>
  <w:style w:type="paragraph" w:customStyle="1" w:styleId="108">
    <w:name w:val="表身左"/>
    <w:basedOn w:val="1"/>
    <w:autoRedefine/>
    <w:qFormat/>
    <w:uiPriority w:val="0"/>
    <w:pPr>
      <w:widowControl w:val="0"/>
      <w:adjustRightInd/>
      <w:snapToGrid/>
      <w:spacing w:line="280" w:lineRule="atLeast"/>
      <w:jc w:val="left"/>
    </w:pPr>
    <w:rPr>
      <w:rFonts w:ascii="Arial" w:hAnsi="Arial" w:cs="Arial"/>
      <w:sz w:val="18"/>
      <w:szCs w:val="24"/>
    </w:rPr>
  </w:style>
  <w:style w:type="paragraph" w:customStyle="1" w:styleId="109">
    <w:name w:val="附录章标题"/>
    <w:next w:val="94"/>
    <w:autoRedefine/>
    <w:qFormat/>
    <w:uiPriority w:val="0"/>
    <w:pPr>
      <w:wordWrap w:val="0"/>
      <w:overflowPunct w:val="0"/>
      <w:autoSpaceDE w:val="0"/>
      <w:spacing w:beforeLines="50" w:afterLines="50"/>
      <w:jc w:val="both"/>
      <w:textAlignment w:val="baseline"/>
      <w:outlineLvl w:val="1"/>
    </w:pPr>
    <w:rPr>
      <w:rFonts w:ascii="黑体" w:hAnsi="Calibri" w:eastAsia="黑体" w:cs="Times New Roman"/>
      <w:kern w:val="21"/>
      <w:sz w:val="21"/>
      <w:lang w:val="en-US" w:eastAsia="zh-CN" w:bidi="ar-SA"/>
    </w:rPr>
  </w:style>
  <w:style w:type="character" w:customStyle="1" w:styleId="110">
    <w:name w:val="正文文本缩进 字符"/>
    <w:basedOn w:val="52"/>
    <w:link w:val="24"/>
    <w:autoRedefine/>
    <w:qFormat/>
    <w:uiPriority w:val="0"/>
    <w:rPr>
      <w:rFonts w:ascii="宋体" w:hAnsi="Calibri" w:eastAsia="宋体" w:cs="Times New Roman"/>
      <w:szCs w:val="24"/>
    </w:rPr>
  </w:style>
  <w:style w:type="paragraph" w:customStyle="1" w:styleId="111">
    <w:name w:val="È±Ê¡ÎÄ±¾"/>
    <w:basedOn w:val="1"/>
    <w:qFormat/>
    <w:uiPriority w:val="0"/>
    <w:pPr>
      <w:overflowPunct w:val="0"/>
      <w:autoSpaceDE w:val="0"/>
      <w:autoSpaceDN w:val="0"/>
      <w:snapToGrid/>
      <w:spacing w:line="240" w:lineRule="auto"/>
      <w:jc w:val="left"/>
      <w:textAlignment w:val="baseline"/>
    </w:pPr>
    <w:rPr>
      <w:kern w:val="0"/>
      <w:sz w:val="24"/>
    </w:rPr>
  </w:style>
  <w:style w:type="paragraph" w:customStyle="1" w:styleId="112">
    <w:name w:val="附录"/>
    <w:basedOn w:val="2"/>
    <w:autoRedefine/>
    <w:qFormat/>
    <w:uiPriority w:val="0"/>
  </w:style>
  <w:style w:type="paragraph" w:customStyle="1" w:styleId="113">
    <w:name w:val="封面标准号2"/>
    <w:basedOn w:val="105"/>
    <w:autoRedefine/>
    <w:qFormat/>
    <w:uiPriority w:val="0"/>
    <w:pPr>
      <w:framePr w:w="9138" w:h="1244" w:hRule="exact" w:wrap="around" w:vAnchor="page" w:hAnchor="margin" w:y="2908"/>
      <w:adjustRightInd w:val="0"/>
      <w:spacing w:before="357" w:line="280" w:lineRule="exact"/>
    </w:pPr>
  </w:style>
  <w:style w:type="paragraph" w:customStyle="1" w:styleId="114">
    <w:name w:val="圆点列举项"/>
    <w:basedOn w:val="3"/>
    <w:qFormat/>
    <w:uiPriority w:val="0"/>
    <w:pPr>
      <w:numPr>
        <w:ilvl w:val="8"/>
        <w:numId w:val="1"/>
      </w:numPr>
    </w:pPr>
  </w:style>
  <w:style w:type="paragraph" w:customStyle="1" w:styleId="115">
    <w:name w:val="列项·"/>
    <w:qFormat/>
    <w:uiPriority w:val="0"/>
    <w:pPr>
      <w:tabs>
        <w:tab w:val="left" w:pos="840"/>
      </w:tabs>
      <w:ind w:left="840" w:leftChars="200" w:hanging="420" w:hangingChars="200"/>
      <w:jc w:val="both"/>
    </w:pPr>
    <w:rPr>
      <w:rFonts w:ascii="宋体" w:hAnsi="Calibri" w:eastAsia="宋体" w:cs="Times New Roman"/>
      <w:sz w:val="21"/>
      <w:lang w:val="en-US" w:eastAsia="zh-CN" w:bidi="ar-SA"/>
    </w:rPr>
  </w:style>
  <w:style w:type="paragraph" w:customStyle="1" w:styleId="116">
    <w:name w:val="E圆点列举项"/>
    <w:basedOn w:val="1"/>
    <w:autoRedefine/>
    <w:qFormat/>
    <w:uiPriority w:val="0"/>
    <w:pPr>
      <w:tabs>
        <w:tab w:val="left" w:pos="1267"/>
      </w:tabs>
      <w:ind w:left="1247" w:hanging="340"/>
    </w:pPr>
  </w:style>
  <w:style w:type="paragraph" w:customStyle="1" w:styleId="117">
    <w:name w:val="其他发布部门"/>
    <w:basedOn w:val="118"/>
    <w:qFormat/>
    <w:uiPriority w:val="0"/>
    <w:pPr>
      <w:framePr w:wrap="around"/>
      <w:spacing w:line="0" w:lineRule="atLeast"/>
    </w:pPr>
    <w:rPr>
      <w:rFonts w:ascii="黑体" w:eastAsia="黑体"/>
      <w:b w:val="0"/>
    </w:rPr>
  </w:style>
  <w:style w:type="paragraph" w:customStyle="1" w:styleId="118">
    <w:name w:val="发布部门"/>
    <w:next w:val="94"/>
    <w:autoRedefine/>
    <w:qFormat/>
    <w:uiPriority w:val="0"/>
    <w:pPr>
      <w:framePr w:w="7433" w:h="585" w:hRule="exact" w:hSpace="180" w:vSpace="180" w:wrap="around" w:vAnchor="margin" w:hAnchor="margin" w:xAlign="center" w:y="14401" w:anchorLock="1"/>
      <w:jc w:val="center"/>
    </w:pPr>
    <w:rPr>
      <w:rFonts w:ascii="宋体" w:hAnsi="Calibri" w:eastAsia="宋体" w:cs="Times New Roman"/>
      <w:b/>
      <w:spacing w:val="20"/>
      <w:w w:val="135"/>
      <w:sz w:val="36"/>
      <w:lang w:val="en-US" w:eastAsia="zh-CN" w:bidi="ar-SA"/>
    </w:rPr>
  </w:style>
  <w:style w:type="character" w:customStyle="1" w:styleId="119">
    <w:name w:val="批注文字 Char1"/>
    <w:basedOn w:val="52"/>
    <w:autoRedefine/>
    <w:semiHidden/>
    <w:qFormat/>
    <w:uiPriority w:val="99"/>
    <w:rPr>
      <w:rFonts w:ascii="Calibri" w:hAnsi="Calibri" w:eastAsia="宋体" w:cs="Times New Roman"/>
      <w:szCs w:val="20"/>
    </w:rPr>
  </w:style>
  <w:style w:type="paragraph" w:customStyle="1" w:styleId="120">
    <w:name w:val="五级无标题条"/>
    <w:basedOn w:val="1"/>
    <w:autoRedefine/>
    <w:qFormat/>
    <w:uiPriority w:val="0"/>
    <w:pPr>
      <w:widowControl w:val="0"/>
      <w:adjustRightInd/>
      <w:snapToGrid/>
      <w:spacing w:line="240" w:lineRule="auto"/>
    </w:pPr>
    <w:rPr>
      <w:szCs w:val="24"/>
    </w:rPr>
  </w:style>
  <w:style w:type="character" w:customStyle="1" w:styleId="121">
    <w:name w:val="尾注文本 字符"/>
    <w:basedOn w:val="52"/>
    <w:link w:val="35"/>
    <w:semiHidden/>
    <w:qFormat/>
    <w:uiPriority w:val="0"/>
    <w:rPr>
      <w:rFonts w:ascii="Calibri" w:hAnsi="Calibri" w:eastAsia="宋体" w:cs="Times New Roman"/>
      <w:szCs w:val="20"/>
    </w:rPr>
  </w:style>
  <w:style w:type="paragraph" w:customStyle="1" w:styleId="122">
    <w:name w:val="资料属性"/>
    <w:autoRedefine/>
    <w:qFormat/>
    <w:uiPriority w:val="0"/>
    <w:pPr>
      <w:tabs>
        <w:tab w:val="right" w:pos="945"/>
        <w:tab w:val="left" w:pos="1155"/>
      </w:tabs>
      <w:adjustRightInd w:val="0"/>
      <w:snapToGrid w:val="0"/>
      <w:spacing w:line="300" w:lineRule="auto"/>
    </w:pPr>
    <w:rPr>
      <w:rFonts w:ascii="Arial" w:hAnsi="Arial" w:eastAsia="宋体" w:cs="Times New Roman"/>
      <w:sz w:val="21"/>
      <w:lang w:val="en-US" w:eastAsia="zh-CN" w:bidi="ar-SA"/>
    </w:rPr>
  </w:style>
  <w:style w:type="paragraph" w:customStyle="1" w:styleId="123">
    <w:name w:val="附录二级条标题"/>
    <w:basedOn w:val="124"/>
    <w:next w:val="94"/>
    <w:autoRedefine/>
    <w:qFormat/>
    <w:uiPriority w:val="0"/>
    <w:pPr>
      <w:outlineLvl w:val="3"/>
    </w:pPr>
  </w:style>
  <w:style w:type="paragraph" w:customStyle="1" w:styleId="124">
    <w:name w:val="附录一级条标题"/>
    <w:basedOn w:val="109"/>
    <w:next w:val="94"/>
    <w:qFormat/>
    <w:uiPriority w:val="0"/>
    <w:pPr>
      <w:autoSpaceDN w:val="0"/>
      <w:spacing w:beforeLines="0" w:afterLines="0"/>
      <w:outlineLvl w:val="2"/>
    </w:pPr>
  </w:style>
  <w:style w:type="paragraph" w:customStyle="1" w:styleId="125">
    <w:name w:val="注意"/>
    <w:basedOn w:val="1"/>
    <w:qFormat/>
    <w:uiPriority w:val="0"/>
    <w:pPr>
      <w:widowControl w:val="0"/>
      <w:adjustRightInd/>
      <w:snapToGrid/>
      <w:spacing w:line="0" w:lineRule="atLeast"/>
      <w:ind w:left="257" w:leftChars="257"/>
    </w:pPr>
    <w:rPr>
      <w:rFonts w:ascii="Arial" w:hAnsi="Arial" w:cs="Arial"/>
      <w:b/>
      <w:bCs/>
      <w:szCs w:val="24"/>
    </w:rPr>
  </w:style>
  <w:style w:type="paragraph" w:customStyle="1" w:styleId="126">
    <w:name w:val="出版说明主标题"/>
    <w:basedOn w:val="1"/>
    <w:autoRedefine/>
    <w:qFormat/>
    <w:uiPriority w:val="0"/>
    <w:pPr>
      <w:keepLines/>
      <w:autoSpaceDE w:val="0"/>
      <w:autoSpaceDN w:val="0"/>
      <w:snapToGrid/>
      <w:spacing w:before="80" w:after="360"/>
      <w:jc w:val="center"/>
    </w:pPr>
    <w:rPr>
      <w:b/>
      <w:kern w:val="0"/>
      <w:sz w:val="36"/>
    </w:rPr>
  </w:style>
  <w:style w:type="character" w:customStyle="1" w:styleId="127">
    <w:name w:val="标题 字符"/>
    <w:basedOn w:val="52"/>
    <w:link w:val="48"/>
    <w:qFormat/>
    <w:uiPriority w:val="0"/>
    <w:rPr>
      <w:rFonts w:ascii="Arial" w:hAnsi="Arial" w:eastAsia="宋体" w:cs="Arial"/>
      <w:b/>
      <w:bCs/>
      <w:sz w:val="32"/>
      <w:szCs w:val="32"/>
    </w:rPr>
  </w:style>
  <w:style w:type="paragraph" w:customStyle="1" w:styleId="128">
    <w:name w:val="图片（右）"/>
    <w:basedOn w:val="86"/>
    <w:next w:val="83"/>
    <w:autoRedefine/>
    <w:qFormat/>
    <w:uiPriority w:val="0"/>
    <w:pPr>
      <w:ind w:left="0"/>
      <w:jc w:val="right"/>
    </w:pPr>
  </w:style>
  <w:style w:type="character" w:customStyle="1" w:styleId="129">
    <w:name w:val="日期 Char1"/>
    <w:basedOn w:val="52"/>
    <w:semiHidden/>
    <w:qFormat/>
    <w:uiPriority w:val="99"/>
    <w:rPr>
      <w:rFonts w:ascii="Calibri" w:hAnsi="Calibri" w:eastAsia="宋体" w:cs="Times New Roman"/>
      <w:szCs w:val="20"/>
    </w:rPr>
  </w:style>
  <w:style w:type="character" w:customStyle="1" w:styleId="130">
    <w:name w:val="正文文本 Char1"/>
    <w:basedOn w:val="52"/>
    <w:autoRedefine/>
    <w:semiHidden/>
    <w:qFormat/>
    <w:uiPriority w:val="99"/>
    <w:rPr>
      <w:rFonts w:ascii="Calibri" w:hAnsi="Calibri" w:eastAsia="宋体" w:cs="Times New Roman"/>
      <w:szCs w:val="20"/>
    </w:rPr>
  </w:style>
  <w:style w:type="character" w:customStyle="1" w:styleId="131">
    <w:name w:val="批注主题 字符"/>
    <w:basedOn w:val="119"/>
    <w:link w:val="49"/>
    <w:autoRedefine/>
    <w:semiHidden/>
    <w:qFormat/>
    <w:uiPriority w:val="0"/>
    <w:rPr>
      <w:rFonts w:ascii="Calibri" w:hAnsi="Calibri" w:eastAsia="宋体" w:cs="Times New Roman"/>
      <w:b/>
      <w:bCs/>
      <w:szCs w:val="20"/>
    </w:rPr>
  </w:style>
  <w:style w:type="paragraph" w:customStyle="1" w:styleId="132">
    <w:name w:val="注意内容"/>
    <w:basedOn w:val="1"/>
    <w:autoRedefine/>
    <w:qFormat/>
    <w:uiPriority w:val="0"/>
    <w:pPr>
      <w:widowControl w:val="0"/>
      <w:adjustRightInd/>
      <w:snapToGrid/>
      <w:spacing w:line="320" w:lineRule="atLeast"/>
      <w:ind w:left="570" w:leftChars="570"/>
    </w:pPr>
    <w:rPr>
      <w:rFonts w:ascii="Arial" w:hAnsi="Arial" w:cs="Arial"/>
      <w:szCs w:val="24"/>
    </w:rPr>
  </w:style>
  <w:style w:type="character" w:customStyle="1" w:styleId="133">
    <w:name w:val="HTML 预设格式 字符"/>
    <w:basedOn w:val="52"/>
    <w:link w:val="46"/>
    <w:autoRedefine/>
    <w:qFormat/>
    <w:uiPriority w:val="0"/>
    <w:rPr>
      <w:rFonts w:ascii="Courier New" w:hAnsi="Courier New" w:eastAsia="宋体" w:cs="Courier New"/>
      <w:sz w:val="20"/>
      <w:szCs w:val="20"/>
    </w:rPr>
  </w:style>
  <w:style w:type="paragraph" w:customStyle="1" w:styleId="134">
    <w:name w:val="缺省文本:1"/>
    <w:basedOn w:val="1"/>
    <w:autoRedefine/>
    <w:qFormat/>
    <w:uiPriority w:val="0"/>
    <w:pPr>
      <w:widowControl w:val="0"/>
      <w:autoSpaceDE w:val="0"/>
      <w:autoSpaceDN w:val="0"/>
      <w:snapToGrid/>
      <w:spacing w:line="240" w:lineRule="auto"/>
      <w:jc w:val="left"/>
    </w:pPr>
    <w:rPr>
      <w:kern w:val="0"/>
      <w:sz w:val="24"/>
      <w:szCs w:val="24"/>
    </w:rPr>
  </w:style>
  <w:style w:type="paragraph" w:customStyle="1" w:styleId="135">
    <w:name w:val="Bulleted &amp; Indented"/>
    <w:qFormat/>
    <w:uiPriority w:val="0"/>
    <w:pPr>
      <w:widowControl w:val="0"/>
      <w:tabs>
        <w:tab w:val="left" w:pos="850"/>
      </w:tabs>
      <w:spacing w:after="100" w:line="240" w:lineRule="exact"/>
      <w:ind w:left="1134" w:hanging="227"/>
    </w:pPr>
    <w:rPr>
      <w:rFonts w:ascii="Calibri" w:hAnsi="Calibri" w:eastAsia="宋体" w:cs="Times New Roman"/>
      <w:snapToGrid w:val="0"/>
      <w:lang w:val="en-GB" w:eastAsia="it-IT" w:bidi="ar-SA"/>
    </w:rPr>
  </w:style>
  <w:style w:type="character" w:customStyle="1" w:styleId="136">
    <w:name w:val="文档结构图 Char1"/>
    <w:basedOn w:val="52"/>
    <w:semiHidden/>
    <w:qFormat/>
    <w:uiPriority w:val="99"/>
    <w:rPr>
      <w:rFonts w:ascii="Microsoft YaHei UI" w:hAnsi="Calibri" w:eastAsia="Microsoft YaHei UI" w:cs="Times New Roman"/>
      <w:sz w:val="18"/>
      <w:szCs w:val="18"/>
    </w:rPr>
  </w:style>
  <w:style w:type="character" w:customStyle="1" w:styleId="137">
    <w:name w:val="脚注文本 字符"/>
    <w:basedOn w:val="52"/>
    <w:link w:val="42"/>
    <w:autoRedefine/>
    <w:semiHidden/>
    <w:qFormat/>
    <w:uiPriority w:val="0"/>
    <w:rPr>
      <w:rFonts w:ascii="Calibri" w:hAnsi="Calibri" w:eastAsia="宋体" w:cs="Times New Roman"/>
      <w:sz w:val="18"/>
      <w:szCs w:val="18"/>
    </w:rPr>
  </w:style>
  <w:style w:type="paragraph" w:customStyle="1" w:styleId="138">
    <w:name w:val="图片"/>
    <w:basedOn w:val="1"/>
    <w:qFormat/>
    <w:uiPriority w:val="0"/>
    <w:pPr>
      <w:keepNext/>
      <w:adjustRightInd/>
      <w:spacing w:before="80" w:after="80"/>
      <w:ind w:left="1418"/>
      <w:jc w:val="center"/>
    </w:pPr>
    <w:rPr>
      <w:rFonts w:ascii="Arial" w:hAnsi="Arial" w:eastAsia="黑体"/>
      <w:sz w:val="18"/>
    </w:rPr>
  </w:style>
  <w:style w:type="paragraph" w:customStyle="1" w:styleId="139">
    <w:name w:val="一级条标题"/>
    <w:basedOn w:val="140"/>
    <w:next w:val="94"/>
    <w:autoRedefine/>
    <w:qFormat/>
    <w:uiPriority w:val="0"/>
    <w:pPr>
      <w:spacing w:beforeLines="0" w:afterLines="0"/>
      <w:outlineLvl w:val="2"/>
    </w:pPr>
  </w:style>
  <w:style w:type="paragraph" w:customStyle="1" w:styleId="140">
    <w:name w:val="章标题"/>
    <w:next w:val="94"/>
    <w:autoRedefine/>
    <w:qFormat/>
    <w:uiPriority w:val="0"/>
    <w:pPr>
      <w:spacing w:beforeLines="50" w:afterLines="50"/>
      <w:jc w:val="both"/>
      <w:outlineLvl w:val="1"/>
    </w:pPr>
    <w:rPr>
      <w:rFonts w:ascii="黑体" w:hAnsi="Calibri" w:eastAsia="黑体" w:cs="Times New Roman"/>
      <w:sz w:val="21"/>
      <w:lang w:val="en-US" w:eastAsia="zh-CN" w:bidi="ar-SA"/>
    </w:rPr>
  </w:style>
  <w:style w:type="paragraph" w:customStyle="1" w:styleId="141">
    <w:name w:val="扉页产品名称"/>
    <w:autoRedefine/>
    <w:qFormat/>
    <w:uiPriority w:val="0"/>
    <w:pPr>
      <w:autoSpaceDE w:val="0"/>
      <w:autoSpaceDN w:val="0"/>
      <w:spacing w:after="120" w:line="360" w:lineRule="auto"/>
      <w:jc w:val="center"/>
      <w:textAlignment w:val="bottom"/>
    </w:pPr>
    <w:rPr>
      <w:rFonts w:ascii="Arial" w:hAnsi="Arial" w:eastAsia="黑体" w:cs="Times New Roman"/>
      <w:b/>
      <w:sz w:val="48"/>
      <w:lang w:val="en-US" w:eastAsia="zh-CN" w:bidi="ar-SA"/>
    </w:rPr>
  </w:style>
  <w:style w:type="paragraph" w:customStyle="1" w:styleId="142">
    <w:name w:val="附录标题2"/>
    <w:basedOn w:val="4"/>
    <w:qFormat/>
    <w:uiPriority w:val="0"/>
    <w:pPr>
      <w:ind w:firstLine="113"/>
    </w:pPr>
  </w:style>
  <w:style w:type="paragraph" w:customStyle="1" w:styleId="143">
    <w:name w:val="数字编号列项（二级）"/>
    <w:autoRedefine/>
    <w:qFormat/>
    <w:uiPriority w:val="0"/>
    <w:pPr>
      <w:ind w:left="1260" w:leftChars="400" w:hanging="420" w:hangingChars="200"/>
      <w:jc w:val="both"/>
    </w:pPr>
    <w:rPr>
      <w:rFonts w:ascii="宋体" w:hAnsi="Calibri" w:eastAsia="宋体" w:cs="Times New Roman"/>
      <w:sz w:val="21"/>
      <w:lang w:val="en-US" w:eastAsia="zh-CN" w:bidi="ar-SA"/>
    </w:rPr>
  </w:style>
  <w:style w:type="paragraph" w:customStyle="1" w:styleId="144">
    <w:name w:val="正文 3"/>
    <w:basedOn w:val="3"/>
    <w:autoRedefine/>
    <w:qFormat/>
    <w:uiPriority w:val="0"/>
    <w:pPr>
      <w:ind w:left="1134"/>
    </w:pPr>
  </w:style>
  <w:style w:type="paragraph" w:customStyle="1" w:styleId="145">
    <w:name w:val="关注类型"/>
    <w:basedOn w:val="6"/>
    <w:next w:val="146"/>
    <w:autoRedefine/>
    <w:qFormat/>
    <w:uiPriority w:val="0"/>
    <w:pPr>
      <w:pBdr>
        <w:top w:val="single" w:color="auto" w:sz="4" w:space="1"/>
      </w:pBdr>
      <w:tabs>
        <w:tab w:val="left" w:pos="1260"/>
        <w:tab w:val="left" w:pos="1400"/>
      </w:tabs>
      <w:spacing w:line="300" w:lineRule="auto"/>
      <w:ind w:left="794" w:hanging="114"/>
      <w:outlineLvl w:val="9"/>
    </w:pPr>
  </w:style>
  <w:style w:type="paragraph" w:customStyle="1" w:styleId="146">
    <w:name w:val="关注内容"/>
    <w:basedOn w:val="3"/>
    <w:qFormat/>
    <w:uiPriority w:val="0"/>
    <w:pPr>
      <w:pBdr>
        <w:bottom w:val="single" w:color="auto" w:sz="4" w:space="1"/>
      </w:pBdr>
      <w:spacing w:before="40" w:after="40" w:line="240" w:lineRule="auto"/>
    </w:pPr>
    <w:rPr>
      <w:rFonts w:eastAsia="楷体_GB2312"/>
    </w:rPr>
  </w:style>
  <w:style w:type="paragraph" w:customStyle="1" w:styleId="147">
    <w:name w:val="二级无标题条"/>
    <w:basedOn w:val="1"/>
    <w:autoRedefine/>
    <w:qFormat/>
    <w:uiPriority w:val="0"/>
    <w:pPr>
      <w:widowControl w:val="0"/>
      <w:adjustRightInd/>
      <w:snapToGrid/>
      <w:spacing w:line="240" w:lineRule="auto"/>
    </w:pPr>
    <w:rPr>
      <w:szCs w:val="24"/>
    </w:rPr>
  </w:style>
  <w:style w:type="paragraph" w:customStyle="1" w:styleId="148">
    <w:name w:val="封面标准代替信息"/>
    <w:basedOn w:val="113"/>
    <w:qFormat/>
    <w:uiPriority w:val="0"/>
    <w:pPr>
      <w:framePr w:wrap="around"/>
      <w:spacing w:before="57"/>
    </w:pPr>
    <w:rPr>
      <w:rFonts w:ascii="宋体"/>
      <w:sz w:val="21"/>
    </w:rPr>
  </w:style>
  <w:style w:type="paragraph" w:customStyle="1" w:styleId="149">
    <w:name w:val="标准书脚_奇数页"/>
    <w:autoRedefine/>
    <w:qFormat/>
    <w:uiPriority w:val="0"/>
    <w:pPr>
      <w:spacing w:before="120"/>
      <w:jc w:val="right"/>
    </w:pPr>
    <w:rPr>
      <w:rFonts w:ascii="Calibri" w:hAnsi="Calibri" w:eastAsia="宋体" w:cs="Times New Roman"/>
      <w:sz w:val="18"/>
      <w:lang w:val="en-US" w:eastAsia="zh-CN" w:bidi="ar-SA"/>
    </w:rPr>
  </w:style>
  <w:style w:type="paragraph" w:customStyle="1" w:styleId="150">
    <w:name w:val="发布日期"/>
    <w:autoRedefine/>
    <w:qFormat/>
    <w:uiPriority w:val="0"/>
    <w:pPr>
      <w:framePr w:w="4000" w:h="473" w:hRule="exact" w:hSpace="180" w:vSpace="180" w:wrap="around" w:vAnchor="margin" w:hAnchor="margin" w:y="13511" w:anchorLock="1"/>
    </w:pPr>
    <w:rPr>
      <w:rFonts w:ascii="Calibri" w:hAnsi="Calibri" w:eastAsia="黑体" w:cs="Times New Roman"/>
      <w:sz w:val="28"/>
      <w:lang w:val="en-US" w:eastAsia="zh-CN" w:bidi="ar-SA"/>
    </w:rPr>
  </w:style>
  <w:style w:type="paragraph" w:customStyle="1" w:styleId="151">
    <w:name w:val="出版说明分标题"/>
    <w:basedOn w:val="1"/>
    <w:autoRedefine/>
    <w:qFormat/>
    <w:uiPriority w:val="0"/>
    <w:pPr>
      <w:widowControl w:val="0"/>
      <w:autoSpaceDE w:val="0"/>
      <w:autoSpaceDN w:val="0"/>
      <w:snapToGrid/>
      <w:spacing w:before="360" w:after="240"/>
      <w:jc w:val="left"/>
    </w:pPr>
    <w:rPr>
      <w:rFonts w:ascii="黑体" w:eastAsia="黑体"/>
      <w:kern w:val="0"/>
      <w:sz w:val="28"/>
    </w:rPr>
  </w:style>
  <w:style w:type="paragraph" w:customStyle="1" w:styleId="152">
    <w:name w:val="篇题"/>
    <w:basedOn w:val="2"/>
    <w:next w:val="2"/>
    <w:autoRedefine/>
    <w:qFormat/>
    <w:uiPriority w:val="0"/>
    <w:pPr>
      <w:keepNext w:val="0"/>
      <w:widowControl w:val="0"/>
      <w:spacing w:before="600" w:after="480"/>
    </w:pPr>
    <w:rPr>
      <w:rFonts w:eastAsia="宋体"/>
      <w:b/>
      <w:sz w:val="44"/>
    </w:rPr>
  </w:style>
  <w:style w:type="paragraph" w:customStyle="1" w:styleId="153">
    <w:name w:val="目次、索引正文"/>
    <w:qFormat/>
    <w:uiPriority w:val="0"/>
    <w:pPr>
      <w:spacing w:line="320" w:lineRule="exact"/>
      <w:jc w:val="both"/>
    </w:pPr>
    <w:rPr>
      <w:rFonts w:ascii="宋体" w:hAnsi="Calibri" w:eastAsia="宋体" w:cs="Times New Roman"/>
      <w:sz w:val="21"/>
      <w:lang w:val="en-US" w:eastAsia="zh-CN" w:bidi="ar-SA"/>
    </w:rPr>
  </w:style>
  <w:style w:type="paragraph" w:customStyle="1" w:styleId="154">
    <w:name w:val="无标题条"/>
    <w:next w:val="94"/>
    <w:qFormat/>
    <w:uiPriority w:val="0"/>
    <w:pPr>
      <w:jc w:val="both"/>
    </w:pPr>
    <w:rPr>
      <w:rFonts w:ascii="Calibri" w:hAnsi="Calibri" w:eastAsia="宋体" w:cs="Times New Roman"/>
      <w:sz w:val="21"/>
      <w:lang w:val="en-US" w:eastAsia="zh-CN" w:bidi="ar-SA"/>
    </w:rPr>
  </w:style>
  <w:style w:type="paragraph" w:customStyle="1" w:styleId="155">
    <w:name w:val="出版单位"/>
    <w:autoRedefine/>
    <w:qFormat/>
    <w:uiPriority w:val="0"/>
    <w:pPr>
      <w:spacing w:line="300" w:lineRule="auto"/>
      <w:ind w:left="1134" w:right="1134"/>
      <w:jc w:val="center"/>
      <w:textAlignment w:val="baseline"/>
    </w:pPr>
    <w:rPr>
      <w:rFonts w:ascii="宋体" w:hAnsi="Calibri" w:eastAsia="宋体" w:cs="Times New Roman"/>
      <w:b/>
      <w:spacing w:val="50"/>
      <w:sz w:val="28"/>
      <w:lang w:val="en-US" w:eastAsia="zh-CN" w:bidi="ar-SA"/>
    </w:rPr>
  </w:style>
  <w:style w:type="paragraph" w:customStyle="1" w:styleId="156">
    <w:name w:val="note text"/>
    <w:basedOn w:val="1"/>
    <w:autoRedefine/>
    <w:qFormat/>
    <w:uiPriority w:val="0"/>
    <w:pPr>
      <w:widowControl w:val="0"/>
      <w:adjustRightInd/>
      <w:snapToGrid/>
      <w:spacing w:after="100" w:line="240" w:lineRule="exact"/>
      <w:jc w:val="left"/>
    </w:pPr>
    <w:rPr>
      <w:i/>
      <w:snapToGrid w:val="0"/>
      <w:color w:val="000000"/>
      <w:kern w:val="0"/>
      <w:sz w:val="20"/>
      <w:lang w:val="en-GB" w:eastAsia="it-IT"/>
    </w:rPr>
  </w:style>
  <w:style w:type="paragraph" w:styleId="157">
    <w:name w:val="List Paragraph"/>
    <w:basedOn w:val="1"/>
    <w:autoRedefine/>
    <w:qFormat/>
    <w:uiPriority w:val="34"/>
    <w:pPr>
      <w:widowControl w:val="0"/>
      <w:adjustRightInd/>
      <w:snapToGrid/>
      <w:ind w:firstLine="420" w:firstLineChars="200"/>
    </w:pPr>
    <w:rPr>
      <w:sz w:val="24"/>
      <w:szCs w:val="22"/>
    </w:rPr>
  </w:style>
  <w:style w:type="paragraph" w:customStyle="1" w:styleId="158">
    <w:name w:val="序号列举项"/>
    <w:basedOn w:val="3"/>
    <w:qFormat/>
    <w:uiPriority w:val="0"/>
    <w:pPr>
      <w:numPr>
        <w:ilvl w:val="7"/>
        <w:numId w:val="1"/>
      </w:numPr>
    </w:pPr>
  </w:style>
  <w:style w:type="paragraph" w:customStyle="1" w:styleId="159">
    <w:name w:val="二级条标题"/>
    <w:basedOn w:val="139"/>
    <w:next w:val="94"/>
    <w:autoRedefine/>
    <w:qFormat/>
    <w:uiPriority w:val="0"/>
    <w:pPr>
      <w:outlineLvl w:val="3"/>
    </w:pPr>
  </w:style>
  <w:style w:type="paragraph" w:customStyle="1" w:styleId="160">
    <w:name w:val="正文 2"/>
    <w:basedOn w:val="3"/>
    <w:autoRedefine/>
    <w:qFormat/>
    <w:uiPriority w:val="0"/>
    <w:pPr>
      <w:adjustRightInd/>
      <w:ind w:left="907"/>
    </w:pPr>
    <w:rPr>
      <w:rFonts w:ascii="Arial" w:hAnsi="Arial"/>
    </w:rPr>
  </w:style>
  <w:style w:type="paragraph" w:customStyle="1" w:styleId="161">
    <w:name w:val="List Paragraph1"/>
    <w:basedOn w:val="1"/>
    <w:autoRedefine/>
    <w:qFormat/>
    <w:uiPriority w:val="99"/>
    <w:pPr>
      <w:widowControl w:val="0"/>
      <w:adjustRightInd/>
      <w:snapToGrid/>
      <w:spacing w:line="240" w:lineRule="auto"/>
      <w:ind w:firstLine="420" w:firstLineChars="200"/>
    </w:pPr>
    <w:rPr>
      <w:rFonts w:cs="Calibri"/>
      <w:szCs w:val="21"/>
    </w:rPr>
  </w:style>
  <w:style w:type="paragraph" w:customStyle="1" w:styleId="162">
    <w:name w:val="附录标题3"/>
    <w:basedOn w:val="5"/>
    <w:qFormat/>
    <w:uiPriority w:val="0"/>
    <w:pPr>
      <w:ind w:firstLine="113"/>
    </w:pPr>
  </w:style>
  <w:style w:type="paragraph" w:customStyle="1" w:styleId="163">
    <w:name w:val="标准称谓"/>
    <w:next w:val="1"/>
    <w:autoRedefine/>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Calibri" w:eastAsia="宋体" w:cs="Times New Roman"/>
      <w:b/>
      <w:bCs/>
      <w:spacing w:val="20"/>
      <w:w w:val="148"/>
      <w:sz w:val="52"/>
      <w:lang w:val="en-US" w:eastAsia="zh-CN" w:bidi="ar-SA"/>
    </w:rPr>
  </w:style>
  <w:style w:type="paragraph" w:customStyle="1" w:styleId="164">
    <w:name w:val="?¨¤????????????????????????????????????????????????????????????¡¡¡¡¡¡¡¡¡¡¡¡¡¡¡¡¡¡¡¡¡§¬¬¬¬¬¬¬¬¬¬a¡¡¡¡¡¡¡¡¡¡¡¡¡¡¡¡¡¡¡¡¡§¬¬¬¬¬¬¬¬¬¬?¡¡¡¡¡¡¡¡¡¡¡¡¡¡¡¡??¬¬¬¬¬¬¬a?¡¡¡¡¡¡¡¡¡¡¡¡¡¡¡¡¡"/>
    <w:autoRedefine/>
    <w:qFormat/>
    <w:uiPriority w:val="0"/>
    <w:pPr>
      <w:adjustRightInd w:val="0"/>
      <w:snapToGrid w:val="0"/>
      <w:spacing w:line="300" w:lineRule="auto"/>
      <w:textAlignment w:val="center"/>
    </w:pPr>
    <w:rPr>
      <w:rFonts w:ascii="Calibri" w:hAnsi="Calibri" w:eastAsia="宋体" w:cs="Times New Roman"/>
      <w:sz w:val="16"/>
      <w:szCs w:val="16"/>
      <w:lang w:val="en-US" w:eastAsia="zh-CN" w:bidi="ar-SA"/>
    </w:rPr>
  </w:style>
  <w:style w:type="paragraph" w:customStyle="1" w:styleId="165">
    <w:name w:val="封面一致性程度标识"/>
    <w:qFormat/>
    <w:uiPriority w:val="0"/>
    <w:pPr>
      <w:spacing w:before="440" w:line="400" w:lineRule="exact"/>
      <w:jc w:val="center"/>
    </w:pPr>
    <w:rPr>
      <w:rFonts w:ascii="宋体" w:hAnsi="Calibri" w:eastAsia="宋体" w:cs="Times New Roman"/>
      <w:sz w:val="28"/>
      <w:lang w:val="en-US" w:eastAsia="zh-CN" w:bidi="ar-SA"/>
    </w:rPr>
  </w:style>
  <w:style w:type="paragraph" w:customStyle="1" w:styleId="166">
    <w:name w:val="一级无标题条"/>
    <w:basedOn w:val="1"/>
    <w:qFormat/>
    <w:uiPriority w:val="0"/>
    <w:pPr>
      <w:widowControl w:val="0"/>
      <w:adjustRightInd/>
      <w:snapToGrid/>
      <w:spacing w:line="240" w:lineRule="auto"/>
    </w:pPr>
    <w:rPr>
      <w:szCs w:val="24"/>
    </w:rPr>
  </w:style>
  <w:style w:type="paragraph" w:customStyle="1" w:styleId="167">
    <w:name w:val="右页眉文本"/>
    <w:basedOn w:val="1"/>
    <w:autoRedefine/>
    <w:qFormat/>
    <w:uiPriority w:val="0"/>
    <w:pPr>
      <w:widowControl w:val="0"/>
      <w:pBdr>
        <w:bottom w:val="single" w:color="auto" w:sz="6" w:space="7"/>
      </w:pBdr>
      <w:tabs>
        <w:tab w:val="right" w:pos="8787"/>
      </w:tabs>
      <w:autoSpaceDE w:val="0"/>
      <w:autoSpaceDN w:val="0"/>
      <w:snapToGrid/>
      <w:spacing w:line="240" w:lineRule="auto"/>
      <w:jc w:val="right"/>
    </w:pPr>
    <w:rPr>
      <w:rFonts w:ascii="Arial" w:hAnsi="Arial"/>
      <w:kern w:val="0"/>
      <w:sz w:val="18"/>
    </w:rPr>
  </w:style>
  <w:style w:type="paragraph" w:customStyle="1" w:styleId="168">
    <w:name w:val="条文脚注"/>
    <w:basedOn w:val="42"/>
    <w:autoRedefine/>
    <w:qFormat/>
    <w:uiPriority w:val="0"/>
    <w:pPr>
      <w:widowControl w:val="0"/>
      <w:adjustRightInd/>
      <w:spacing w:line="240" w:lineRule="auto"/>
      <w:ind w:left="780" w:leftChars="200" w:hanging="360" w:hangingChars="200"/>
      <w:jc w:val="both"/>
    </w:pPr>
    <w:rPr>
      <w:rFonts w:ascii="宋体"/>
    </w:rPr>
  </w:style>
  <w:style w:type="paragraph" w:customStyle="1" w:styleId="169">
    <w:name w:val="实施日期"/>
    <w:basedOn w:val="150"/>
    <w:autoRedefine/>
    <w:qFormat/>
    <w:uiPriority w:val="0"/>
    <w:pPr>
      <w:framePr w:hSpace="0" w:wrap="around" w:xAlign="right"/>
      <w:jc w:val="right"/>
    </w:pPr>
  </w:style>
  <w:style w:type="paragraph" w:customStyle="1" w:styleId="170">
    <w:name w:val="图注"/>
    <w:basedOn w:val="83"/>
    <w:qFormat/>
    <w:uiPriority w:val="0"/>
    <w:pPr>
      <w:numPr>
        <w:ilvl w:val="0"/>
        <w:numId w:val="0"/>
      </w:numPr>
      <w:ind w:left="680"/>
      <w:jc w:val="left"/>
    </w:pPr>
    <w:rPr>
      <w:rFonts w:ascii="Times New Roman" w:hAnsi="Times New Roman" w:eastAsia="楷体_GB2312"/>
    </w:rPr>
  </w:style>
  <w:style w:type="paragraph" w:customStyle="1" w:styleId="171">
    <w:name w:val="附录五级条标题"/>
    <w:basedOn w:val="172"/>
    <w:next w:val="94"/>
    <w:qFormat/>
    <w:uiPriority w:val="0"/>
    <w:pPr>
      <w:outlineLvl w:val="6"/>
    </w:pPr>
  </w:style>
  <w:style w:type="paragraph" w:customStyle="1" w:styleId="172">
    <w:name w:val="附录四级条标题"/>
    <w:basedOn w:val="173"/>
    <w:next w:val="94"/>
    <w:autoRedefine/>
    <w:qFormat/>
    <w:uiPriority w:val="0"/>
    <w:pPr>
      <w:outlineLvl w:val="5"/>
    </w:pPr>
  </w:style>
  <w:style w:type="paragraph" w:customStyle="1" w:styleId="173">
    <w:name w:val="附录三级条标题"/>
    <w:basedOn w:val="123"/>
    <w:next w:val="94"/>
    <w:autoRedefine/>
    <w:qFormat/>
    <w:uiPriority w:val="0"/>
    <w:pPr>
      <w:outlineLvl w:val="4"/>
    </w:pPr>
  </w:style>
  <w:style w:type="paragraph" w:customStyle="1" w:styleId="174">
    <w:name w:val="四级条标题"/>
    <w:basedOn w:val="175"/>
    <w:next w:val="94"/>
    <w:qFormat/>
    <w:uiPriority w:val="0"/>
    <w:pPr>
      <w:outlineLvl w:val="5"/>
    </w:pPr>
  </w:style>
  <w:style w:type="paragraph" w:customStyle="1" w:styleId="175">
    <w:name w:val="三级条标题"/>
    <w:basedOn w:val="159"/>
    <w:next w:val="94"/>
    <w:qFormat/>
    <w:uiPriority w:val="0"/>
    <w:pPr>
      <w:outlineLvl w:val="4"/>
    </w:pPr>
  </w:style>
  <w:style w:type="paragraph" w:customStyle="1" w:styleId="176">
    <w:name w:val="图表脚注"/>
    <w:next w:val="94"/>
    <w:qFormat/>
    <w:uiPriority w:val="0"/>
    <w:pPr>
      <w:ind w:left="300" w:leftChars="200" w:hanging="100" w:hangingChars="100"/>
      <w:jc w:val="both"/>
    </w:pPr>
    <w:rPr>
      <w:rFonts w:ascii="宋体" w:hAnsi="Calibri" w:eastAsia="宋体" w:cs="Times New Roman"/>
      <w:sz w:val="18"/>
      <w:lang w:val="en-US" w:eastAsia="zh-CN" w:bidi="ar-SA"/>
    </w:rPr>
  </w:style>
  <w:style w:type="paragraph" w:customStyle="1" w:styleId="177">
    <w:name w:val="空下空行"/>
    <w:basedOn w:val="1"/>
    <w:autoRedefine/>
    <w:qFormat/>
    <w:uiPriority w:val="0"/>
    <w:pPr>
      <w:widowControl w:val="0"/>
      <w:spacing w:line="240" w:lineRule="auto"/>
    </w:pPr>
    <w:rPr>
      <w:sz w:val="18"/>
      <w:szCs w:val="24"/>
    </w:rPr>
  </w:style>
  <w:style w:type="paragraph" w:customStyle="1" w:styleId="178">
    <w:name w:val="样式1"/>
    <w:basedOn w:val="5"/>
    <w:autoRedefine/>
    <w:qFormat/>
    <w:uiPriority w:val="0"/>
    <w:pPr>
      <w:adjustRightInd/>
      <w:snapToGrid/>
    </w:pPr>
    <w:rPr>
      <w:b/>
      <w:bCs/>
    </w:rPr>
  </w:style>
  <w:style w:type="paragraph" w:customStyle="1" w:styleId="179">
    <w:name w:val="正文图标题"/>
    <w:next w:val="94"/>
    <w:autoRedefine/>
    <w:qFormat/>
    <w:uiPriority w:val="0"/>
    <w:pPr>
      <w:jc w:val="center"/>
    </w:pPr>
    <w:rPr>
      <w:rFonts w:ascii="黑体" w:hAnsi="Calibri" w:eastAsia="黑体" w:cs="Times New Roman"/>
      <w:sz w:val="21"/>
      <w:lang w:val="en-US" w:eastAsia="zh-CN" w:bidi="ar-SA"/>
    </w:rPr>
  </w:style>
  <w:style w:type="paragraph" w:customStyle="1" w:styleId="180">
    <w:name w:val="编、审责任表"/>
    <w:basedOn w:val="1"/>
    <w:autoRedefine/>
    <w:qFormat/>
    <w:uiPriority w:val="0"/>
    <w:pPr>
      <w:spacing w:before="80" w:after="80"/>
    </w:pPr>
    <w:rPr>
      <w:sz w:val="24"/>
      <w:szCs w:val="24"/>
    </w:rPr>
  </w:style>
  <w:style w:type="paragraph" w:customStyle="1" w:styleId="181">
    <w:name w:val="?¨¤??????????????????????????????????????????????????????????????????????????¡¡¡¡¡¡¡¡¡¡¡¡¡¡¡¡¡¡¡¡¡¡¡¡¡¡ì¬¬¬¬¬¬¬¬¬¬¬¬a¡¡¡¡¡¡¡¡¡¡¡¡¡¡¡¡¡¡¡¡¡¡¡¡??¬¬¬¬¬¬¬¬¬¬¬?¡¡¡¡¡¡¡¡¡¡¡¡¡¡¡¡??¬¬¬¬¬¬¬a?¡¡"/>
    <w:qFormat/>
    <w:uiPriority w:val="0"/>
    <w:pPr>
      <w:adjustRightInd w:val="0"/>
      <w:snapToGrid w:val="0"/>
      <w:spacing w:line="300" w:lineRule="auto"/>
      <w:textAlignment w:val="center"/>
    </w:pPr>
    <w:rPr>
      <w:rFonts w:ascii="Calibri" w:hAnsi="Calibri" w:eastAsia="宋体" w:cs="Times New Roman"/>
      <w:sz w:val="16"/>
      <w:szCs w:val="16"/>
      <w:lang w:val="en-US" w:eastAsia="zh-CN" w:bidi="ar-SA"/>
    </w:rPr>
  </w:style>
  <w:style w:type="paragraph" w:customStyle="1" w:styleId="182">
    <w:name w:val="附录图题"/>
    <w:basedOn w:val="83"/>
    <w:autoRedefine/>
    <w:qFormat/>
    <w:uiPriority w:val="0"/>
    <w:pPr>
      <w:numPr>
        <w:ilvl w:val="0"/>
        <w:numId w:val="0"/>
      </w:numPr>
      <w:ind w:left="567"/>
    </w:pPr>
  </w:style>
  <w:style w:type="paragraph" w:customStyle="1" w:styleId="183">
    <w:name w:val="封面标准文稿类别"/>
    <w:autoRedefine/>
    <w:qFormat/>
    <w:uiPriority w:val="0"/>
    <w:pPr>
      <w:spacing w:before="440" w:line="400" w:lineRule="exact"/>
      <w:jc w:val="center"/>
    </w:pPr>
    <w:rPr>
      <w:rFonts w:ascii="宋体" w:hAnsi="Calibri" w:eastAsia="宋体" w:cs="Times New Roman"/>
      <w:sz w:val="24"/>
      <w:lang w:val="en-US" w:eastAsia="zh-CN" w:bidi="ar-SA"/>
    </w:rPr>
  </w:style>
  <w:style w:type="paragraph" w:customStyle="1" w:styleId="184">
    <w:name w:val="示例"/>
    <w:next w:val="94"/>
    <w:autoRedefine/>
    <w:qFormat/>
    <w:uiPriority w:val="0"/>
    <w:pPr>
      <w:tabs>
        <w:tab w:val="left" w:pos="816"/>
      </w:tabs>
      <w:ind w:firstLine="419" w:firstLineChars="233"/>
      <w:jc w:val="both"/>
    </w:pPr>
    <w:rPr>
      <w:rFonts w:ascii="宋体" w:hAnsi="Calibri" w:eastAsia="宋体" w:cs="Times New Roman"/>
      <w:sz w:val="18"/>
      <w:lang w:val="en-US" w:eastAsia="zh-CN" w:bidi="ar-SA"/>
    </w:rPr>
  </w:style>
  <w:style w:type="paragraph" w:customStyle="1" w:styleId="185">
    <w:name w:val="Bulleted"/>
    <w:qFormat/>
    <w:uiPriority w:val="0"/>
    <w:pPr>
      <w:widowControl w:val="0"/>
      <w:tabs>
        <w:tab w:val="left" w:pos="283"/>
      </w:tabs>
      <w:spacing w:after="100" w:line="240" w:lineRule="atLeast"/>
      <w:ind w:left="1134" w:hanging="227"/>
    </w:pPr>
    <w:rPr>
      <w:rFonts w:ascii="Calibri" w:hAnsi="Calibri" w:eastAsia="宋体" w:cs="Times New Roman"/>
      <w:snapToGrid w:val="0"/>
      <w:lang w:val="en-GB" w:eastAsia="it-IT" w:bidi="ar-SA"/>
    </w:rPr>
  </w:style>
  <w:style w:type="paragraph" w:customStyle="1" w:styleId="186">
    <w:name w:val="正文1"/>
    <w:basedOn w:val="1"/>
    <w:qFormat/>
    <w:uiPriority w:val="0"/>
    <w:pPr>
      <w:overflowPunct w:val="0"/>
      <w:autoSpaceDE w:val="0"/>
      <w:autoSpaceDN w:val="0"/>
      <w:snapToGrid/>
      <w:spacing w:line="312" w:lineRule="exact"/>
      <w:textAlignment w:val="baseline"/>
    </w:pPr>
    <w:rPr>
      <w:rFonts w:ascii="宋体"/>
      <w:kern w:val="0"/>
    </w:rPr>
  </w:style>
  <w:style w:type="paragraph" w:customStyle="1" w:styleId="187">
    <w:name w:val="出版说明信息"/>
    <w:basedOn w:val="1"/>
    <w:qFormat/>
    <w:uiPriority w:val="0"/>
    <w:pPr>
      <w:widowControl w:val="0"/>
      <w:autoSpaceDE w:val="0"/>
      <w:autoSpaceDN w:val="0"/>
      <w:snapToGrid/>
      <w:spacing w:before="80" w:after="80"/>
      <w:ind w:left="1417"/>
    </w:pPr>
    <w:rPr>
      <w:kern w:val="0"/>
    </w:rPr>
  </w:style>
  <w:style w:type="paragraph" w:customStyle="1" w:styleId="188">
    <w:name w:val="字母编号列项（一级）"/>
    <w:autoRedefine/>
    <w:qFormat/>
    <w:uiPriority w:val="0"/>
    <w:pPr>
      <w:ind w:left="840" w:leftChars="200" w:hanging="420" w:hangingChars="200"/>
      <w:jc w:val="both"/>
    </w:pPr>
    <w:rPr>
      <w:rFonts w:ascii="宋体" w:hAnsi="Calibri" w:eastAsia="宋体" w:cs="Times New Roman"/>
      <w:sz w:val="21"/>
      <w:lang w:val="en-US" w:eastAsia="zh-CN" w:bidi="ar-SA"/>
    </w:rPr>
  </w:style>
  <w:style w:type="paragraph" w:customStyle="1" w:styleId="189">
    <w:name w:val="封面正文"/>
    <w:qFormat/>
    <w:uiPriority w:val="0"/>
    <w:pPr>
      <w:jc w:val="both"/>
    </w:pPr>
    <w:rPr>
      <w:rFonts w:ascii="Calibri" w:hAnsi="Calibri" w:eastAsia="宋体" w:cs="Times New Roman"/>
      <w:lang w:val="en-US" w:eastAsia="zh-CN" w:bidi="ar-SA"/>
    </w:rPr>
  </w:style>
  <w:style w:type="paragraph" w:customStyle="1" w:styleId="190">
    <w:name w:val="封面标准文稿编辑信息"/>
    <w:autoRedefine/>
    <w:qFormat/>
    <w:uiPriority w:val="0"/>
    <w:pPr>
      <w:spacing w:before="180" w:line="180" w:lineRule="exact"/>
      <w:jc w:val="center"/>
    </w:pPr>
    <w:rPr>
      <w:rFonts w:ascii="宋体" w:hAnsi="Calibri" w:eastAsia="宋体" w:cs="Times New Roman"/>
      <w:sz w:val="21"/>
      <w:lang w:val="en-US" w:eastAsia="zh-CN" w:bidi="ar-SA"/>
    </w:rPr>
  </w:style>
  <w:style w:type="paragraph" w:customStyle="1" w:styleId="191">
    <w:name w:val="缺省文本"/>
    <w:basedOn w:val="1"/>
    <w:qFormat/>
    <w:uiPriority w:val="0"/>
  </w:style>
  <w:style w:type="paragraph" w:customStyle="1" w:styleId="192">
    <w:name w:val="段落2"/>
    <w:basedOn w:val="1"/>
    <w:autoRedefine/>
    <w:qFormat/>
    <w:uiPriority w:val="0"/>
    <w:pPr>
      <w:widowControl w:val="0"/>
      <w:autoSpaceDE w:val="0"/>
      <w:autoSpaceDN w:val="0"/>
      <w:snapToGrid/>
      <w:spacing w:before="105" w:line="240" w:lineRule="auto"/>
      <w:ind w:left="360"/>
      <w:jc w:val="left"/>
    </w:pPr>
    <w:rPr>
      <w:rFonts w:ascii="宋体"/>
      <w:kern w:val="0"/>
      <w:szCs w:val="21"/>
    </w:rPr>
  </w:style>
  <w:style w:type="paragraph" w:customStyle="1" w:styleId="193">
    <w:name w:val="附录表题"/>
    <w:basedOn w:val="194"/>
    <w:qFormat/>
    <w:uiPriority w:val="0"/>
    <w:pPr>
      <w:tabs>
        <w:tab w:val="left" w:pos="0"/>
      </w:tabs>
      <w:ind w:left="567"/>
    </w:pPr>
  </w:style>
  <w:style w:type="paragraph" w:customStyle="1" w:styleId="194">
    <w:name w:val="表题"/>
    <w:autoRedefine/>
    <w:qFormat/>
    <w:uiPriority w:val="0"/>
    <w:pPr>
      <w:keepNext/>
      <w:keepLines/>
      <w:numPr>
        <w:ilvl w:val="5"/>
        <w:numId w:val="1"/>
      </w:numPr>
      <w:adjustRightInd w:val="0"/>
      <w:snapToGrid w:val="0"/>
      <w:spacing w:line="360" w:lineRule="auto"/>
      <w:jc w:val="center"/>
    </w:pPr>
    <w:rPr>
      <w:rFonts w:ascii="Arial" w:hAnsi="Arial" w:eastAsia="黑体" w:cs="Times New Roman"/>
      <w:sz w:val="16"/>
      <w:lang w:val="en-US" w:eastAsia="zh-CN" w:bidi="ar-SA"/>
    </w:rPr>
  </w:style>
  <w:style w:type="paragraph" w:customStyle="1" w:styleId="195">
    <w:name w:val="lista"/>
    <w:basedOn w:val="1"/>
    <w:autoRedefine/>
    <w:qFormat/>
    <w:uiPriority w:val="0"/>
    <w:pPr>
      <w:adjustRightInd/>
      <w:snapToGrid/>
      <w:spacing w:line="240" w:lineRule="auto"/>
      <w:ind w:left="1985" w:hanging="1418"/>
    </w:pPr>
    <w:rPr>
      <w:kern w:val="0"/>
      <w:sz w:val="20"/>
      <w:lang w:val="en-GB"/>
    </w:rPr>
  </w:style>
  <w:style w:type="paragraph" w:customStyle="1" w:styleId="196">
    <w:name w:val="表身"/>
    <w:qFormat/>
    <w:uiPriority w:val="0"/>
    <w:pPr>
      <w:keepNext/>
      <w:spacing w:before="60" w:after="60" w:line="300" w:lineRule="auto"/>
      <w:jc w:val="both"/>
      <w:textAlignment w:val="center"/>
    </w:pPr>
    <w:rPr>
      <w:rFonts w:ascii="Arial" w:hAnsi="Arial" w:eastAsia="宋体" w:cs="Times New Roman"/>
      <w:sz w:val="18"/>
      <w:lang w:val="en-US" w:eastAsia="zh-CN" w:bidi="ar-SA"/>
    </w:rPr>
  </w:style>
  <w:style w:type="paragraph" w:customStyle="1" w:styleId="197">
    <w:name w:val="E正文1"/>
    <w:basedOn w:val="3"/>
    <w:qFormat/>
    <w:uiPriority w:val="0"/>
    <w:pPr>
      <w:ind w:left="0"/>
    </w:pPr>
    <w:rPr>
      <w:rFonts w:ascii="Arial" w:hAnsi="Arial"/>
    </w:rPr>
  </w:style>
  <w:style w:type="paragraph" w:customStyle="1" w:styleId="198">
    <w:name w:val="标准书脚_偶数页"/>
    <w:qFormat/>
    <w:uiPriority w:val="0"/>
    <w:pPr>
      <w:spacing w:before="120"/>
    </w:pPr>
    <w:rPr>
      <w:rFonts w:ascii="Calibri" w:hAnsi="Calibri" w:eastAsia="宋体" w:cs="Times New Roman"/>
      <w:sz w:val="18"/>
      <w:lang w:val="en-US" w:eastAsia="zh-CN" w:bidi="ar-SA"/>
    </w:rPr>
  </w:style>
  <w:style w:type="paragraph" w:customStyle="1" w:styleId="199">
    <w:name w:val="标准书眉一"/>
    <w:autoRedefine/>
    <w:qFormat/>
    <w:uiPriority w:val="0"/>
    <w:pPr>
      <w:jc w:val="both"/>
    </w:pPr>
    <w:rPr>
      <w:rFonts w:ascii="Calibri" w:hAnsi="Calibri" w:eastAsia="宋体" w:cs="Times New Roman"/>
      <w:lang w:val="en-US" w:eastAsia="zh-CN" w:bidi="ar-SA"/>
    </w:rPr>
  </w:style>
  <w:style w:type="paragraph" w:customStyle="1" w:styleId="200">
    <w:name w:val="联系"/>
    <w:basedOn w:val="1"/>
    <w:autoRedefine/>
    <w:qFormat/>
    <w:uiPriority w:val="0"/>
    <w:pPr>
      <w:widowControl w:val="0"/>
      <w:autoSpaceDE w:val="0"/>
      <w:autoSpaceDN w:val="0"/>
      <w:snapToGrid/>
      <w:spacing w:before="80" w:after="80"/>
      <w:ind w:left="1134"/>
    </w:pPr>
    <w:rPr>
      <w:kern w:val="0"/>
      <w:sz w:val="24"/>
    </w:rPr>
  </w:style>
  <w:style w:type="paragraph" w:customStyle="1" w:styleId="201">
    <w:name w:val="版权声明标题"/>
    <w:basedOn w:val="1"/>
    <w:qFormat/>
    <w:uiPriority w:val="0"/>
    <w:pPr>
      <w:keepLines/>
      <w:widowControl w:val="0"/>
      <w:autoSpaceDE w:val="0"/>
      <w:autoSpaceDN w:val="0"/>
      <w:snapToGrid/>
      <w:spacing w:before="480" w:after="360"/>
      <w:jc w:val="center"/>
    </w:pPr>
    <w:rPr>
      <w:kern w:val="0"/>
      <w:sz w:val="36"/>
    </w:rPr>
  </w:style>
  <w:style w:type="paragraph" w:customStyle="1" w:styleId="202">
    <w:name w:val="封面标准英文名称"/>
    <w:qFormat/>
    <w:uiPriority w:val="0"/>
    <w:pPr>
      <w:widowControl w:val="0"/>
      <w:spacing w:before="370" w:line="400" w:lineRule="exact"/>
      <w:jc w:val="center"/>
    </w:pPr>
    <w:rPr>
      <w:rFonts w:ascii="Calibri" w:hAnsi="Calibri" w:eastAsia="宋体" w:cs="Times New Roman"/>
      <w:sz w:val="28"/>
      <w:lang w:val="en-US" w:eastAsia="zh-CN" w:bidi="ar-SA"/>
    </w:rPr>
  </w:style>
  <w:style w:type="paragraph" w:customStyle="1" w:styleId="203">
    <w:name w:val="正文11"/>
    <w:basedOn w:val="1"/>
    <w:autoRedefine/>
    <w:qFormat/>
    <w:uiPriority w:val="0"/>
    <w:pPr>
      <w:widowControl w:val="0"/>
      <w:adjustRightInd/>
      <w:snapToGrid/>
      <w:spacing w:before="100" w:beforeAutospacing="1" w:after="100" w:afterAutospacing="1" w:line="320" w:lineRule="atLeast"/>
      <w:ind w:left="540" w:leftChars="257"/>
    </w:pPr>
    <w:rPr>
      <w:rFonts w:ascii="Arial" w:hAnsi="Arial" w:cs="Arial"/>
      <w:szCs w:val="24"/>
    </w:rPr>
  </w:style>
  <w:style w:type="paragraph" w:customStyle="1" w:styleId="204">
    <w:name w:val="列项——"/>
    <w:autoRedefine/>
    <w:qFormat/>
    <w:uiPriority w:val="0"/>
    <w:pPr>
      <w:widowControl w:val="0"/>
      <w:tabs>
        <w:tab w:val="left" w:pos="854"/>
      </w:tabs>
      <w:ind w:left="840" w:leftChars="200" w:hanging="420" w:hangingChars="200"/>
      <w:jc w:val="both"/>
    </w:pPr>
    <w:rPr>
      <w:rFonts w:ascii="宋体" w:hAnsi="Calibri" w:eastAsia="宋体" w:cs="Times New Roman"/>
      <w:sz w:val="21"/>
      <w:lang w:val="en-US" w:eastAsia="zh-CN" w:bidi="ar-SA"/>
    </w:rPr>
  </w:style>
  <w:style w:type="paragraph" w:customStyle="1" w:styleId="205">
    <w:name w:val="Ordered List (OL)"/>
    <w:basedOn w:val="1"/>
    <w:autoRedefine/>
    <w:qFormat/>
    <w:uiPriority w:val="0"/>
    <w:pPr>
      <w:widowControl w:val="0"/>
      <w:autoSpaceDE w:val="0"/>
      <w:autoSpaceDN w:val="0"/>
      <w:snapToGrid/>
      <w:spacing w:before="100" w:line="240" w:lineRule="auto"/>
      <w:ind w:left="600" w:hanging="300"/>
      <w:jc w:val="left"/>
    </w:pPr>
    <w:rPr>
      <w:kern w:val="0"/>
      <w:sz w:val="24"/>
      <w:szCs w:val="24"/>
    </w:rPr>
  </w:style>
  <w:style w:type="paragraph" w:customStyle="1" w:styleId="206">
    <w:name w:val="标准标志"/>
    <w:next w:val="1"/>
    <w:autoRedefine/>
    <w:qFormat/>
    <w:uiPriority w:val="0"/>
    <w:pPr>
      <w:framePr w:w="2268" w:h="1392" w:hRule="exact" w:wrap="around" w:vAnchor="margin" w:hAnchor="margin" w:x="6748" w:y="171" w:anchorLock="1"/>
      <w:shd w:val="solid" w:color="FFFFFF" w:fill="FFFFFF"/>
      <w:spacing w:line="0" w:lineRule="atLeast"/>
      <w:jc w:val="right"/>
    </w:pPr>
    <w:rPr>
      <w:rFonts w:ascii="Calibri" w:hAnsi="Calibri" w:eastAsia="宋体" w:cs="Times New Roman"/>
      <w:b/>
      <w:w w:val="130"/>
      <w:sz w:val="96"/>
      <w:lang w:val="en-US" w:eastAsia="zh-CN" w:bidi="ar-SA"/>
    </w:rPr>
  </w:style>
  <w:style w:type="paragraph" w:customStyle="1" w:styleId="207">
    <w:name w:val="参考文献、索引标题"/>
    <w:basedOn w:val="96"/>
    <w:next w:val="1"/>
    <w:autoRedefine/>
    <w:qFormat/>
    <w:uiPriority w:val="0"/>
    <w:pPr>
      <w:spacing w:after="200"/>
    </w:pPr>
    <w:rPr>
      <w:sz w:val="21"/>
    </w:rPr>
  </w:style>
  <w:style w:type="paragraph" w:customStyle="1" w:styleId="208">
    <w:name w:val="技术支持页书名"/>
    <w:autoRedefine/>
    <w:qFormat/>
    <w:uiPriority w:val="0"/>
    <w:pPr>
      <w:adjustRightInd w:val="0"/>
      <w:snapToGrid w:val="0"/>
      <w:spacing w:line="360" w:lineRule="auto"/>
    </w:pPr>
    <w:rPr>
      <w:rFonts w:ascii="Arial" w:hAnsi="Arial" w:eastAsia="黑体" w:cs="Times New Roman"/>
      <w:b/>
      <w:sz w:val="28"/>
      <w:lang w:val="en-US" w:eastAsia="zh-CN" w:bidi="ar-SA"/>
    </w:rPr>
  </w:style>
  <w:style w:type="paragraph" w:customStyle="1" w:styleId="209">
    <w:name w:val="附录表标题"/>
    <w:next w:val="94"/>
    <w:qFormat/>
    <w:uiPriority w:val="0"/>
    <w:pPr>
      <w:jc w:val="center"/>
      <w:textAlignment w:val="baseline"/>
    </w:pPr>
    <w:rPr>
      <w:rFonts w:ascii="黑体" w:hAnsi="Calibri" w:eastAsia="黑体" w:cs="Times New Roman"/>
      <w:kern w:val="21"/>
      <w:sz w:val="21"/>
      <w:lang w:val="en-US" w:eastAsia="zh-CN" w:bidi="ar-SA"/>
    </w:rPr>
  </w:style>
  <w:style w:type="paragraph" w:customStyle="1" w:styleId="21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211">
    <w:name w:val="四级无标题条"/>
    <w:basedOn w:val="1"/>
    <w:qFormat/>
    <w:uiPriority w:val="0"/>
    <w:pPr>
      <w:widowControl w:val="0"/>
      <w:adjustRightInd/>
      <w:snapToGrid/>
      <w:spacing w:line="240" w:lineRule="auto"/>
    </w:pPr>
    <w:rPr>
      <w:szCs w:val="24"/>
    </w:rPr>
  </w:style>
  <w:style w:type="paragraph" w:customStyle="1" w:styleId="212">
    <w:name w:val="版权声明"/>
    <w:basedOn w:val="1"/>
    <w:qFormat/>
    <w:uiPriority w:val="0"/>
    <w:pPr>
      <w:autoSpaceDE w:val="0"/>
      <w:autoSpaceDN w:val="0"/>
      <w:ind w:left="1134"/>
      <w:textAlignment w:val="bottom"/>
    </w:pPr>
  </w:style>
  <w:style w:type="paragraph" w:customStyle="1" w:styleId="213">
    <w:name w:val="表格正文ENPC"/>
    <w:basedOn w:val="1"/>
    <w:qFormat/>
    <w:uiPriority w:val="0"/>
    <w:pPr>
      <w:overflowPunct w:val="0"/>
      <w:autoSpaceDE w:val="0"/>
      <w:autoSpaceDN w:val="0"/>
      <w:snapToGrid/>
      <w:jc w:val="left"/>
      <w:textAlignment w:val="baseline"/>
    </w:pPr>
    <w:rPr>
      <w:rFonts w:ascii="Arial" w:hAnsi="Arial" w:cs="Arial"/>
      <w:kern w:val="0"/>
      <w:sz w:val="18"/>
      <w:szCs w:val="21"/>
    </w:rPr>
  </w:style>
  <w:style w:type="paragraph" w:customStyle="1" w:styleId="214">
    <w:name w:val="版本号"/>
    <w:autoRedefine/>
    <w:qFormat/>
    <w:uiPriority w:val="0"/>
    <w:pPr>
      <w:pBdr>
        <w:bottom w:val="single" w:color="auto" w:sz="4" w:space="1"/>
      </w:pBdr>
      <w:spacing w:before="120" w:after="120" w:line="360" w:lineRule="auto"/>
      <w:jc w:val="center"/>
    </w:pPr>
    <w:rPr>
      <w:rFonts w:ascii="Calibri" w:hAnsi="Calibri" w:eastAsia="宋体" w:cs="Times New Roman"/>
      <w:sz w:val="28"/>
      <w:lang w:val="en-US" w:eastAsia="zh-CN" w:bidi="ar-SA"/>
    </w:rPr>
  </w:style>
  <w:style w:type="paragraph" w:customStyle="1" w:styleId="215">
    <w:name w:val="附录标题1"/>
    <w:basedOn w:val="2"/>
    <w:autoRedefine/>
    <w:qFormat/>
    <w:uiPriority w:val="0"/>
  </w:style>
  <w:style w:type="paragraph" w:customStyle="1" w:styleId="216">
    <w:name w:val="目次、标准名称标题"/>
    <w:basedOn w:val="96"/>
    <w:next w:val="94"/>
    <w:qFormat/>
    <w:uiPriority w:val="0"/>
    <w:pPr>
      <w:spacing w:line="460" w:lineRule="exact"/>
    </w:pPr>
  </w:style>
  <w:style w:type="paragraph" w:customStyle="1" w:styleId="217">
    <w:name w:val="E图片（中）"/>
    <w:autoRedefine/>
    <w:qFormat/>
    <w:uiPriority w:val="0"/>
    <w:pPr>
      <w:keepNext/>
      <w:adjustRightInd w:val="0"/>
      <w:snapToGrid w:val="0"/>
      <w:spacing w:before="40" w:line="300" w:lineRule="auto"/>
      <w:ind w:left="680"/>
      <w:jc w:val="center"/>
    </w:pPr>
    <w:rPr>
      <w:rFonts w:ascii="Times New Roman" w:hAnsi="Times New Roman" w:eastAsia="宋体" w:cs="Times New Roman"/>
      <w:lang w:val="en-US" w:eastAsia="zh-CN" w:bidi="ar-SA"/>
    </w:rPr>
  </w:style>
  <w:style w:type="paragraph" w:customStyle="1" w:styleId="218">
    <w:name w:val="公司信息"/>
    <w:basedOn w:val="1"/>
    <w:autoRedefine/>
    <w:qFormat/>
    <w:uiPriority w:val="0"/>
    <w:pPr>
      <w:spacing w:before="40" w:after="40" w:line="300" w:lineRule="auto"/>
      <w:jc w:val="left"/>
    </w:pPr>
    <w:rPr>
      <w:rFonts w:ascii="Arial" w:hAnsi="Arial"/>
      <w:color w:val="000000"/>
      <w:kern w:val="0"/>
      <w:szCs w:val="24"/>
    </w:rPr>
  </w:style>
  <w:style w:type="paragraph" w:customStyle="1" w:styleId="219">
    <w:name w:val="版权声明信息"/>
    <w:basedOn w:val="1"/>
    <w:qFormat/>
    <w:uiPriority w:val="0"/>
    <w:pPr>
      <w:widowControl w:val="0"/>
      <w:autoSpaceDE w:val="0"/>
      <w:autoSpaceDN w:val="0"/>
      <w:snapToGrid/>
      <w:spacing w:before="80" w:after="80"/>
      <w:ind w:left="1134"/>
    </w:pPr>
    <w:rPr>
      <w:kern w:val="0"/>
      <w:sz w:val="24"/>
    </w:rPr>
  </w:style>
  <w:style w:type="paragraph" w:customStyle="1" w:styleId="220">
    <w:name w:val="关键词"/>
    <w:basedOn w:val="1"/>
    <w:qFormat/>
    <w:uiPriority w:val="0"/>
    <w:pPr>
      <w:widowControl w:val="0"/>
      <w:tabs>
        <w:tab w:val="left" w:pos="1080"/>
      </w:tabs>
      <w:autoSpaceDE w:val="0"/>
      <w:autoSpaceDN w:val="0"/>
      <w:snapToGrid/>
      <w:spacing w:line="360" w:lineRule="exact"/>
      <w:ind w:left="1080" w:hanging="1080"/>
    </w:pPr>
    <w:rPr>
      <w:rFonts w:ascii="黑体" w:eastAsia="黑体"/>
      <w:kern w:val="0"/>
      <w:sz w:val="24"/>
      <w:szCs w:val="24"/>
    </w:rPr>
  </w:style>
  <w:style w:type="paragraph" w:customStyle="1" w:styleId="221">
    <w:name w:val="扉页手册名"/>
    <w:autoRedefine/>
    <w:qFormat/>
    <w:uiPriority w:val="0"/>
    <w:pPr>
      <w:adjustRightInd w:val="0"/>
      <w:snapToGrid w:val="0"/>
      <w:spacing w:before="120" w:after="120" w:line="360" w:lineRule="auto"/>
      <w:jc w:val="center"/>
    </w:pPr>
    <w:rPr>
      <w:rFonts w:ascii="Arial" w:hAnsi="Arial" w:eastAsia="黑体" w:cs="Times New Roman"/>
      <w:sz w:val="44"/>
      <w:lang w:val="en-US" w:eastAsia="zh-CN" w:bidi="ar-SA"/>
    </w:rPr>
  </w:style>
  <w:style w:type="paragraph" w:customStyle="1" w:styleId="222">
    <w:name w:val="五级条标题"/>
    <w:basedOn w:val="174"/>
    <w:next w:val="94"/>
    <w:autoRedefine/>
    <w:qFormat/>
    <w:uiPriority w:val="0"/>
    <w:pPr>
      <w:outlineLvl w:val="6"/>
    </w:pPr>
  </w:style>
  <w:style w:type="paragraph" w:customStyle="1" w:styleId="223">
    <w:name w:val="责任人"/>
    <w:basedOn w:val="1"/>
    <w:autoRedefine/>
    <w:qFormat/>
    <w:uiPriority w:val="0"/>
    <w:pPr>
      <w:widowControl w:val="0"/>
      <w:autoSpaceDE w:val="0"/>
      <w:autoSpaceDN w:val="0"/>
      <w:snapToGrid/>
      <w:spacing w:before="80" w:after="80" w:line="240" w:lineRule="auto"/>
      <w:jc w:val="left"/>
    </w:pPr>
    <w:rPr>
      <w:kern w:val="0"/>
    </w:rPr>
  </w:style>
  <w:style w:type="paragraph" w:customStyle="1" w:styleId="224">
    <w:name w:val="文献分类号"/>
    <w:autoRedefine/>
    <w:qFormat/>
    <w:uiPriority w:val="0"/>
    <w:pPr>
      <w:framePr w:hSpace="180" w:vSpace="180" w:wrap="around" w:vAnchor="margin" w:hAnchor="margin" w:y="1" w:anchorLock="1"/>
      <w:widowControl w:val="0"/>
      <w:textAlignment w:val="center"/>
    </w:pPr>
    <w:rPr>
      <w:rFonts w:ascii="Calibri" w:hAnsi="Calibri" w:eastAsia="黑体" w:cs="Times New Roman"/>
      <w:sz w:val="21"/>
      <w:lang w:val="en-US" w:eastAsia="zh-CN" w:bidi="ar-SA"/>
    </w:rPr>
  </w:style>
  <w:style w:type="character" w:customStyle="1" w:styleId="225">
    <w:name w:val="页脚 字符"/>
    <w:basedOn w:val="52"/>
    <w:autoRedefine/>
    <w:qFormat/>
    <w:uiPriority w:val="99"/>
  </w:style>
</w:styles>
</file>

<file path=word/_rels/document.xml.rels><?xml version="1.0" encoding="UTF-8" standalone="yes"?>
<Relationships xmlns="http://schemas.openxmlformats.org/package/2006/relationships"><Relationship Id="rId99" Type="http://schemas.openxmlformats.org/officeDocument/2006/relationships/oleObject" Target="embeddings/Microsoft_Visio_2003-2010___7.vsd"/><Relationship Id="rId98" Type="http://schemas.openxmlformats.org/officeDocument/2006/relationships/image" Target="media/image57.emf"/><Relationship Id="rId97" Type="http://schemas.openxmlformats.org/officeDocument/2006/relationships/oleObject" Target="embeddings/Microsoft_Visio_2003-2010___6.vsd"/><Relationship Id="rId96" Type="http://schemas.openxmlformats.org/officeDocument/2006/relationships/image" Target="media/image56.emf"/><Relationship Id="rId95" Type="http://schemas.openxmlformats.org/officeDocument/2006/relationships/oleObject" Target="embeddings/Microsoft_Visio_2003-2010___5.vsd"/><Relationship Id="rId94" Type="http://schemas.openxmlformats.org/officeDocument/2006/relationships/image" Target="media/image55.emf"/><Relationship Id="rId93" Type="http://schemas.openxmlformats.org/officeDocument/2006/relationships/oleObject" Target="embeddings/Microsoft_Visio_2003-2010___4.vsd"/><Relationship Id="rId92" Type="http://schemas.openxmlformats.org/officeDocument/2006/relationships/image" Target="media/image54.png"/><Relationship Id="rId91" Type="http://schemas.openxmlformats.org/officeDocument/2006/relationships/image" Target="media/image53.jpeg"/><Relationship Id="rId90" Type="http://schemas.openxmlformats.org/officeDocument/2006/relationships/image" Target="media/image52.jpeg"/><Relationship Id="rId9" Type="http://schemas.openxmlformats.org/officeDocument/2006/relationships/footer" Target="footer2.xml"/><Relationship Id="rId89" Type="http://schemas.openxmlformats.org/officeDocument/2006/relationships/image" Target="media/image51.png"/><Relationship Id="rId88" Type="http://schemas.openxmlformats.org/officeDocument/2006/relationships/image" Target="media/image50.png"/><Relationship Id="rId87" Type="http://schemas.openxmlformats.org/officeDocument/2006/relationships/image" Target="media/image49.png"/><Relationship Id="rId86" Type="http://schemas.openxmlformats.org/officeDocument/2006/relationships/image" Target="media/image48.png"/><Relationship Id="rId85" Type="http://schemas.openxmlformats.org/officeDocument/2006/relationships/image" Target="media/image47.png"/><Relationship Id="rId84" Type="http://schemas.openxmlformats.org/officeDocument/2006/relationships/image" Target="media/image46.png"/><Relationship Id="rId83" Type="http://schemas.openxmlformats.org/officeDocument/2006/relationships/image" Target="media/image45.png"/><Relationship Id="rId82" Type="http://schemas.openxmlformats.org/officeDocument/2006/relationships/image" Target="media/image44.png"/><Relationship Id="rId81" Type="http://schemas.openxmlformats.org/officeDocument/2006/relationships/image" Target="media/image43.png"/><Relationship Id="rId80" Type="http://schemas.openxmlformats.org/officeDocument/2006/relationships/image" Target="media/image42.png"/><Relationship Id="rId8" Type="http://schemas.openxmlformats.org/officeDocument/2006/relationships/footer" Target="footer1.xml"/><Relationship Id="rId79" Type="http://schemas.openxmlformats.org/officeDocument/2006/relationships/image" Target="media/image41.png"/><Relationship Id="rId78" Type="http://schemas.openxmlformats.org/officeDocument/2006/relationships/image" Target="media/image40.png"/><Relationship Id="rId77" Type="http://schemas.openxmlformats.org/officeDocument/2006/relationships/image" Target="media/image39.png"/><Relationship Id="rId76" Type="http://schemas.openxmlformats.org/officeDocument/2006/relationships/image" Target="media/image38.png"/><Relationship Id="rId75" Type="http://schemas.openxmlformats.org/officeDocument/2006/relationships/image" Target="media/image37.png"/><Relationship Id="rId74" Type="http://schemas.openxmlformats.org/officeDocument/2006/relationships/image" Target="media/image36.png"/><Relationship Id="rId73" Type="http://schemas.openxmlformats.org/officeDocument/2006/relationships/image" Target="media/image35.png"/><Relationship Id="rId72" Type="http://schemas.openxmlformats.org/officeDocument/2006/relationships/image" Target="media/image34.png"/><Relationship Id="rId71" Type="http://schemas.openxmlformats.org/officeDocument/2006/relationships/image" Target="media/image33.png"/><Relationship Id="rId70" Type="http://schemas.openxmlformats.org/officeDocument/2006/relationships/image" Target="media/image32.png"/><Relationship Id="rId7" Type="http://schemas.openxmlformats.org/officeDocument/2006/relationships/header" Target="header3.xml"/><Relationship Id="rId69" Type="http://schemas.openxmlformats.org/officeDocument/2006/relationships/image" Target="media/image31.png"/><Relationship Id="rId68" Type="http://schemas.openxmlformats.org/officeDocument/2006/relationships/image" Target="media/image30.png"/><Relationship Id="rId67" Type="http://schemas.openxmlformats.org/officeDocument/2006/relationships/image" Target="media/image29.png"/><Relationship Id="rId66" Type="http://schemas.openxmlformats.org/officeDocument/2006/relationships/image" Target="media/image28.png"/><Relationship Id="rId65" Type="http://schemas.openxmlformats.org/officeDocument/2006/relationships/image" Target="media/image27.png"/><Relationship Id="rId64" Type="http://schemas.openxmlformats.org/officeDocument/2006/relationships/image" Target="media/image26.png"/><Relationship Id="rId63" Type="http://schemas.openxmlformats.org/officeDocument/2006/relationships/image" Target="media/image25.png"/><Relationship Id="rId62" Type="http://schemas.openxmlformats.org/officeDocument/2006/relationships/image" Target="media/image24.png"/><Relationship Id="rId61" Type="http://schemas.openxmlformats.org/officeDocument/2006/relationships/image" Target="media/image23.png"/><Relationship Id="rId60" Type="http://schemas.openxmlformats.org/officeDocument/2006/relationships/image" Target="media/image22.png"/><Relationship Id="rId6" Type="http://schemas.openxmlformats.org/officeDocument/2006/relationships/header" Target="header2.xml"/><Relationship Id="rId59" Type="http://schemas.openxmlformats.org/officeDocument/2006/relationships/image" Target="media/image21.png"/><Relationship Id="rId58" Type="http://schemas.openxmlformats.org/officeDocument/2006/relationships/image" Target="media/image20.png"/><Relationship Id="rId57" Type="http://schemas.openxmlformats.org/officeDocument/2006/relationships/image" Target="media/image19.png"/><Relationship Id="rId56" Type="http://schemas.openxmlformats.org/officeDocument/2006/relationships/image" Target="media/image18.png"/><Relationship Id="rId55" Type="http://schemas.openxmlformats.org/officeDocument/2006/relationships/image" Target="media/image17.png"/><Relationship Id="rId54" Type="http://schemas.openxmlformats.org/officeDocument/2006/relationships/image" Target="media/image16.png"/><Relationship Id="rId53" Type="http://schemas.openxmlformats.org/officeDocument/2006/relationships/image" Target="media/image15.png"/><Relationship Id="rId52" Type="http://schemas.openxmlformats.org/officeDocument/2006/relationships/image" Target="media/image14.png"/><Relationship Id="rId51" Type="http://schemas.openxmlformats.org/officeDocument/2006/relationships/image" Target="media/image13.png"/><Relationship Id="rId50" Type="http://schemas.openxmlformats.org/officeDocument/2006/relationships/image" Target="media/image12.png"/><Relationship Id="rId5" Type="http://schemas.openxmlformats.org/officeDocument/2006/relationships/header" Target="header1.xml"/><Relationship Id="rId49" Type="http://schemas.openxmlformats.org/officeDocument/2006/relationships/image" Target="media/image11.png"/><Relationship Id="rId48" Type="http://schemas.openxmlformats.org/officeDocument/2006/relationships/image" Target="media/image10.png"/><Relationship Id="rId47" Type="http://schemas.openxmlformats.org/officeDocument/2006/relationships/image" Target="media/image9.png"/><Relationship Id="rId46" Type="http://schemas.openxmlformats.org/officeDocument/2006/relationships/image" Target="media/image8.png"/><Relationship Id="rId45" Type="http://schemas.openxmlformats.org/officeDocument/2006/relationships/image" Target="media/image7.png"/><Relationship Id="rId44" Type="http://schemas.openxmlformats.org/officeDocument/2006/relationships/image" Target="media/image6.png"/><Relationship Id="rId43" Type="http://schemas.openxmlformats.org/officeDocument/2006/relationships/image" Target="media/image5.emf"/><Relationship Id="rId42" Type="http://schemas.openxmlformats.org/officeDocument/2006/relationships/oleObject" Target="embeddings/Microsoft_Visio_2003-2010___3.vsd"/><Relationship Id="rId41" Type="http://schemas.openxmlformats.org/officeDocument/2006/relationships/image" Target="media/image4.emf"/><Relationship Id="rId40" Type="http://schemas.openxmlformats.org/officeDocument/2006/relationships/oleObject" Target="embeddings/Microsoft_Visio_2003-2010___2.vsd"/><Relationship Id="rId4" Type="http://schemas.openxmlformats.org/officeDocument/2006/relationships/endnotes" Target="endnotes.xml"/><Relationship Id="rId39" Type="http://schemas.openxmlformats.org/officeDocument/2006/relationships/image" Target="media/image3.emf"/><Relationship Id="rId38" Type="http://schemas.openxmlformats.org/officeDocument/2006/relationships/oleObject" Target="embeddings/Microsoft_Visio_2003-2010___1.vsd"/><Relationship Id="rId37" Type="http://schemas.openxmlformats.org/officeDocument/2006/relationships/image" Target="media/image2.wmf"/><Relationship Id="rId36" Type="http://schemas.openxmlformats.org/officeDocument/2006/relationships/image" Target="media/image1.wmf"/><Relationship Id="rId35" Type="http://schemas.openxmlformats.org/officeDocument/2006/relationships/theme" Target="theme/theme1.xml"/><Relationship Id="rId34" Type="http://schemas.openxmlformats.org/officeDocument/2006/relationships/footer" Target="footer10.xml"/><Relationship Id="rId33" Type="http://schemas.openxmlformats.org/officeDocument/2006/relationships/header" Target="header20.xml"/><Relationship Id="rId32" Type="http://schemas.openxmlformats.org/officeDocument/2006/relationships/header" Target="header19.xml"/><Relationship Id="rId31" Type="http://schemas.openxmlformats.org/officeDocument/2006/relationships/header" Target="header18.xml"/><Relationship Id="rId30" Type="http://schemas.openxmlformats.org/officeDocument/2006/relationships/header" Target="header17.xml"/><Relationship Id="rId3" Type="http://schemas.openxmlformats.org/officeDocument/2006/relationships/footnotes" Target="footnotes.xml"/><Relationship Id="rId29" Type="http://schemas.openxmlformats.org/officeDocument/2006/relationships/header" Target="header16.xml"/><Relationship Id="rId28" Type="http://schemas.openxmlformats.org/officeDocument/2006/relationships/header" Target="header15.xml"/><Relationship Id="rId27" Type="http://schemas.openxmlformats.org/officeDocument/2006/relationships/header" Target="header14.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header" Target="header10.xml"/><Relationship Id="rId21" Type="http://schemas.openxmlformats.org/officeDocument/2006/relationships/footer" Target="footer8.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header" Target="header6.xml"/><Relationship Id="rId142" Type="http://schemas.openxmlformats.org/officeDocument/2006/relationships/fontTable" Target="fontTable.xml"/><Relationship Id="rId141" Type="http://schemas.openxmlformats.org/officeDocument/2006/relationships/customXml" Target="../customXml/item2.xml"/><Relationship Id="rId140" Type="http://schemas.openxmlformats.org/officeDocument/2006/relationships/numbering" Target="numbering.xml"/><Relationship Id="rId14" Type="http://schemas.openxmlformats.org/officeDocument/2006/relationships/footer" Target="footer5.xml"/><Relationship Id="rId139" Type="http://schemas.openxmlformats.org/officeDocument/2006/relationships/customXml" Target="../customXml/item1.xml"/><Relationship Id="rId138" Type="http://schemas.openxmlformats.org/officeDocument/2006/relationships/image" Target="media/image84.png"/><Relationship Id="rId137" Type="http://schemas.openxmlformats.org/officeDocument/2006/relationships/image" Target="media/image83.wmf"/><Relationship Id="rId136" Type="http://schemas.openxmlformats.org/officeDocument/2006/relationships/oleObject" Target="embeddings/oleObject9.bin"/><Relationship Id="rId135" Type="http://schemas.openxmlformats.org/officeDocument/2006/relationships/image" Target="media/image82.wmf"/><Relationship Id="rId134" Type="http://schemas.openxmlformats.org/officeDocument/2006/relationships/oleObject" Target="embeddings/oleObject8.bin"/><Relationship Id="rId133" Type="http://schemas.openxmlformats.org/officeDocument/2006/relationships/image" Target="media/image81.wmf"/><Relationship Id="rId132" Type="http://schemas.openxmlformats.org/officeDocument/2006/relationships/oleObject" Target="embeddings/oleObject7.bin"/><Relationship Id="rId131" Type="http://schemas.openxmlformats.org/officeDocument/2006/relationships/image" Target="media/image80.wmf"/><Relationship Id="rId130" Type="http://schemas.openxmlformats.org/officeDocument/2006/relationships/oleObject" Target="embeddings/oleObject6.bin"/><Relationship Id="rId13" Type="http://schemas.openxmlformats.org/officeDocument/2006/relationships/footer" Target="footer4.xml"/><Relationship Id="rId129" Type="http://schemas.openxmlformats.org/officeDocument/2006/relationships/image" Target="media/image79.wmf"/><Relationship Id="rId128" Type="http://schemas.openxmlformats.org/officeDocument/2006/relationships/oleObject" Target="embeddings/oleObject5.bin"/><Relationship Id="rId127" Type="http://schemas.openxmlformats.org/officeDocument/2006/relationships/image" Target="media/image78.png"/><Relationship Id="rId126" Type="http://schemas.openxmlformats.org/officeDocument/2006/relationships/image" Target="media/image77.png"/><Relationship Id="rId125" Type="http://schemas.openxmlformats.org/officeDocument/2006/relationships/image" Target="media/image76.wmf"/><Relationship Id="rId124" Type="http://schemas.openxmlformats.org/officeDocument/2006/relationships/oleObject" Target="embeddings/oleObject4.bin"/><Relationship Id="rId123" Type="http://schemas.openxmlformats.org/officeDocument/2006/relationships/image" Target="media/image75.wmf"/><Relationship Id="rId122" Type="http://schemas.openxmlformats.org/officeDocument/2006/relationships/oleObject" Target="embeddings/oleObject3.bin"/><Relationship Id="rId121" Type="http://schemas.openxmlformats.org/officeDocument/2006/relationships/image" Target="media/image74.wmf"/><Relationship Id="rId120" Type="http://schemas.openxmlformats.org/officeDocument/2006/relationships/oleObject" Target="embeddings/oleObject2.bin"/><Relationship Id="rId12" Type="http://schemas.openxmlformats.org/officeDocument/2006/relationships/header" Target="header5.xml"/><Relationship Id="rId119" Type="http://schemas.openxmlformats.org/officeDocument/2006/relationships/image" Target="media/image73.wmf"/><Relationship Id="rId118" Type="http://schemas.openxmlformats.org/officeDocument/2006/relationships/oleObject" Target="embeddings/oleObject1.bin"/><Relationship Id="rId117" Type="http://schemas.openxmlformats.org/officeDocument/2006/relationships/image" Target="media/image72.png"/><Relationship Id="rId116" Type="http://schemas.openxmlformats.org/officeDocument/2006/relationships/image" Target="media/image71.png"/><Relationship Id="rId115" Type="http://schemas.openxmlformats.org/officeDocument/2006/relationships/image" Target="media/image70.png"/><Relationship Id="rId114" Type="http://schemas.openxmlformats.org/officeDocument/2006/relationships/image" Target="media/image69.png"/><Relationship Id="rId113" Type="http://schemas.openxmlformats.org/officeDocument/2006/relationships/image" Target="media/image68.png"/><Relationship Id="rId112" Type="http://schemas.openxmlformats.org/officeDocument/2006/relationships/image" Target="media/image67.emf"/><Relationship Id="rId111" Type="http://schemas.openxmlformats.org/officeDocument/2006/relationships/oleObject" Target="embeddings/Microsoft_Visio_2003-2010___10.vsd"/><Relationship Id="rId110" Type="http://schemas.openxmlformats.org/officeDocument/2006/relationships/image" Target="media/image66.png"/><Relationship Id="rId11" Type="http://schemas.openxmlformats.org/officeDocument/2006/relationships/header" Target="header4.xml"/><Relationship Id="rId109" Type="http://schemas.openxmlformats.org/officeDocument/2006/relationships/image" Target="media/image65.png"/><Relationship Id="rId108" Type="http://schemas.openxmlformats.org/officeDocument/2006/relationships/image" Target="media/image64.png"/><Relationship Id="rId107" Type="http://schemas.openxmlformats.org/officeDocument/2006/relationships/image" Target="media/image63.png"/><Relationship Id="rId106" Type="http://schemas.openxmlformats.org/officeDocument/2006/relationships/image" Target="media/image62.emf"/><Relationship Id="rId105" Type="http://schemas.openxmlformats.org/officeDocument/2006/relationships/oleObject" Target="embeddings/Microsoft_Visio_2003-2010___9.vsd"/><Relationship Id="rId104" Type="http://schemas.openxmlformats.org/officeDocument/2006/relationships/image" Target="media/image61.wmf"/><Relationship Id="rId103" Type="http://schemas.openxmlformats.org/officeDocument/2006/relationships/image" Target="media/image60.emf"/><Relationship Id="rId102" Type="http://schemas.openxmlformats.org/officeDocument/2006/relationships/image" Target="media/image59.emf"/><Relationship Id="rId101" Type="http://schemas.openxmlformats.org/officeDocument/2006/relationships/oleObject" Target="embeddings/Microsoft_Visio_2003-2010___8.vsd"/><Relationship Id="rId100" Type="http://schemas.openxmlformats.org/officeDocument/2006/relationships/image" Target="media/image58.emf"/><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8"/>
    <customShpInfo spid="_x0000_s1029"/>
    <customShpInfo spid="_x0000_s1027"/>
    <customShpInfo spid="_x0000_s1026"/>
    <customShpInfo spid="_x0000_s1025"/>
    <customShpInfo spid="_x0000_s2055"/>
    <customShpInfo spid="_x0000_s2050"/>
    <customShpInfo spid="_x0000_s2052"/>
    <customShpInfo spid="_x0000_s2053"/>
    <customShpInfo spid="_x0000_s2054"/>
    <customShpInfo spid="_x0000_s2082"/>
    <customShpInfo spid="_x0000_s2099"/>
    <customShpInfo spid="_x0000_s2056"/>
    <customShpInfo spid="_x0000_s2057"/>
    <customShpInfo spid="_x0000_s2058"/>
    <customShpInfo spid="_x0000_s2059"/>
    <customShpInfo spid="_x0000_s2061"/>
    <customShpInfo spid="_x0000_s2062"/>
    <customShpInfo spid="_x0000_s2078"/>
    <customShpInfo spid="_x0000_s2077"/>
    <customShpInfo spid="_x0000_s2063"/>
    <customShpInfo spid="_x0000_s2064"/>
    <customShpInfo spid="_x0000_s2076"/>
  </customShpExts>
  <s:tags>
    <s:tag s:spid="_x0000_s2053">
      <s:item s:name="KSO_DOCER_RESOURCE_TRACE_INFO" s:val="{&quot;id&quot;:&quot;&quot;,&quot;origin&quot;:0,&quot;type&quot;:&quot;wordart&quot;,&quot;user&quot;:&quot;836774725&quot;}"/>
    </s:tag>
  </s:tag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688FF5-60D1-414C-8A22-19A636E1FC5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82</Pages>
  <Words>8800</Words>
  <Characters>50163</Characters>
  <Lines>418</Lines>
  <Paragraphs>117</Paragraphs>
  <TotalTime>10</TotalTime>
  <ScaleCrop>false</ScaleCrop>
  <LinksUpToDate>false</LinksUpToDate>
  <CharactersWithSpaces>58846</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2022-08-15T10:09:00Z</dcterms:created>
  <dc:creator>微软用户</dc:creator>
  <cp:lastModifiedBy>T'SIR</cp:lastModifiedBy>
  <cp:lastPrinted>2023-01-03T08:25:00Z</cp:lastPrinted>
  <dcterms:modified xsi:type="dcterms:W3CDTF">2024-09-03T04:13:55Z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FBFB390130BB4E32883AF80398D9E320</vt:lpwstr>
  </property>
</Properties>
</file>