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val="en-US" w:eastAsia="zh-CN"/>
        </w:rPr>
      </w:pPr>
      <w:r>
        <w:rPr>
          <w:rFonts w:ascii="Arial" w:hAnsi="Arial" w:eastAsia="微软雅黑" w:cs="Arial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-393065</wp:posOffset>
                </wp:positionH>
                <wp:positionV relativeFrom="paragraph">
                  <wp:posOffset>5512435</wp:posOffset>
                </wp:positionV>
                <wp:extent cx="5768975" cy="609600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359410" y="2767965"/>
                          <a:ext cx="5768975" cy="609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360" w:lineRule="auto"/>
                              <w:ind w:left="0"/>
                              <w:jc w:val="both"/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000000" w:themeColor="text1"/>
                                <w:sz w:val="50"/>
                                <w:szCs w:val="50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000000" w:themeColor="text1"/>
                                <w:sz w:val="50"/>
                                <w:szCs w:val="50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NP系列阀控式免维护密封铅酸蓄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 w:themeColor="text1"/>
                                <w:sz w:val="50"/>
                                <w:szCs w:val="50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电池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0.95pt;margin-top:434.05pt;height:48pt;width:454.25pt;z-index:251659264;mso-width-relative:page;mso-height-relative:page;" fillcolor="#FFFFFF" filled="t" stroked="f" coordsize="21600,21600" o:gfxdata="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DF4fUb2gAAAAsBAAAPAAAAAAAA&#10;AAEAIAAAACIAAABkcnMvZG93bnJldi54bWxQSwECFAAUAAAACACHTuJAJ15P60kCAAB2BAAADgAA&#10;AAAAAAABACAAAAApAQAAZHJzL2Uyb0RvYy54bWxQSwUGAAAAAAYABgBZAQAA5AUAAAAA&#10;">
                <v:fill on="t" opacity="0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auto"/>
                        <w:ind w:left="0"/>
                        <w:jc w:val="both"/>
                        <w:rPr>
                          <w:rFonts w:hint="eastAsia" w:ascii="微软雅黑" w:hAnsi="微软雅黑" w:eastAsia="微软雅黑" w:cs="微软雅黑"/>
                          <w:b/>
                          <w:color w:val="000000" w:themeColor="text1"/>
                          <w:sz w:val="50"/>
                          <w:szCs w:val="50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000000" w:themeColor="text1"/>
                          <w:sz w:val="50"/>
                          <w:szCs w:val="50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NP系列阀控式免维护密封铅酸蓄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 w:themeColor="text1"/>
                          <w:sz w:val="50"/>
                          <w:szCs w:val="50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电池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-720725</wp:posOffset>
            </wp:positionH>
            <wp:positionV relativeFrom="paragraph">
              <wp:posOffset>-989965</wp:posOffset>
            </wp:positionV>
            <wp:extent cx="7616825" cy="10733405"/>
            <wp:effectExtent l="0" t="0" r="3175" b="10795"/>
            <wp:wrapNone/>
            <wp:docPr id="19" name="图片 1" descr="C:\Users\PM\Desktop\山硕电源-----规格参数.jpg山硕电源-----规格参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" descr="C:\Users\PM\Desktop\山硕电源-----规格参数.jpg山硕电源-----规格参数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16825" cy="1073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>
      <w:pPr>
        <w:pStyle w:val="10"/>
        <w:rPr>
          <w:rStyle w:val="14"/>
          <w:rFonts w:hint="eastAsia" w:ascii="黑体" w:hAnsi="黑体" w:eastAsia="黑体"/>
          <w:b/>
          <w:bCs/>
          <w:sz w:val="36"/>
          <w:szCs w:val="36"/>
        </w:rPr>
        <w:sectPr>
          <w:headerReference r:id="rId4" w:type="first"/>
          <w:headerReference r:id="rId3" w:type="default"/>
          <w:pgSz w:w="11906" w:h="16838"/>
          <w:pgMar w:top="1440" w:right="1077" w:bottom="1440" w:left="1077" w:header="397" w:footer="510" w:gutter="0"/>
          <w:cols w:space="425" w:num="1"/>
          <w:titlePg/>
          <w:docGrid w:type="lines" w:linePitch="312" w:charSpace="0"/>
        </w:sectPr>
      </w:pPr>
    </w:p>
    <w:p>
      <w:pPr>
        <w:pStyle w:val="10"/>
        <w:rPr>
          <w:rStyle w:val="14"/>
          <w:rFonts w:hint="eastAsia" w:ascii="黑体" w:hAnsi="黑体" w:eastAsia="黑体"/>
          <w:b/>
          <w:bCs/>
          <w:sz w:val="36"/>
          <w:szCs w:val="36"/>
          <w:lang w:eastAsia="zh-CN"/>
        </w:rPr>
      </w:pPr>
      <w:r>
        <w:rPr>
          <w:rStyle w:val="14"/>
          <w:rFonts w:hint="eastAsia" w:ascii="黑体" w:hAnsi="黑体" w:eastAsia="黑体"/>
          <w:b/>
          <w:bCs/>
          <w:sz w:val="36"/>
          <w:szCs w:val="36"/>
          <w:lang w:val="en-US" w:eastAsia="zh-CN"/>
        </w:rPr>
        <w:t>阀控式铅酸蓄电池</w:t>
      </w:r>
    </w:p>
    <w:p>
      <w:pPr>
        <w:jc w:val="center"/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免维护大容量12V环保蓄电池</w:t>
      </w:r>
    </w:p>
    <w:p>
      <w:pPr>
        <w:jc w:val="center"/>
        <w:rPr>
          <w:rFonts w:hint="default"/>
          <w:sz w:val="18"/>
          <w:szCs w:val="18"/>
          <w:lang w:val="en-US" w:eastAsia="zh-CN"/>
        </w:rPr>
      </w:pPr>
    </w:p>
    <w:p>
      <w:pPr>
        <w:rPr>
          <w:kern w:val="0"/>
          <w:sz w:val="24"/>
          <w:szCs w:val="24"/>
        </w:rPr>
      </w:pPr>
    </w:p>
    <w:p>
      <w:pPr>
        <w:rPr>
          <w:kern w:val="0"/>
          <w:sz w:val="24"/>
          <w:szCs w:val="24"/>
        </w:rPr>
      </w:pPr>
    </w:p>
    <w:p>
      <w:pPr>
        <w:widowControl/>
        <w:spacing w:line="360" w:lineRule="exact"/>
        <w:jc w:val="left"/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</w:rPr>
        <w:t xml:space="preserve">■ </w:t>
      </w:r>
      <w:r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  <w:lang w:val="en-US" w:eastAsia="zh-CN"/>
        </w:rPr>
        <w:t>NP</w:t>
      </w:r>
      <w:r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</w:rPr>
        <w:t>系列</w:t>
      </w:r>
      <w:r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  <w:lang w:val="en-US" w:eastAsia="zh-CN"/>
        </w:rPr>
        <w:t>铅酸蓄电池</w:t>
      </w:r>
      <w:r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</w:rPr>
        <w:t>介绍</w:t>
      </w:r>
    </w:p>
    <w:p>
      <w:pPr>
        <w:widowControl/>
        <w:spacing w:line="360" w:lineRule="exact"/>
        <w:jc w:val="left"/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</w:rPr>
      </w:pPr>
    </w:p>
    <w:p>
      <w:pPr>
        <w:spacing w:line="240" w:lineRule="auto"/>
        <w:rPr>
          <w:rFonts w:hint="eastAsia" w:ascii="微软雅黑" w:hAnsi="微软雅黑" w:eastAsia="微软雅黑" w:cs="微软雅黑"/>
          <w:b w:val="0"/>
          <w:bCs w:val="0"/>
          <w:sz w:val="28"/>
          <w:szCs w:val="28"/>
        </w:rPr>
      </w:pPr>
      <w:r>
        <w:rPr>
          <w:rFonts w:hint="eastAsia"/>
          <w:sz w:val="24"/>
          <w:szCs w:val="24"/>
        </w:rPr>
        <w:tab/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 xml:space="preserve">  NP系列阀控密封铅酸蓄电池广泛使用在通信系统、电力系统、应急灯照明系统、自动化控制系统、消防和安全警报系统、太阳能、风能系统、计算机备用电源便携式仪器、仪表、医疗系统设备、电动车、电动工具等</w:t>
      </w:r>
      <w:r>
        <w:rPr>
          <w:rFonts w:hint="eastAsia" w:ascii="微软雅黑" w:hAnsi="微软雅黑" w:eastAsia="微软雅黑" w:cs="微软雅黑"/>
          <w:b w:val="0"/>
          <w:bCs w:val="0"/>
          <w:sz w:val="28"/>
          <w:szCs w:val="28"/>
        </w:rPr>
        <w:t>。</w:t>
      </w:r>
    </w:p>
    <w:p>
      <w:pPr>
        <w:spacing w:line="240" w:lineRule="auto"/>
        <w:rPr>
          <w:rFonts w:hint="eastAsia" w:ascii="微软雅黑" w:hAnsi="微软雅黑" w:eastAsia="微软雅黑" w:cs="微软雅黑"/>
          <w:b w:val="0"/>
          <w:bCs w:val="0"/>
          <w:sz w:val="28"/>
          <w:szCs w:val="28"/>
        </w:rPr>
      </w:pPr>
    </w:p>
    <w:p>
      <w:pPr>
        <w:spacing w:line="240" w:lineRule="auto"/>
        <w:rPr>
          <w:rFonts w:hint="eastAsia" w:ascii="微软雅黑" w:hAnsi="微软雅黑" w:eastAsia="微软雅黑" w:cs="微软雅黑"/>
          <w:b w:val="0"/>
          <w:bCs w:val="0"/>
          <w:sz w:val="28"/>
          <w:szCs w:val="28"/>
        </w:rPr>
      </w:pPr>
    </w:p>
    <w:p>
      <w:pPr>
        <w:widowControl/>
        <w:spacing w:line="360" w:lineRule="auto"/>
        <w:ind w:firstLine="280" w:firstLineChars="100"/>
        <w:jc w:val="left"/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</w:rPr>
        <w:t xml:space="preserve">■ </w:t>
      </w:r>
      <w:r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  <w:lang w:val="en-US" w:eastAsia="zh-CN"/>
        </w:rPr>
        <w:t>NP</w:t>
      </w:r>
      <w:r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</w:rPr>
        <w:t>系列</w:t>
      </w:r>
      <w:r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  <w:lang w:val="en-US" w:eastAsia="zh-CN"/>
        </w:rPr>
        <w:t>铅酸蓄电池特点</w:t>
      </w:r>
    </w:p>
    <w:p>
      <w:pPr>
        <w:pStyle w:val="27"/>
        <w:rPr>
          <w:rFonts w:ascii="黑体" w:hAnsi="黑体" w:eastAsia="黑体"/>
          <w:sz w:val="21"/>
          <w:szCs w:val="21"/>
        </w:rPr>
      </w:pPr>
    </w:p>
    <w:p>
      <w:pPr>
        <w:pStyle w:val="26"/>
        <w:numPr>
          <w:ilvl w:val="0"/>
          <w:numId w:val="1"/>
        </w:numPr>
        <w:ind w:left="1260" w:leftChars="0" w:firstLineChars="0"/>
        <w:rPr>
          <w:rFonts w:hint="eastAsia" w:ascii="黑体" w:hAnsi="黑体" w:eastAsia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寿命长、容量充足</w:t>
      </w:r>
    </w:p>
    <w:p>
      <w:pPr>
        <w:pStyle w:val="26"/>
        <w:numPr>
          <w:ilvl w:val="0"/>
          <w:numId w:val="1"/>
        </w:numPr>
        <w:ind w:left="1260" w:leftChars="0" w:firstLineChars="0"/>
        <w:rPr>
          <w:rFonts w:hint="eastAsia" w:ascii="黑体" w:hAnsi="黑体" w:eastAsia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自放电率极低</w:t>
      </w:r>
    </w:p>
    <w:p>
      <w:pPr>
        <w:pStyle w:val="26"/>
        <w:numPr>
          <w:ilvl w:val="0"/>
          <w:numId w:val="1"/>
        </w:numPr>
        <w:ind w:left="1260" w:leftChars="0" w:firstLineChars="0"/>
        <w:rPr>
          <w:rFonts w:hint="eastAsia" w:ascii="黑体" w:hAnsi="黑体" w:eastAsia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使用温度范围宽</w:t>
      </w:r>
    </w:p>
    <w:p>
      <w:pPr>
        <w:pStyle w:val="26"/>
        <w:numPr>
          <w:ilvl w:val="0"/>
          <w:numId w:val="1"/>
        </w:numPr>
        <w:ind w:left="1260" w:leftChars="0" w:firstLineChars="0"/>
        <w:rPr>
          <w:rFonts w:hint="eastAsia" w:ascii="黑体" w:hAnsi="黑体" w:eastAsia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密封性能好</w:t>
      </w:r>
    </w:p>
    <w:p>
      <w:pPr>
        <w:pStyle w:val="26"/>
        <w:numPr>
          <w:ilvl w:val="0"/>
          <w:numId w:val="1"/>
        </w:numPr>
        <w:ind w:left="1260" w:leftChars="0" w:firstLineChars="0"/>
        <w:rPr>
          <w:rFonts w:hint="eastAsia" w:ascii="黑体" w:hAnsi="黑体" w:eastAsia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导电性好</w:t>
      </w:r>
    </w:p>
    <w:p>
      <w:pPr>
        <w:pStyle w:val="26"/>
        <w:numPr>
          <w:ilvl w:val="0"/>
          <w:numId w:val="1"/>
        </w:numPr>
        <w:ind w:left="1260" w:leftChars="0" w:firstLineChars="0"/>
        <w:rPr>
          <w:rFonts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充电接受能力强</w:t>
      </w:r>
    </w:p>
    <w:p>
      <w:pPr>
        <w:pStyle w:val="26"/>
        <w:numPr>
          <w:ilvl w:val="0"/>
          <w:numId w:val="1"/>
        </w:numPr>
        <w:ind w:left="1260" w:leftChars="0" w:firstLineChars="0"/>
        <w:rPr>
          <w:rFonts w:ascii="黑体" w:hAnsi="黑体" w:eastAsia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安全可靠的防爆排气系统</w:t>
      </w:r>
    </w:p>
    <w:p>
      <w:pPr>
        <w:spacing w:line="240" w:lineRule="auto"/>
        <w:rPr>
          <w:rFonts w:hint="eastAsia" w:ascii="微软雅黑" w:hAnsi="微软雅黑" w:eastAsia="微软雅黑" w:cs="微软雅黑"/>
          <w:b w:val="0"/>
          <w:bCs w:val="0"/>
          <w:sz w:val="28"/>
          <w:szCs w:val="28"/>
        </w:rPr>
      </w:pPr>
    </w:p>
    <w:p>
      <w:pPr>
        <w:spacing w:line="240" w:lineRule="auto"/>
        <w:rPr>
          <w:rFonts w:hint="eastAsia" w:ascii="黑体" w:hAnsi="黑体" w:eastAsia="黑体"/>
          <w:sz w:val="28"/>
          <w:szCs w:val="28"/>
        </w:rPr>
      </w:pPr>
    </w:p>
    <w:p>
      <w:pPr>
        <w:spacing w:line="240" w:lineRule="auto"/>
        <w:rPr>
          <w:rFonts w:hint="eastAsia" w:ascii="黑体" w:hAnsi="黑体" w:eastAsia="黑体"/>
          <w:sz w:val="28"/>
          <w:szCs w:val="28"/>
        </w:rPr>
      </w:pPr>
    </w:p>
    <w:p>
      <w:pPr>
        <w:spacing w:line="240" w:lineRule="auto"/>
        <w:rPr>
          <w:rFonts w:hint="eastAsia" w:ascii="黑体" w:hAnsi="黑体" w:eastAsia="黑体"/>
          <w:sz w:val="28"/>
          <w:szCs w:val="28"/>
        </w:rPr>
      </w:pPr>
    </w:p>
    <w:p>
      <w:pPr>
        <w:widowControl/>
        <w:spacing w:line="360" w:lineRule="exact"/>
        <w:jc w:val="left"/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</w:rPr>
      </w:pPr>
    </w:p>
    <w:p>
      <w:pPr>
        <w:widowControl/>
        <w:spacing w:line="360" w:lineRule="exact"/>
        <w:jc w:val="left"/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</w:rPr>
        <w:t xml:space="preserve">■ </w:t>
      </w:r>
      <w:r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  <w:lang w:val="en-US" w:eastAsia="zh-CN"/>
        </w:rPr>
        <w:t>NP</w:t>
      </w:r>
      <w:r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</w:rPr>
        <w:t>系列</w:t>
      </w:r>
      <w:r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  <w:lang w:val="en-US" w:eastAsia="zh-CN"/>
        </w:rPr>
        <w:t>铅酸蓄电池外观</w:t>
      </w:r>
    </w:p>
    <w:p>
      <w:pPr>
        <w:widowControl/>
        <w:spacing w:line="360" w:lineRule="exact"/>
        <w:jc w:val="left"/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  <w:lang w:val="en-US" w:eastAsia="zh-CN"/>
        </w:rPr>
      </w:pPr>
    </w:p>
    <w:p>
      <w:pPr>
        <w:widowControl/>
        <w:spacing w:line="360" w:lineRule="auto"/>
        <w:jc w:val="left"/>
        <w:rPr>
          <w:rFonts w:hint="eastAsia" w:ascii="黑体" w:hAnsi="黑体" w:eastAsia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黑体" w:hAnsi="黑体" w:eastAsia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2404745" cy="2183765"/>
            <wp:effectExtent l="0" t="0" r="14605" b="6985"/>
            <wp:docPr id="1" name="图片 1" descr="C:\Users\PM\Desktop\12V17.jpg12V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PM\Desktop\12V17.jpg12V17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04745" cy="2183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 w:ascii="黑体" w:hAnsi="黑体" w:eastAsia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2427605" cy="2199640"/>
            <wp:effectExtent l="0" t="0" r="10795" b="10160"/>
            <wp:docPr id="5" name="图片 5" descr="C:\Users\PM\Desktop\12V24.jpg12V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PM\Desktop\12V24.jpg12V24"/>
                    <pic:cNvPicPr>
                      <a:picLocks noChangeAspect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27605" cy="2199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pacing w:line="360" w:lineRule="auto"/>
        <w:jc w:val="left"/>
        <w:rPr>
          <w:rFonts w:hint="eastAsia" w:ascii="黑体" w:hAnsi="黑体" w:eastAsia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widowControl/>
        <w:spacing w:line="360" w:lineRule="auto"/>
        <w:jc w:val="left"/>
        <w:rPr>
          <w:rFonts w:hint="eastAsia" w:ascii="黑体" w:hAnsi="黑体" w:eastAsia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黑体" w:hAnsi="黑体" w:eastAsia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2447925" cy="2105025"/>
            <wp:effectExtent l="0" t="0" r="9525" b="9525"/>
            <wp:docPr id="7" name="图片 7" descr="C:\Users\PM\Desktop\12V38.jpg12V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PM\Desktop\12V38.jpg12V38"/>
                    <pic:cNvPicPr>
                      <a:picLocks noChangeAspect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黑体" w:hAnsi="黑体" w:eastAsia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2348230" cy="1989455"/>
            <wp:effectExtent l="0" t="0" r="13970" b="10795"/>
            <wp:docPr id="6" name="图片 6" descr="C:\Users\PM\Desktop\12V65.jpg12V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\Users\PM\Desktop\12V65.jpg12V65"/>
                    <pic:cNvPicPr>
                      <a:picLocks noChangeAspect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48230" cy="198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pacing w:line="360" w:lineRule="auto"/>
        <w:ind w:firstLine="560" w:firstLineChars="200"/>
        <w:jc w:val="left"/>
        <w:rPr>
          <w:rFonts w:hint="eastAsia" w:ascii="黑体" w:hAnsi="黑体" w:eastAsia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widowControl/>
        <w:spacing w:line="360" w:lineRule="auto"/>
        <w:ind w:firstLine="560" w:firstLineChars="200"/>
        <w:jc w:val="left"/>
        <w:rPr>
          <w:rFonts w:hint="eastAsia" w:ascii="黑体" w:hAnsi="黑体" w:eastAsia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黑体" w:hAnsi="黑体" w:eastAsia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2338070" cy="2008505"/>
            <wp:effectExtent l="0" t="0" r="5080" b="10795"/>
            <wp:docPr id="8" name="图片 8" descr="C:\Users\PM\Desktop\12V100.jpg12V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\Users\PM\Desktop\12V100.jpg12V100"/>
                    <pic:cNvPicPr>
                      <a:picLocks noChangeAspect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38070" cy="2008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rFonts w:hint="eastAsia" w:ascii="黑体" w:hAnsi="黑体" w:eastAsia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2386330" cy="2042795"/>
            <wp:effectExtent l="0" t="0" r="13970" b="14605"/>
            <wp:docPr id="9" name="图片 9" descr="C:\Users\PM\Desktop\12V120.jpg12V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\Users\PM\Desktop\12V120.jpg12V120"/>
                    <pic:cNvPicPr>
                      <a:picLocks noChangeAspect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86330" cy="2042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pacing w:line="360" w:lineRule="auto"/>
        <w:jc w:val="left"/>
        <w:rPr>
          <w:rFonts w:hint="eastAsia" w:ascii="黑体" w:hAnsi="黑体" w:eastAsia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widowControl/>
        <w:spacing w:line="360" w:lineRule="auto"/>
        <w:ind w:left="840" w:hanging="840" w:hangingChars="300"/>
        <w:jc w:val="left"/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</w:rPr>
      </w:pPr>
      <w:r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</w:rPr>
        <w:t xml:space="preserve">■ </w:t>
      </w:r>
      <w:r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  <w:lang w:val="en-US" w:eastAsia="zh-CN"/>
        </w:rPr>
        <w:t>NP</w:t>
      </w:r>
      <w:r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</w:rPr>
        <w:t>系列</w:t>
      </w:r>
      <w:r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  <w:lang w:val="en-US" w:eastAsia="zh-CN"/>
        </w:rPr>
        <w:t>铅酸蓄电池</w:t>
      </w:r>
      <w:r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</w:rPr>
        <w:t>技术特性</w:t>
      </w:r>
    </w:p>
    <w:p>
      <w:pPr>
        <w:widowControl/>
        <w:spacing w:line="360" w:lineRule="auto"/>
        <w:ind w:left="840" w:hanging="840" w:hangingChars="300"/>
        <w:jc w:val="left"/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</w:rPr>
      </w:pPr>
    </w:p>
    <w:p>
      <w:pPr>
        <w:widowControl/>
        <w:spacing w:line="360" w:lineRule="auto"/>
        <w:ind w:left="840" w:hanging="840" w:hangingChars="300"/>
        <w:jc w:val="left"/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  <w:lang w:val="en-US" w:eastAsia="zh-CN"/>
        </w:rPr>
        <w:t xml:space="preserve">        </w:t>
      </w:r>
      <w:r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  <w:lang w:eastAsia="zh-CN"/>
        </w:rPr>
        <w:drawing>
          <wp:inline distT="0" distB="0" distL="114300" distR="114300">
            <wp:extent cx="4772025" cy="2769870"/>
            <wp:effectExtent l="0" t="0" r="9525" b="11430"/>
            <wp:docPr id="10" name="图片 10" descr="12V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12V15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276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pacing w:line="360" w:lineRule="auto"/>
        <w:ind w:left="840" w:hanging="540" w:hangingChars="300"/>
        <w:jc w:val="center"/>
        <w:rPr>
          <w:rFonts w:hint="default" w:ascii="微软雅黑" w:hAnsi="微软雅黑" w:eastAsia="微软雅黑" w:cs="微软雅黑"/>
          <w:b w:val="0"/>
          <w:bCs/>
          <w:color w:val="000000"/>
          <w:kern w:val="0"/>
          <w:sz w:val="18"/>
          <w:szCs w:val="18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color w:val="000000"/>
          <w:kern w:val="0"/>
          <w:sz w:val="18"/>
          <w:szCs w:val="18"/>
          <w:lang w:val="en-US" w:eastAsia="zh-CN"/>
        </w:rPr>
        <w:t>放电特性</w:t>
      </w:r>
    </w:p>
    <w:p>
      <w:pPr>
        <w:widowControl/>
        <w:spacing w:line="360" w:lineRule="auto"/>
        <w:ind w:left="840" w:hanging="840" w:hangingChars="300"/>
        <w:jc w:val="left"/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  <w:lang w:eastAsia="zh-CN"/>
        </w:rPr>
      </w:pPr>
    </w:p>
    <w:p>
      <w:pPr>
        <w:widowControl/>
        <w:spacing w:line="360" w:lineRule="auto"/>
        <w:ind w:left="840" w:hanging="840" w:hangingChars="300"/>
        <w:jc w:val="left"/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  <w:lang w:val="en-US" w:eastAsia="zh-CN"/>
        </w:rPr>
        <w:t xml:space="preserve">        </w:t>
      </w:r>
      <w:r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  <w:lang w:eastAsia="zh-CN"/>
        </w:rPr>
        <w:drawing>
          <wp:inline distT="0" distB="0" distL="114300" distR="114300">
            <wp:extent cx="4750435" cy="3423920"/>
            <wp:effectExtent l="0" t="0" r="12065" b="5080"/>
            <wp:docPr id="2" name="图片 2" descr="12V150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2V150-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750435" cy="3423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spacing w:line="360" w:lineRule="auto"/>
        <w:ind w:left="840" w:hanging="630" w:hangingChars="300"/>
        <w:jc w:val="center"/>
        <w:rPr>
          <w:rFonts w:hint="default" w:ascii="微软雅黑" w:hAnsi="微软雅黑" w:eastAsia="微软雅黑" w:cs="微软雅黑"/>
          <w:b w:val="0"/>
          <w:bCs/>
          <w:color w:val="000000"/>
          <w:kern w:val="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color w:val="000000"/>
          <w:kern w:val="0"/>
          <w:sz w:val="21"/>
          <w:szCs w:val="21"/>
          <w:lang w:val="en-US" w:eastAsia="zh-CN"/>
        </w:rPr>
        <w:t>充电特性</w:t>
      </w:r>
    </w:p>
    <w:p>
      <w:pPr>
        <w:widowControl/>
        <w:spacing w:line="360" w:lineRule="auto"/>
        <w:jc w:val="left"/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</w:rPr>
      </w:pPr>
    </w:p>
    <w:p>
      <w:pPr>
        <w:widowControl/>
        <w:spacing w:line="360" w:lineRule="auto"/>
        <w:ind w:firstLine="280" w:firstLineChars="100"/>
        <w:jc w:val="left"/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</w:rPr>
        <w:t xml:space="preserve">■ </w:t>
      </w:r>
      <w:r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  <w:lang w:val="en-US" w:eastAsia="zh-CN"/>
        </w:rPr>
        <w:t>NP</w:t>
      </w:r>
      <w:r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</w:rPr>
        <w:t>系列</w:t>
      </w:r>
      <w:r>
        <w:rPr>
          <w:rFonts w:hint="eastAsia" w:ascii="微软雅黑" w:hAnsi="微软雅黑" w:eastAsia="微软雅黑" w:cs="微软雅黑"/>
          <w:b/>
          <w:color w:val="000000"/>
          <w:kern w:val="0"/>
          <w:sz w:val="28"/>
          <w:szCs w:val="28"/>
          <w:lang w:val="en-US" w:eastAsia="zh-CN"/>
        </w:rPr>
        <w:t>铅酸蓄电池规格参数</w:t>
      </w:r>
    </w:p>
    <w:tbl>
      <w:tblPr>
        <w:tblStyle w:val="12"/>
        <w:tblpPr w:leftFromText="180" w:rightFromText="180" w:vertAnchor="text" w:horzAnchor="page" w:tblpX="1434" w:tblpY="1077"/>
        <w:tblOverlap w:val="never"/>
        <w:tblW w:w="4745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3"/>
        <w:gridCol w:w="1512"/>
        <w:gridCol w:w="1589"/>
        <w:gridCol w:w="1200"/>
        <w:gridCol w:w="870"/>
        <w:gridCol w:w="870"/>
        <w:gridCol w:w="870"/>
        <w:gridCol w:w="1188"/>
        <w:gridCol w:w="7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5000" w:type="pct"/>
            <w:gridSpan w:val="9"/>
          </w:tcPr>
          <w:p>
            <w:pPr>
              <w:jc w:val="center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NP系列（6年设计寿命、阀控式铅酸蓄电池、备用电源、浮充使用）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40" w:type="pct"/>
          </w:tcPr>
          <w:p>
            <w:pPr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型号</w:t>
            </w:r>
          </w:p>
        </w:tc>
        <w:tc>
          <w:tcPr>
            <w:tcW w:w="799" w:type="pct"/>
          </w:tcPr>
          <w:p>
            <w:pPr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额定电压（V）</w:t>
            </w:r>
          </w:p>
        </w:tc>
        <w:tc>
          <w:tcPr>
            <w:tcW w:w="840" w:type="pct"/>
          </w:tcPr>
          <w:p>
            <w:pPr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C20容量（AH）</w:t>
            </w:r>
          </w:p>
        </w:tc>
        <w:tc>
          <w:tcPr>
            <w:tcW w:w="634" w:type="pct"/>
          </w:tcPr>
          <w:p>
            <w:pPr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重量（kg）</w:t>
            </w:r>
          </w:p>
        </w:tc>
        <w:tc>
          <w:tcPr>
            <w:tcW w:w="460" w:type="pct"/>
          </w:tcPr>
          <w:p>
            <w:pPr>
              <w:jc w:val="both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长(mm)</w:t>
            </w:r>
          </w:p>
        </w:tc>
        <w:tc>
          <w:tcPr>
            <w:tcW w:w="460" w:type="pct"/>
          </w:tcPr>
          <w:p>
            <w:pPr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宽(mm)</w:t>
            </w:r>
          </w:p>
        </w:tc>
        <w:tc>
          <w:tcPr>
            <w:tcW w:w="460" w:type="pct"/>
          </w:tcPr>
          <w:p>
            <w:pPr>
              <w:jc w:val="center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高(mm)</w:t>
            </w:r>
          </w:p>
        </w:tc>
        <w:tc>
          <w:tcPr>
            <w:tcW w:w="628" w:type="pct"/>
          </w:tcPr>
          <w:p>
            <w:pPr>
              <w:jc w:val="center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总高（th）</w:t>
            </w:r>
          </w:p>
        </w:tc>
        <w:tc>
          <w:tcPr>
            <w:tcW w:w="373" w:type="pct"/>
          </w:tcPr>
          <w:p>
            <w:pPr>
              <w:jc w:val="center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端子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40" w:type="pct"/>
          </w:tcPr>
          <w:p>
            <w:pPr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7AH</w:t>
            </w:r>
          </w:p>
        </w:tc>
        <w:tc>
          <w:tcPr>
            <w:tcW w:w="799" w:type="pct"/>
            <w:vMerge w:val="restart"/>
          </w:tcPr>
          <w:p>
            <w:pPr>
              <w:jc w:val="center"/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</w:pPr>
          </w:p>
          <w:p>
            <w:pPr>
              <w:ind w:firstLine="450" w:firstLineChars="300"/>
              <w:jc w:val="both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12V</w:t>
            </w:r>
          </w:p>
        </w:tc>
        <w:tc>
          <w:tcPr>
            <w:tcW w:w="840" w:type="pct"/>
          </w:tcPr>
          <w:p>
            <w:pPr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6.8</w:t>
            </w:r>
          </w:p>
        </w:tc>
        <w:tc>
          <w:tcPr>
            <w:tcW w:w="634" w:type="pct"/>
          </w:tcPr>
          <w:p>
            <w:pPr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2.1</w:t>
            </w:r>
          </w:p>
        </w:tc>
        <w:tc>
          <w:tcPr>
            <w:tcW w:w="460" w:type="pct"/>
          </w:tcPr>
          <w:p>
            <w:pPr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151</w:t>
            </w:r>
          </w:p>
        </w:tc>
        <w:tc>
          <w:tcPr>
            <w:tcW w:w="460" w:type="pct"/>
          </w:tcPr>
          <w:p>
            <w:pPr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65</w:t>
            </w:r>
          </w:p>
        </w:tc>
        <w:tc>
          <w:tcPr>
            <w:tcW w:w="460" w:type="pct"/>
          </w:tcPr>
          <w:p>
            <w:pPr>
              <w:jc w:val="center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94</w:t>
            </w:r>
          </w:p>
        </w:tc>
        <w:tc>
          <w:tcPr>
            <w:tcW w:w="628" w:type="pct"/>
          </w:tcPr>
          <w:p>
            <w:pPr>
              <w:jc w:val="center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100</w:t>
            </w:r>
          </w:p>
        </w:tc>
        <w:tc>
          <w:tcPr>
            <w:tcW w:w="373" w:type="pct"/>
          </w:tcPr>
          <w:p>
            <w:pPr>
              <w:jc w:val="center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250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40" w:type="pct"/>
          </w:tcPr>
          <w:p>
            <w:pPr>
              <w:jc w:val="center"/>
              <w:rPr>
                <w:rFonts w:hint="eastAsia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12AH</w:t>
            </w:r>
          </w:p>
        </w:tc>
        <w:tc>
          <w:tcPr>
            <w:tcW w:w="799" w:type="pct"/>
            <w:vMerge w:val="continue"/>
          </w:tcPr>
          <w:p>
            <w:pPr>
              <w:jc w:val="center"/>
              <w:rPr>
                <w:rFonts w:hint="eastAsia" w:eastAsiaTheme="minorEastAsia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840" w:type="pct"/>
          </w:tcPr>
          <w:p>
            <w:pPr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12</w:t>
            </w:r>
          </w:p>
        </w:tc>
        <w:tc>
          <w:tcPr>
            <w:tcW w:w="634" w:type="pct"/>
          </w:tcPr>
          <w:p>
            <w:pPr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3.35</w:t>
            </w:r>
          </w:p>
        </w:tc>
        <w:tc>
          <w:tcPr>
            <w:tcW w:w="460" w:type="pct"/>
          </w:tcPr>
          <w:p>
            <w:pPr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150</w:t>
            </w:r>
          </w:p>
        </w:tc>
        <w:tc>
          <w:tcPr>
            <w:tcW w:w="460" w:type="pct"/>
          </w:tcPr>
          <w:p>
            <w:pPr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98</w:t>
            </w:r>
          </w:p>
        </w:tc>
        <w:tc>
          <w:tcPr>
            <w:tcW w:w="460" w:type="pct"/>
          </w:tcPr>
          <w:p>
            <w:pPr>
              <w:jc w:val="center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94</w:t>
            </w:r>
          </w:p>
        </w:tc>
        <w:tc>
          <w:tcPr>
            <w:tcW w:w="628" w:type="pct"/>
          </w:tcPr>
          <w:p>
            <w:pPr>
              <w:jc w:val="center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100</w:t>
            </w:r>
          </w:p>
        </w:tc>
        <w:tc>
          <w:tcPr>
            <w:tcW w:w="373" w:type="pct"/>
          </w:tcPr>
          <w:p>
            <w:pPr>
              <w:jc w:val="center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250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40" w:type="pct"/>
          </w:tcPr>
          <w:p>
            <w:pPr>
              <w:jc w:val="center"/>
              <w:rPr>
                <w:rFonts w:hint="eastAsia" w:eastAsiaTheme="minorEastAsia"/>
                <w:sz w:val="15"/>
                <w:szCs w:val="15"/>
                <w:vertAlign w:val="baseline"/>
                <w:lang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17AH</w:t>
            </w:r>
          </w:p>
        </w:tc>
        <w:tc>
          <w:tcPr>
            <w:tcW w:w="799" w:type="pct"/>
            <w:vMerge w:val="continue"/>
          </w:tcPr>
          <w:p>
            <w:pPr>
              <w:jc w:val="center"/>
              <w:rPr>
                <w:sz w:val="15"/>
                <w:szCs w:val="15"/>
                <w:vertAlign w:val="baseline"/>
              </w:rPr>
            </w:pPr>
          </w:p>
        </w:tc>
        <w:tc>
          <w:tcPr>
            <w:tcW w:w="840" w:type="pct"/>
          </w:tcPr>
          <w:p>
            <w:pPr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18</w:t>
            </w:r>
          </w:p>
        </w:tc>
        <w:tc>
          <w:tcPr>
            <w:tcW w:w="634" w:type="pct"/>
          </w:tcPr>
          <w:p>
            <w:pPr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5</w:t>
            </w:r>
          </w:p>
        </w:tc>
        <w:tc>
          <w:tcPr>
            <w:tcW w:w="460" w:type="pct"/>
          </w:tcPr>
          <w:p>
            <w:pPr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181</w:t>
            </w:r>
          </w:p>
        </w:tc>
        <w:tc>
          <w:tcPr>
            <w:tcW w:w="460" w:type="pct"/>
          </w:tcPr>
          <w:p>
            <w:pPr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77</w:t>
            </w:r>
          </w:p>
        </w:tc>
        <w:tc>
          <w:tcPr>
            <w:tcW w:w="460" w:type="pct"/>
          </w:tcPr>
          <w:p>
            <w:pPr>
              <w:jc w:val="center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167</w:t>
            </w:r>
          </w:p>
        </w:tc>
        <w:tc>
          <w:tcPr>
            <w:tcW w:w="628" w:type="pct"/>
          </w:tcPr>
          <w:p>
            <w:pPr>
              <w:jc w:val="center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167</w:t>
            </w:r>
          </w:p>
        </w:tc>
        <w:tc>
          <w:tcPr>
            <w:tcW w:w="373" w:type="pct"/>
          </w:tcPr>
          <w:p>
            <w:pPr>
              <w:jc w:val="center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M5L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40" w:type="pct"/>
          </w:tcPr>
          <w:p>
            <w:pPr>
              <w:jc w:val="center"/>
              <w:rPr>
                <w:rFonts w:hint="eastAsia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24AH</w:t>
            </w:r>
          </w:p>
        </w:tc>
        <w:tc>
          <w:tcPr>
            <w:tcW w:w="799" w:type="pct"/>
            <w:vMerge w:val="continue"/>
          </w:tcPr>
          <w:p>
            <w:pPr>
              <w:jc w:val="center"/>
              <w:rPr>
                <w:sz w:val="15"/>
                <w:szCs w:val="15"/>
                <w:vertAlign w:val="baseline"/>
              </w:rPr>
            </w:pPr>
          </w:p>
        </w:tc>
        <w:tc>
          <w:tcPr>
            <w:tcW w:w="840" w:type="pct"/>
          </w:tcPr>
          <w:p>
            <w:pPr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24</w:t>
            </w:r>
          </w:p>
        </w:tc>
        <w:tc>
          <w:tcPr>
            <w:tcW w:w="634" w:type="pct"/>
          </w:tcPr>
          <w:p>
            <w:pPr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7.5</w:t>
            </w:r>
          </w:p>
        </w:tc>
        <w:tc>
          <w:tcPr>
            <w:tcW w:w="460" w:type="pct"/>
          </w:tcPr>
          <w:p>
            <w:pPr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165</w:t>
            </w:r>
          </w:p>
        </w:tc>
        <w:tc>
          <w:tcPr>
            <w:tcW w:w="460" w:type="pct"/>
          </w:tcPr>
          <w:p>
            <w:pPr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126</w:t>
            </w:r>
          </w:p>
        </w:tc>
        <w:tc>
          <w:tcPr>
            <w:tcW w:w="460" w:type="pct"/>
          </w:tcPr>
          <w:p>
            <w:pPr>
              <w:jc w:val="center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175</w:t>
            </w:r>
          </w:p>
        </w:tc>
        <w:tc>
          <w:tcPr>
            <w:tcW w:w="628" w:type="pct"/>
          </w:tcPr>
          <w:p>
            <w:pPr>
              <w:jc w:val="center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181</w:t>
            </w:r>
          </w:p>
        </w:tc>
        <w:tc>
          <w:tcPr>
            <w:tcW w:w="373" w:type="pct"/>
          </w:tcPr>
          <w:p>
            <w:pPr>
              <w:jc w:val="center"/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M5L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40" w:type="pct"/>
          </w:tcPr>
          <w:p>
            <w:pPr>
              <w:jc w:val="center"/>
              <w:rPr>
                <w:rFonts w:hint="eastAsia" w:eastAsiaTheme="minorEastAsia"/>
                <w:sz w:val="15"/>
                <w:szCs w:val="15"/>
                <w:vertAlign w:val="baseline"/>
                <w:lang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38AH</w:t>
            </w:r>
          </w:p>
        </w:tc>
        <w:tc>
          <w:tcPr>
            <w:tcW w:w="799" w:type="pct"/>
            <w:vMerge w:val="continue"/>
          </w:tcPr>
          <w:p>
            <w:pPr>
              <w:jc w:val="center"/>
              <w:rPr>
                <w:sz w:val="15"/>
                <w:szCs w:val="15"/>
                <w:vertAlign w:val="baseline"/>
              </w:rPr>
            </w:pPr>
          </w:p>
        </w:tc>
        <w:tc>
          <w:tcPr>
            <w:tcW w:w="840" w:type="pct"/>
          </w:tcPr>
          <w:p>
            <w:pPr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38</w:t>
            </w:r>
          </w:p>
        </w:tc>
        <w:tc>
          <w:tcPr>
            <w:tcW w:w="634" w:type="pct"/>
          </w:tcPr>
          <w:p>
            <w:pPr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12.5</w:t>
            </w:r>
          </w:p>
        </w:tc>
        <w:tc>
          <w:tcPr>
            <w:tcW w:w="460" w:type="pct"/>
          </w:tcPr>
          <w:p>
            <w:pPr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197</w:t>
            </w:r>
          </w:p>
        </w:tc>
        <w:tc>
          <w:tcPr>
            <w:tcW w:w="460" w:type="pct"/>
          </w:tcPr>
          <w:p>
            <w:pPr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166</w:t>
            </w:r>
          </w:p>
        </w:tc>
        <w:tc>
          <w:tcPr>
            <w:tcW w:w="460" w:type="pct"/>
          </w:tcPr>
          <w:p>
            <w:pPr>
              <w:jc w:val="center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174</w:t>
            </w:r>
          </w:p>
        </w:tc>
        <w:tc>
          <w:tcPr>
            <w:tcW w:w="628" w:type="pct"/>
          </w:tcPr>
          <w:p>
            <w:pPr>
              <w:jc w:val="center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181</w:t>
            </w:r>
          </w:p>
        </w:tc>
        <w:tc>
          <w:tcPr>
            <w:tcW w:w="373" w:type="pct"/>
          </w:tcPr>
          <w:p>
            <w:pPr>
              <w:jc w:val="center"/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M5L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340" w:type="pct"/>
          </w:tcPr>
          <w:p>
            <w:pPr>
              <w:jc w:val="center"/>
              <w:rPr>
                <w:rFonts w:hint="eastAsia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65AH</w:t>
            </w:r>
          </w:p>
        </w:tc>
        <w:tc>
          <w:tcPr>
            <w:tcW w:w="799" w:type="pct"/>
            <w:vMerge w:val="continue"/>
          </w:tcPr>
          <w:p>
            <w:pPr>
              <w:jc w:val="center"/>
              <w:rPr>
                <w:sz w:val="15"/>
                <w:szCs w:val="15"/>
                <w:vertAlign w:val="baseline"/>
              </w:rPr>
            </w:pPr>
          </w:p>
        </w:tc>
        <w:tc>
          <w:tcPr>
            <w:tcW w:w="840" w:type="pct"/>
          </w:tcPr>
          <w:p>
            <w:pPr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65</w:t>
            </w:r>
          </w:p>
        </w:tc>
        <w:tc>
          <w:tcPr>
            <w:tcW w:w="634" w:type="pct"/>
          </w:tcPr>
          <w:p>
            <w:pPr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19.5</w:t>
            </w:r>
          </w:p>
        </w:tc>
        <w:tc>
          <w:tcPr>
            <w:tcW w:w="460" w:type="pct"/>
          </w:tcPr>
          <w:p>
            <w:pPr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350</w:t>
            </w:r>
          </w:p>
        </w:tc>
        <w:tc>
          <w:tcPr>
            <w:tcW w:w="460" w:type="pct"/>
          </w:tcPr>
          <w:p>
            <w:pPr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166</w:t>
            </w:r>
          </w:p>
        </w:tc>
        <w:tc>
          <w:tcPr>
            <w:tcW w:w="460" w:type="pct"/>
          </w:tcPr>
          <w:p>
            <w:pPr>
              <w:jc w:val="center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174</w:t>
            </w:r>
          </w:p>
        </w:tc>
        <w:tc>
          <w:tcPr>
            <w:tcW w:w="628" w:type="pct"/>
          </w:tcPr>
          <w:p>
            <w:pPr>
              <w:jc w:val="center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179</w:t>
            </w:r>
          </w:p>
        </w:tc>
        <w:tc>
          <w:tcPr>
            <w:tcW w:w="373" w:type="pct"/>
          </w:tcPr>
          <w:p>
            <w:pPr>
              <w:jc w:val="center"/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M6L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340" w:type="pct"/>
          </w:tcPr>
          <w:p>
            <w:pPr>
              <w:jc w:val="center"/>
              <w:rPr>
                <w:rFonts w:hint="eastAsia" w:eastAsiaTheme="minorEastAsia"/>
                <w:sz w:val="15"/>
                <w:szCs w:val="15"/>
                <w:vertAlign w:val="baseline"/>
                <w:lang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100AH</w:t>
            </w:r>
          </w:p>
        </w:tc>
        <w:tc>
          <w:tcPr>
            <w:tcW w:w="799" w:type="pct"/>
            <w:vMerge w:val="continue"/>
          </w:tcPr>
          <w:p>
            <w:pPr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840" w:type="pct"/>
          </w:tcPr>
          <w:p>
            <w:pPr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102</w:t>
            </w:r>
          </w:p>
        </w:tc>
        <w:tc>
          <w:tcPr>
            <w:tcW w:w="634" w:type="pct"/>
          </w:tcPr>
          <w:p>
            <w:pPr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30</w:t>
            </w:r>
          </w:p>
        </w:tc>
        <w:tc>
          <w:tcPr>
            <w:tcW w:w="460" w:type="pct"/>
          </w:tcPr>
          <w:p>
            <w:pPr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407</w:t>
            </w:r>
          </w:p>
        </w:tc>
        <w:tc>
          <w:tcPr>
            <w:tcW w:w="460" w:type="pct"/>
          </w:tcPr>
          <w:p>
            <w:pPr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173</w:t>
            </w:r>
          </w:p>
        </w:tc>
        <w:tc>
          <w:tcPr>
            <w:tcW w:w="460" w:type="pct"/>
          </w:tcPr>
          <w:p>
            <w:pPr>
              <w:jc w:val="center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209</w:t>
            </w:r>
          </w:p>
        </w:tc>
        <w:tc>
          <w:tcPr>
            <w:tcW w:w="628" w:type="pct"/>
          </w:tcPr>
          <w:p>
            <w:pPr>
              <w:jc w:val="center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240</w:t>
            </w:r>
          </w:p>
        </w:tc>
        <w:tc>
          <w:tcPr>
            <w:tcW w:w="373" w:type="pct"/>
          </w:tcPr>
          <w:p>
            <w:pPr>
              <w:jc w:val="center"/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M8L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340" w:type="pct"/>
          </w:tcPr>
          <w:p>
            <w:pPr>
              <w:jc w:val="center"/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120AH</w:t>
            </w:r>
          </w:p>
        </w:tc>
        <w:tc>
          <w:tcPr>
            <w:tcW w:w="799" w:type="pct"/>
            <w:vMerge w:val="continue"/>
          </w:tcPr>
          <w:p>
            <w:pPr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840" w:type="pct"/>
          </w:tcPr>
          <w:p>
            <w:pPr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119</w:t>
            </w:r>
          </w:p>
        </w:tc>
        <w:tc>
          <w:tcPr>
            <w:tcW w:w="634" w:type="pct"/>
          </w:tcPr>
          <w:p>
            <w:pPr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33</w:t>
            </w:r>
          </w:p>
        </w:tc>
        <w:tc>
          <w:tcPr>
            <w:tcW w:w="460" w:type="pct"/>
          </w:tcPr>
          <w:p>
            <w:pPr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407</w:t>
            </w:r>
          </w:p>
        </w:tc>
        <w:tc>
          <w:tcPr>
            <w:tcW w:w="460" w:type="pct"/>
          </w:tcPr>
          <w:p>
            <w:pPr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174</w:t>
            </w:r>
          </w:p>
        </w:tc>
        <w:tc>
          <w:tcPr>
            <w:tcW w:w="460" w:type="pct"/>
          </w:tcPr>
          <w:p>
            <w:pPr>
              <w:jc w:val="center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209</w:t>
            </w:r>
          </w:p>
        </w:tc>
        <w:tc>
          <w:tcPr>
            <w:tcW w:w="628" w:type="pct"/>
          </w:tcPr>
          <w:p>
            <w:pPr>
              <w:jc w:val="center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240</w:t>
            </w:r>
          </w:p>
        </w:tc>
        <w:tc>
          <w:tcPr>
            <w:tcW w:w="373" w:type="pct"/>
          </w:tcPr>
          <w:p>
            <w:pPr>
              <w:jc w:val="center"/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M8L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340" w:type="pct"/>
          </w:tcPr>
          <w:p>
            <w:pPr>
              <w:jc w:val="center"/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150AH</w:t>
            </w:r>
          </w:p>
        </w:tc>
        <w:tc>
          <w:tcPr>
            <w:tcW w:w="799" w:type="pct"/>
            <w:vMerge w:val="continue"/>
          </w:tcPr>
          <w:p>
            <w:pPr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840" w:type="pct"/>
          </w:tcPr>
          <w:p>
            <w:pPr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153</w:t>
            </w:r>
          </w:p>
        </w:tc>
        <w:tc>
          <w:tcPr>
            <w:tcW w:w="634" w:type="pct"/>
          </w:tcPr>
          <w:p>
            <w:pPr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42</w:t>
            </w:r>
          </w:p>
        </w:tc>
        <w:tc>
          <w:tcPr>
            <w:tcW w:w="460" w:type="pct"/>
          </w:tcPr>
          <w:p>
            <w:pPr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483</w:t>
            </w:r>
          </w:p>
        </w:tc>
        <w:tc>
          <w:tcPr>
            <w:tcW w:w="460" w:type="pct"/>
          </w:tcPr>
          <w:p>
            <w:pPr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170</w:t>
            </w:r>
          </w:p>
        </w:tc>
        <w:tc>
          <w:tcPr>
            <w:tcW w:w="460" w:type="pct"/>
          </w:tcPr>
          <w:p>
            <w:pPr>
              <w:jc w:val="center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241</w:t>
            </w:r>
          </w:p>
        </w:tc>
        <w:tc>
          <w:tcPr>
            <w:tcW w:w="628" w:type="pct"/>
          </w:tcPr>
          <w:p>
            <w:pPr>
              <w:jc w:val="center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242</w:t>
            </w:r>
          </w:p>
        </w:tc>
        <w:tc>
          <w:tcPr>
            <w:tcW w:w="373" w:type="pct"/>
          </w:tcPr>
          <w:p>
            <w:pPr>
              <w:jc w:val="center"/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M8L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340" w:type="pct"/>
          </w:tcPr>
          <w:p>
            <w:pPr>
              <w:jc w:val="center"/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200AH</w:t>
            </w:r>
          </w:p>
        </w:tc>
        <w:tc>
          <w:tcPr>
            <w:tcW w:w="799" w:type="pct"/>
            <w:vMerge w:val="continue"/>
          </w:tcPr>
          <w:p>
            <w:pPr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</w:p>
        </w:tc>
        <w:tc>
          <w:tcPr>
            <w:tcW w:w="840" w:type="pct"/>
          </w:tcPr>
          <w:p>
            <w:pPr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204</w:t>
            </w:r>
          </w:p>
        </w:tc>
        <w:tc>
          <w:tcPr>
            <w:tcW w:w="634" w:type="pct"/>
          </w:tcPr>
          <w:p>
            <w:pPr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58</w:t>
            </w:r>
          </w:p>
        </w:tc>
        <w:tc>
          <w:tcPr>
            <w:tcW w:w="460" w:type="pct"/>
          </w:tcPr>
          <w:p>
            <w:pPr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522</w:t>
            </w:r>
          </w:p>
        </w:tc>
        <w:tc>
          <w:tcPr>
            <w:tcW w:w="460" w:type="pct"/>
          </w:tcPr>
          <w:p>
            <w:pPr>
              <w:jc w:val="center"/>
              <w:rPr>
                <w:rFonts w:hint="default" w:eastAsiaTheme="minor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240</w:t>
            </w:r>
          </w:p>
        </w:tc>
        <w:tc>
          <w:tcPr>
            <w:tcW w:w="460" w:type="pct"/>
          </w:tcPr>
          <w:p>
            <w:pPr>
              <w:jc w:val="center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216</w:t>
            </w:r>
          </w:p>
        </w:tc>
        <w:tc>
          <w:tcPr>
            <w:tcW w:w="628" w:type="pct"/>
          </w:tcPr>
          <w:p>
            <w:pPr>
              <w:jc w:val="center"/>
              <w:rPr>
                <w:rFonts w:hint="default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221</w:t>
            </w:r>
          </w:p>
        </w:tc>
        <w:tc>
          <w:tcPr>
            <w:tcW w:w="373" w:type="pct"/>
          </w:tcPr>
          <w:p>
            <w:pPr>
              <w:jc w:val="center"/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vertAlign w:val="baseline"/>
                <w:lang w:val="en-US" w:eastAsia="zh-CN"/>
              </w:rPr>
              <w:t>M8L</w:t>
            </w:r>
          </w:p>
        </w:tc>
      </w:tr>
    </w:tbl>
    <w:p>
      <w:pPr>
        <w:widowControl/>
        <w:spacing w:line="360" w:lineRule="auto"/>
        <w:ind w:firstLine="300" w:firstLineChars="200"/>
        <w:jc w:val="left"/>
        <w:rPr>
          <w:rFonts w:hint="eastAsia" w:ascii="微软雅黑" w:hAnsi="微软雅黑" w:eastAsia="微软雅黑" w:cs="微软雅黑"/>
          <w:b/>
          <w:color w:val="000000"/>
          <w:kern w:val="0"/>
          <w:sz w:val="15"/>
          <w:szCs w:val="15"/>
          <w:lang w:val="en-US" w:eastAsia="zh-CN"/>
        </w:rPr>
      </w:pPr>
    </w:p>
    <w:p>
      <w:pPr>
        <w:widowControl/>
        <w:spacing w:line="360" w:lineRule="auto"/>
        <w:ind w:firstLine="560" w:firstLineChars="200"/>
        <w:jc w:val="left"/>
        <w:rPr>
          <w:rFonts w:hint="default" w:ascii="微软雅黑" w:hAnsi="微软雅黑" w:eastAsia="微软雅黑" w:cs="微软雅黑"/>
          <w:b/>
          <w:color w:val="000000"/>
          <w:kern w:val="0"/>
          <w:sz w:val="28"/>
          <w:szCs w:val="28"/>
          <w:lang w:val="en-US" w:eastAsia="zh-CN"/>
        </w:rPr>
      </w:pPr>
    </w:p>
    <w:p>
      <w:pPr>
        <w:widowControl/>
        <w:spacing w:line="360" w:lineRule="auto"/>
        <w:ind w:firstLine="560" w:firstLineChars="200"/>
        <w:jc w:val="left"/>
        <w:rPr>
          <w:rFonts w:hint="default" w:ascii="微软雅黑" w:hAnsi="微软雅黑" w:eastAsia="微软雅黑" w:cs="微软雅黑"/>
          <w:b/>
          <w:color w:val="000000"/>
          <w:kern w:val="0"/>
          <w:sz w:val="28"/>
          <w:szCs w:val="28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spacing w:line="360" w:lineRule="auto"/>
        <w:rPr>
          <w:rFonts w:hint="default"/>
          <w:color w:val="FF0000"/>
          <w:lang w:val="en-US" w:eastAsia="zh-CN"/>
        </w:rPr>
      </w:pPr>
    </w:p>
    <w:sectPr>
      <w:headerReference r:id="rId6" w:type="first"/>
      <w:footerReference r:id="rId8" w:type="first"/>
      <w:headerReference r:id="rId5" w:type="default"/>
      <w:footerReference r:id="rId7" w:type="default"/>
      <w:pgSz w:w="11906" w:h="16838"/>
      <w:pgMar w:top="1440" w:right="1077" w:bottom="1440" w:left="1077" w:header="397" w:footer="510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1"/>
      </w:pBd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163FC8"/>
    <w:multiLevelType w:val="multilevel"/>
    <w:tmpl w:val="2A163FC8"/>
    <w:lvl w:ilvl="0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68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210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52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94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36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78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20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6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CB8"/>
    <w:rsid w:val="00002F00"/>
    <w:rsid w:val="00003C09"/>
    <w:rsid w:val="00005A76"/>
    <w:rsid w:val="00005AC7"/>
    <w:rsid w:val="0001144A"/>
    <w:rsid w:val="000145DA"/>
    <w:rsid w:val="000355CD"/>
    <w:rsid w:val="00035E70"/>
    <w:rsid w:val="000406B2"/>
    <w:rsid w:val="00060B67"/>
    <w:rsid w:val="0007183B"/>
    <w:rsid w:val="00072366"/>
    <w:rsid w:val="00092AD4"/>
    <w:rsid w:val="000948BD"/>
    <w:rsid w:val="000A2B4C"/>
    <w:rsid w:val="000A4DB0"/>
    <w:rsid w:val="000C4B0B"/>
    <w:rsid w:val="000D07B5"/>
    <w:rsid w:val="000D1414"/>
    <w:rsid w:val="000D5A51"/>
    <w:rsid w:val="000D66FA"/>
    <w:rsid w:val="000E2CFD"/>
    <w:rsid w:val="000E4C5B"/>
    <w:rsid w:val="000E5076"/>
    <w:rsid w:val="000E5843"/>
    <w:rsid w:val="001023BA"/>
    <w:rsid w:val="0010245B"/>
    <w:rsid w:val="001057D0"/>
    <w:rsid w:val="001152E4"/>
    <w:rsid w:val="001247F0"/>
    <w:rsid w:val="00140270"/>
    <w:rsid w:val="0014500B"/>
    <w:rsid w:val="0015002B"/>
    <w:rsid w:val="00150C19"/>
    <w:rsid w:val="00150F37"/>
    <w:rsid w:val="00154DF6"/>
    <w:rsid w:val="0016379D"/>
    <w:rsid w:val="00173E21"/>
    <w:rsid w:val="00181453"/>
    <w:rsid w:val="00181DCD"/>
    <w:rsid w:val="001851B4"/>
    <w:rsid w:val="00190ACC"/>
    <w:rsid w:val="00197F4D"/>
    <w:rsid w:val="001A411E"/>
    <w:rsid w:val="001B3807"/>
    <w:rsid w:val="001C6BA5"/>
    <w:rsid w:val="001C6F64"/>
    <w:rsid w:val="001D41C7"/>
    <w:rsid w:val="001E0F27"/>
    <w:rsid w:val="001E2932"/>
    <w:rsid w:val="001F2F33"/>
    <w:rsid w:val="001F7082"/>
    <w:rsid w:val="00206011"/>
    <w:rsid w:val="0021206F"/>
    <w:rsid w:val="00212B7F"/>
    <w:rsid w:val="002142D3"/>
    <w:rsid w:val="0022097D"/>
    <w:rsid w:val="0023600C"/>
    <w:rsid w:val="00236493"/>
    <w:rsid w:val="0023776C"/>
    <w:rsid w:val="00242C21"/>
    <w:rsid w:val="00244B19"/>
    <w:rsid w:val="002467C4"/>
    <w:rsid w:val="002530BC"/>
    <w:rsid w:val="002571FF"/>
    <w:rsid w:val="0025766F"/>
    <w:rsid w:val="00272654"/>
    <w:rsid w:val="00286DDC"/>
    <w:rsid w:val="00291CDE"/>
    <w:rsid w:val="00293CDC"/>
    <w:rsid w:val="00297715"/>
    <w:rsid w:val="002A1F60"/>
    <w:rsid w:val="002A59B5"/>
    <w:rsid w:val="002C56E3"/>
    <w:rsid w:val="002C5C6D"/>
    <w:rsid w:val="002D661C"/>
    <w:rsid w:val="003153B0"/>
    <w:rsid w:val="003454EC"/>
    <w:rsid w:val="00347A1C"/>
    <w:rsid w:val="00353353"/>
    <w:rsid w:val="0035469E"/>
    <w:rsid w:val="00375648"/>
    <w:rsid w:val="00381464"/>
    <w:rsid w:val="0038772E"/>
    <w:rsid w:val="003B125F"/>
    <w:rsid w:val="003B3EDD"/>
    <w:rsid w:val="003B5610"/>
    <w:rsid w:val="003D7659"/>
    <w:rsid w:val="003E6D39"/>
    <w:rsid w:val="003F04D6"/>
    <w:rsid w:val="003F3749"/>
    <w:rsid w:val="00405145"/>
    <w:rsid w:val="00412542"/>
    <w:rsid w:val="0042043E"/>
    <w:rsid w:val="0042794F"/>
    <w:rsid w:val="0043076B"/>
    <w:rsid w:val="004313CB"/>
    <w:rsid w:val="0043387A"/>
    <w:rsid w:val="00436972"/>
    <w:rsid w:val="00442253"/>
    <w:rsid w:val="00445C74"/>
    <w:rsid w:val="00445CCB"/>
    <w:rsid w:val="004513D3"/>
    <w:rsid w:val="004812B5"/>
    <w:rsid w:val="00485796"/>
    <w:rsid w:val="00490DD7"/>
    <w:rsid w:val="00495FCC"/>
    <w:rsid w:val="004B11DD"/>
    <w:rsid w:val="004B17C2"/>
    <w:rsid w:val="004B6D5A"/>
    <w:rsid w:val="004C5B61"/>
    <w:rsid w:val="004D3647"/>
    <w:rsid w:val="004D66BA"/>
    <w:rsid w:val="004E3DF2"/>
    <w:rsid w:val="004E4781"/>
    <w:rsid w:val="004F7AAE"/>
    <w:rsid w:val="00504028"/>
    <w:rsid w:val="005143E2"/>
    <w:rsid w:val="005201E5"/>
    <w:rsid w:val="00533F75"/>
    <w:rsid w:val="0053432E"/>
    <w:rsid w:val="00535289"/>
    <w:rsid w:val="00542BB7"/>
    <w:rsid w:val="00542F22"/>
    <w:rsid w:val="00543A61"/>
    <w:rsid w:val="00545559"/>
    <w:rsid w:val="00551F67"/>
    <w:rsid w:val="00552283"/>
    <w:rsid w:val="00553196"/>
    <w:rsid w:val="0056792D"/>
    <w:rsid w:val="0057129E"/>
    <w:rsid w:val="00580011"/>
    <w:rsid w:val="00580E3B"/>
    <w:rsid w:val="00584127"/>
    <w:rsid w:val="00587019"/>
    <w:rsid w:val="005A289A"/>
    <w:rsid w:val="005A7E47"/>
    <w:rsid w:val="005B19D3"/>
    <w:rsid w:val="005B3B1F"/>
    <w:rsid w:val="005B3B55"/>
    <w:rsid w:val="005C0986"/>
    <w:rsid w:val="005C1DCD"/>
    <w:rsid w:val="005D153A"/>
    <w:rsid w:val="005E0251"/>
    <w:rsid w:val="005E1D31"/>
    <w:rsid w:val="005F3219"/>
    <w:rsid w:val="005F3E97"/>
    <w:rsid w:val="00600961"/>
    <w:rsid w:val="00600D5E"/>
    <w:rsid w:val="00607EEC"/>
    <w:rsid w:val="0061571A"/>
    <w:rsid w:val="00615C3D"/>
    <w:rsid w:val="00622F89"/>
    <w:rsid w:val="00626615"/>
    <w:rsid w:val="006300AC"/>
    <w:rsid w:val="00633CDC"/>
    <w:rsid w:val="00634E0D"/>
    <w:rsid w:val="006832FC"/>
    <w:rsid w:val="00685CB8"/>
    <w:rsid w:val="00695096"/>
    <w:rsid w:val="006A1F1A"/>
    <w:rsid w:val="006A4FED"/>
    <w:rsid w:val="006A6C41"/>
    <w:rsid w:val="006B6251"/>
    <w:rsid w:val="006D03A0"/>
    <w:rsid w:val="006E0418"/>
    <w:rsid w:val="006E0817"/>
    <w:rsid w:val="006E4FB9"/>
    <w:rsid w:val="006E6022"/>
    <w:rsid w:val="006F37C2"/>
    <w:rsid w:val="006F5764"/>
    <w:rsid w:val="0070255C"/>
    <w:rsid w:val="00703DBE"/>
    <w:rsid w:val="007051A1"/>
    <w:rsid w:val="00706B31"/>
    <w:rsid w:val="007075CC"/>
    <w:rsid w:val="00713379"/>
    <w:rsid w:val="00714A2F"/>
    <w:rsid w:val="007155F7"/>
    <w:rsid w:val="00716DF2"/>
    <w:rsid w:val="00717C82"/>
    <w:rsid w:val="007200C7"/>
    <w:rsid w:val="00721D06"/>
    <w:rsid w:val="00734D4D"/>
    <w:rsid w:val="007364E4"/>
    <w:rsid w:val="00746FD7"/>
    <w:rsid w:val="00750A62"/>
    <w:rsid w:val="00752140"/>
    <w:rsid w:val="00760B73"/>
    <w:rsid w:val="0076310B"/>
    <w:rsid w:val="00770DBE"/>
    <w:rsid w:val="00771573"/>
    <w:rsid w:val="0078409D"/>
    <w:rsid w:val="007A039A"/>
    <w:rsid w:val="007B07BB"/>
    <w:rsid w:val="007C1D00"/>
    <w:rsid w:val="007C7730"/>
    <w:rsid w:val="007D3862"/>
    <w:rsid w:val="007D3A6F"/>
    <w:rsid w:val="007E3C7A"/>
    <w:rsid w:val="007E65AF"/>
    <w:rsid w:val="007F246F"/>
    <w:rsid w:val="007F26A5"/>
    <w:rsid w:val="007F60E6"/>
    <w:rsid w:val="0080029D"/>
    <w:rsid w:val="0082112D"/>
    <w:rsid w:val="00824972"/>
    <w:rsid w:val="008256D4"/>
    <w:rsid w:val="00833AD6"/>
    <w:rsid w:val="00834AE9"/>
    <w:rsid w:val="0084691A"/>
    <w:rsid w:val="00854E41"/>
    <w:rsid w:val="00857060"/>
    <w:rsid w:val="00871511"/>
    <w:rsid w:val="00871D2D"/>
    <w:rsid w:val="008729B7"/>
    <w:rsid w:val="00874A46"/>
    <w:rsid w:val="00874AC8"/>
    <w:rsid w:val="00882CDD"/>
    <w:rsid w:val="008A0E4F"/>
    <w:rsid w:val="008B52AA"/>
    <w:rsid w:val="008C2CE1"/>
    <w:rsid w:val="008C55FA"/>
    <w:rsid w:val="008D7C30"/>
    <w:rsid w:val="008E0AF3"/>
    <w:rsid w:val="008E6BB2"/>
    <w:rsid w:val="00904C38"/>
    <w:rsid w:val="00905296"/>
    <w:rsid w:val="00912414"/>
    <w:rsid w:val="00934029"/>
    <w:rsid w:val="00937540"/>
    <w:rsid w:val="0094038C"/>
    <w:rsid w:val="0095639B"/>
    <w:rsid w:val="00956692"/>
    <w:rsid w:val="00963289"/>
    <w:rsid w:val="009645E0"/>
    <w:rsid w:val="00964A93"/>
    <w:rsid w:val="009666DF"/>
    <w:rsid w:val="00966E65"/>
    <w:rsid w:val="0097485D"/>
    <w:rsid w:val="00976B21"/>
    <w:rsid w:val="0098649C"/>
    <w:rsid w:val="009865A6"/>
    <w:rsid w:val="009A3621"/>
    <w:rsid w:val="009A7F6C"/>
    <w:rsid w:val="009B26A4"/>
    <w:rsid w:val="009C1285"/>
    <w:rsid w:val="009C45BF"/>
    <w:rsid w:val="009C6725"/>
    <w:rsid w:val="009C6B5E"/>
    <w:rsid w:val="009D2A0D"/>
    <w:rsid w:val="009E7086"/>
    <w:rsid w:val="009F59A2"/>
    <w:rsid w:val="00A0338B"/>
    <w:rsid w:val="00A17A61"/>
    <w:rsid w:val="00A32420"/>
    <w:rsid w:val="00A33C7D"/>
    <w:rsid w:val="00A60A82"/>
    <w:rsid w:val="00A622B6"/>
    <w:rsid w:val="00A7142D"/>
    <w:rsid w:val="00A72816"/>
    <w:rsid w:val="00A908A5"/>
    <w:rsid w:val="00AA0BD4"/>
    <w:rsid w:val="00AA1C29"/>
    <w:rsid w:val="00AA634D"/>
    <w:rsid w:val="00AB50DA"/>
    <w:rsid w:val="00AB602D"/>
    <w:rsid w:val="00AB7D3F"/>
    <w:rsid w:val="00AC5A45"/>
    <w:rsid w:val="00AC7685"/>
    <w:rsid w:val="00AD0750"/>
    <w:rsid w:val="00AD1780"/>
    <w:rsid w:val="00B10EF4"/>
    <w:rsid w:val="00B14B40"/>
    <w:rsid w:val="00B14BE5"/>
    <w:rsid w:val="00B21777"/>
    <w:rsid w:val="00B2295A"/>
    <w:rsid w:val="00B42811"/>
    <w:rsid w:val="00B4747F"/>
    <w:rsid w:val="00B5471B"/>
    <w:rsid w:val="00B6268A"/>
    <w:rsid w:val="00B63863"/>
    <w:rsid w:val="00B74BE4"/>
    <w:rsid w:val="00B75624"/>
    <w:rsid w:val="00B82EAE"/>
    <w:rsid w:val="00B87E45"/>
    <w:rsid w:val="00B94CB5"/>
    <w:rsid w:val="00B96113"/>
    <w:rsid w:val="00BA068B"/>
    <w:rsid w:val="00BA2834"/>
    <w:rsid w:val="00BA7E73"/>
    <w:rsid w:val="00BB55B2"/>
    <w:rsid w:val="00BB62A3"/>
    <w:rsid w:val="00BD0187"/>
    <w:rsid w:val="00BD4036"/>
    <w:rsid w:val="00BD4082"/>
    <w:rsid w:val="00BE2EC5"/>
    <w:rsid w:val="00BE398B"/>
    <w:rsid w:val="00BE4A4E"/>
    <w:rsid w:val="00BF235F"/>
    <w:rsid w:val="00BF2588"/>
    <w:rsid w:val="00BF4C84"/>
    <w:rsid w:val="00C061B6"/>
    <w:rsid w:val="00C10513"/>
    <w:rsid w:val="00C31B3F"/>
    <w:rsid w:val="00C3313A"/>
    <w:rsid w:val="00C33266"/>
    <w:rsid w:val="00C34205"/>
    <w:rsid w:val="00C37129"/>
    <w:rsid w:val="00C42173"/>
    <w:rsid w:val="00C51560"/>
    <w:rsid w:val="00C520F2"/>
    <w:rsid w:val="00C56593"/>
    <w:rsid w:val="00C60456"/>
    <w:rsid w:val="00C60726"/>
    <w:rsid w:val="00C647E9"/>
    <w:rsid w:val="00C7047C"/>
    <w:rsid w:val="00C7061A"/>
    <w:rsid w:val="00C84C63"/>
    <w:rsid w:val="00CA3AAE"/>
    <w:rsid w:val="00CB229A"/>
    <w:rsid w:val="00CC5A0F"/>
    <w:rsid w:val="00CD203F"/>
    <w:rsid w:val="00CD3245"/>
    <w:rsid w:val="00CE0B66"/>
    <w:rsid w:val="00CE451D"/>
    <w:rsid w:val="00CE45AE"/>
    <w:rsid w:val="00CE4653"/>
    <w:rsid w:val="00CE602A"/>
    <w:rsid w:val="00CE69A7"/>
    <w:rsid w:val="00CF3038"/>
    <w:rsid w:val="00D03046"/>
    <w:rsid w:val="00D052B2"/>
    <w:rsid w:val="00D105CC"/>
    <w:rsid w:val="00D20401"/>
    <w:rsid w:val="00D24601"/>
    <w:rsid w:val="00D3481D"/>
    <w:rsid w:val="00D46024"/>
    <w:rsid w:val="00D47D6D"/>
    <w:rsid w:val="00D52D7E"/>
    <w:rsid w:val="00D559C8"/>
    <w:rsid w:val="00D6289F"/>
    <w:rsid w:val="00D6552F"/>
    <w:rsid w:val="00D70AFD"/>
    <w:rsid w:val="00D71010"/>
    <w:rsid w:val="00D71190"/>
    <w:rsid w:val="00D71936"/>
    <w:rsid w:val="00D77FEC"/>
    <w:rsid w:val="00D8052F"/>
    <w:rsid w:val="00D82D4D"/>
    <w:rsid w:val="00D83BB8"/>
    <w:rsid w:val="00D84542"/>
    <w:rsid w:val="00D903C1"/>
    <w:rsid w:val="00DA7701"/>
    <w:rsid w:val="00DB2B8D"/>
    <w:rsid w:val="00DB61E1"/>
    <w:rsid w:val="00DD07AC"/>
    <w:rsid w:val="00DD2AFD"/>
    <w:rsid w:val="00DE1B65"/>
    <w:rsid w:val="00DE1D1A"/>
    <w:rsid w:val="00DE57BC"/>
    <w:rsid w:val="00DE6639"/>
    <w:rsid w:val="00DE6E12"/>
    <w:rsid w:val="00DE7C5E"/>
    <w:rsid w:val="00DF44FD"/>
    <w:rsid w:val="00E01234"/>
    <w:rsid w:val="00E136A0"/>
    <w:rsid w:val="00E144A9"/>
    <w:rsid w:val="00E178AB"/>
    <w:rsid w:val="00E20F08"/>
    <w:rsid w:val="00E23C12"/>
    <w:rsid w:val="00E240A2"/>
    <w:rsid w:val="00E24C92"/>
    <w:rsid w:val="00E43D7A"/>
    <w:rsid w:val="00E56E18"/>
    <w:rsid w:val="00E60909"/>
    <w:rsid w:val="00E73FFE"/>
    <w:rsid w:val="00E81660"/>
    <w:rsid w:val="00E86DFF"/>
    <w:rsid w:val="00E935EB"/>
    <w:rsid w:val="00EA0091"/>
    <w:rsid w:val="00EA5AAD"/>
    <w:rsid w:val="00EA6919"/>
    <w:rsid w:val="00EB16CA"/>
    <w:rsid w:val="00EB1C20"/>
    <w:rsid w:val="00EC7C53"/>
    <w:rsid w:val="00ED48FF"/>
    <w:rsid w:val="00EE04B8"/>
    <w:rsid w:val="00F04937"/>
    <w:rsid w:val="00F10CEA"/>
    <w:rsid w:val="00F1153E"/>
    <w:rsid w:val="00F11B7C"/>
    <w:rsid w:val="00F11D03"/>
    <w:rsid w:val="00F13F87"/>
    <w:rsid w:val="00F16E35"/>
    <w:rsid w:val="00F369CD"/>
    <w:rsid w:val="00F36A0F"/>
    <w:rsid w:val="00F431C6"/>
    <w:rsid w:val="00F43928"/>
    <w:rsid w:val="00F6428D"/>
    <w:rsid w:val="00F65D80"/>
    <w:rsid w:val="00F815A2"/>
    <w:rsid w:val="00F82831"/>
    <w:rsid w:val="00F8493A"/>
    <w:rsid w:val="00F9187F"/>
    <w:rsid w:val="00F95FE0"/>
    <w:rsid w:val="00FA1DB7"/>
    <w:rsid w:val="00FA3895"/>
    <w:rsid w:val="00FC33D4"/>
    <w:rsid w:val="00FC509D"/>
    <w:rsid w:val="00FC548B"/>
    <w:rsid w:val="00FD3FA4"/>
    <w:rsid w:val="00FE299A"/>
    <w:rsid w:val="00FE5DD0"/>
    <w:rsid w:val="00FF6589"/>
    <w:rsid w:val="173845F9"/>
    <w:rsid w:val="177C0FE6"/>
    <w:rsid w:val="17FC4C1E"/>
    <w:rsid w:val="1B207F49"/>
    <w:rsid w:val="38A37966"/>
    <w:rsid w:val="3B5F6230"/>
    <w:rsid w:val="3D493A66"/>
    <w:rsid w:val="422C0C1C"/>
    <w:rsid w:val="45013DF5"/>
    <w:rsid w:val="4ABB37B4"/>
    <w:rsid w:val="4BDC2CCB"/>
    <w:rsid w:val="50BF13F8"/>
    <w:rsid w:val="53A93298"/>
    <w:rsid w:val="57525D62"/>
    <w:rsid w:val="5A1C6D36"/>
    <w:rsid w:val="5EBB4873"/>
    <w:rsid w:val="663F4F00"/>
    <w:rsid w:val="67304B39"/>
    <w:rsid w:val="7B675CDB"/>
    <w:rsid w:val="7DAC6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2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3"/>
    <w:semiHidden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28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9"/>
    <w:qFormat/>
    <w:uiPriority w:val="0"/>
    <w:rPr>
      <w:sz w:val="18"/>
      <w:szCs w:val="18"/>
    </w:rPr>
  </w:style>
  <w:style w:type="paragraph" w:styleId="6">
    <w:name w:val="footer"/>
    <w:basedOn w:val="1"/>
    <w:link w:val="1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Subtitle"/>
    <w:basedOn w:val="1"/>
    <w:next w:val="1"/>
    <w:link w:val="21"/>
    <w:qFormat/>
    <w:uiPriority w:val="0"/>
    <w:pPr>
      <w:spacing w:before="240" w:after="60" w:line="312" w:lineRule="auto"/>
      <w:jc w:val="center"/>
      <w:outlineLvl w:val="1"/>
    </w:pPr>
    <w:rPr>
      <w:rFonts w:eastAsia="宋体" w:asciiTheme="majorHAnsi" w:hAnsiTheme="majorHAnsi" w:cstheme="majorBidi"/>
      <w:b/>
      <w:bCs/>
      <w:kern w:val="28"/>
      <w:sz w:val="32"/>
      <w:szCs w:val="32"/>
    </w:rPr>
  </w:style>
  <w:style w:type="paragraph" w:styleId="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0">
    <w:name w:val="Title"/>
    <w:basedOn w:val="1"/>
    <w:next w:val="1"/>
    <w:link w:val="20"/>
    <w:qFormat/>
    <w:uiPriority w:val="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table" w:styleId="12">
    <w:name w:val="Table Grid"/>
    <w:basedOn w:val="11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  <w:bCs/>
    </w:rPr>
  </w:style>
  <w:style w:type="character" w:styleId="15">
    <w:name w:val="Hyperlink"/>
    <w:basedOn w:val="13"/>
    <w:qFormat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6">
    <w:name w:val="页眉 字符"/>
    <w:basedOn w:val="13"/>
    <w:link w:val="7"/>
    <w:qFormat/>
    <w:uiPriority w:val="99"/>
    <w:rPr>
      <w:sz w:val="18"/>
      <w:szCs w:val="18"/>
    </w:rPr>
  </w:style>
  <w:style w:type="character" w:customStyle="1" w:styleId="17">
    <w:name w:val="页脚 字符"/>
    <w:basedOn w:val="13"/>
    <w:link w:val="6"/>
    <w:qFormat/>
    <w:uiPriority w:val="99"/>
    <w:rPr>
      <w:sz w:val="18"/>
      <w:szCs w:val="18"/>
    </w:rPr>
  </w:style>
  <w:style w:type="paragraph" w:customStyle="1" w:styleId="18">
    <w:name w:val="pre_tit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9">
    <w:name w:val="批注框文本 字符"/>
    <w:basedOn w:val="13"/>
    <w:link w:val="5"/>
    <w:semiHidden/>
    <w:qFormat/>
    <w:uiPriority w:val="99"/>
    <w:rPr>
      <w:sz w:val="18"/>
      <w:szCs w:val="18"/>
    </w:rPr>
  </w:style>
  <w:style w:type="character" w:customStyle="1" w:styleId="20">
    <w:name w:val="标题 字符"/>
    <w:basedOn w:val="13"/>
    <w:link w:val="10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21">
    <w:name w:val="副标题 字符"/>
    <w:basedOn w:val="13"/>
    <w:link w:val="8"/>
    <w:qFormat/>
    <w:uiPriority w:val="11"/>
    <w:rPr>
      <w:rFonts w:eastAsia="宋体" w:asciiTheme="majorHAnsi" w:hAnsiTheme="majorHAnsi" w:cstheme="majorBidi"/>
      <w:b/>
      <w:bCs/>
      <w:kern w:val="28"/>
      <w:sz w:val="32"/>
      <w:szCs w:val="32"/>
    </w:rPr>
  </w:style>
  <w:style w:type="character" w:customStyle="1" w:styleId="22">
    <w:name w:val="标题 1 字符"/>
    <w:basedOn w:val="13"/>
    <w:link w:val="2"/>
    <w:qFormat/>
    <w:uiPriority w:val="9"/>
    <w:rPr>
      <w:b/>
      <w:bCs/>
      <w:kern w:val="44"/>
      <w:sz w:val="44"/>
      <w:szCs w:val="44"/>
    </w:rPr>
  </w:style>
  <w:style w:type="character" w:customStyle="1" w:styleId="23">
    <w:name w:val="标题 2 字符"/>
    <w:basedOn w:val="13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paragraph" w:customStyle="1" w:styleId="24">
    <w:name w:val="表头文字"/>
    <w:basedOn w:val="1"/>
    <w:qFormat/>
    <w:uiPriority w:val="0"/>
    <w:pPr>
      <w:widowControl/>
      <w:spacing w:line="300" w:lineRule="atLeast"/>
      <w:jc w:val="center"/>
    </w:pPr>
    <w:rPr>
      <w:rFonts w:ascii="Times New Roman" w:hAnsi="Times New Roman" w:eastAsia="宋体" w:cs="Times New Roman"/>
      <w:sz w:val="18"/>
      <w:szCs w:val="20"/>
    </w:rPr>
  </w:style>
  <w:style w:type="paragraph" w:customStyle="1" w:styleId="25">
    <w:name w:val="表格内文字"/>
    <w:basedOn w:val="1"/>
    <w:qFormat/>
    <w:uiPriority w:val="0"/>
    <w:pPr>
      <w:widowControl/>
      <w:spacing w:line="300" w:lineRule="atLeast"/>
      <w:ind w:left="60" w:leftChars="-10" w:hanging="81" w:hangingChars="45"/>
      <w:jc w:val="center"/>
    </w:pPr>
    <w:rPr>
      <w:rFonts w:ascii="Arial" w:hAnsi="Arial" w:eastAsia="宋体" w:cs="Arial"/>
      <w:bCs/>
      <w:kern w:val="0"/>
      <w:sz w:val="18"/>
      <w:szCs w:val="18"/>
    </w:rPr>
  </w:style>
  <w:style w:type="paragraph" w:styleId="26">
    <w:name w:val="List Paragraph"/>
    <w:basedOn w:val="1"/>
    <w:qFormat/>
    <w:uiPriority w:val="34"/>
    <w:pPr>
      <w:ind w:firstLine="420" w:firstLineChars="200"/>
    </w:pPr>
  </w:style>
  <w:style w:type="paragraph" w:customStyle="1" w:styleId="27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宋体" w:cs="宋体" w:eastAsiaTheme="minorEastAsia"/>
      <w:color w:val="000000"/>
      <w:kern w:val="0"/>
      <w:sz w:val="24"/>
      <w:szCs w:val="24"/>
      <w:lang w:val="en-US" w:eastAsia="zh-CN" w:bidi="ar-SA"/>
    </w:rPr>
  </w:style>
  <w:style w:type="character" w:customStyle="1" w:styleId="28">
    <w:name w:val="标题 3 字符"/>
    <w:basedOn w:val="13"/>
    <w:link w:val="4"/>
    <w:qFormat/>
    <w:uiPriority w:val="9"/>
    <w:rPr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4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2" Type="http://schemas.openxmlformats.org/officeDocument/2006/relationships/fontTable" Target="fontTable.xml"/><Relationship Id="rId21" Type="http://schemas.openxmlformats.org/officeDocument/2006/relationships/customXml" Target="../customXml/item2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9.jpeg"/><Relationship Id="rId17" Type="http://schemas.openxmlformats.org/officeDocument/2006/relationships/image" Target="media/image8.jpeg"/><Relationship Id="rId16" Type="http://schemas.openxmlformats.org/officeDocument/2006/relationships/image" Target="media/image7.jpeg"/><Relationship Id="rId15" Type="http://schemas.openxmlformats.org/officeDocument/2006/relationships/image" Target="media/image6.jpeg"/><Relationship Id="rId14" Type="http://schemas.openxmlformats.org/officeDocument/2006/relationships/image" Target="media/image5.jpeg"/><Relationship Id="rId13" Type="http://schemas.openxmlformats.org/officeDocument/2006/relationships/image" Target="media/image4.jpeg"/><Relationship Id="rId12" Type="http://schemas.openxmlformats.org/officeDocument/2006/relationships/image" Target="media/image3.jpeg"/><Relationship Id="rId11" Type="http://schemas.openxmlformats.org/officeDocument/2006/relationships/image" Target="media/image2.jpeg"/><Relationship Id="rId10" Type="http://schemas.openxmlformats.org/officeDocument/2006/relationships/image" Target="media/image1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lengthwise4"/>
      <sectRole val="1"/>
    </customSectPr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B78C897-2980-402A-A938-784E4BEC7F1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免维护密封铅酸蓄电池</Manager>
  <Company>蓄电池</Company>
  <Pages>5</Pages>
  <Words>374</Words>
  <Characters>559</Characters>
  <Lines>0</Lines>
  <Paragraphs>0</Paragraphs>
  <TotalTime>3</TotalTime>
  <ScaleCrop>false</ScaleCrop>
  <LinksUpToDate>false</LinksUpToDate>
  <CharactersWithSpaces>621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铅酸电池规格参数</cp:category>
  <dcterms:created xsi:type="dcterms:W3CDTF">2019-12-12T12:44:00Z</dcterms:created>
  <dc:creator>UPS电源</dc:creator>
  <dc:description>铅酸电池 电池 蓄电池</dc:description>
  <cp:keywords>铅酸电池 电池 蓄电池</cp:keywords>
  <cp:lastModifiedBy>美工赵帅</cp:lastModifiedBy>
  <cp:lastPrinted>2013-03-05T15:34:00Z</cp:lastPrinted>
  <dcterms:modified xsi:type="dcterms:W3CDTF">2022-04-01T03:17:54Z</dcterms:modified>
  <dc:subject>电池</dc:subject>
  <dc:title>NP系列阀控式铅酸蓄电池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07EF1922765440158250B696B2340EEC</vt:lpwstr>
  </property>
</Properties>
</file>