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D1BCD">
      <w:pPr>
        <w:pStyle w:val="2"/>
        <w:keepNext w:val="0"/>
        <w:keepLines w:val="0"/>
        <w:widowControl/>
        <w:numPr>
          <w:ilvl w:val="0"/>
          <w:numId w:val="1"/>
        </w:numPr>
        <w:suppressLineNumbers w:val="0"/>
        <w:shd w:val="clear" w:color="auto" w:fill="FFFFFF"/>
        <w:spacing w:before="274" w:beforeAutospacing="0" w:after="206" w:afterAutospacing="0" w:line="23" w:lineRule="atLeast"/>
        <w:ind w:left="0" w:leftChars="0" w:right="0" w:firstLine="0" w:firstLineChars="0"/>
        <w:rPr>
          <w:color w:val="auto"/>
          <w:sz w:val="24"/>
          <w:szCs w:val="24"/>
        </w:rPr>
      </w:pPr>
      <w:bookmarkStart w:id="0" w:name="_GoBack"/>
      <w:bookmarkEnd w:id="0"/>
      <w:r>
        <w:rPr>
          <w:rFonts w:hint="eastAsia" w:ascii="Times New Roman" w:hAnsi="Segoe UI" w:eastAsia="微软雅黑" w:cs="Segoe UI"/>
          <w:b/>
          <w:bCs/>
          <w:i w:val="0"/>
          <w:iCs w:val="0"/>
          <w:caps w:val="0"/>
          <w:color w:val="auto"/>
          <w:spacing w:val="0"/>
          <w:kern w:val="0"/>
          <w:sz w:val="27"/>
          <w:szCs w:val="27"/>
          <w:shd w:val="clear" w:color="auto" w:fill="FFFFFF"/>
          <w:lang w:val="en-US" w:eastAsia="zh-CN" w:bidi="ar"/>
        </w:rPr>
        <w:t xml:space="preserve"> system survey </w:t>
      </w:r>
    </w:p>
    <w:p w14:paraId="75E6BBBC">
      <w:pPr>
        <w:ind w:firstLine="560" w:firstLineChars="200"/>
        <w:rPr>
          <w:rFonts w:hint="default"/>
          <w:sz w:val="28"/>
          <w:szCs w:val="28"/>
        </w:rPr>
      </w:pPr>
      <w:r>
        <w:rPr>
          <w:rFonts w:hint="eastAsia" w:ascii="Times New Roman" w:hAnsi="Calibri" w:eastAsia="微软雅黑" w:cs="Times New Roman"/>
          <w:kern w:val="2"/>
          <w:sz w:val="28"/>
          <w:szCs w:val="28"/>
          <w:lang w:val="en-US" w:eastAsia="zh-CN" w:bidi="ar-SA"/>
        </w:rPr>
        <w:t>The third-generation variable-frequency electromagnetic induction heating equipment for superheated steam, newly launched by AIX BOILER, features an integrated modular design. The system consists of six interlocked components: steam superheater tube bundles, electromagnetic induction heating coils, heating controllers, PDI temperature monitoring systems, SOF fluid sensing switches, and overheat protection cooling mechanisms. This complete heating solution employs the world's leading electromagnetic induction heating technology widely adopted in industrial applications.</w:t>
      </w:r>
    </w:p>
    <w:p w14:paraId="0D503D17">
      <w:pPr>
        <w:rPr>
          <w:rFonts w:hint="eastAsia" w:eastAsia="宋体"/>
          <w:sz w:val="28"/>
          <w:szCs w:val="28"/>
          <w:lang w:eastAsia="zh-CN"/>
        </w:rPr>
      </w:pPr>
      <w:r>
        <w:rPr>
          <w:rFonts w:hint="eastAsia" w:ascii="Times New Roman" w:hAnsi="Calibri" w:eastAsia="微软雅黑" w:cs="Times New Roman"/>
          <w:kern w:val="2"/>
          <w:sz w:val="28"/>
          <w:szCs w:val="28"/>
          <w:lang w:val="en-US" w:eastAsia="zh-CN" w:bidi="ar-SA"/>
        </w:rPr>
        <w:t>1. Design objectives</w:t>
      </w:r>
    </w:p>
    <w:p w14:paraId="29DCE5C8">
      <w:pPr>
        <w:rPr>
          <w:rFonts w:hint="eastAsia" w:eastAsia="宋体"/>
          <w:sz w:val="28"/>
          <w:szCs w:val="28"/>
          <w:lang w:eastAsia="zh-CN"/>
        </w:rPr>
      </w:pPr>
      <w:r>
        <w:rPr>
          <w:rFonts w:hint="eastAsia" w:ascii="Times New Roman" w:hAnsi="Calibri" w:eastAsia="微软雅黑" w:cs="Times New Roman"/>
          <w:kern w:val="2"/>
          <w:sz w:val="28"/>
          <w:szCs w:val="28"/>
          <w:lang w:val="en-US" w:eastAsia="zh-CN" w:bidi="ar-SA"/>
        </w:rPr>
        <w:t>Saturation steam production: 300 kg/h (provided by electric steam generator)</w:t>
      </w:r>
    </w:p>
    <w:p w14:paraId="73FB8CB5">
      <w:pPr>
        <w:rPr>
          <w:rFonts w:hint="eastAsia" w:eastAsia="宋体"/>
          <w:sz w:val="28"/>
          <w:szCs w:val="28"/>
          <w:lang w:eastAsia="zh-CN"/>
        </w:rPr>
      </w:pPr>
      <w:r>
        <w:rPr>
          <w:rFonts w:hint="eastAsia" w:ascii="Times New Roman" w:hAnsi="Calibri" w:eastAsia="微软雅黑" w:cs="Times New Roman"/>
          <w:kern w:val="2"/>
          <w:sz w:val="28"/>
          <w:szCs w:val="28"/>
          <w:lang w:val="en-US" w:eastAsia="zh-CN" w:bidi="ar-SA"/>
        </w:rPr>
        <w:t>Superheated steam parameters: 500℃ (achieved by electromagnetic steam superheater)</w:t>
      </w:r>
    </w:p>
    <w:p w14:paraId="70403EF6">
      <w:pPr>
        <w:rPr>
          <w:rFonts w:hint="eastAsia" w:eastAsia="宋体"/>
          <w:sz w:val="28"/>
          <w:szCs w:val="28"/>
          <w:lang w:eastAsia="zh-CN"/>
        </w:rPr>
      </w:pPr>
      <w:r>
        <w:rPr>
          <w:rFonts w:hint="eastAsia" w:ascii="Times New Roman" w:hAnsi="Calibri" w:eastAsia="微软雅黑" w:cs="Times New Roman"/>
          <w:kern w:val="2"/>
          <w:sz w:val="28"/>
          <w:szCs w:val="28"/>
          <w:lang w:val="en-US" w:eastAsia="zh-CN" w:bidi="ar-SA"/>
        </w:rPr>
        <w:t>Total system power: 216kW (electric steam generator) + additional power of electromagnetic superheater</w:t>
      </w:r>
    </w:p>
    <w:p w14:paraId="46EFA97C">
      <w:pPr>
        <w:pStyle w:val="6"/>
        <w:keepNext w:val="0"/>
        <w:keepLines w:val="0"/>
        <w:widowControl/>
        <w:suppressLineNumbers w:val="0"/>
        <w:spacing w:before="0" w:beforeAutospacing="0" w:after="60" w:afterAutospacing="0" w:line="429" w:lineRule="atLeast"/>
        <w:ind w:left="0" w:right="0"/>
        <w:rPr>
          <w:rStyle w:val="9"/>
          <w:rFonts w:hint="eastAsia" w:ascii="Segoe UI" w:hAnsi="Segoe UI" w:eastAsia="宋体" w:cs="Segoe UI"/>
          <w:b/>
          <w:bCs/>
          <w:i w:val="0"/>
          <w:iCs w:val="0"/>
          <w:caps w:val="0"/>
          <w:color w:val="404040"/>
          <w:spacing w:val="0"/>
          <w:sz w:val="24"/>
          <w:szCs w:val="24"/>
          <w:shd w:val="clear" w:color="auto" w:fill="FFFFFF"/>
          <w:lang w:val="en-US" w:eastAsia="zh-CN"/>
        </w:rPr>
      </w:pPr>
    </w:p>
    <w:p w14:paraId="7CBA65CF">
      <w:pPr>
        <w:pStyle w:val="6"/>
        <w:keepNext w:val="0"/>
        <w:keepLines w:val="0"/>
        <w:widowControl/>
        <w:suppressLineNumbers w:val="0"/>
        <w:spacing w:before="0" w:beforeAutospacing="0" w:after="60" w:afterAutospacing="0" w:line="429" w:lineRule="atLeast"/>
        <w:ind w:left="0" w:right="0"/>
        <w:rPr>
          <w:rFonts w:hint="default" w:ascii="Calibri" w:hAnsi="Calibri" w:eastAsia="宋体" w:cs="Times New Roman"/>
          <w:kern w:val="2"/>
          <w:sz w:val="28"/>
          <w:szCs w:val="28"/>
          <w:lang w:val="en-US" w:eastAsia="zh-CN" w:bidi="ar-SA"/>
        </w:rPr>
      </w:pPr>
      <w:r>
        <w:rPr>
          <w:rFonts w:hint="eastAsia" w:ascii="Times New Roman" w:hAnsi="Calibri" w:eastAsia="微软雅黑" w:cs="Times New Roman"/>
          <w:kern w:val="2"/>
          <w:sz w:val="28"/>
          <w:szCs w:val="28"/>
          <w:lang w:val="en-US" w:eastAsia="zh-CN" w:bidi="ar-SA"/>
        </w:rPr>
        <w:t>2. Process flow chart</w:t>
      </w:r>
    </w:p>
    <w:p w14:paraId="7A4A0DB7">
      <w:pPr>
        <w:keepNext w:val="0"/>
        <w:keepLines w:val="0"/>
        <w:widowControl/>
        <w:numPr>
          <w:ilvl w:val="0"/>
          <w:numId w:val="0"/>
        </w:numPr>
        <w:suppressLineNumbers w:val="0"/>
        <w:spacing w:before="60" w:beforeAutospacing="0" w:after="100" w:afterAutospacing="1"/>
        <w:ind w:left="-360" w:leftChars="0"/>
      </w:pPr>
      <w:r>
        <w:drawing>
          <wp:inline distT="0" distB="0" distL="114300" distR="114300">
            <wp:extent cx="6315710" cy="511175"/>
            <wp:effectExtent l="0" t="0" r="8890" b="3175"/>
            <wp:docPr id="1" name="图片 1" descr="deepseek_mermaid_20250817_f8ee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eepseek_mermaid_20250817_f8ee1c"/>
                    <pic:cNvPicPr>
                      <a:picLocks noChangeAspect="1"/>
                    </pic:cNvPicPr>
                  </pic:nvPicPr>
                  <pic:blipFill>
                    <a:blip r:embed="rId6"/>
                    <a:stretch>
                      <a:fillRect/>
                    </a:stretch>
                  </pic:blipFill>
                  <pic:spPr>
                    <a:xfrm>
                      <a:off x="0" y="0"/>
                      <a:ext cx="6315710" cy="511175"/>
                    </a:xfrm>
                    <a:prstGeom prst="rect">
                      <a:avLst/>
                    </a:prstGeom>
                    <a:noFill/>
                    <a:ln>
                      <a:noFill/>
                    </a:ln>
                  </pic:spPr>
                </pic:pic>
              </a:graphicData>
            </a:graphic>
          </wp:inline>
        </w:drawing>
      </w:r>
    </w:p>
    <w:p w14:paraId="2C0CB94A">
      <w:pPr>
        <w:pStyle w:val="2"/>
        <w:keepNext w:val="0"/>
        <w:keepLines w:val="0"/>
        <w:widowControl/>
        <w:suppressLineNumbers w:val="0"/>
        <w:shd w:val="clear" w:color="auto" w:fill="FFFFFF"/>
        <w:spacing w:before="274" w:beforeAutospacing="0" w:after="206" w:afterAutospacing="0" w:line="23" w:lineRule="atLeast"/>
        <w:ind w:left="0" w:right="0" w:firstLine="0"/>
        <w:rPr>
          <w:rFonts w:hint="eastAsia" w:ascii="Segoe UI" w:hAnsi="Segoe UI" w:eastAsia="宋体" w:cs="Segoe UI"/>
          <w:b/>
          <w:bCs/>
          <w:i w:val="0"/>
          <w:iCs w:val="0"/>
          <w:caps w:val="0"/>
          <w:color w:val="auto"/>
          <w:spacing w:val="0"/>
          <w:sz w:val="27"/>
          <w:szCs w:val="27"/>
          <w:lang w:eastAsia="zh-CN"/>
        </w:rPr>
      </w:pPr>
      <w:r>
        <w:rPr>
          <w:rFonts w:hint="eastAsia" w:ascii="Times New Roman" w:hAnsi="Segoe UI" w:eastAsia="微软雅黑" w:cs="Segoe UI"/>
          <w:b/>
          <w:bCs/>
          <w:i w:val="0"/>
          <w:iCs w:val="0"/>
          <w:caps w:val="0"/>
          <w:color w:val="auto"/>
          <w:spacing w:val="0"/>
          <w:kern w:val="0"/>
          <w:sz w:val="27"/>
          <w:szCs w:val="27"/>
          <w:shd w:val="clear" w:color="auto" w:fill="FFFFFF"/>
          <w:lang w:val="en-US" w:eastAsia="zh-CN" w:bidi="ar"/>
        </w:rPr>
        <w:t>Equipment selection and calculation</w:t>
      </w:r>
    </w:p>
    <w:p w14:paraId="2F8602FA">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1. Electric steam generator</w:t>
      </w:r>
    </w:p>
    <w:p w14:paraId="29ABD1B6">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Rated power: 216 kW</w:t>
      </w:r>
    </w:p>
    <w:p w14:paraId="75C1E7EA">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Steam production: 300 kg/h</w:t>
      </w:r>
    </w:p>
    <w:p w14:paraId="349CC508">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Export pressure: design pressure should be specified (e.g. 0.7 MPa, saturation temperature ≈ 170℃)</w:t>
      </w:r>
    </w:p>
    <w:p w14:paraId="35A46FB7">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Power supply: 380V AC, three-phase five-wire</w:t>
      </w:r>
    </w:p>
    <w:p w14:paraId="22182E54">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2. Design of electromagnetic steam superheater</w:t>
      </w:r>
    </w:p>
    <w:p w14:paraId="682F3287">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3. Steam input:</w:t>
      </w:r>
    </w:p>
    <w:p w14:paraId="2E544E9C">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Temperature: 170℃ (corresponding to 0.7 MPa saturated steam)</w:t>
      </w:r>
    </w:p>
    <w:p w14:paraId="7FDA761A">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Flow rate: 300 kg/h</w:t>
      </w:r>
    </w:p>
    <w:p w14:paraId="6B3A8139">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Target output: 500℃ superheated steam</w:t>
      </w:r>
    </w:p>
    <w:p w14:paraId="7B6DD7B4">
      <w:pPr>
        <w:rPr>
          <w:rFonts w:hint="default"/>
          <w:sz w:val="28"/>
          <w:szCs w:val="28"/>
          <w:lang w:val="en-US" w:eastAsia="zh-CN"/>
        </w:rPr>
      </w:pPr>
    </w:p>
    <w:p w14:paraId="4902CAE2">
      <w:pPr>
        <w:numPr>
          <w:ilvl w:val="0"/>
          <w:numId w:val="2"/>
        </w:numPr>
        <w:ind w:left="0" w:leftChars="0" w:firstLine="0" w:firstLineChars="0"/>
        <w:rPr>
          <w:rFonts w:hint="default"/>
          <w:sz w:val="28"/>
          <w:szCs w:val="28"/>
          <w:lang w:val="en-US" w:eastAsia="zh-CN"/>
        </w:rPr>
      </w:pPr>
      <w:r>
        <w:rPr>
          <w:rFonts w:hint="eastAsia" w:ascii="Times New Roman" w:hAnsi="Calibri" w:eastAsia="微软雅黑" w:cs="Times New Roman"/>
          <w:kern w:val="2"/>
          <w:sz w:val="28"/>
          <w:szCs w:val="28"/>
          <w:lang w:val="en-US" w:eastAsia="zh-CN" w:bidi="ar-SA"/>
        </w:rPr>
        <w:t>Calories required for supplementation:</w:t>
      </w:r>
    </w:p>
    <w:p w14:paraId="590D5B21">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170℃ Saturated steam enthalpy: ≈ 2763 kJ/kg</w:t>
      </w:r>
    </w:p>
    <w:p w14:paraId="55874856">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500℃ The enthalpy value of superheated steam (0.7 MPa) is about 3487 kJ/kg</w:t>
      </w:r>
    </w:p>
    <w:p w14:paraId="12F728D8">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The required enthalpy increase value is Δh = 3487-2763 = 724 kJ/kg</w:t>
      </w:r>
    </w:p>
    <w:p w14:paraId="6DD247AA">
      <w:pPr>
        <w:numPr>
          <w:ilvl w:val="0"/>
          <w:numId w:val="2"/>
        </w:numPr>
        <w:ind w:left="0" w:leftChars="0" w:firstLine="0" w:firstLineChars="0"/>
        <w:rPr>
          <w:rFonts w:hint="default"/>
          <w:sz w:val="28"/>
          <w:szCs w:val="28"/>
          <w:lang w:val="en-US" w:eastAsia="zh-CN"/>
        </w:rPr>
      </w:pPr>
      <w:r>
        <w:rPr>
          <w:rFonts w:hint="eastAsia" w:ascii="Times New Roman" w:hAnsi="Calibri" w:eastAsia="微软雅黑" w:cs="Times New Roman"/>
          <w:kern w:val="2"/>
          <w:sz w:val="28"/>
          <w:szCs w:val="28"/>
          <w:lang w:val="en-US" w:eastAsia="zh-CN" w:bidi="ar-SA"/>
        </w:rPr>
        <w:t>Power demand of superheater:</w:t>
      </w:r>
    </w:p>
    <w:p w14:paraId="6F7222CB">
      <w:pPr>
        <w:rPr>
          <w:rFonts w:hint="default"/>
          <w:sz w:val="28"/>
          <w:szCs w:val="28"/>
          <w:lang w:val="en-US" w:eastAsia="zh-CN"/>
        </w:rPr>
      </w:pPr>
      <w:r>
        <w:rPr>
          <w:rFonts w:hint="default"/>
          <w:sz w:val="28"/>
          <w:szCs w:val="28"/>
          <w:lang w:val="en-US" w:eastAsia="zh-CN"/>
        </w:rPr>
        <w:drawing>
          <wp:inline distT="0" distB="0" distL="114300" distR="114300">
            <wp:extent cx="5273040" cy="685800"/>
            <wp:effectExtent l="0" t="0" r="3810" b="0"/>
            <wp:docPr id="2" name="图片 2" descr="d64ae337eaf170d68d8e1843c11123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64ae337eaf170d68d8e1843c111234b"/>
                    <pic:cNvPicPr>
                      <a:picLocks noChangeAspect="1"/>
                    </pic:cNvPicPr>
                  </pic:nvPicPr>
                  <pic:blipFill>
                    <a:blip r:embed="rId7"/>
                    <a:stretch>
                      <a:fillRect/>
                    </a:stretch>
                  </pic:blipFill>
                  <pic:spPr>
                    <a:xfrm>
                      <a:off x="0" y="0"/>
                      <a:ext cx="5273040" cy="685800"/>
                    </a:xfrm>
                    <a:prstGeom prst="rect">
                      <a:avLst/>
                    </a:prstGeom>
                    <a:noFill/>
                    <a:ln>
                      <a:noFill/>
                    </a:ln>
                  </pic:spPr>
                </pic:pic>
              </a:graphicData>
            </a:graphic>
          </wp:inline>
        </w:drawing>
      </w:r>
    </w:p>
    <w:p w14:paraId="27DB0B0A">
      <w:pPr>
        <w:numPr>
          <w:ilvl w:val="0"/>
          <w:numId w:val="2"/>
        </w:numPr>
        <w:ind w:left="0" w:leftChars="0" w:firstLine="0" w:firstLineChars="0"/>
        <w:rPr>
          <w:rFonts w:hint="default"/>
          <w:sz w:val="28"/>
          <w:szCs w:val="28"/>
          <w:lang w:val="en-US" w:eastAsia="zh-CN"/>
        </w:rPr>
      </w:pPr>
      <w:r>
        <w:rPr>
          <w:rFonts w:hint="eastAsia" w:ascii="Times New Roman" w:hAnsi="Calibri" w:eastAsia="微软雅黑" w:cs="Times New Roman"/>
          <w:kern w:val="2"/>
          <w:sz w:val="28"/>
          <w:szCs w:val="28"/>
          <w:lang w:val="en-US" w:eastAsia="zh-CN" w:bidi="ar-SA"/>
        </w:rPr>
        <w:t>Selection parameters:</w:t>
      </w:r>
    </w:p>
    <w:p w14:paraId="0C6D2C6B">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Power: ≥65 kW (with 10% margin)</w:t>
      </w:r>
    </w:p>
    <w:p w14:paraId="4C050615">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Heating method: Electromagnetic induction eddy current heating (high frequency/frequency)</w:t>
      </w:r>
    </w:p>
    <w:p w14:paraId="586057F0">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Material: 310S stainless steel pipe (temperature resistance ≥800℃)</w:t>
      </w:r>
    </w:p>
    <w:p w14:paraId="5EF7B7BD">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Protection class: IP54</w:t>
      </w:r>
    </w:p>
    <w:p w14:paraId="70AE6A6C">
      <w:pPr>
        <w:rPr>
          <w:rFonts w:hint="default"/>
          <w:sz w:val="28"/>
          <w:szCs w:val="28"/>
          <w:lang w:val="en-US" w:eastAsia="zh-CN"/>
        </w:rPr>
      </w:pPr>
      <w:r>
        <w:rPr>
          <w:rFonts w:hint="default"/>
          <w:sz w:val="28"/>
          <w:szCs w:val="28"/>
          <w:lang w:val="en-US" w:eastAsia="zh-CN"/>
        </w:rPr>
        <w:drawing>
          <wp:inline distT="0" distB="0" distL="114300" distR="114300">
            <wp:extent cx="5657215" cy="3277235"/>
            <wp:effectExtent l="0" t="0" r="635" b="18415"/>
            <wp:docPr id="3" name="图片 3" descr="过热蒸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过热蒸汽"/>
                    <pic:cNvPicPr>
                      <a:picLocks noChangeAspect="1"/>
                    </pic:cNvPicPr>
                  </pic:nvPicPr>
                  <pic:blipFill>
                    <a:blip r:embed="rId8"/>
                    <a:srcRect t="4851" b="13219"/>
                    <a:stretch>
                      <a:fillRect/>
                    </a:stretch>
                  </pic:blipFill>
                  <pic:spPr>
                    <a:xfrm>
                      <a:off x="0" y="0"/>
                      <a:ext cx="5657215" cy="3277235"/>
                    </a:xfrm>
                    <a:prstGeom prst="rect">
                      <a:avLst/>
                    </a:prstGeom>
                    <a:noFill/>
                    <a:ln>
                      <a:noFill/>
                    </a:ln>
                  </pic:spPr>
                </pic:pic>
              </a:graphicData>
            </a:graphic>
          </wp:inline>
        </w:drawing>
      </w:r>
    </w:p>
    <w:p w14:paraId="6021626D">
      <w:pPr>
        <w:pStyle w:val="2"/>
        <w:keepNext w:val="0"/>
        <w:keepLines w:val="0"/>
        <w:widowControl/>
        <w:suppressLineNumbers w:val="0"/>
        <w:shd w:val="clear" w:color="auto" w:fill="FFFFFF"/>
        <w:spacing w:before="274" w:beforeAutospacing="0" w:after="206" w:afterAutospacing="0" w:line="23" w:lineRule="atLeast"/>
        <w:ind w:left="0" w:right="0" w:firstLine="0"/>
        <w:rPr>
          <w:rFonts w:hint="eastAsia" w:ascii="Segoe UI" w:hAnsi="Segoe UI" w:eastAsia="宋体" w:cs="Segoe UI"/>
          <w:b/>
          <w:bCs/>
          <w:i w:val="0"/>
          <w:iCs w:val="0"/>
          <w:caps w:val="0"/>
          <w:color w:val="404040"/>
          <w:spacing w:val="0"/>
          <w:sz w:val="27"/>
          <w:szCs w:val="27"/>
          <w:lang w:eastAsia="zh-CN"/>
        </w:rPr>
      </w:pPr>
      <w:r>
        <w:rPr>
          <w:rFonts w:hint="eastAsia" w:ascii="Times New Roman" w:hAnsi="Segoe UI" w:eastAsia="微软雅黑" w:cs="Segoe UI"/>
          <w:b/>
          <w:bCs/>
          <w:i w:val="0"/>
          <w:iCs w:val="0"/>
          <w:caps w:val="0"/>
          <w:color w:val="404040"/>
          <w:spacing w:val="0"/>
          <w:kern w:val="0"/>
          <w:sz w:val="27"/>
          <w:szCs w:val="27"/>
          <w:shd w:val="clear" w:color="auto" w:fill="FFFFFF"/>
          <w:lang w:val="en-US" w:eastAsia="zh-CN" w:bidi="ar"/>
        </w:rPr>
        <w:t>3. System integration design</w:t>
      </w:r>
    </w:p>
    <w:p w14:paraId="411A595E">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1. Pipeline and interface</w:t>
      </w:r>
    </w:p>
    <w:p w14:paraId="67A6950F">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Steam generator outlet: steam and water separator is added to ensure dryness ≥ 98%</w:t>
      </w:r>
    </w:p>
    <w:p w14:paraId="129CF631">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Superheater inlet: temperature/pressure sensor (interlock control)</w:t>
      </w:r>
    </w:p>
    <w:p w14:paraId="51F80B5D">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Exhaust of superheater:</w:t>
      </w:r>
    </w:p>
    <w:p w14:paraId="201A6E30">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High temperature pressure gauge (0~1.6 MPa)</w:t>
      </w:r>
    </w:p>
    <w:p w14:paraId="284B249C">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K-type thermocouple (0~600℃)</w:t>
      </w:r>
    </w:p>
    <w:p w14:paraId="3DCD3FA7">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Safety valve (pressure relief value =1.1 times design pressure)</w:t>
      </w:r>
    </w:p>
    <w:p w14:paraId="4AD7AE6A">
      <w:pPr>
        <w:rPr>
          <w:rFonts w:hint="default"/>
          <w:sz w:val="28"/>
          <w:szCs w:val="28"/>
          <w:lang w:val="en-US" w:eastAsia="zh-CN"/>
        </w:rPr>
      </w:pPr>
    </w:p>
    <w:p w14:paraId="4B129655">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2. Control system</w:t>
      </w:r>
    </w:p>
    <w:p w14:paraId="77E133B7">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PLC control cabinet (including touch screen):</w:t>
      </w:r>
    </w:p>
    <w:p w14:paraId="7EE583CC">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Start and stop the electric steam generator</w:t>
      </w:r>
    </w:p>
    <w:p w14:paraId="4D6E9BA5">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Power regulation of electromagnetic overheaters (PID control, accuracy ±5℃)</w:t>
      </w:r>
    </w:p>
    <w:p w14:paraId="4BE733AF">
      <w:pPr>
        <w:numPr>
          <w:ilvl w:val="0"/>
          <w:numId w:val="3"/>
        </w:numPr>
        <w:ind w:left="0" w:leftChars="0" w:firstLine="0" w:firstLineChars="0"/>
        <w:rPr>
          <w:rFonts w:hint="default"/>
          <w:sz w:val="28"/>
          <w:szCs w:val="28"/>
          <w:lang w:val="en-US" w:eastAsia="zh-CN"/>
        </w:rPr>
      </w:pPr>
      <w:r>
        <w:rPr>
          <w:rFonts w:hint="eastAsia" w:ascii="Times New Roman" w:hAnsi="Calibri" w:eastAsia="微软雅黑" w:cs="Times New Roman"/>
          <w:kern w:val="2"/>
          <w:sz w:val="28"/>
          <w:szCs w:val="28"/>
          <w:lang w:val="en-US" w:eastAsia="zh-CN" w:bidi="ar-SA"/>
        </w:rPr>
        <w:t>Key interlock protection:</w:t>
      </w:r>
    </w:p>
    <w:p w14:paraId="6E5E05D2">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When the steam flow is less than 250 kg/h, the superheater automatically reduces power</w:t>
      </w:r>
    </w:p>
    <w:p w14:paraId="4F47BCEB">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Emergency shutdown when the outlet temperature is&gt; 520℃ or the pressure is&gt; 0.85 MPa</w:t>
      </w:r>
    </w:p>
    <w:p w14:paraId="4CD94F85">
      <w:pPr>
        <w:pStyle w:val="2"/>
        <w:keepNext w:val="0"/>
        <w:keepLines w:val="0"/>
        <w:widowControl/>
        <w:suppressLineNumbers w:val="0"/>
        <w:shd w:val="clear" w:color="auto" w:fill="FFFFFF"/>
        <w:spacing w:before="274" w:beforeAutospacing="0" w:after="206" w:afterAutospacing="0" w:line="23" w:lineRule="atLeast"/>
        <w:ind w:left="0" w:right="0" w:firstLine="0"/>
        <w:rPr>
          <w:rFonts w:hint="eastAsia" w:ascii="Segoe UI" w:hAnsi="Segoe UI" w:eastAsia="宋体" w:cs="Segoe UI"/>
          <w:b/>
          <w:bCs/>
          <w:i w:val="0"/>
          <w:iCs w:val="0"/>
          <w:caps w:val="0"/>
          <w:color w:val="404040"/>
          <w:spacing w:val="0"/>
          <w:sz w:val="27"/>
          <w:szCs w:val="27"/>
          <w:lang w:eastAsia="zh-CN"/>
        </w:rPr>
      </w:pPr>
      <w:r>
        <w:rPr>
          <w:rFonts w:hint="eastAsia" w:ascii="Times New Roman" w:hAnsi="Segoe UI" w:eastAsia="微软雅黑" w:cs="Segoe UI"/>
          <w:b/>
          <w:bCs/>
          <w:i w:val="0"/>
          <w:iCs w:val="0"/>
          <w:caps w:val="0"/>
          <w:color w:val="404040"/>
          <w:spacing w:val="0"/>
          <w:kern w:val="0"/>
          <w:sz w:val="27"/>
          <w:szCs w:val="27"/>
          <w:shd w:val="clear" w:color="auto" w:fill="FFFFFF"/>
          <w:lang w:val="en-US" w:eastAsia="zh-CN" w:bidi="ar"/>
        </w:rPr>
        <w:t>IV. Safety protection measures</w:t>
      </w:r>
    </w:p>
    <w:p w14:paraId="33059C64">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1. Electrical safety:</w:t>
      </w:r>
    </w:p>
    <w:p w14:paraId="2A158D95">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The grounding resistance of electromagnetic overheater should be less than or equal to 4Ω</w:t>
      </w:r>
    </w:p>
    <w:p w14:paraId="69AEC13F">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Overcurrent/short circuit protection (circuit breaker + fuse)</w:t>
      </w:r>
    </w:p>
    <w:p w14:paraId="580DB33F">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High temperature protection:</w:t>
      </w:r>
    </w:p>
    <w:p w14:paraId="62482EE6">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The temperature of the superheater shell is ≤60℃ (aluminum silicate fiber insulation layer + 304 stainless steel cover)</w:t>
      </w:r>
    </w:p>
    <w:p w14:paraId="73849002">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High temperature pipeline mark + guard net</w:t>
      </w:r>
    </w:p>
    <w:p w14:paraId="3959B3AE">
      <w:pPr>
        <w:numPr>
          <w:ilvl w:val="0"/>
          <w:numId w:val="4"/>
        </w:numPr>
        <w:ind w:left="0" w:leftChars="0" w:firstLine="0" w:firstLineChars="0"/>
        <w:rPr>
          <w:rFonts w:hint="default"/>
          <w:sz w:val="28"/>
          <w:szCs w:val="28"/>
          <w:lang w:val="en-US" w:eastAsia="zh-CN"/>
        </w:rPr>
      </w:pPr>
      <w:r>
        <w:rPr>
          <w:rFonts w:hint="eastAsia" w:ascii="Times New Roman" w:hAnsi="Calibri" w:eastAsia="微软雅黑" w:cs="Times New Roman"/>
          <w:kern w:val="2"/>
          <w:sz w:val="28"/>
          <w:szCs w:val="28"/>
          <w:lang w:val="en-US" w:eastAsia="zh-CN" w:bidi="ar-SA"/>
        </w:rPr>
        <w:t>Shedding protection:</w:t>
      </w:r>
    </w:p>
    <w:p w14:paraId="27DCB6C5">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A spring-loaded safety valve (DN20, trip pressure 0.77 MPa) is installed at the outlet of the superheater</w:t>
      </w:r>
    </w:p>
    <w:p w14:paraId="233A24AA">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The highest point of the system is equipped with an exhaust valve</w:t>
      </w:r>
    </w:p>
    <w:p w14:paraId="70241263">
      <w:pPr>
        <w:pStyle w:val="2"/>
        <w:keepNext w:val="0"/>
        <w:keepLines w:val="0"/>
        <w:widowControl/>
        <w:numPr>
          <w:ilvl w:val="0"/>
          <w:numId w:val="5"/>
        </w:numPr>
        <w:suppressLineNumbers w:val="0"/>
        <w:shd w:val="clear" w:color="auto" w:fill="FFFFFF"/>
        <w:spacing w:before="274" w:beforeAutospacing="0" w:after="206" w:afterAutospacing="0" w:line="23" w:lineRule="atLeast"/>
        <w:ind w:left="0" w:leftChars="0" w:right="0" w:firstLine="0" w:firstLineChars="0"/>
        <w:rPr>
          <w:rStyle w:val="9"/>
          <w:rFonts w:hint="default" w:ascii="Segoe UI" w:hAnsi="Segoe UI" w:eastAsia="Segoe UI" w:cs="Segoe UI"/>
          <w:b/>
          <w:bCs/>
          <w:i w:val="0"/>
          <w:iCs w:val="0"/>
          <w:caps w:val="0"/>
          <w:color w:val="404040"/>
          <w:spacing w:val="0"/>
          <w:sz w:val="27"/>
          <w:szCs w:val="27"/>
          <w:shd w:val="clear" w:color="auto" w:fill="FFFFFF"/>
        </w:rPr>
      </w:pPr>
      <w:r>
        <w:rPr>
          <w:rFonts w:hint="eastAsia" w:ascii="Times New Roman" w:hAnsi="Segoe UI" w:eastAsia="微软雅黑" w:cs="Segoe UI"/>
          <w:b/>
          <w:bCs/>
          <w:i w:val="0"/>
          <w:iCs w:val="0"/>
          <w:caps w:val="0"/>
          <w:color w:val="404040"/>
          <w:spacing w:val="0"/>
          <w:kern w:val="0"/>
          <w:sz w:val="27"/>
          <w:szCs w:val="27"/>
          <w:shd w:val="clear" w:color="auto" w:fill="FFFFFF"/>
          <w:lang w:val="en-US" w:eastAsia="zh-CN" w:bidi="ar"/>
        </w:rPr>
        <w:t>Energy consumption and efficiency optimization</w:t>
      </w:r>
    </w:p>
    <w:p w14:paraId="79239E5C">
      <w:pPr>
        <w:numPr>
          <w:ilvl w:val="0"/>
          <w:numId w:val="6"/>
        </w:numPr>
        <w:ind w:left="0" w:leftChars="0" w:firstLine="0" w:firstLineChars="0"/>
        <w:rPr>
          <w:rFonts w:hint="default"/>
          <w:sz w:val="28"/>
          <w:szCs w:val="28"/>
          <w:lang w:val="en-US" w:eastAsia="zh-CN"/>
        </w:rPr>
      </w:pPr>
      <w:r>
        <w:rPr>
          <w:rFonts w:hint="eastAsia" w:ascii="Times New Roman" w:hAnsi="Calibri" w:eastAsia="微软雅黑" w:cs="Times New Roman"/>
          <w:kern w:val="2"/>
          <w:sz w:val="28"/>
          <w:szCs w:val="28"/>
          <w:lang w:val="en-US" w:eastAsia="zh-CN" w:bidi="ar-SA"/>
        </w:rPr>
        <w:t>Total power consumption: 216 kW (generator) + 65 kW (overheater) = 281 kW</w:t>
      </w:r>
    </w:p>
    <w:p w14:paraId="402D78AF">
      <w:pPr>
        <w:numPr>
          <w:ilvl w:val="0"/>
          <w:numId w:val="6"/>
        </w:numPr>
        <w:ind w:left="0" w:leftChars="0" w:firstLine="0" w:firstLineChars="0"/>
        <w:rPr>
          <w:rFonts w:hint="default"/>
          <w:sz w:val="28"/>
          <w:szCs w:val="28"/>
          <w:lang w:val="en-US" w:eastAsia="zh-CN"/>
        </w:rPr>
      </w:pPr>
      <w:r>
        <w:rPr>
          <w:rFonts w:hint="eastAsia" w:ascii="Times New Roman" w:hAnsi="Calibri" w:eastAsia="微软雅黑" w:cs="Times New Roman"/>
          <w:kern w:val="2"/>
          <w:sz w:val="28"/>
          <w:szCs w:val="28"/>
          <w:lang w:val="en-US" w:eastAsia="zh-CN" w:bidi="ar-SA"/>
        </w:rPr>
        <w:t>Thermal efficiency improvement:</w:t>
      </w:r>
    </w:p>
    <w:p w14:paraId="553505BA">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The efficiency of electromagnetic superheater is more than 95%(no heat loss in direct heating)</w:t>
      </w:r>
    </w:p>
    <w:p w14:paraId="112F1CCC">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Steam pipe insulation (λ ≤ 0.035 W/m·K)</w:t>
      </w:r>
    </w:p>
    <w:p w14:paraId="2C77E87C">
      <w:pPr>
        <w:rPr>
          <w:rFonts w:hint="default"/>
          <w:sz w:val="28"/>
          <w:szCs w:val="28"/>
          <w:lang w:val="en-US" w:eastAsia="zh-CN"/>
        </w:rPr>
      </w:pPr>
      <w:r>
        <w:rPr>
          <w:rFonts w:hint="default"/>
          <w:sz w:val="28"/>
          <w:szCs w:val="28"/>
          <w:lang w:val="en-US" w:eastAsia="zh-CN"/>
        </w:rPr>
        <w:drawing>
          <wp:inline distT="0" distB="0" distL="114300" distR="114300">
            <wp:extent cx="5553075" cy="3717925"/>
            <wp:effectExtent l="0" t="0" r="9525" b="15875"/>
            <wp:docPr id="4" name="图片 4" descr="特过热蒸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特过热蒸汽"/>
                    <pic:cNvPicPr>
                      <a:picLocks noChangeAspect="1"/>
                    </pic:cNvPicPr>
                  </pic:nvPicPr>
                  <pic:blipFill>
                    <a:blip r:embed="rId9"/>
                    <a:stretch>
                      <a:fillRect/>
                    </a:stretch>
                  </pic:blipFill>
                  <pic:spPr>
                    <a:xfrm>
                      <a:off x="0" y="0"/>
                      <a:ext cx="5553075" cy="3717925"/>
                    </a:xfrm>
                    <a:prstGeom prst="rect">
                      <a:avLst/>
                    </a:prstGeom>
                    <a:noFill/>
                    <a:ln>
                      <a:noFill/>
                    </a:ln>
                  </pic:spPr>
                </pic:pic>
              </a:graphicData>
            </a:graphic>
          </wp:inline>
        </w:drawing>
      </w:r>
    </w:p>
    <w:p w14:paraId="432E5CEA">
      <w:pPr>
        <w:pStyle w:val="6"/>
        <w:keepNext w:val="0"/>
        <w:keepLines w:val="0"/>
        <w:widowControl/>
        <w:suppressLineNumbers w:val="0"/>
        <w:spacing w:before="0" w:beforeAutospacing="0" w:after="0" w:afterAutospacing="0" w:line="429" w:lineRule="atLeast"/>
        <w:ind w:left="0" w:right="0"/>
        <w:rPr>
          <w:rFonts w:hint="eastAsia" w:ascii="Segoe UI" w:hAnsi="Segoe UI" w:eastAsia="宋体" w:cs="Segoe UI"/>
          <w:b/>
          <w:bCs/>
          <w:i w:val="0"/>
          <w:iCs w:val="0"/>
          <w:caps w:val="0"/>
          <w:color w:val="404040"/>
          <w:spacing w:val="0"/>
          <w:sz w:val="27"/>
          <w:szCs w:val="27"/>
          <w:lang w:eastAsia="zh-CN"/>
        </w:rPr>
      </w:pPr>
      <w:r>
        <w:rPr>
          <w:rFonts w:hint="eastAsia" w:ascii="Times New Roman" w:hAnsi="Segoe UI" w:eastAsia="微软雅黑" w:cs="Segoe UI"/>
          <w:b/>
          <w:bCs/>
          <w:i w:val="0"/>
          <w:iCs w:val="0"/>
          <w:caps w:val="0"/>
          <w:color w:val="404040"/>
          <w:spacing w:val="0"/>
          <w:kern w:val="2"/>
          <w:sz w:val="27"/>
          <w:szCs w:val="27"/>
          <w:shd w:val="clear" w:color="auto" w:fill="FFFFFF"/>
          <w:lang w:val="en-US" w:eastAsia="zh-CN" w:bidi="ar-SA"/>
        </w:rPr>
        <w:t>6. Installation and debugging</w:t>
      </w:r>
    </w:p>
    <w:p w14:paraId="409BD6CB">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1. Installation requirements:</w:t>
      </w:r>
    </w:p>
    <w:p w14:paraId="2CA7F864">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The distance between the steam generator and the superheater is more than 0.5m (for easy heat dissipation and maintenance)</w:t>
      </w:r>
    </w:p>
    <w:p w14:paraId="2F89613F">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The inclination of steam pipe is not less than 5‰ (toward the drain valve)</w:t>
      </w:r>
    </w:p>
    <w:p w14:paraId="0C367277">
      <w:pPr>
        <w:numPr>
          <w:ilvl w:val="0"/>
          <w:numId w:val="6"/>
        </w:numPr>
        <w:ind w:left="0" w:leftChars="0" w:firstLine="0" w:firstLineChars="0"/>
        <w:rPr>
          <w:rFonts w:hint="default"/>
          <w:sz w:val="28"/>
          <w:szCs w:val="28"/>
          <w:lang w:val="en-US" w:eastAsia="zh-CN"/>
        </w:rPr>
      </w:pPr>
      <w:r>
        <w:rPr>
          <w:rFonts w:hint="eastAsia" w:ascii="Times New Roman" w:hAnsi="Calibri" w:eastAsia="微软雅黑" w:cs="Times New Roman"/>
          <w:kern w:val="2"/>
          <w:sz w:val="28"/>
          <w:szCs w:val="28"/>
          <w:lang w:val="en-US" w:eastAsia="zh-CN" w:bidi="ar-SA"/>
        </w:rPr>
        <w:t>Debugging steps:</w:t>
      </w:r>
    </w:p>
    <w:p w14:paraId="5C2EC52E">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Stage 1: Electric steam generator single unit operation (verify 300 kg/h production)</w:t>
      </w:r>
    </w:p>
    <w:p w14:paraId="6B8EB0C7">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Stage 2: Electromagnetic superheater no-load test (frequency 20-50 kHz)</w:t>
      </w:r>
    </w:p>
    <w:p w14:paraId="27EADAFE">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Stage 3: joint adjustment (step up to 500℃, each increase ≤50℃)</w:t>
      </w:r>
    </w:p>
    <w:p w14:paraId="478D991A">
      <w:pPr>
        <w:rPr>
          <w:rFonts w:hint="default"/>
          <w:sz w:val="28"/>
          <w:szCs w:val="28"/>
          <w:lang w:val="en-US" w:eastAsia="zh-CN"/>
        </w:rPr>
      </w:pPr>
    </w:p>
    <w:p w14:paraId="183E30A2">
      <w:pPr>
        <w:rPr>
          <w:rFonts w:hint="default"/>
          <w:sz w:val="28"/>
          <w:szCs w:val="28"/>
          <w:lang w:val="en-US" w:eastAsia="zh-CN"/>
        </w:rPr>
      </w:pPr>
    </w:p>
    <w:p w14:paraId="233697E9">
      <w:pPr>
        <w:rPr>
          <w:rFonts w:hint="default"/>
          <w:sz w:val="28"/>
          <w:szCs w:val="28"/>
          <w:lang w:val="en-US" w:eastAsia="zh-CN"/>
        </w:rPr>
      </w:pPr>
    </w:p>
    <w:p w14:paraId="024D552A">
      <w:pPr>
        <w:rPr>
          <w:rFonts w:hint="default"/>
          <w:sz w:val="28"/>
          <w:szCs w:val="28"/>
          <w:lang w:val="en-US" w:eastAsia="zh-CN"/>
        </w:rPr>
      </w:pPr>
    </w:p>
    <w:p w14:paraId="6E2E8ACC">
      <w:pPr>
        <w:pStyle w:val="2"/>
        <w:keepNext w:val="0"/>
        <w:keepLines w:val="0"/>
        <w:widowControl/>
        <w:suppressLineNumbers w:val="0"/>
        <w:shd w:val="clear" w:color="auto" w:fill="FFFFFF"/>
        <w:spacing w:before="274" w:beforeAutospacing="0" w:after="206" w:afterAutospacing="0" w:line="23" w:lineRule="atLeast"/>
        <w:ind w:left="0" w:right="0" w:firstLine="0"/>
        <w:rPr>
          <w:rStyle w:val="9"/>
          <w:rFonts w:hint="default" w:ascii="Segoe UI" w:hAnsi="Segoe UI" w:eastAsia="Segoe UI" w:cs="Segoe UI"/>
          <w:b/>
          <w:bCs/>
          <w:i w:val="0"/>
          <w:iCs w:val="0"/>
          <w:caps w:val="0"/>
          <w:color w:val="404040"/>
          <w:spacing w:val="0"/>
          <w:sz w:val="27"/>
          <w:szCs w:val="27"/>
          <w:shd w:val="clear" w:color="auto" w:fill="FFFFFF"/>
        </w:rPr>
      </w:pPr>
    </w:p>
    <w:p w14:paraId="11C90923">
      <w:pPr>
        <w:pStyle w:val="2"/>
        <w:keepNext w:val="0"/>
        <w:keepLines w:val="0"/>
        <w:widowControl/>
        <w:suppressLineNumbers w:val="0"/>
        <w:shd w:val="clear" w:color="auto" w:fill="FFFFFF"/>
        <w:spacing w:before="274" w:beforeAutospacing="0" w:after="206" w:afterAutospacing="0" w:line="23" w:lineRule="atLeast"/>
        <w:ind w:left="0" w:right="0" w:firstLine="0"/>
        <w:rPr>
          <w:rStyle w:val="9"/>
          <w:rFonts w:hint="default" w:ascii="Segoe UI" w:hAnsi="Segoe UI" w:eastAsia="Segoe UI" w:cs="Segoe UI"/>
          <w:b/>
          <w:bCs/>
          <w:i w:val="0"/>
          <w:iCs w:val="0"/>
          <w:caps w:val="0"/>
          <w:color w:val="404040"/>
          <w:spacing w:val="0"/>
          <w:sz w:val="27"/>
          <w:szCs w:val="27"/>
          <w:shd w:val="clear" w:color="auto" w:fill="FFFFFF"/>
        </w:rPr>
      </w:pPr>
    </w:p>
    <w:p w14:paraId="0DA1A4FD">
      <w:pPr>
        <w:pStyle w:val="2"/>
        <w:keepNext w:val="0"/>
        <w:keepLines w:val="0"/>
        <w:widowControl/>
        <w:suppressLineNumbers w:val="0"/>
        <w:shd w:val="clear" w:color="auto" w:fill="FFFFFF"/>
        <w:spacing w:before="274" w:beforeAutospacing="0" w:after="206" w:afterAutospacing="0" w:line="23" w:lineRule="atLeast"/>
        <w:ind w:left="0" w:right="0" w:firstLine="0"/>
        <w:rPr>
          <w:rFonts w:hint="eastAsia" w:ascii="Segoe UI" w:hAnsi="Segoe UI" w:eastAsia="宋体" w:cs="Segoe UI"/>
          <w:b/>
          <w:bCs/>
          <w:i w:val="0"/>
          <w:iCs w:val="0"/>
          <w:caps w:val="0"/>
          <w:color w:val="404040"/>
          <w:spacing w:val="0"/>
          <w:sz w:val="27"/>
          <w:szCs w:val="27"/>
          <w:lang w:eastAsia="zh-CN"/>
        </w:rPr>
      </w:pPr>
      <w:r>
        <w:rPr>
          <w:rFonts w:hint="eastAsia" w:ascii="Times New Roman" w:hAnsi="Segoe UI" w:eastAsia="微软雅黑" w:cs="Segoe UI"/>
          <w:b/>
          <w:bCs/>
          <w:i w:val="0"/>
          <w:iCs w:val="0"/>
          <w:caps w:val="0"/>
          <w:color w:val="404040"/>
          <w:spacing w:val="0"/>
          <w:kern w:val="0"/>
          <w:sz w:val="27"/>
          <w:szCs w:val="27"/>
          <w:shd w:val="clear" w:color="auto" w:fill="FFFFFF"/>
          <w:lang w:val="en-US" w:eastAsia="zh-CN" w:bidi="ar"/>
        </w:rPr>
        <w:t>VII. Summary of technical parameters</w:t>
      </w:r>
    </w:p>
    <w:tbl>
      <w:tblPr>
        <w:tblStyle w:val="7"/>
        <w:tblW w:w="929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3564"/>
        <w:gridCol w:w="5735"/>
      </w:tblGrid>
      <w:tr w14:paraId="31EB7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04" w:hRule="atLeast"/>
          <w:tblHeader/>
        </w:trPr>
        <w:tc>
          <w:tcPr>
            <w:tcW w:w="0" w:type="auto"/>
            <w:tcBorders>
              <w:top w:val="single" w:color="4874CB" w:sz="6" w:space="0"/>
              <w:left w:val="single" w:color="4874CB" w:sz="6" w:space="0"/>
              <w:bottom w:val="single" w:color="4874CB" w:sz="6" w:space="0"/>
              <w:right w:val="single" w:color="B5C7EA" w:sz="6" w:space="0"/>
            </w:tcBorders>
            <w:shd w:val="clear" w:color="auto" w:fill="4874CB"/>
            <w:noWrap w:val="0"/>
            <w:tcMar>
              <w:top w:w="150" w:type="dxa"/>
              <w:left w:w="0" w:type="dxa"/>
              <w:bottom w:w="150" w:type="dxa"/>
              <w:right w:w="150" w:type="dxa"/>
            </w:tcMar>
            <w:vAlign w:val="center"/>
          </w:tcPr>
          <w:p w14:paraId="5EF57D9E">
            <w:pPr>
              <w:keepNext w:val="0"/>
              <w:keepLines w:val="0"/>
              <w:widowControl/>
              <w:suppressLineNumbers w:val="0"/>
              <w:spacing w:line="26" w:lineRule="atLeast"/>
              <w:jc w:val="center"/>
              <w:rPr>
                <w:b/>
                <w:bCs/>
                <w:i w:val="0"/>
                <w:color w:val="FFFFFF"/>
                <w:sz w:val="28"/>
                <w:szCs w:val="28"/>
              </w:rPr>
            </w:pPr>
            <w:r>
              <w:rPr>
                <w:rFonts w:hint="eastAsia" w:ascii="Times New Roman" w:hAnsi="宋体" w:eastAsia="微软雅黑" w:cs="宋体"/>
                <w:b/>
                <w:bCs/>
                <w:i w:val="0"/>
                <w:color w:val="FFFFFF"/>
                <w:kern w:val="0"/>
                <w:sz w:val="28"/>
                <w:szCs w:val="28"/>
                <w:lang w:val="en-US" w:eastAsia="zh-CN" w:bidi="ar"/>
              </w:rPr>
              <w:t xml:space="preserve"> equipment Device</w:t>
            </w:r>
          </w:p>
        </w:tc>
        <w:tc>
          <w:tcPr>
            <w:tcW w:w="0" w:type="auto"/>
            <w:tcBorders>
              <w:top w:val="single" w:color="4874CB" w:sz="6" w:space="0"/>
              <w:left w:val="single" w:color="B5C7EA" w:sz="6" w:space="0"/>
              <w:bottom w:val="single" w:color="4874CB" w:sz="6" w:space="0"/>
              <w:right w:val="single" w:color="4874CB" w:sz="6" w:space="0"/>
            </w:tcBorders>
            <w:shd w:val="clear" w:color="auto" w:fill="4874CB"/>
            <w:noWrap w:val="0"/>
            <w:tcMar>
              <w:top w:w="150" w:type="dxa"/>
              <w:left w:w="150" w:type="dxa"/>
              <w:bottom w:w="150" w:type="dxa"/>
              <w:right w:w="150" w:type="dxa"/>
            </w:tcMar>
            <w:vAlign w:val="center"/>
          </w:tcPr>
          <w:p w14:paraId="570CFEFE">
            <w:pPr>
              <w:keepNext w:val="0"/>
              <w:keepLines w:val="0"/>
              <w:widowControl/>
              <w:suppressLineNumbers w:val="0"/>
              <w:spacing w:line="26" w:lineRule="atLeast"/>
              <w:jc w:val="center"/>
              <w:rPr>
                <w:b/>
                <w:bCs/>
                <w:i w:val="0"/>
                <w:color w:val="FFFFFF"/>
                <w:sz w:val="28"/>
                <w:szCs w:val="28"/>
              </w:rPr>
            </w:pPr>
            <w:r>
              <w:rPr>
                <w:rFonts w:hint="eastAsia" w:ascii="Times New Roman" w:hAnsi="宋体" w:eastAsia="微软雅黑" w:cs="宋体"/>
                <w:b/>
                <w:bCs/>
                <w:i w:val="0"/>
                <w:color w:val="FFFFFF"/>
                <w:kern w:val="0"/>
                <w:sz w:val="28"/>
                <w:szCs w:val="28"/>
                <w:lang w:val="en-US" w:eastAsia="zh-CN" w:bidi="ar"/>
              </w:rPr>
              <w:t>Parameters</w:t>
            </w:r>
          </w:p>
        </w:tc>
      </w:tr>
      <w:tr w14:paraId="1BABE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9" w:hRule="atLeast"/>
        </w:trPr>
        <w:tc>
          <w:tcPr>
            <w:tcW w:w="0" w:type="auto"/>
            <w:tcBorders>
              <w:top w:val="single" w:color="4874CB" w:sz="6" w:space="0"/>
              <w:left w:val="single" w:color="4874CB" w:sz="6" w:space="0"/>
              <w:bottom w:val="single" w:color="B5C7EA" w:sz="6" w:space="0"/>
              <w:right w:val="single" w:color="B5C7EA" w:sz="6" w:space="0"/>
            </w:tcBorders>
            <w:shd w:val="clear" w:color="auto" w:fill="FFFFFF"/>
            <w:noWrap w:val="0"/>
            <w:tcMar>
              <w:top w:w="150" w:type="dxa"/>
              <w:left w:w="0" w:type="dxa"/>
              <w:bottom w:w="150" w:type="dxa"/>
              <w:right w:w="150" w:type="dxa"/>
            </w:tcMar>
            <w:vAlign w:val="center"/>
          </w:tcPr>
          <w:p w14:paraId="57D14F01">
            <w:pPr>
              <w:keepNext w:val="0"/>
              <w:keepLines w:val="0"/>
              <w:widowControl/>
              <w:suppressLineNumbers w:val="0"/>
              <w:spacing w:line="26" w:lineRule="atLeast"/>
              <w:jc w:val="center"/>
              <w:rPr>
                <w:b w:val="0"/>
                <w:i w:val="0"/>
                <w:color w:val="000000"/>
                <w:sz w:val="22"/>
                <w:szCs w:val="22"/>
              </w:rPr>
            </w:pPr>
            <w:r>
              <w:rPr>
                <w:rFonts w:hint="eastAsia" w:ascii="Times New Roman" w:hAnsi="宋体" w:eastAsia="微软雅黑" w:cs="宋体"/>
                <w:b w:val="0"/>
                <w:i w:val="0"/>
                <w:color w:val="000000"/>
                <w:kern w:val="0"/>
                <w:sz w:val="22"/>
                <w:szCs w:val="22"/>
                <w:lang w:val="en-US" w:eastAsia="zh-CN" w:bidi="ar"/>
              </w:rPr>
              <w:t>Electric steam generator</w:t>
            </w:r>
          </w:p>
        </w:tc>
        <w:tc>
          <w:tcPr>
            <w:tcW w:w="0" w:type="auto"/>
            <w:tcBorders>
              <w:top w:val="single" w:color="4874CB" w:sz="6" w:space="0"/>
              <w:left w:val="single" w:color="B5C7EA" w:sz="6" w:space="0"/>
              <w:bottom w:val="single" w:color="B5C7EA" w:sz="6" w:space="0"/>
              <w:right w:val="single" w:color="4874CB" w:sz="6" w:space="0"/>
            </w:tcBorders>
            <w:shd w:val="clear" w:color="auto" w:fill="FFFFFF"/>
            <w:noWrap w:val="0"/>
            <w:tcMar>
              <w:top w:w="150" w:type="dxa"/>
              <w:left w:w="150" w:type="dxa"/>
              <w:bottom w:w="150" w:type="dxa"/>
              <w:right w:w="150" w:type="dxa"/>
            </w:tcMar>
            <w:vAlign w:val="center"/>
          </w:tcPr>
          <w:p w14:paraId="20A8438B">
            <w:pPr>
              <w:keepNext w:val="0"/>
              <w:keepLines w:val="0"/>
              <w:widowControl/>
              <w:suppressLineNumbers w:val="0"/>
              <w:spacing w:line="26" w:lineRule="atLeast"/>
              <w:jc w:val="center"/>
              <w:rPr>
                <w:b w:val="0"/>
                <w:i w:val="0"/>
                <w:color w:val="000000"/>
                <w:sz w:val="22"/>
                <w:szCs w:val="22"/>
              </w:rPr>
            </w:pPr>
            <w:r>
              <w:rPr>
                <w:rFonts w:hint="eastAsia" w:ascii="Times New Roman" w:hAnsi="宋体" w:eastAsia="微软雅黑" w:cs="宋体"/>
                <w:b w:val="0"/>
                <w:i w:val="0"/>
                <w:color w:val="000000"/>
                <w:kern w:val="0"/>
                <w:sz w:val="22"/>
                <w:szCs w:val="22"/>
                <w:lang w:val="en-US" w:eastAsia="zh-CN" w:bidi="ar"/>
              </w:rPr>
              <w:t>Power 216kW, pressure 0.7MPa, 300kg/h</w:t>
            </w:r>
          </w:p>
        </w:tc>
      </w:tr>
      <w:tr w14:paraId="3AE7E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64" w:hRule="atLeast"/>
        </w:trPr>
        <w:tc>
          <w:tcPr>
            <w:tcW w:w="0" w:type="auto"/>
            <w:tcBorders>
              <w:top w:val="single" w:color="B5C7EA" w:sz="6" w:space="0"/>
              <w:left w:val="single" w:color="4874CB" w:sz="6" w:space="0"/>
              <w:bottom w:val="single" w:color="B5C7EA" w:sz="6" w:space="0"/>
              <w:right w:val="single" w:color="B5C7EA" w:sz="6" w:space="0"/>
            </w:tcBorders>
            <w:shd w:val="clear" w:color="auto" w:fill="EDF1F9"/>
            <w:noWrap w:val="0"/>
            <w:tcMar>
              <w:top w:w="150" w:type="dxa"/>
              <w:left w:w="0" w:type="dxa"/>
              <w:bottom w:w="150" w:type="dxa"/>
              <w:right w:w="150" w:type="dxa"/>
            </w:tcMar>
            <w:vAlign w:val="center"/>
          </w:tcPr>
          <w:p w14:paraId="0DF035E1">
            <w:pPr>
              <w:keepNext w:val="0"/>
              <w:keepLines w:val="0"/>
              <w:widowControl/>
              <w:suppressLineNumbers w:val="0"/>
              <w:spacing w:line="26" w:lineRule="atLeast"/>
              <w:jc w:val="center"/>
              <w:rPr>
                <w:b w:val="0"/>
                <w:i w:val="0"/>
                <w:color w:val="000000"/>
                <w:sz w:val="22"/>
                <w:szCs w:val="22"/>
              </w:rPr>
            </w:pPr>
            <w:r>
              <w:rPr>
                <w:rFonts w:hint="eastAsia" w:ascii="Times New Roman" w:hAnsi="宋体" w:eastAsia="微软雅黑" w:cs="宋体"/>
                <w:b w:val="0"/>
                <w:i w:val="0"/>
                <w:color w:val="000000"/>
                <w:kern w:val="0"/>
                <w:sz w:val="22"/>
                <w:szCs w:val="22"/>
                <w:lang w:val="en-US" w:eastAsia="zh-CN" w:bidi="ar"/>
              </w:rPr>
              <w:t>Electromagnetic steam superheater</w:t>
            </w:r>
          </w:p>
        </w:tc>
        <w:tc>
          <w:tcPr>
            <w:tcW w:w="0" w:type="auto"/>
            <w:tcBorders>
              <w:top w:val="single" w:color="B5C7EA" w:sz="6" w:space="0"/>
              <w:left w:val="single" w:color="B5C7EA" w:sz="6" w:space="0"/>
              <w:bottom w:val="single" w:color="B5C7EA" w:sz="6" w:space="0"/>
              <w:right w:val="single" w:color="4874CB" w:sz="6" w:space="0"/>
            </w:tcBorders>
            <w:shd w:val="clear" w:color="auto" w:fill="EDF1F9"/>
            <w:noWrap w:val="0"/>
            <w:tcMar>
              <w:top w:w="150" w:type="dxa"/>
              <w:left w:w="150" w:type="dxa"/>
              <w:bottom w:w="150" w:type="dxa"/>
              <w:right w:w="150" w:type="dxa"/>
            </w:tcMar>
            <w:vAlign w:val="center"/>
          </w:tcPr>
          <w:p w14:paraId="4870E85E">
            <w:pPr>
              <w:keepNext w:val="0"/>
              <w:keepLines w:val="0"/>
              <w:widowControl/>
              <w:suppressLineNumbers w:val="0"/>
              <w:spacing w:line="26" w:lineRule="atLeast"/>
              <w:jc w:val="center"/>
              <w:rPr>
                <w:b w:val="0"/>
                <w:i w:val="0"/>
                <w:color w:val="000000"/>
                <w:sz w:val="22"/>
                <w:szCs w:val="22"/>
              </w:rPr>
            </w:pPr>
            <w:r>
              <w:rPr>
                <w:rFonts w:hint="eastAsia" w:ascii="Times New Roman" w:hAnsi="宋体" w:eastAsia="微软雅黑" w:cs="宋体"/>
                <w:b w:val="0"/>
                <w:i w:val="0"/>
                <w:color w:val="000000"/>
                <w:kern w:val="0"/>
                <w:sz w:val="22"/>
                <w:szCs w:val="22"/>
                <w:lang w:val="en-US" w:eastAsia="zh-CN" w:bidi="ar"/>
              </w:rPr>
              <w:t>Power 65kW, outlet temperature 500℃±5℃</w:t>
            </w:r>
          </w:p>
        </w:tc>
      </w:tr>
      <w:tr w14:paraId="0308B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84" w:hRule="atLeast"/>
        </w:trPr>
        <w:tc>
          <w:tcPr>
            <w:tcW w:w="0" w:type="auto"/>
            <w:tcBorders>
              <w:top w:val="single" w:color="B5C7EA" w:sz="6" w:space="0"/>
              <w:left w:val="single" w:color="4874CB" w:sz="6" w:space="0"/>
              <w:bottom w:val="single" w:color="B5C7EA" w:sz="6" w:space="0"/>
              <w:right w:val="single" w:color="B5C7EA" w:sz="6" w:space="0"/>
            </w:tcBorders>
            <w:shd w:val="clear" w:color="auto" w:fill="FFFFFF"/>
            <w:noWrap w:val="0"/>
            <w:tcMar>
              <w:top w:w="150" w:type="dxa"/>
              <w:left w:w="0" w:type="dxa"/>
              <w:bottom w:w="150" w:type="dxa"/>
              <w:right w:w="150" w:type="dxa"/>
            </w:tcMar>
            <w:vAlign w:val="center"/>
          </w:tcPr>
          <w:p w14:paraId="1F31DB25">
            <w:pPr>
              <w:keepNext w:val="0"/>
              <w:keepLines w:val="0"/>
              <w:widowControl/>
              <w:suppressLineNumbers w:val="0"/>
              <w:spacing w:line="26" w:lineRule="atLeast"/>
              <w:jc w:val="center"/>
              <w:rPr>
                <w:b w:val="0"/>
                <w:i w:val="0"/>
                <w:color w:val="000000"/>
                <w:sz w:val="22"/>
                <w:szCs w:val="22"/>
              </w:rPr>
            </w:pPr>
            <w:r>
              <w:rPr>
                <w:rFonts w:hint="eastAsia" w:ascii="Times New Roman" w:hAnsi="宋体" w:eastAsia="微软雅黑" w:cs="宋体"/>
                <w:b w:val="0"/>
                <w:i w:val="0"/>
                <w:color w:val="000000"/>
                <w:kern w:val="0"/>
                <w:sz w:val="22"/>
                <w:szCs w:val="22"/>
                <w:lang w:val="en-US" w:eastAsia="zh-CN" w:bidi="ar"/>
              </w:rPr>
              <w:t xml:space="preserve"> navar </w:t>
            </w:r>
          </w:p>
        </w:tc>
        <w:tc>
          <w:tcPr>
            <w:tcW w:w="0" w:type="auto"/>
            <w:tcBorders>
              <w:top w:val="single" w:color="B5C7EA" w:sz="6" w:space="0"/>
              <w:left w:val="single" w:color="B5C7EA" w:sz="6" w:space="0"/>
              <w:bottom w:val="single" w:color="B5C7EA" w:sz="6" w:space="0"/>
              <w:right w:val="single" w:color="4874CB" w:sz="6" w:space="0"/>
            </w:tcBorders>
            <w:shd w:val="clear" w:color="auto" w:fill="FFFFFF"/>
            <w:noWrap w:val="0"/>
            <w:tcMar>
              <w:top w:w="150" w:type="dxa"/>
              <w:left w:w="150" w:type="dxa"/>
              <w:bottom w:w="150" w:type="dxa"/>
              <w:right w:w="150" w:type="dxa"/>
            </w:tcMar>
            <w:vAlign w:val="center"/>
          </w:tcPr>
          <w:p w14:paraId="46EDEFBC">
            <w:pPr>
              <w:keepNext w:val="0"/>
              <w:keepLines w:val="0"/>
              <w:widowControl/>
              <w:suppressLineNumbers w:val="0"/>
              <w:spacing w:line="26" w:lineRule="atLeast"/>
              <w:jc w:val="center"/>
              <w:rPr>
                <w:b w:val="0"/>
                <w:i w:val="0"/>
                <w:color w:val="000000"/>
                <w:sz w:val="22"/>
                <w:szCs w:val="22"/>
              </w:rPr>
            </w:pPr>
            <w:r>
              <w:rPr>
                <w:rFonts w:hint="eastAsia" w:ascii="Times New Roman" w:hAnsi="宋体" w:eastAsia="微软雅黑" w:cs="宋体"/>
                <w:b w:val="0"/>
                <w:i w:val="0"/>
                <w:color w:val="000000"/>
                <w:kern w:val="0"/>
                <w:sz w:val="22"/>
                <w:szCs w:val="22"/>
                <w:lang w:val="en-US" w:eastAsia="zh-CN" w:bidi="ar"/>
              </w:rPr>
              <w:t>PLC + PID temperature control, RS485 communication</w:t>
            </w:r>
          </w:p>
        </w:tc>
      </w:tr>
      <w:tr w14:paraId="7284B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2" w:hRule="atLeast"/>
        </w:trPr>
        <w:tc>
          <w:tcPr>
            <w:tcW w:w="0" w:type="auto"/>
            <w:tcBorders>
              <w:top w:val="single" w:color="B5C7EA" w:sz="6" w:space="0"/>
              <w:left w:val="single" w:color="4874CB" w:sz="6" w:space="0"/>
              <w:bottom w:val="single" w:color="4874CB" w:sz="6" w:space="0"/>
              <w:right w:val="single" w:color="B5C7EA" w:sz="6" w:space="0"/>
            </w:tcBorders>
            <w:shd w:val="clear" w:color="auto" w:fill="EDF1F9"/>
            <w:noWrap w:val="0"/>
            <w:tcMar>
              <w:top w:w="150" w:type="dxa"/>
              <w:left w:w="0" w:type="dxa"/>
              <w:bottom w:w="150" w:type="dxa"/>
              <w:right w:w="150" w:type="dxa"/>
            </w:tcMar>
            <w:vAlign w:val="center"/>
          </w:tcPr>
          <w:p w14:paraId="1F730BBC">
            <w:pPr>
              <w:keepNext w:val="0"/>
              <w:keepLines w:val="0"/>
              <w:widowControl/>
              <w:suppressLineNumbers w:val="0"/>
              <w:spacing w:line="26" w:lineRule="atLeast"/>
              <w:jc w:val="center"/>
              <w:rPr>
                <w:b w:val="0"/>
                <w:i w:val="0"/>
                <w:color w:val="000000"/>
                <w:sz w:val="22"/>
                <w:szCs w:val="22"/>
              </w:rPr>
            </w:pPr>
            <w:r>
              <w:rPr>
                <w:rFonts w:hint="eastAsia" w:ascii="Times New Roman" w:hAnsi="宋体" w:eastAsia="微软雅黑" w:cs="宋体"/>
                <w:b w:val="0"/>
                <w:i w:val="0"/>
                <w:color w:val="000000"/>
                <w:kern w:val="0"/>
                <w:sz w:val="22"/>
                <w:szCs w:val="22"/>
                <w:lang w:val="en-US" w:eastAsia="zh-CN" w:bidi="ar"/>
              </w:rPr>
              <w:t>Overall machine size</w:t>
            </w:r>
          </w:p>
        </w:tc>
        <w:tc>
          <w:tcPr>
            <w:tcW w:w="0" w:type="auto"/>
            <w:tcBorders>
              <w:top w:val="single" w:color="B5C7EA" w:sz="6" w:space="0"/>
              <w:left w:val="single" w:color="B5C7EA" w:sz="6" w:space="0"/>
              <w:bottom w:val="single" w:color="4874CB" w:sz="6" w:space="0"/>
              <w:right w:val="single" w:color="4874CB" w:sz="6" w:space="0"/>
            </w:tcBorders>
            <w:shd w:val="clear" w:color="auto" w:fill="EDF1F9"/>
            <w:noWrap w:val="0"/>
            <w:tcMar>
              <w:top w:w="150" w:type="dxa"/>
              <w:left w:w="150" w:type="dxa"/>
              <w:bottom w:w="150" w:type="dxa"/>
              <w:right w:w="150" w:type="dxa"/>
            </w:tcMar>
            <w:vAlign w:val="center"/>
          </w:tcPr>
          <w:p w14:paraId="1B4D4C8A">
            <w:pPr>
              <w:keepNext w:val="0"/>
              <w:keepLines w:val="0"/>
              <w:widowControl/>
              <w:suppressLineNumbers w:val="0"/>
              <w:spacing w:line="26" w:lineRule="atLeast"/>
              <w:jc w:val="center"/>
              <w:rPr>
                <w:b w:val="0"/>
                <w:i w:val="0"/>
                <w:color w:val="000000"/>
                <w:sz w:val="22"/>
                <w:szCs w:val="22"/>
              </w:rPr>
            </w:pPr>
            <w:r>
              <w:rPr>
                <w:rFonts w:hint="eastAsia" w:ascii="Times New Roman" w:hAnsi="宋体" w:eastAsia="微软雅黑" w:cs="宋体"/>
                <w:b w:val="0"/>
                <w:i w:val="0"/>
                <w:color w:val="000000"/>
                <w:kern w:val="0"/>
                <w:sz w:val="22"/>
                <w:szCs w:val="22"/>
                <w:lang w:val="en-US" w:eastAsia="zh-CN" w:bidi="ar"/>
              </w:rPr>
              <w:t>≈3.5m(L)×1.5m(W)×2m(H)</w:t>
            </w:r>
          </w:p>
        </w:tc>
      </w:tr>
    </w:tbl>
    <w:p w14:paraId="20297671">
      <w:pPr>
        <w:pStyle w:val="2"/>
        <w:keepNext w:val="0"/>
        <w:keepLines w:val="0"/>
        <w:widowControl/>
        <w:suppressLineNumbers w:val="0"/>
        <w:shd w:val="clear" w:color="auto" w:fill="FFFFFF"/>
        <w:spacing w:before="274" w:beforeAutospacing="0" w:after="206" w:afterAutospacing="0" w:line="23" w:lineRule="atLeast"/>
        <w:ind w:left="0" w:right="0" w:firstLine="0"/>
        <w:rPr>
          <w:rFonts w:hint="eastAsia" w:ascii="Segoe UI" w:hAnsi="Segoe UI" w:eastAsia="宋体" w:cs="Segoe UI"/>
          <w:b/>
          <w:bCs/>
          <w:i w:val="0"/>
          <w:iCs w:val="0"/>
          <w:caps w:val="0"/>
          <w:color w:val="404040"/>
          <w:spacing w:val="0"/>
          <w:sz w:val="27"/>
          <w:szCs w:val="27"/>
          <w:lang w:eastAsia="zh-CN"/>
        </w:rPr>
      </w:pPr>
      <w:r>
        <w:rPr>
          <w:rFonts w:hint="eastAsia" w:ascii="Times New Roman" w:hAnsi="Segoe UI" w:eastAsia="微软雅黑" w:cs="Segoe UI"/>
          <w:b/>
          <w:bCs/>
          <w:i w:val="0"/>
          <w:iCs w:val="0"/>
          <w:caps w:val="0"/>
          <w:color w:val="404040"/>
          <w:spacing w:val="0"/>
          <w:kern w:val="0"/>
          <w:sz w:val="27"/>
          <w:szCs w:val="27"/>
          <w:shd w:val="clear" w:color="auto" w:fill="FFFFFF"/>
          <w:lang w:val="en-US" w:eastAsia="zh-CN" w:bidi="ar"/>
        </w:rPr>
        <w:t>VIII. Spare parts and maintenance suggestions</w:t>
      </w:r>
    </w:p>
    <w:p w14:paraId="6C55D027">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1. Key spare parts: Electromagnetic coil (1 set), thermocouple (2), safety valve (1)</w:t>
      </w:r>
    </w:p>
    <w:p w14:paraId="21DE1375">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2. Maintenance cycle:</w:t>
      </w:r>
    </w:p>
    <w:p w14:paraId="02498A0C">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Clean the inner wall of the superheater tube every month (to prevent carbon accumulation)</w:t>
      </w:r>
    </w:p>
    <w:p w14:paraId="7B5BCF04">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Test insulation resistance every quarter (≥ 100 MΩ)</w:t>
      </w:r>
    </w:p>
    <w:p w14:paraId="6602A165">
      <w:pPr>
        <w:rPr>
          <w:rFonts w:hint="default"/>
          <w:sz w:val="28"/>
          <w:szCs w:val="28"/>
          <w:lang w:val="en-US" w:eastAsia="zh-CN"/>
        </w:rPr>
      </w:pPr>
      <w:r>
        <w:rPr>
          <w:rFonts w:hint="eastAsia" w:ascii="Times New Roman" w:hAnsi="Calibri" w:eastAsia="微软雅黑" w:cs="Times New Roman"/>
          <w:kern w:val="2"/>
          <w:sz w:val="28"/>
          <w:szCs w:val="28"/>
          <w:lang w:val="en-US" w:eastAsia="zh-CN" w:bidi="ar-SA"/>
        </w:rPr>
        <w:t>Note: The final design should be adjusted according to the specific steam pressure, water quality (soft water TDS ≤50ppm) and on-site power supply conditions.</w:t>
      </w:r>
    </w:p>
    <w:p w14:paraId="70667FDF">
      <w:pPr>
        <w:rPr>
          <w:rFonts w:hint="default"/>
          <w:sz w:val="28"/>
          <w:szCs w:val="28"/>
          <w:lang w:val="en-US" w:eastAsia="zh-CN"/>
        </w:rPr>
      </w:pPr>
    </w:p>
    <w:p w14:paraId="47FAB98A">
      <w:pPr>
        <w:rPr>
          <w:rFonts w:hint="default"/>
          <w:sz w:val="28"/>
          <w:szCs w:val="28"/>
          <w:lang w:val="en-US" w:eastAsia="zh-CN"/>
        </w:rPr>
      </w:pPr>
    </w:p>
    <w:p w14:paraId="2C51FA08">
      <w:pPr>
        <w:rPr>
          <w:rFonts w:hint="default"/>
          <w:sz w:val="28"/>
          <w:szCs w:val="28"/>
          <w:lang w:val="en-US" w:eastAsia="zh-CN"/>
        </w:rPr>
      </w:pPr>
    </w:p>
    <w:p w14:paraId="3FBCD3E0">
      <w:pPr>
        <w:numPr>
          <w:ilvl w:val="0"/>
          <w:numId w:val="0"/>
        </w:numPr>
        <w:ind w:leftChars="0"/>
        <w:rPr>
          <w:rFonts w:hint="default"/>
          <w:sz w:val="28"/>
          <w:szCs w:val="28"/>
          <w:lang w:val="en-US" w:eastAsia="zh-CN"/>
        </w:rPr>
      </w:pPr>
    </w:p>
    <w:p w14:paraId="746B9FD7">
      <w:pPr>
        <w:numPr>
          <w:ilvl w:val="0"/>
          <w:numId w:val="0"/>
        </w:numPr>
        <w:ind w:leftChars="0"/>
        <w:rPr>
          <w:rFonts w:hint="default"/>
          <w:sz w:val="28"/>
          <w:szCs w:val="28"/>
          <w:lang w:val="en-US" w:eastAsia="zh-CN"/>
        </w:rPr>
      </w:pPr>
    </w:p>
    <w:p w14:paraId="6B884141">
      <w:pPr>
        <w:numPr>
          <w:ilvl w:val="0"/>
          <w:numId w:val="4"/>
        </w:numPr>
        <w:ind w:left="0" w:leftChars="0" w:firstLine="0" w:firstLineChars="0"/>
        <w:rPr>
          <w:rFonts w:hint="default"/>
          <w:sz w:val="28"/>
          <w:szCs w:val="28"/>
          <w:lang w:val="en-US" w:eastAsia="zh-CN"/>
        </w:rPr>
      </w:pPr>
      <w:r>
        <w:rPr>
          <w:rFonts w:hint="eastAsia" w:ascii="Times New Roman" w:hAnsi="Calibri" w:eastAsia="微软雅黑" w:cs="Times New Roman"/>
          <w:kern w:val="2"/>
          <w:sz w:val="28"/>
          <w:szCs w:val="28"/>
          <w:lang w:val="en-US" w:eastAsia="zh-CN" w:bidi="ar-SA"/>
        </w:rPr>
        <w:t>Main configuration list:</w:t>
      </w:r>
    </w:p>
    <w:p w14:paraId="146861C0">
      <w:pPr>
        <w:numPr>
          <w:ilvl w:val="0"/>
          <w:numId w:val="0"/>
        </w:numPr>
        <w:ind w:leftChars="0"/>
        <w:rPr>
          <w:rFonts w:hint="default"/>
          <w:sz w:val="28"/>
          <w:szCs w:val="28"/>
          <w:lang w:val="en-US" w:eastAsia="zh-CN"/>
        </w:rPr>
      </w:pPr>
    </w:p>
    <w:tbl>
      <w:tblPr>
        <w:tblStyle w:val="7"/>
        <w:tblW w:w="983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32"/>
        <w:gridCol w:w="2732"/>
        <w:gridCol w:w="1340"/>
        <w:gridCol w:w="1345"/>
        <w:gridCol w:w="1756"/>
        <w:gridCol w:w="1931"/>
      </w:tblGrid>
      <w:tr w14:paraId="5C9D0E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04" w:hRule="atLeast"/>
          <w:jc w:val="center"/>
        </w:trPr>
        <w:tc>
          <w:tcPr>
            <w:tcW w:w="732" w:type="dxa"/>
            <w:tcBorders>
              <w:right w:val="single" w:color="auto" w:sz="4" w:space="0"/>
            </w:tcBorders>
            <w:noWrap w:val="0"/>
            <w:vAlign w:val="center"/>
          </w:tcPr>
          <w:p w14:paraId="01CD54C9">
            <w:pPr>
              <w:jc w:val="center"/>
              <w:rPr>
                <w:rFonts w:hint="eastAsia" w:ascii="宋体" w:hAnsi="宋体" w:cs="宋体"/>
                <w:b w:val="0"/>
                <w:bCs/>
                <w:sz w:val="24"/>
                <w:szCs w:val="24"/>
                <w:lang w:eastAsia="zh-CN"/>
              </w:rPr>
            </w:pPr>
            <w:r>
              <w:rPr>
                <w:rFonts w:hint="eastAsia" w:ascii="Times New Roman" w:hAnsi="宋体" w:eastAsia="微软雅黑" w:cs="宋体"/>
                <w:b w:val="0"/>
                <w:bCs/>
                <w:kern w:val="2"/>
                <w:sz w:val="24"/>
                <w:szCs w:val="24"/>
                <w:lang w:val="en-US" w:eastAsia="zh-CN" w:bidi="ar-SA"/>
              </w:rPr>
              <w:t xml:space="preserve"> order number </w:t>
            </w:r>
          </w:p>
          <w:p w14:paraId="39625C25">
            <w:pPr>
              <w:jc w:val="center"/>
              <w:rPr>
                <w:rFonts w:hint="eastAsia" w:ascii="宋体" w:hAnsi="宋体" w:eastAsia="宋体" w:cs="宋体"/>
                <w:b w:val="0"/>
                <w:bCs/>
                <w:sz w:val="24"/>
                <w:szCs w:val="24"/>
                <w:lang w:val="en-US" w:eastAsia="zh-CN"/>
              </w:rPr>
            </w:pPr>
            <w:r>
              <w:rPr>
                <w:rFonts w:hint="eastAsia" w:ascii="Times New Roman" w:hAnsi="宋体" w:eastAsia="微软雅黑" w:cs="宋体"/>
                <w:b w:val="0"/>
                <w:bCs/>
                <w:kern w:val="2"/>
                <w:sz w:val="24"/>
                <w:szCs w:val="24"/>
                <w:lang w:val="en-US" w:eastAsia="zh-CN" w:bidi="ar-SA"/>
              </w:rPr>
              <w:t>No:</w:t>
            </w:r>
          </w:p>
        </w:tc>
        <w:tc>
          <w:tcPr>
            <w:tcW w:w="2732" w:type="dxa"/>
            <w:tcBorders>
              <w:left w:val="single" w:color="auto" w:sz="4" w:space="0"/>
              <w:right w:val="single" w:color="auto" w:sz="4" w:space="0"/>
            </w:tcBorders>
            <w:noWrap w:val="0"/>
            <w:vAlign w:val="center"/>
          </w:tcPr>
          <w:p w14:paraId="464EAB74">
            <w:pPr>
              <w:jc w:val="center"/>
              <w:rPr>
                <w:rFonts w:hint="eastAsia" w:ascii="宋体" w:hAnsi="宋体" w:cs="宋体"/>
                <w:b w:val="0"/>
                <w:bCs/>
                <w:sz w:val="24"/>
                <w:szCs w:val="24"/>
                <w:lang w:eastAsia="zh-CN"/>
              </w:rPr>
            </w:pPr>
            <w:r>
              <w:rPr>
                <w:rFonts w:hint="eastAsia" w:ascii="Times New Roman" w:hAnsi="宋体" w:eastAsia="微软雅黑" w:cs="宋体"/>
                <w:b w:val="0"/>
                <w:bCs/>
                <w:kern w:val="2"/>
                <w:sz w:val="24"/>
                <w:szCs w:val="24"/>
                <w:lang w:val="en-US" w:eastAsia="zh-CN" w:bidi="ar-SA"/>
              </w:rPr>
              <w:t xml:space="preserve"> name </w:t>
            </w:r>
          </w:p>
          <w:p w14:paraId="04CD0244">
            <w:pPr>
              <w:jc w:val="center"/>
              <w:rPr>
                <w:rFonts w:hint="eastAsia" w:ascii="宋体" w:hAnsi="宋体" w:eastAsia="宋体" w:cs="宋体"/>
                <w:b w:val="0"/>
                <w:bCs/>
                <w:sz w:val="24"/>
                <w:szCs w:val="24"/>
                <w:lang w:eastAsia="zh-CN"/>
              </w:rPr>
            </w:pPr>
            <w:r>
              <w:rPr>
                <w:rFonts w:hint="eastAsia" w:ascii="Times New Roman" w:hAnsi="宋体" w:eastAsia="微软雅黑" w:cs="宋体"/>
                <w:b w:val="0"/>
                <w:bCs/>
                <w:kern w:val="2"/>
                <w:sz w:val="24"/>
                <w:szCs w:val="24"/>
                <w:lang w:val="en-US" w:eastAsia="zh-CN" w:bidi="ar-SA"/>
              </w:rPr>
              <w:t>NAME</w:t>
            </w:r>
          </w:p>
        </w:tc>
        <w:tc>
          <w:tcPr>
            <w:tcW w:w="1340" w:type="dxa"/>
            <w:tcBorders>
              <w:left w:val="single" w:color="auto" w:sz="4" w:space="0"/>
              <w:right w:val="single" w:color="auto" w:sz="4" w:space="0"/>
            </w:tcBorders>
            <w:noWrap w:val="0"/>
            <w:vAlign w:val="center"/>
          </w:tcPr>
          <w:p w14:paraId="3881B4AF">
            <w:pPr>
              <w:jc w:val="center"/>
              <w:rPr>
                <w:rFonts w:hint="eastAsia" w:ascii="宋体" w:hAnsi="宋体" w:cs="宋体"/>
                <w:b w:val="0"/>
                <w:bCs/>
                <w:sz w:val="24"/>
                <w:szCs w:val="24"/>
                <w:lang w:val="en-US" w:eastAsia="zh-CN"/>
              </w:rPr>
            </w:pPr>
            <w:r>
              <w:rPr>
                <w:rFonts w:hint="eastAsia" w:ascii="Times New Roman" w:hAnsi="宋体" w:eastAsia="微软雅黑" w:cs="宋体"/>
                <w:b w:val="0"/>
                <w:bCs/>
                <w:kern w:val="2"/>
                <w:sz w:val="24"/>
                <w:szCs w:val="24"/>
                <w:lang w:val="en-US" w:eastAsia="zh-CN" w:bidi="ar-SA"/>
              </w:rPr>
              <w:t xml:space="preserve"> quantity </w:t>
            </w:r>
          </w:p>
          <w:p w14:paraId="445768F1">
            <w:pPr>
              <w:jc w:val="center"/>
              <w:rPr>
                <w:rFonts w:hint="default" w:ascii="宋体" w:hAnsi="宋体" w:cs="宋体"/>
                <w:b w:val="0"/>
                <w:bCs/>
                <w:sz w:val="24"/>
                <w:szCs w:val="24"/>
                <w:lang w:val="en-US" w:eastAsia="zh-CN"/>
              </w:rPr>
            </w:pPr>
            <w:r>
              <w:rPr>
                <w:rFonts w:hint="eastAsia" w:ascii="Times New Roman" w:hAnsi="宋体" w:eastAsia="微软雅黑" w:cs="宋体"/>
                <w:b w:val="0"/>
                <w:bCs/>
                <w:kern w:val="2"/>
                <w:sz w:val="24"/>
                <w:szCs w:val="24"/>
                <w:lang w:val="en-US" w:eastAsia="zh-CN" w:bidi="ar-SA"/>
              </w:rPr>
              <w:t>QUANTITY</w:t>
            </w:r>
          </w:p>
        </w:tc>
        <w:tc>
          <w:tcPr>
            <w:tcW w:w="1345" w:type="dxa"/>
            <w:tcBorders>
              <w:left w:val="single" w:color="auto" w:sz="4" w:space="0"/>
              <w:right w:val="single" w:color="auto" w:sz="4" w:space="0"/>
            </w:tcBorders>
            <w:noWrap w:val="0"/>
            <w:vAlign w:val="center"/>
          </w:tcPr>
          <w:p w14:paraId="31BADCA9">
            <w:pPr>
              <w:jc w:val="center"/>
              <w:rPr>
                <w:rFonts w:hint="eastAsia" w:ascii="宋体" w:hAnsi="宋体" w:cs="宋体"/>
                <w:b w:val="0"/>
                <w:bCs/>
                <w:sz w:val="24"/>
                <w:szCs w:val="24"/>
                <w:lang w:val="en-US" w:eastAsia="zh-CN"/>
              </w:rPr>
            </w:pPr>
            <w:r>
              <w:rPr>
                <w:rFonts w:hint="eastAsia" w:ascii="Times New Roman" w:hAnsi="宋体" w:eastAsia="微软雅黑" w:cs="宋体"/>
                <w:b w:val="0"/>
                <w:bCs/>
                <w:kern w:val="2"/>
                <w:sz w:val="24"/>
                <w:szCs w:val="24"/>
                <w:lang w:val="en-US" w:eastAsia="zh-CN" w:bidi="ar-SA"/>
              </w:rPr>
              <w:t xml:space="preserve"> unit </w:t>
            </w:r>
          </w:p>
          <w:p w14:paraId="7588B185">
            <w:pPr>
              <w:jc w:val="center"/>
              <w:rPr>
                <w:rFonts w:hint="default" w:ascii="宋体" w:hAnsi="宋体" w:eastAsia="宋体" w:cs="宋体"/>
                <w:b w:val="0"/>
                <w:bCs/>
                <w:sz w:val="24"/>
                <w:szCs w:val="24"/>
                <w:lang w:val="en-US" w:eastAsia="zh-CN"/>
              </w:rPr>
            </w:pPr>
            <w:r>
              <w:rPr>
                <w:rFonts w:hint="eastAsia" w:ascii="Times New Roman" w:hAnsi="宋体" w:eastAsia="微软雅黑" w:cs="宋体"/>
                <w:b w:val="0"/>
                <w:bCs/>
                <w:kern w:val="2"/>
                <w:sz w:val="24"/>
                <w:szCs w:val="24"/>
                <w:lang w:val="en-US" w:eastAsia="zh-CN" w:bidi="ar-SA"/>
              </w:rPr>
              <w:t>UNIT</w:t>
            </w:r>
          </w:p>
        </w:tc>
        <w:tc>
          <w:tcPr>
            <w:tcW w:w="1756" w:type="dxa"/>
            <w:tcBorders>
              <w:left w:val="single" w:color="auto" w:sz="4" w:space="0"/>
            </w:tcBorders>
            <w:noWrap w:val="0"/>
            <w:vAlign w:val="center"/>
          </w:tcPr>
          <w:p w14:paraId="21C3B88B">
            <w:pPr>
              <w:jc w:val="center"/>
              <w:rPr>
                <w:rFonts w:hint="eastAsia" w:ascii="宋体" w:hAnsi="宋体" w:cs="宋体"/>
                <w:b w:val="0"/>
                <w:bCs/>
                <w:sz w:val="24"/>
                <w:szCs w:val="24"/>
                <w:lang w:val="en-US" w:eastAsia="zh-CN"/>
              </w:rPr>
            </w:pPr>
            <w:r>
              <w:rPr>
                <w:rFonts w:hint="eastAsia" w:ascii="Times New Roman" w:hAnsi="宋体" w:eastAsia="微软雅黑" w:cs="宋体"/>
                <w:b w:val="0"/>
                <w:bCs/>
                <w:kern w:val="2"/>
                <w:sz w:val="24"/>
                <w:szCs w:val="24"/>
                <w:lang w:val="en-US" w:eastAsia="zh-CN" w:bidi="ar-SA"/>
              </w:rPr>
              <w:t>Brand labeling</w:t>
            </w:r>
          </w:p>
          <w:p w14:paraId="355606AE">
            <w:pPr>
              <w:jc w:val="center"/>
              <w:rPr>
                <w:rFonts w:hint="default" w:ascii="宋体" w:hAnsi="宋体" w:cs="宋体"/>
                <w:b w:val="0"/>
                <w:bCs/>
                <w:sz w:val="24"/>
                <w:szCs w:val="24"/>
                <w:lang w:val="en-US" w:eastAsia="zh-CN"/>
              </w:rPr>
            </w:pPr>
            <w:r>
              <w:rPr>
                <w:rFonts w:hint="eastAsia" w:ascii="Times New Roman" w:hAnsi="宋体" w:eastAsia="微软雅黑" w:cs="宋体"/>
                <w:b w:val="0"/>
                <w:bCs/>
                <w:kern w:val="2"/>
                <w:sz w:val="24"/>
                <w:szCs w:val="24"/>
                <w:lang w:val="en-US" w:eastAsia="zh-CN" w:bidi="ar-SA"/>
              </w:rPr>
              <w:t>BRAND</w:t>
            </w:r>
          </w:p>
        </w:tc>
        <w:tc>
          <w:tcPr>
            <w:tcW w:w="1931" w:type="dxa"/>
            <w:tcBorders>
              <w:left w:val="single" w:color="auto" w:sz="4" w:space="0"/>
            </w:tcBorders>
            <w:noWrap w:val="0"/>
            <w:vAlign w:val="center"/>
          </w:tcPr>
          <w:p w14:paraId="0DEF3DC4">
            <w:pPr>
              <w:jc w:val="center"/>
              <w:rPr>
                <w:rFonts w:hint="eastAsia" w:ascii="宋体" w:hAnsi="宋体" w:cs="宋体"/>
                <w:b w:val="0"/>
                <w:bCs/>
                <w:sz w:val="24"/>
                <w:szCs w:val="24"/>
                <w:lang w:val="en-US" w:eastAsia="zh-CN"/>
              </w:rPr>
            </w:pPr>
            <w:r>
              <w:rPr>
                <w:rFonts w:hint="eastAsia" w:ascii="Times New Roman" w:hAnsi="宋体" w:eastAsia="微软雅黑" w:cs="宋体"/>
                <w:b w:val="0"/>
                <w:bCs/>
                <w:kern w:val="2"/>
                <w:sz w:val="24"/>
                <w:szCs w:val="24"/>
                <w:lang w:val="en-US" w:eastAsia="zh-CN" w:bidi="ar-SA"/>
              </w:rPr>
              <w:t xml:space="preserve"> remarks </w:t>
            </w:r>
          </w:p>
          <w:p w14:paraId="20509D10">
            <w:pPr>
              <w:jc w:val="center"/>
              <w:rPr>
                <w:rFonts w:hint="default" w:ascii="宋体" w:hAnsi="宋体" w:cs="宋体"/>
                <w:b w:val="0"/>
                <w:bCs/>
                <w:sz w:val="24"/>
                <w:szCs w:val="24"/>
                <w:lang w:val="en-US" w:eastAsia="zh-CN"/>
              </w:rPr>
            </w:pPr>
            <w:r>
              <w:rPr>
                <w:rFonts w:hint="eastAsia" w:ascii="Times New Roman" w:hAnsi="宋体" w:eastAsia="微软雅黑" w:cs="宋体"/>
                <w:b w:val="0"/>
                <w:bCs/>
                <w:kern w:val="2"/>
                <w:sz w:val="24"/>
                <w:szCs w:val="24"/>
                <w:lang w:val="en-US" w:eastAsia="zh-CN" w:bidi="ar-SA"/>
              </w:rPr>
              <w:t>NOTES</w:t>
            </w:r>
          </w:p>
        </w:tc>
      </w:tr>
      <w:tr w14:paraId="2D4E19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71" w:hRule="atLeast"/>
          <w:jc w:val="center"/>
        </w:trPr>
        <w:tc>
          <w:tcPr>
            <w:tcW w:w="732" w:type="dxa"/>
            <w:tcBorders>
              <w:right w:val="single" w:color="auto" w:sz="4" w:space="0"/>
            </w:tcBorders>
            <w:noWrap w:val="0"/>
            <w:vAlign w:val="center"/>
          </w:tcPr>
          <w:p w14:paraId="2993CA6F">
            <w:pPr>
              <w:jc w:val="center"/>
              <w:rPr>
                <w:rFonts w:hint="eastAsia" w:ascii="宋体" w:hAnsi="宋体" w:eastAsia="宋体" w:cs="宋体"/>
                <w:sz w:val="24"/>
                <w:szCs w:val="24"/>
              </w:rPr>
            </w:pPr>
            <w:r>
              <w:rPr>
                <w:rFonts w:hint="eastAsia" w:ascii="Times New Roman" w:hAnsi="Arial" w:eastAsia="微软雅黑" w:cs="Arial"/>
                <w:b w:val="0"/>
                <w:i w:val="0"/>
                <w:caps w:val="0"/>
                <w:color w:val="auto"/>
                <w:spacing w:val="0"/>
                <w:kern w:val="0"/>
                <w:sz w:val="24"/>
                <w:szCs w:val="24"/>
                <w:lang w:val="en-US" w:eastAsia="zh-CN" w:bidi="ar"/>
              </w:rPr>
              <w:t>1</w:t>
            </w:r>
          </w:p>
        </w:tc>
        <w:tc>
          <w:tcPr>
            <w:tcW w:w="2732" w:type="dxa"/>
            <w:tcBorders>
              <w:left w:val="single" w:color="auto" w:sz="4" w:space="0"/>
              <w:right w:val="single" w:color="auto" w:sz="4" w:space="0"/>
            </w:tcBorders>
            <w:noWrap w:val="0"/>
            <w:vAlign w:val="center"/>
          </w:tcPr>
          <w:p w14:paraId="22B22D8E">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Superheated steam tube bundle</w:t>
            </w:r>
          </w:p>
        </w:tc>
        <w:tc>
          <w:tcPr>
            <w:tcW w:w="1340" w:type="dxa"/>
            <w:tcBorders>
              <w:left w:val="single" w:color="auto" w:sz="4" w:space="0"/>
              <w:right w:val="single" w:color="auto" w:sz="4" w:space="0"/>
            </w:tcBorders>
            <w:noWrap w:val="0"/>
            <w:vAlign w:val="center"/>
          </w:tcPr>
          <w:p w14:paraId="50BBFD7C">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1</w:t>
            </w:r>
          </w:p>
        </w:tc>
        <w:tc>
          <w:tcPr>
            <w:tcW w:w="1345" w:type="dxa"/>
            <w:tcBorders>
              <w:left w:val="single" w:color="auto" w:sz="4" w:space="0"/>
              <w:right w:val="single" w:color="auto" w:sz="4" w:space="0"/>
            </w:tcBorders>
            <w:noWrap w:val="0"/>
            <w:vAlign w:val="center"/>
          </w:tcPr>
          <w:p w14:paraId="7C4585F1">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 xml:space="preserve"> cover </w:t>
            </w:r>
          </w:p>
        </w:tc>
        <w:tc>
          <w:tcPr>
            <w:tcW w:w="1756" w:type="dxa"/>
            <w:tcBorders>
              <w:left w:val="single" w:color="auto" w:sz="4" w:space="0"/>
            </w:tcBorders>
            <w:noWrap w:val="0"/>
            <w:vAlign w:val="center"/>
          </w:tcPr>
          <w:p w14:paraId="541C54B9">
            <w:pPr>
              <w:jc w:val="center"/>
              <w:rPr>
                <w:rFonts w:hint="default" w:ascii="宋体" w:hAnsi="宋体" w:eastAsia="宋体" w:cs="宋体"/>
                <w:color w:val="auto"/>
                <w:kern w:val="0"/>
                <w:sz w:val="24"/>
                <w:szCs w:val="24"/>
                <w:lang w:val="en-US" w:eastAsia="zh-CN" w:bidi="ar"/>
              </w:rPr>
            </w:pPr>
            <w:r>
              <w:rPr>
                <w:rFonts w:hint="eastAsia" w:ascii="Times New Roman" w:hAnsi="宋体" w:eastAsia="微软雅黑" w:cs="宋体"/>
                <w:color w:val="auto"/>
                <w:kern w:val="0"/>
                <w:sz w:val="24"/>
                <w:szCs w:val="24"/>
                <w:lang w:val="en-US" w:eastAsia="zh-CN" w:bidi="ar"/>
              </w:rPr>
              <w:t xml:space="preserve">AIX Aix </w:t>
            </w:r>
          </w:p>
        </w:tc>
        <w:tc>
          <w:tcPr>
            <w:tcW w:w="1931" w:type="dxa"/>
            <w:tcBorders>
              <w:left w:val="single" w:color="auto" w:sz="4" w:space="0"/>
            </w:tcBorders>
            <w:noWrap w:val="0"/>
            <w:vAlign w:val="center"/>
          </w:tcPr>
          <w:p w14:paraId="250FC24E">
            <w:pPr>
              <w:jc w:val="center"/>
              <w:rPr>
                <w:rFonts w:hint="default" w:ascii="宋体" w:hAnsi="宋体" w:cs="宋体"/>
                <w:sz w:val="24"/>
                <w:szCs w:val="24"/>
                <w:lang w:val="en-US" w:eastAsia="zh-CN"/>
              </w:rPr>
            </w:pPr>
            <w:r>
              <w:rPr>
                <w:rFonts w:hint="eastAsia" w:ascii="Times New Roman" w:hAnsi="宋体" w:eastAsia="微软雅黑" w:cs="宋体"/>
                <w:kern w:val="2"/>
                <w:sz w:val="24"/>
                <w:szCs w:val="24"/>
                <w:lang w:val="en-US" w:eastAsia="zh-CN" w:bidi="ar-SA"/>
              </w:rPr>
              <w:t>Aviation piping</w:t>
            </w:r>
          </w:p>
        </w:tc>
      </w:tr>
      <w:tr w14:paraId="221C1C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5" w:hRule="atLeast"/>
          <w:jc w:val="center"/>
        </w:trPr>
        <w:tc>
          <w:tcPr>
            <w:tcW w:w="732" w:type="dxa"/>
            <w:tcBorders>
              <w:right w:val="single" w:color="auto" w:sz="4" w:space="0"/>
            </w:tcBorders>
            <w:noWrap w:val="0"/>
            <w:vAlign w:val="center"/>
          </w:tcPr>
          <w:p w14:paraId="3BDEA2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宋体" w:hAnsi="宋体" w:eastAsia="宋体" w:cs="宋体"/>
                <w:kern w:val="2"/>
                <w:sz w:val="28"/>
                <w:szCs w:val="28"/>
                <w:lang w:val="en-US" w:eastAsia="zh-CN" w:bidi="ar-SA"/>
              </w:rPr>
            </w:pPr>
            <w:r>
              <w:rPr>
                <w:rFonts w:hint="eastAsia" w:ascii="Times New Roman" w:hAnsi="Arial" w:eastAsia="微软雅黑" w:cs="Arial"/>
                <w:b w:val="0"/>
                <w:i w:val="0"/>
                <w:caps w:val="0"/>
                <w:color w:val="auto"/>
                <w:spacing w:val="0"/>
                <w:kern w:val="0"/>
                <w:sz w:val="24"/>
                <w:szCs w:val="24"/>
                <w:lang w:val="en-US" w:eastAsia="zh-CN" w:bidi="ar"/>
              </w:rPr>
              <w:t>2</w:t>
            </w:r>
          </w:p>
        </w:tc>
        <w:tc>
          <w:tcPr>
            <w:tcW w:w="2732" w:type="dxa"/>
            <w:tcBorders>
              <w:left w:val="single" w:color="auto" w:sz="4" w:space="0"/>
              <w:right w:val="single" w:color="auto" w:sz="4" w:space="0"/>
            </w:tcBorders>
            <w:noWrap w:val="0"/>
            <w:vAlign w:val="center"/>
          </w:tcPr>
          <w:p w14:paraId="7845FDDA">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Electromagnetic heating controller</w:t>
            </w:r>
          </w:p>
        </w:tc>
        <w:tc>
          <w:tcPr>
            <w:tcW w:w="1340" w:type="dxa"/>
            <w:tcBorders>
              <w:left w:val="single" w:color="auto" w:sz="4" w:space="0"/>
              <w:right w:val="single" w:color="auto" w:sz="4" w:space="0"/>
            </w:tcBorders>
            <w:noWrap w:val="0"/>
            <w:vAlign w:val="center"/>
          </w:tcPr>
          <w:p w14:paraId="1FFF650D">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1</w:t>
            </w:r>
          </w:p>
        </w:tc>
        <w:tc>
          <w:tcPr>
            <w:tcW w:w="1345" w:type="dxa"/>
            <w:tcBorders>
              <w:left w:val="single" w:color="auto" w:sz="4" w:space="0"/>
              <w:right w:val="single" w:color="auto" w:sz="4" w:space="0"/>
            </w:tcBorders>
            <w:noWrap w:val="0"/>
            <w:vAlign w:val="center"/>
          </w:tcPr>
          <w:p w14:paraId="177EAF89">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 xml:space="preserve"> short for Taizhou </w:t>
            </w:r>
          </w:p>
        </w:tc>
        <w:tc>
          <w:tcPr>
            <w:tcW w:w="1756" w:type="dxa"/>
            <w:tcBorders>
              <w:left w:val="single" w:color="auto" w:sz="4" w:space="0"/>
            </w:tcBorders>
            <w:noWrap w:val="0"/>
            <w:vAlign w:val="center"/>
          </w:tcPr>
          <w:p w14:paraId="6BD4743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default" w:ascii="宋体" w:hAnsi="宋体" w:eastAsia="宋体" w:cs="宋体"/>
                <w:color w:val="auto"/>
                <w:kern w:val="0"/>
                <w:sz w:val="24"/>
                <w:szCs w:val="24"/>
                <w:lang w:val="en-US" w:eastAsia="zh-CN" w:bidi="ar"/>
              </w:rPr>
            </w:pPr>
            <w:r>
              <w:rPr>
                <w:rFonts w:hint="eastAsia" w:ascii="Times New Roman" w:hAnsi="宋体" w:eastAsia="微软雅黑" w:cs="宋体"/>
                <w:color w:val="auto"/>
                <w:kern w:val="0"/>
                <w:sz w:val="24"/>
                <w:szCs w:val="24"/>
                <w:lang w:val="en-US" w:eastAsia="zh-CN" w:bidi="ar"/>
              </w:rPr>
              <w:t xml:space="preserve">AIX Aix </w:t>
            </w:r>
          </w:p>
        </w:tc>
        <w:tc>
          <w:tcPr>
            <w:tcW w:w="1931" w:type="dxa"/>
            <w:tcBorders>
              <w:left w:val="single" w:color="auto" w:sz="4" w:space="0"/>
            </w:tcBorders>
            <w:noWrap w:val="0"/>
            <w:vAlign w:val="center"/>
          </w:tcPr>
          <w:p w14:paraId="53E881A0">
            <w:pPr>
              <w:jc w:val="center"/>
              <w:rPr>
                <w:rFonts w:hint="default" w:ascii="宋体" w:hAnsi="宋体" w:eastAsia="宋体" w:cs="宋体"/>
                <w:color w:val="auto"/>
                <w:sz w:val="24"/>
                <w:szCs w:val="24"/>
                <w:lang w:val="en-US" w:eastAsia="zh-CN"/>
              </w:rPr>
            </w:pPr>
            <w:r>
              <w:rPr>
                <w:rFonts w:hint="eastAsia" w:ascii="Times New Roman" w:hAnsi="宋体" w:eastAsia="微软雅黑" w:cs="宋体"/>
                <w:color w:val="auto"/>
                <w:kern w:val="2"/>
                <w:sz w:val="24"/>
                <w:szCs w:val="24"/>
                <w:lang w:val="en-US" w:eastAsia="zh-CN" w:bidi="ar-SA"/>
              </w:rPr>
              <w:t>Infineon IGBT</w:t>
            </w:r>
          </w:p>
        </w:tc>
      </w:tr>
      <w:tr w14:paraId="713777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71" w:hRule="atLeast"/>
          <w:jc w:val="center"/>
        </w:trPr>
        <w:tc>
          <w:tcPr>
            <w:tcW w:w="732" w:type="dxa"/>
            <w:tcBorders>
              <w:right w:val="single" w:color="auto" w:sz="4" w:space="0"/>
            </w:tcBorders>
            <w:noWrap w:val="0"/>
            <w:vAlign w:val="center"/>
          </w:tcPr>
          <w:p w14:paraId="5616E1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Arial" w:hAnsi="Arial" w:eastAsia="宋体" w:cs="Arial"/>
                <w:b w:val="0"/>
                <w:i w:val="0"/>
                <w:caps w:val="0"/>
                <w:color w:val="auto"/>
                <w:spacing w:val="0"/>
                <w:kern w:val="0"/>
                <w:sz w:val="24"/>
                <w:szCs w:val="24"/>
                <w:lang w:val="en-US" w:eastAsia="zh-CN" w:bidi="ar"/>
              </w:rPr>
            </w:pPr>
            <w:r>
              <w:rPr>
                <w:rFonts w:hint="eastAsia" w:ascii="Times New Roman" w:hAnsi="Arial" w:eastAsia="微软雅黑" w:cs="Arial"/>
                <w:b w:val="0"/>
                <w:i w:val="0"/>
                <w:caps w:val="0"/>
                <w:color w:val="auto"/>
                <w:spacing w:val="0"/>
                <w:kern w:val="0"/>
                <w:sz w:val="24"/>
                <w:szCs w:val="24"/>
                <w:lang w:val="en-US" w:eastAsia="zh-CN" w:bidi="ar"/>
              </w:rPr>
              <w:t>3</w:t>
            </w:r>
          </w:p>
        </w:tc>
        <w:tc>
          <w:tcPr>
            <w:tcW w:w="2732" w:type="dxa"/>
            <w:tcBorders>
              <w:left w:val="single" w:color="auto" w:sz="4" w:space="0"/>
              <w:right w:val="single" w:color="auto" w:sz="4" w:space="0"/>
            </w:tcBorders>
            <w:noWrap w:val="0"/>
            <w:vAlign w:val="center"/>
          </w:tcPr>
          <w:p w14:paraId="4AADED73">
            <w:pPr>
              <w:jc w:val="center"/>
              <w:rPr>
                <w:rFonts w:hint="eastAsia"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 xml:space="preserve"> induction heating coil </w:t>
            </w:r>
          </w:p>
        </w:tc>
        <w:tc>
          <w:tcPr>
            <w:tcW w:w="1340" w:type="dxa"/>
            <w:tcBorders>
              <w:left w:val="single" w:color="auto" w:sz="4" w:space="0"/>
              <w:right w:val="single" w:color="auto" w:sz="4" w:space="0"/>
            </w:tcBorders>
            <w:noWrap w:val="0"/>
            <w:vAlign w:val="center"/>
          </w:tcPr>
          <w:p w14:paraId="226F01B3">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1</w:t>
            </w:r>
          </w:p>
        </w:tc>
        <w:tc>
          <w:tcPr>
            <w:tcW w:w="1345" w:type="dxa"/>
            <w:tcBorders>
              <w:left w:val="single" w:color="auto" w:sz="4" w:space="0"/>
              <w:right w:val="single" w:color="auto" w:sz="4" w:space="0"/>
            </w:tcBorders>
            <w:noWrap w:val="0"/>
            <w:vAlign w:val="center"/>
          </w:tcPr>
          <w:p w14:paraId="545A8B30">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 xml:space="preserve"> cover </w:t>
            </w:r>
          </w:p>
        </w:tc>
        <w:tc>
          <w:tcPr>
            <w:tcW w:w="1756" w:type="dxa"/>
            <w:tcBorders>
              <w:left w:val="single" w:color="auto" w:sz="4" w:space="0"/>
            </w:tcBorders>
            <w:noWrap w:val="0"/>
            <w:vAlign w:val="center"/>
          </w:tcPr>
          <w:p w14:paraId="32BAC22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default" w:ascii="宋体" w:hAnsi="宋体" w:eastAsia="宋体" w:cs="宋体"/>
                <w:color w:val="auto"/>
                <w:kern w:val="0"/>
                <w:sz w:val="24"/>
                <w:szCs w:val="24"/>
                <w:lang w:val="en-US" w:eastAsia="zh-CN" w:bidi="ar"/>
              </w:rPr>
            </w:pPr>
            <w:r>
              <w:rPr>
                <w:rFonts w:hint="eastAsia" w:ascii="Times New Roman" w:hAnsi="宋体" w:eastAsia="微软雅黑" w:cs="宋体"/>
                <w:color w:val="auto"/>
                <w:kern w:val="0"/>
                <w:sz w:val="24"/>
                <w:szCs w:val="24"/>
                <w:lang w:val="en-US" w:eastAsia="zh-CN" w:bidi="ar"/>
              </w:rPr>
              <w:t xml:space="preserve">AIX Aix </w:t>
            </w:r>
          </w:p>
        </w:tc>
        <w:tc>
          <w:tcPr>
            <w:tcW w:w="1931" w:type="dxa"/>
            <w:tcBorders>
              <w:left w:val="single" w:color="auto" w:sz="4" w:space="0"/>
            </w:tcBorders>
            <w:noWrap w:val="0"/>
            <w:vAlign w:val="center"/>
          </w:tcPr>
          <w:p w14:paraId="6797CFA5">
            <w:pPr>
              <w:jc w:val="center"/>
              <w:rPr>
                <w:rFonts w:hint="default" w:ascii="宋体" w:hAnsi="宋体" w:eastAsia="宋体" w:cs="宋体"/>
                <w:color w:val="auto"/>
                <w:kern w:val="0"/>
                <w:sz w:val="24"/>
                <w:szCs w:val="24"/>
                <w:lang w:val="en-US" w:eastAsia="zh-CN" w:bidi="ar"/>
              </w:rPr>
            </w:pPr>
            <w:r>
              <w:rPr>
                <w:rFonts w:hint="eastAsia" w:ascii="Times New Roman" w:hAnsi="宋体" w:eastAsia="微软雅黑" w:cs="宋体"/>
                <w:color w:val="auto"/>
                <w:kern w:val="0"/>
                <w:sz w:val="24"/>
                <w:szCs w:val="24"/>
                <w:lang w:val="en-US" w:eastAsia="zh-CN" w:bidi="ar"/>
              </w:rPr>
              <w:t>35m² copper</w:t>
            </w:r>
          </w:p>
        </w:tc>
      </w:tr>
      <w:tr w14:paraId="6ABA6B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71" w:hRule="atLeast"/>
          <w:jc w:val="center"/>
        </w:trPr>
        <w:tc>
          <w:tcPr>
            <w:tcW w:w="732" w:type="dxa"/>
            <w:tcBorders>
              <w:right w:val="single" w:color="auto" w:sz="4" w:space="0"/>
            </w:tcBorders>
            <w:noWrap w:val="0"/>
            <w:vAlign w:val="center"/>
          </w:tcPr>
          <w:p w14:paraId="4CA4D3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Arial" w:hAnsi="Arial" w:eastAsia="宋体" w:cs="Arial"/>
                <w:b w:val="0"/>
                <w:i w:val="0"/>
                <w:caps w:val="0"/>
                <w:color w:val="auto"/>
                <w:spacing w:val="0"/>
                <w:kern w:val="0"/>
                <w:sz w:val="24"/>
                <w:szCs w:val="24"/>
                <w:lang w:val="en-US" w:eastAsia="zh-CN" w:bidi="ar"/>
              </w:rPr>
            </w:pPr>
            <w:r>
              <w:rPr>
                <w:rFonts w:hint="eastAsia" w:ascii="Times New Roman" w:hAnsi="Arial" w:eastAsia="微软雅黑" w:cs="Arial"/>
                <w:b w:val="0"/>
                <w:i w:val="0"/>
                <w:caps w:val="0"/>
                <w:color w:val="auto"/>
                <w:spacing w:val="0"/>
                <w:kern w:val="0"/>
                <w:sz w:val="24"/>
                <w:szCs w:val="24"/>
                <w:lang w:val="en-US" w:eastAsia="zh-CN" w:bidi="ar"/>
              </w:rPr>
              <w:t>4</w:t>
            </w:r>
          </w:p>
        </w:tc>
        <w:tc>
          <w:tcPr>
            <w:tcW w:w="2732" w:type="dxa"/>
            <w:tcBorders>
              <w:left w:val="single" w:color="auto" w:sz="4" w:space="0"/>
              <w:right w:val="single" w:color="auto" w:sz="4" w:space="0"/>
            </w:tcBorders>
            <w:noWrap w:val="0"/>
            <w:vAlign w:val="center"/>
          </w:tcPr>
          <w:p w14:paraId="35D31B50">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Fluid sensing control switch</w:t>
            </w:r>
          </w:p>
        </w:tc>
        <w:tc>
          <w:tcPr>
            <w:tcW w:w="1340" w:type="dxa"/>
            <w:tcBorders>
              <w:left w:val="single" w:color="auto" w:sz="4" w:space="0"/>
              <w:right w:val="single" w:color="auto" w:sz="4" w:space="0"/>
            </w:tcBorders>
            <w:noWrap w:val="0"/>
            <w:vAlign w:val="center"/>
          </w:tcPr>
          <w:p w14:paraId="20D9CD5F">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1</w:t>
            </w:r>
          </w:p>
        </w:tc>
        <w:tc>
          <w:tcPr>
            <w:tcW w:w="1345" w:type="dxa"/>
            <w:tcBorders>
              <w:left w:val="single" w:color="auto" w:sz="4" w:space="0"/>
              <w:right w:val="single" w:color="auto" w:sz="4" w:space="0"/>
            </w:tcBorders>
            <w:noWrap w:val="0"/>
            <w:vAlign w:val="center"/>
          </w:tcPr>
          <w:p w14:paraId="4CE1D957">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 xml:space="preserve"> single </w:t>
            </w:r>
          </w:p>
        </w:tc>
        <w:tc>
          <w:tcPr>
            <w:tcW w:w="1756" w:type="dxa"/>
            <w:tcBorders>
              <w:left w:val="single" w:color="auto" w:sz="4" w:space="0"/>
            </w:tcBorders>
            <w:noWrap w:val="0"/>
            <w:vAlign w:val="center"/>
          </w:tcPr>
          <w:p w14:paraId="215BC1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default" w:ascii="宋体" w:hAnsi="宋体" w:eastAsia="宋体" w:cs="宋体"/>
                <w:color w:val="auto"/>
                <w:kern w:val="0"/>
                <w:sz w:val="24"/>
                <w:szCs w:val="24"/>
                <w:lang w:val="en-US" w:eastAsia="zh-CN" w:bidi="ar"/>
              </w:rPr>
            </w:pPr>
            <w:r>
              <w:rPr>
                <w:rFonts w:hint="eastAsia" w:ascii="Times New Roman" w:hAnsi="宋体" w:eastAsia="微软雅黑" w:cs="宋体"/>
                <w:color w:val="auto"/>
                <w:kern w:val="0"/>
                <w:sz w:val="24"/>
                <w:szCs w:val="24"/>
                <w:lang w:val="en-US" w:eastAsia="zh-CN" w:bidi="ar"/>
              </w:rPr>
              <w:t>SOF fluid control</w:t>
            </w:r>
          </w:p>
        </w:tc>
        <w:tc>
          <w:tcPr>
            <w:tcW w:w="1931" w:type="dxa"/>
            <w:tcBorders>
              <w:left w:val="single" w:color="auto" w:sz="4" w:space="0"/>
            </w:tcBorders>
            <w:noWrap w:val="0"/>
            <w:vAlign w:val="center"/>
          </w:tcPr>
          <w:p w14:paraId="2E0B477A">
            <w:pPr>
              <w:jc w:val="center"/>
              <w:rPr>
                <w:rFonts w:hint="default" w:ascii="宋体" w:hAnsi="宋体" w:eastAsia="宋体" w:cs="宋体"/>
                <w:color w:val="auto"/>
                <w:kern w:val="0"/>
                <w:sz w:val="24"/>
                <w:szCs w:val="24"/>
                <w:lang w:val="en-US" w:eastAsia="zh-CN" w:bidi="ar"/>
              </w:rPr>
            </w:pPr>
            <w:r>
              <w:rPr>
                <w:rFonts w:hint="eastAsia" w:ascii="Times New Roman" w:hAnsi="宋体" w:eastAsia="微软雅黑" w:cs="宋体"/>
                <w:color w:val="auto"/>
                <w:kern w:val="0"/>
                <w:sz w:val="24"/>
                <w:szCs w:val="24"/>
                <w:lang w:val="en-US" w:eastAsia="zh-CN" w:bidi="ar"/>
              </w:rPr>
              <w:t>Steam flow control</w:t>
            </w:r>
          </w:p>
        </w:tc>
      </w:tr>
      <w:tr w14:paraId="69CFAB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5" w:hRule="atLeast"/>
          <w:jc w:val="center"/>
        </w:trPr>
        <w:tc>
          <w:tcPr>
            <w:tcW w:w="732" w:type="dxa"/>
            <w:tcBorders>
              <w:right w:val="single" w:color="auto" w:sz="4" w:space="0"/>
            </w:tcBorders>
            <w:noWrap w:val="0"/>
            <w:vAlign w:val="center"/>
          </w:tcPr>
          <w:p w14:paraId="0767817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Arial" w:hAnsi="Arial" w:eastAsia="宋体" w:cs="Arial"/>
                <w:b w:val="0"/>
                <w:i w:val="0"/>
                <w:caps w:val="0"/>
                <w:color w:val="auto"/>
                <w:spacing w:val="0"/>
                <w:kern w:val="0"/>
                <w:sz w:val="24"/>
                <w:szCs w:val="24"/>
                <w:lang w:val="en-US" w:eastAsia="zh-CN" w:bidi="ar"/>
              </w:rPr>
            </w:pPr>
            <w:r>
              <w:rPr>
                <w:rFonts w:hint="eastAsia" w:ascii="Times New Roman" w:hAnsi="Arial" w:eastAsia="微软雅黑" w:cs="Arial"/>
                <w:b w:val="0"/>
                <w:i w:val="0"/>
                <w:caps w:val="0"/>
                <w:color w:val="auto"/>
                <w:spacing w:val="0"/>
                <w:kern w:val="0"/>
                <w:sz w:val="24"/>
                <w:szCs w:val="24"/>
                <w:lang w:val="en-US" w:eastAsia="zh-CN" w:bidi="ar"/>
              </w:rPr>
              <w:t>5</w:t>
            </w:r>
          </w:p>
        </w:tc>
        <w:tc>
          <w:tcPr>
            <w:tcW w:w="2732" w:type="dxa"/>
            <w:tcBorders>
              <w:left w:val="single" w:color="auto" w:sz="4" w:space="0"/>
              <w:right w:val="single" w:color="auto" w:sz="4" w:space="0"/>
            </w:tcBorders>
            <w:noWrap w:val="0"/>
            <w:vAlign w:val="center"/>
          </w:tcPr>
          <w:p w14:paraId="1EDA9A83">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PT100/K type temperature probe</w:t>
            </w:r>
          </w:p>
        </w:tc>
        <w:tc>
          <w:tcPr>
            <w:tcW w:w="1340" w:type="dxa"/>
            <w:tcBorders>
              <w:left w:val="single" w:color="auto" w:sz="4" w:space="0"/>
              <w:right w:val="single" w:color="auto" w:sz="4" w:space="0"/>
            </w:tcBorders>
            <w:noWrap w:val="0"/>
            <w:vAlign w:val="center"/>
          </w:tcPr>
          <w:p w14:paraId="16476A8E">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1</w:t>
            </w:r>
          </w:p>
        </w:tc>
        <w:tc>
          <w:tcPr>
            <w:tcW w:w="1345" w:type="dxa"/>
            <w:tcBorders>
              <w:left w:val="single" w:color="auto" w:sz="4" w:space="0"/>
              <w:right w:val="single" w:color="auto" w:sz="4" w:space="0"/>
            </w:tcBorders>
            <w:noWrap w:val="0"/>
            <w:vAlign w:val="center"/>
          </w:tcPr>
          <w:p w14:paraId="5CE650C4">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 xml:space="preserve"> single </w:t>
            </w:r>
          </w:p>
        </w:tc>
        <w:tc>
          <w:tcPr>
            <w:tcW w:w="1756" w:type="dxa"/>
            <w:tcBorders>
              <w:left w:val="single" w:color="auto" w:sz="4" w:space="0"/>
            </w:tcBorders>
            <w:noWrap w:val="0"/>
            <w:vAlign w:val="center"/>
          </w:tcPr>
          <w:p w14:paraId="698EA202">
            <w:pPr>
              <w:keepNext w:val="0"/>
              <w:keepLines w:val="0"/>
              <w:widowControl/>
              <w:suppressLineNumbers w:val="0"/>
              <w:spacing w:before="0" w:beforeAutospacing="0" w:after="0" w:afterAutospacing="0" w:line="288" w:lineRule="atLeast"/>
              <w:ind w:left="0" w:leftChars="0" w:right="0" w:rightChars="0" w:firstLine="0" w:firstLineChars="0"/>
              <w:jc w:val="center"/>
              <w:rPr>
                <w:rFonts w:hint="default" w:ascii="宋体" w:hAnsi="宋体" w:eastAsia="宋体" w:cs="宋体"/>
                <w:color w:val="auto"/>
                <w:kern w:val="0"/>
                <w:sz w:val="24"/>
                <w:szCs w:val="24"/>
                <w:lang w:val="en-US" w:eastAsia="zh-CN" w:bidi="ar"/>
              </w:rPr>
            </w:pPr>
            <w:r>
              <w:rPr>
                <w:rFonts w:hint="eastAsia" w:ascii="Times New Roman" w:hAnsi="宋体" w:eastAsia="微软雅黑" w:cs="宋体"/>
                <w:color w:val="auto"/>
                <w:kern w:val="0"/>
                <w:sz w:val="24"/>
                <w:szCs w:val="24"/>
                <w:lang w:val="en-US" w:eastAsia="zh-CN" w:bidi="ar"/>
              </w:rPr>
              <w:t>Shanghai Jingte equipment</w:t>
            </w:r>
          </w:p>
        </w:tc>
        <w:tc>
          <w:tcPr>
            <w:tcW w:w="1931" w:type="dxa"/>
            <w:tcBorders>
              <w:left w:val="single" w:color="auto" w:sz="4" w:space="0"/>
            </w:tcBorders>
            <w:noWrap w:val="0"/>
            <w:vAlign w:val="center"/>
          </w:tcPr>
          <w:p w14:paraId="23094514">
            <w:pPr>
              <w:jc w:val="center"/>
              <w:rPr>
                <w:rFonts w:hint="default" w:ascii="宋体" w:hAnsi="宋体" w:eastAsia="宋体" w:cs="宋体"/>
                <w:color w:val="auto"/>
                <w:kern w:val="0"/>
                <w:sz w:val="24"/>
                <w:szCs w:val="24"/>
                <w:lang w:val="en-US" w:eastAsia="zh-CN" w:bidi="ar"/>
              </w:rPr>
            </w:pPr>
            <w:r>
              <w:rPr>
                <w:rFonts w:hint="eastAsia" w:ascii="Times New Roman" w:hAnsi="宋体" w:eastAsia="微软雅黑" w:cs="宋体"/>
                <w:color w:val="auto"/>
                <w:kern w:val="0"/>
                <w:sz w:val="24"/>
                <w:szCs w:val="24"/>
                <w:lang w:val="en-US" w:eastAsia="zh-CN" w:bidi="ar"/>
              </w:rPr>
              <w:t>10℃-1200℃</w:t>
            </w:r>
          </w:p>
        </w:tc>
      </w:tr>
      <w:tr w14:paraId="36EDBA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71" w:hRule="atLeast"/>
          <w:jc w:val="center"/>
        </w:trPr>
        <w:tc>
          <w:tcPr>
            <w:tcW w:w="732" w:type="dxa"/>
            <w:tcBorders>
              <w:right w:val="single" w:color="auto" w:sz="4" w:space="0"/>
            </w:tcBorders>
            <w:noWrap w:val="0"/>
            <w:vAlign w:val="center"/>
          </w:tcPr>
          <w:p w14:paraId="4189BF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Arial" w:hAnsi="Arial" w:eastAsia="宋体" w:cs="Arial"/>
                <w:b w:val="0"/>
                <w:i w:val="0"/>
                <w:caps w:val="0"/>
                <w:color w:val="auto"/>
                <w:spacing w:val="0"/>
                <w:kern w:val="0"/>
                <w:sz w:val="24"/>
                <w:szCs w:val="24"/>
                <w:lang w:val="en-US" w:eastAsia="zh-CN" w:bidi="ar"/>
              </w:rPr>
            </w:pPr>
            <w:r>
              <w:rPr>
                <w:rFonts w:hint="eastAsia" w:ascii="Times New Roman" w:hAnsi="Arial" w:eastAsia="微软雅黑" w:cs="Arial"/>
                <w:b w:val="0"/>
                <w:i w:val="0"/>
                <w:caps w:val="0"/>
                <w:color w:val="auto"/>
                <w:spacing w:val="0"/>
                <w:kern w:val="0"/>
                <w:sz w:val="24"/>
                <w:szCs w:val="24"/>
                <w:lang w:val="en-US" w:eastAsia="zh-CN" w:bidi="ar"/>
              </w:rPr>
              <w:t>6</w:t>
            </w:r>
          </w:p>
        </w:tc>
        <w:tc>
          <w:tcPr>
            <w:tcW w:w="2732" w:type="dxa"/>
            <w:tcBorders>
              <w:left w:val="single" w:color="auto" w:sz="4" w:space="0"/>
              <w:right w:val="single" w:color="auto" w:sz="4" w:space="0"/>
            </w:tcBorders>
            <w:noWrap w:val="0"/>
            <w:vAlign w:val="center"/>
          </w:tcPr>
          <w:p w14:paraId="21ED276E">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 xml:space="preserve">PDI temperature controller </w:t>
            </w:r>
          </w:p>
        </w:tc>
        <w:tc>
          <w:tcPr>
            <w:tcW w:w="1340" w:type="dxa"/>
            <w:tcBorders>
              <w:left w:val="single" w:color="auto" w:sz="4" w:space="0"/>
              <w:right w:val="single" w:color="auto" w:sz="4" w:space="0"/>
            </w:tcBorders>
            <w:noWrap w:val="0"/>
            <w:vAlign w:val="center"/>
          </w:tcPr>
          <w:p w14:paraId="6245D6B7">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1</w:t>
            </w:r>
          </w:p>
        </w:tc>
        <w:tc>
          <w:tcPr>
            <w:tcW w:w="1345" w:type="dxa"/>
            <w:tcBorders>
              <w:left w:val="single" w:color="auto" w:sz="4" w:space="0"/>
              <w:right w:val="single" w:color="auto" w:sz="4" w:space="0"/>
            </w:tcBorders>
            <w:noWrap w:val="0"/>
            <w:vAlign w:val="center"/>
          </w:tcPr>
          <w:p w14:paraId="11ADA0BB">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 xml:space="preserve"> block </w:t>
            </w:r>
          </w:p>
        </w:tc>
        <w:tc>
          <w:tcPr>
            <w:tcW w:w="1756" w:type="dxa"/>
            <w:tcBorders>
              <w:left w:val="single" w:color="auto" w:sz="4" w:space="0"/>
            </w:tcBorders>
            <w:noWrap w:val="0"/>
            <w:vAlign w:val="center"/>
          </w:tcPr>
          <w:p w14:paraId="1B3E071A">
            <w:pPr>
              <w:keepNext w:val="0"/>
              <w:keepLines w:val="0"/>
              <w:widowControl/>
              <w:suppressLineNumbers w:val="0"/>
              <w:spacing w:before="0" w:beforeAutospacing="0" w:after="0" w:afterAutospacing="0" w:line="288" w:lineRule="atLeast"/>
              <w:ind w:left="0" w:leftChars="0" w:right="0" w:rightChars="0" w:firstLine="0" w:firstLineChars="0"/>
              <w:jc w:val="center"/>
              <w:rPr>
                <w:rFonts w:hint="default" w:ascii="Calibri" w:hAnsi="Calibri" w:eastAsia="宋体" w:cs="Times New Roman"/>
                <w:kern w:val="2"/>
                <w:sz w:val="24"/>
                <w:szCs w:val="24"/>
                <w:lang w:val="en-US" w:eastAsia="zh-CN" w:bidi="ar-SA"/>
              </w:rPr>
            </w:pPr>
            <w:r>
              <w:rPr>
                <w:rFonts w:hint="eastAsia" w:ascii="Times New Roman" w:hAnsi="Calibri" w:eastAsia="微软雅黑" w:cs="Times New Roman"/>
                <w:kern w:val="2"/>
                <w:sz w:val="24"/>
                <w:szCs w:val="24"/>
                <w:lang w:val="en-US" w:eastAsia="zh-CN" w:bidi="ar-SA"/>
              </w:rPr>
              <w:t>Taiwan AIC thermal control</w:t>
            </w:r>
          </w:p>
        </w:tc>
        <w:tc>
          <w:tcPr>
            <w:tcW w:w="1931" w:type="dxa"/>
            <w:tcBorders>
              <w:left w:val="single" w:color="auto" w:sz="4" w:space="0"/>
            </w:tcBorders>
            <w:noWrap w:val="0"/>
            <w:vAlign w:val="center"/>
          </w:tcPr>
          <w:p w14:paraId="7A98A068">
            <w:pPr>
              <w:jc w:val="center"/>
              <w:rPr>
                <w:rFonts w:hint="default" w:ascii="宋体" w:hAnsi="宋体" w:eastAsia="宋体" w:cs="宋体"/>
                <w:color w:val="auto"/>
                <w:kern w:val="0"/>
                <w:sz w:val="24"/>
                <w:szCs w:val="24"/>
                <w:lang w:val="en-US" w:eastAsia="zh-CN" w:bidi="ar"/>
              </w:rPr>
            </w:pPr>
            <w:r>
              <w:rPr>
                <w:rFonts w:hint="eastAsia" w:ascii="Times New Roman" w:hAnsi="宋体" w:eastAsia="微软雅黑" w:cs="宋体"/>
                <w:color w:val="auto"/>
                <w:kern w:val="0"/>
                <w:sz w:val="24"/>
                <w:szCs w:val="24"/>
                <w:lang w:val="en-US" w:eastAsia="zh-CN" w:bidi="ar"/>
              </w:rPr>
              <w:t>Precise temperature control ±1℃</w:t>
            </w:r>
          </w:p>
        </w:tc>
      </w:tr>
      <w:tr w14:paraId="0D4F43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71" w:hRule="atLeast"/>
          <w:jc w:val="center"/>
        </w:trPr>
        <w:tc>
          <w:tcPr>
            <w:tcW w:w="732" w:type="dxa"/>
            <w:tcBorders>
              <w:right w:val="single" w:color="auto" w:sz="4" w:space="0"/>
            </w:tcBorders>
            <w:noWrap w:val="0"/>
            <w:vAlign w:val="center"/>
          </w:tcPr>
          <w:p w14:paraId="054BC7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Arial" w:hAnsi="Arial" w:eastAsia="宋体" w:cs="Arial"/>
                <w:b w:val="0"/>
                <w:i w:val="0"/>
                <w:caps w:val="0"/>
                <w:color w:val="auto"/>
                <w:spacing w:val="0"/>
                <w:kern w:val="0"/>
                <w:sz w:val="24"/>
                <w:szCs w:val="24"/>
                <w:lang w:val="en-US" w:eastAsia="zh-CN" w:bidi="ar"/>
              </w:rPr>
            </w:pPr>
            <w:r>
              <w:rPr>
                <w:rFonts w:hint="eastAsia" w:ascii="Times New Roman" w:hAnsi="Arial" w:eastAsia="微软雅黑" w:cs="Arial"/>
                <w:b w:val="0"/>
                <w:i w:val="0"/>
                <w:caps w:val="0"/>
                <w:color w:val="auto"/>
                <w:spacing w:val="0"/>
                <w:kern w:val="0"/>
                <w:sz w:val="24"/>
                <w:szCs w:val="24"/>
                <w:lang w:val="en-US" w:eastAsia="zh-CN" w:bidi="ar"/>
              </w:rPr>
              <w:t>7</w:t>
            </w:r>
          </w:p>
        </w:tc>
        <w:tc>
          <w:tcPr>
            <w:tcW w:w="2732" w:type="dxa"/>
            <w:tcBorders>
              <w:left w:val="single" w:color="auto" w:sz="4" w:space="0"/>
              <w:right w:val="single" w:color="auto" w:sz="4" w:space="0"/>
            </w:tcBorders>
            <w:noWrap w:val="0"/>
            <w:vAlign w:val="center"/>
          </w:tcPr>
          <w:p w14:paraId="100FFA66">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Air cooling system</w:t>
            </w:r>
          </w:p>
        </w:tc>
        <w:tc>
          <w:tcPr>
            <w:tcW w:w="1340" w:type="dxa"/>
            <w:tcBorders>
              <w:left w:val="single" w:color="auto" w:sz="4" w:space="0"/>
              <w:right w:val="single" w:color="auto" w:sz="4" w:space="0"/>
            </w:tcBorders>
            <w:noWrap w:val="0"/>
            <w:vAlign w:val="center"/>
          </w:tcPr>
          <w:p w14:paraId="2C81C786">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4</w:t>
            </w:r>
          </w:p>
        </w:tc>
        <w:tc>
          <w:tcPr>
            <w:tcW w:w="1345" w:type="dxa"/>
            <w:tcBorders>
              <w:left w:val="single" w:color="auto" w:sz="4" w:space="0"/>
              <w:right w:val="single" w:color="auto" w:sz="4" w:space="0"/>
            </w:tcBorders>
            <w:noWrap w:val="0"/>
            <w:vAlign w:val="center"/>
          </w:tcPr>
          <w:p w14:paraId="1DCE536C">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 xml:space="preserve"> cover </w:t>
            </w:r>
          </w:p>
        </w:tc>
        <w:tc>
          <w:tcPr>
            <w:tcW w:w="1756" w:type="dxa"/>
            <w:tcBorders>
              <w:left w:val="single" w:color="auto" w:sz="4" w:space="0"/>
            </w:tcBorders>
            <w:noWrap w:val="0"/>
            <w:vAlign w:val="center"/>
          </w:tcPr>
          <w:p w14:paraId="149D00FD">
            <w:pPr>
              <w:keepNext w:val="0"/>
              <w:keepLines w:val="0"/>
              <w:widowControl/>
              <w:suppressLineNumbers w:val="0"/>
              <w:spacing w:before="0" w:beforeAutospacing="0" w:after="0" w:afterAutospacing="0" w:line="288" w:lineRule="atLeast"/>
              <w:ind w:left="0" w:leftChars="0" w:right="0" w:rightChars="0" w:firstLine="0" w:firstLineChars="0"/>
              <w:jc w:val="center"/>
              <w:rPr>
                <w:rFonts w:hint="eastAsia"/>
                <w:sz w:val="24"/>
                <w:szCs w:val="24"/>
                <w:lang w:val="en-US" w:eastAsia="zh-CN"/>
              </w:rPr>
            </w:pPr>
            <w:r>
              <w:rPr>
                <w:rFonts w:hint="eastAsia" w:ascii="Times New Roman" w:hAnsi="Calibri" w:eastAsia="微软雅黑" w:cs="Times New Roman"/>
                <w:kern w:val="2"/>
                <w:sz w:val="24"/>
                <w:szCs w:val="24"/>
                <w:lang w:val="en-US" w:eastAsia="zh-CN" w:bidi="ar-SA"/>
              </w:rPr>
              <w:t>Taiwan AIC thermal control</w:t>
            </w:r>
          </w:p>
        </w:tc>
        <w:tc>
          <w:tcPr>
            <w:tcW w:w="1931" w:type="dxa"/>
            <w:tcBorders>
              <w:left w:val="single" w:color="auto" w:sz="4" w:space="0"/>
            </w:tcBorders>
            <w:noWrap w:val="0"/>
            <w:vAlign w:val="center"/>
          </w:tcPr>
          <w:p w14:paraId="3BE3D2A9">
            <w:pPr>
              <w:jc w:val="center"/>
              <w:rPr>
                <w:rFonts w:hint="default" w:ascii="宋体" w:hAnsi="宋体" w:eastAsia="宋体" w:cs="宋体"/>
                <w:color w:val="auto"/>
                <w:kern w:val="0"/>
                <w:sz w:val="24"/>
                <w:szCs w:val="24"/>
                <w:lang w:val="en-US" w:eastAsia="zh-CN" w:bidi="ar"/>
              </w:rPr>
            </w:pPr>
            <w:r>
              <w:rPr>
                <w:rFonts w:hint="eastAsia" w:ascii="Times New Roman" w:hAnsi="宋体" w:eastAsia="微软雅黑" w:cs="宋体"/>
                <w:color w:val="auto"/>
                <w:kern w:val="0"/>
                <w:sz w:val="24"/>
                <w:szCs w:val="24"/>
                <w:lang w:val="en-US" w:eastAsia="zh-CN" w:bidi="ar"/>
              </w:rPr>
              <w:t>Temperature control</w:t>
            </w:r>
          </w:p>
        </w:tc>
      </w:tr>
      <w:tr w14:paraId="2E8EE3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71" w:hRule="atLeast"/>
          <w:jc w:val="center"/>
        </w:trPr>
        <w:tc>
          <w:tcPr>
            <w:tcW w:w="732" w:type="dxa"/>
            <w:tcBorders>
              <w:right w:val="single" w:color="auto" w:sz="4" w:space="0"/>
            </w:tcBorders>
            <w:noWrap w:val="0"/>
            <w:vAlign w:val="center"/>
          </w:tcPr>
          <w:p w14:paraId="15077A2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Arial" w:hAnsi="Arial" w:eastAsia="宋体" w:cs="Arial"/>
                <w:b w:val="0"/>
                <w:i w:val="0"/>
                <w:caps w:val="0"/>
                <w:color w:val="auto"/>
                <w:spacing w:val="0"/>
                <w:kern w:val="0"/>
                <w:sz w:val="24"/>
                <w:szCs w:val="24"/>
                <w:lang w:val="en-US" w:eastAsia="zh-CN" w:bidi="ar"/>
              </w:rPr>
            </w:pPr>
            <w:r>
              <w:rPr>
                <w:rFonts w:hint="eastAsia" w:ascii="Times New Roman" w:hAnsi="Arial" w:eastAsia="微软雅黑" w:cs="Arial"/>
                <w:b w:val="0"/>
                <w:i w:val="0"/>
                <w:caps w:val="0"/>
                <w:color w:val="auto"/>
                <w:spacing w:val="0"/>
                <w:kern w:val="0"/>
                <w:sz w:val="24"/>
                <w:szCs w:val="24"/>
                <w:lang w:val="en-US" w:eastAsia="zh-CN" w:bidi="ar"/>
              </w:rPr>
              <w:t>8</w:t>
            </w:r>
          </w:p>
        </w:tc>
        <w:tc>
          <w:tcPr>
            <w:tcW w:w="2732" w:type="dxa"/>
            <w:tcBorders>
              <w:left w:val="single" w:color="auto" w:sz="4" w:space="0"/>
              <w:right w:val="single" w:color="auto" w:sz="4" w:space="0"/>
            </w:tcBorders>
            <w:noWrap w:val="0"/>
            <w:vAlign w:val="center"/>
          </w:tcPr>
          <w:p w14:paraId="3C2D9713">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System circuit breaker</w:t>
            </w:r>
          </w:p>
        </w:tc>
        <w:tc>
          <w:tcPr>
            <w:tcW w:w="1340" w:type="dxa"/>
            <w:tcBorders>
              <w:left w:val="single" w:color="auto" w:sz="4" w:space="0"/>
              <w:right w:val="single" w:color="auto" w:sz="4" w:space="0"/>
            </w:tcBorders>
            <w:noWrap w:val="0"/>
            <w:vAlign w:val="center"/>
          </w:tcPr>
          <w:p w14:paraId="3051E375">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1</w:t>
            </w:r>
          </w:p>
        </w:tc>
        <w:tc>
          <w:tcPr>
            <w:tcW w:w="1345" w:type="dxa"/>
            <w:tcBorders>
              <w:left w:val="single" w:color="auto" w:sz="4" w:space="0"/>
              <w:right w:val="single" w:color="auto" w:sz="4" w:space="0"/>
            </w:tcBorders>
            <w:noWrap w:val="0"/>
            <w:vAlign w:val="center"/>
          </w:tcPr>
          <w:p w14:paraId="426D8011">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 xml:space="preserve"> short for Taizhou </w:t>
            </w:r>
          </w:p>
        </w:tc>
        <w:tc>
          <w:tcPr>
            <w:tcW w:w="1756" w:type="dxa"/>
            <w:tcBorders>
              <w:left w:val="single" w:color="auto" w:sz="4" w:space="0"/>
            </w:tcBorders>
            <w:noWrap w:val="0"/>
            <w:vAlign w:val="center"/>
          </w:tcPr>
          <w:p w14:paraId="357BEE20">
            <w:pPr>
              <w:keepNext w:val="0"/>
              <w:keepLines w:val="0"/>
              <w:widowControl/>
              <w:suppressLineNumbers w:val="0"/>
              <w:spacing w:before="0" w:beforeAutospacing="0" w:after="0" w:afterAutospacing="0" w:line="288" w:lineRule="atLeast"/>
              <w:ind w:left="0" w:leftChars="0" w:right="0" w:rightChars="0" w:firstLine="0" w:firstLineChars="0"/>
              <w:jc w:val="center"/>
              <w:rPr>
                <w:rFonts w:hint="default"/>
                <w:sz w:val="24"/>
                <w:szCs w:val="24"/>
                <w:lang w:val="en-US" w:eastAsia="zh-CN"/>
              </w:rPr>
            </w:pPr>
            <w:r>
              <w:rPr>
                <w:rFonts w:hint="eastAsia" w:ascii="Times New Roman" w:hAnsi="Calibri" w:eastAsia="微软雅黑" w:cs="Times New Roman"/>
                <w:kern w:val="2"/>
                <w:sz w:val="24"/>
                <w:szCs w:val="24"/>
                <w:lang w:val="en-US" w:eastAsia="zh-CN" w:bidi="ar-SA"/>
              </w:rPr>
              <w:t>Zhengtai Electric</w:t>
            </w:r>
          </w:p>
        </w:tc>
        <w:tc>
          <w:tcPr>
            <w:tcW w:w="1931" w:type="dxa"/>
            <w:tcBorders>
              <w:left w:val="single" w:color="auto" w:sz="4" w:space="0"/>
            </w:tcBorders>
            <w:noWrap w:val="0"/>
            <w:vAlign w:val="center"/>
          </w:tcPr>
          <w:p w14:paraId="36AA71BC">
            <w:pPr>
              <w:jc w:val="center"/>
              <w:rPr>
                <w:rFonts w:hint="default" w:ascii="宋体" w:hAnsi="宋体" w:eastAsia="宋体" w:cs="宋体"/>
                <w:color w:val="auto"/>
                <w:kern w:val="0"/>
                <w:sz w:val="24"/>
                <w:szCs w:val="24"/>
                <w:lang w:val="en-US" w:eastAsia="zh-CN" w:bidi="ar"/>
              </w:rPr>
            </w:pPr>
            <w:r>
              <w:rPr>
                <w:rFonts w:hint="eastAsia" w:ascii="Times New Roman" w:hAnsi="宋体" w:eastAsia="微软雅黑" w:cs="宋体"/>
                <w:color w:val="auto"/>
                <w:kern w:val="0"/>
                <w:sz w:val="24"/>
                <w:szCs w:val="24"/>
                <w:lang w:val="en-US" w:eastAsia="zh-CN" w:bidi="ar"/>
              </w:rPr>
              <w:t xml:space="preserve">CCC certified products </w:t>
            </w:r>
          </w:p>
        </w:tc>
      </w:tr>
      <w:tr w14:paraId="36F4FE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71" w:hRule="atLeast"/>
          <w:jc w:val="center"/>
        </w:trPr>
        <w:tc>
          <w:tcPr>
            <w:tcW w:w="732" w:type="dxa"/>
            <w:tcBorders>
              <w:right w:val="single" w:color="auto" w:sz="4" w:space="0"/>
            </w:tcBorders>
            <w:noWrap w:val="0"/>
            <w:vAlign w:val="center"/>
          </w:tcPr>
          <w:p w14:paraId="3CF3F3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Arial" w:hAnsi="Arial" w:eastAsia="宋体" w:cs="Arial"/>
                <w:b w:val="0"/>
                <w:i w:val="0"/>
                <w:caps w:val="0"/>
                <w:color w:val="auto"/>
                <w:spacing w:val="0"/>
                <w:kern w:val="0"/>
                <w:sz w:val="24"/>
                <w:szCs w:val="24"/>
                <w:lang w:val="en-US" w:eastAsia="zh-CN" w:bidi="ar"/>
              </w:rPr>
            </w:pPr>
            <w:r>
              <w:rPr>
                <w:rFonts w:hint="eastAsia" w:ascii="Times New Roman" w:hAnsi="Arial" w:eastAsia="微软雅黑" w:cs="Arial"/>
                <w:b w:val="0"/>
                <w:i w:val="0"/>
                <w:caps w:val="0"/>
                <w:color w:val="auto"/>
                <w:spacing w:val="0"/>
                <w:kern w:val="0"/>
                <w:sz w:val="24"/>
                <w:szCs w:val="24"/>
                <w:lang w:val="en-US" w:eastAsia="zh-CN" w:bidi="ar"/>
              </w:rPr>
              <w:t>9</w:t>
            </w:r>
          </w:p>
        </w:tc>
        <w:tc>
          <w:tcPr>
            <w:tcW w:w="2732" w:type="dxa"/>
            <w:tcBorders>
              <w:left w:val="single" w:color="auto" w:sz="4" w:space="0"/>
              <w:right w:val="single" w:color="auto" w:sz="4" w:space="0"/>
            </w:tcBorders>
            <w:noWrap w:val="0"/>
            <w:vAlign w:val="center"/>
          </w:tcPr>
          <w:p w14:paraId="1E739036">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 xml:space="preserve"> auxiliary relay </w:t>
            </w:r>
          </w:p>
        </w:tc>
        <w:tc>
          <w:tcPr>
            <w:tcW w:w="1340" w:type="dxa"/>
            <w:tcBorders>
              <w:left w:val="single" w:color="auto" w:sz="4" w:space="0"/>
              <w:right w:val="single" w:color="auto" w:sz="4" w:space="0"/>
            </w:tcBorders>
            <w:noWrap w:val="0"/>
            <w:vAlign w:val="center"/>
          </w:tcPr>
          <w:p w14:paraId="15628585">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2</w:t>
            </w:r>
          </w:p>
        </w:tc>
        <w:tc>
          <w:tcPr>
            <w:tcW w:w="1345" w:type="dxa"/>
            <w:tcBorders>
              <w:left w:val="single" w:color="auto" w:sz="4" w:space="0"/>
              <w:right w:val="single" w:color="auto" w:sz="4" w:space="0"/>
            </w:tcBorders>
            <w:noWrap w:val="0"/>
            <w:vAlign w:val="center"/>
          </w:tcPr>
          <w:p w14:paraId="74C4201F">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 xml:space="preserve"> single </w:t>
            </w:r>
          </w:p>
        </w:tc>
        <w:tc>
          <w:tcPr>
            <w:tcW w:w="1756" w:type="dxa"/>
            <w:tcBorders>
              <w:left w:val="single" w:color="auto" w:sz="4" w:space="0"/>
            </w:tcBorders>
            <w:noWrap w:val="0"/>
            <w:vAlign w:val="center"/>
          </w:tcPr>
          <w:p w14:paraId="567B93AD">
            <w:pPr>
              <w:keepNext w:val="0"/>
              <w:keepLines w:val="0"/>
              <w:widowControl/>
              <w:suppressLineNumbers w:val="0"/>
              <w:spacing w:before="0" w:beforeAutospacing="0" w:after="0" w:afterAutospacing="0" w:line="288" w:lineRule="atLeast"/>
              <w:ind w:left="0" w:leftChars="0" w:right="0" w:rightChars="0" w:firstLine="0" w:firstLineChars="0"/>
              <w:jc w:val="center"/>
              <w:rPr>
                <w:rFonts w:hint="eastAsia" w:ascii="宋体" w:hAnsi="宋体" w:eastAsia="宋体" w:cs="宋体"/>
                <w:color w:val="auto"/>
                <w:kern w:val="0"/>
                <w:sz w:val="28"/>
                <w:szCs w:val="28"/>
                <w:lang w:val="en-US" w:eastAsia="zh-CN" w:bidi="ar"/>
              </w:rPr>
            </w:pPr>
            <w:r>
              <w:rPr>
                <w:rFonts w:hint="eastAsia" w:ascii="Times New Roman" w:hAnsi="Calibri" w:eastAsia="微软雅黑" w:cs="Times New Roman"/>
                <w:kern w:val="2"/>
                <w:sz w:val="24"/>
                <w:szCs w:val="24"/>
                <w:lang w:val="en-US" w:eastAsia="zh-CN" w:bidi="ar-SA"/>
              </w:rPr>
              <w:t>Zhengtai Electric</w:t>
            </w:r>
          </w:p>
        </w:tc>
        <w:tc>
          <w:tcPr>
            <w:tcW w:w="1931" w:type="dxa"/>
            <w:tcBorders>
              <w:left w:val="single" w:color="auto" w:sz="4" w:space="0"/>
            </w:tcBorders>
            <w:noWrap w:val="0"/>
            <w:vAlign w:val="center"/>
          </w:tcPr>
          <w:p w14:paraId="1166893C">
            <w:pPr>
              <w:jc w:val="center"/>
              <w:rPr>
                <w:rFonts w:hint="eastAsia" w:ascii="宋体" w:hAnsi="宋体" w:eastAsia="宋体" w:cs="宋体"/>
                <w:color w:val="auto"/>
                <w:kern w:val="0"/>
                <w:sz w:val="24"/>
                <w:szCs w:val="24"/>
                <w:lang w:val="en-US" w:eastAsia="zh-CN" w:bidi="ar"/>
              </w:rPr>
            </w:pPr>
            <w:r>
              <w:rPr>
                <w:rFonts w:hint="eastAsia" w:ascii="Times New Roman" w:hAnsi="宋体" w:eastAsia="微软雅黑" w:cs="宋体"/>
                <w:color w:val="auto"/>
                <w:kern w:val="0"/>
                <w:sz w:val="24"/>
                <w:szCs w:val="24"/>
                <w:lang w:val="en-US" w:eastAsia="zh-CN" w:bidi="ar"/>
              </w:rPr>
              <w:t xml:space="preserve">CCC certified products </w:t>
            </w:r>
          </w:p>
        </w:tc>
      </w:tr>
      <w:tr w14:paraId="49CD05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16" w:hRule="atLeast"/>
          <w:jc w:val="center"/>
        </w:trPr>
        <w:tc>
          <w:tcPr>
            <w:tcW w:w="732" w:type="dxa"/>
            <w:tcBorders>
              <w:right w:val="single" w:color="auto" w:sz="4" w:space="0"/>
            </w:tcBorders>
            <w:noWrap w:val="0"/>
            <w:vAlign w:val="center"/>
          </w:tcPr>
          <w:p w14:paraId="1BA53B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Arial" w:hAnsi="Arial" w:eastAsia="宋体" w:cs="Arial"/>
                <w:b w:val="0"/>
                <w:i w:val="0"/>
                <w:caps w:val="0"/>
                <w:color w:val="auto"/>
                <w:spacing w:val="0"/>
                <w:kern w:val="0"/>
                <w:sz w:val="24"/>
                <w:szCs w:val="24"/>
                <w:lang w:val="en-US" w:eastAsia="zh-CN" w:bidi="ar"/>
              </w:rPr>
            </w:pPr>
            <w:r>
              <w:rPr>
                <w:rFonts w:hint="eastAsia" w:ascii="Times New Roman" w:hAnsi="Arial" w:eastAsia="微软雅黑" w:cs="Arial"/>
                <w:b w:val="0"/>
                <w:i w:val="0"/>
                <w:caps w:val="0"/>
                <w:color w:val="auto"/>
                <w:spacing w:val="0"/>
                <w:kern w:val="0"/>
                <w:sz w:val="24"/>
                <w:szCs w:val="24"/>
                <w:lang w:val="en-US" w:eastAsia="zh-CN" w:bidi="ar"/>
              </w:rPr>
              <w:t>10</w:t>
            </w:r>
          </w:p>
        </w:tc>
        <w:tc>
          <w:tcPr>
            <w:tcW w:w="2732" w:type="dxa"/>
            <w:tcBorders>
              <w:left w:val="single" w:color="auto" w:sz="4" w:space="0"/>
              <w:right w:val="single" w:color="auto" w:sz="4" w:space="0"/>
            </w:tcBorders>
            <w:noWrap w:val="0"/>
            <w:vAlign w:val="center"/>
          </w:tcPr>
          <w:p w14:paraId="2CE78FD6">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Fiddly parts</w:t>
            </w:r>
          </w:p>
        </w:tc>
        <w:tc>
          <w:tcPr>
            <w:tcW w:w="1340" w:type="dxa"/>
            <w:tcBorders>
              <w:left w:val="single" w:color="auto" w:sz="4" w:space="0"/>
              <w:right w:val="single" w:color="auto" w:sz="4" w:space="0"/>
            </w:tcBorders>
            <w:noWrap w:val="0"/>
            <w:vAlign w:val="center"/>
          </w:tcPr>
          <w:p w14:paraId="33F7976E">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1</w:t>
            </w:r>
          </w:p>
        </w:tc>
        <w:tc>
          <w:tcPr>
            <w:tcW w:w="1345" w:type="dxa"/>
            <w:tcBorders>
              <w:left w:val="single" w:color="auto" w:sz="4" w:space="0"/>
              <w:right w:val="single" w:color="auto" w:sz="4" w:space="0"/>
            </w:tcBorders>
            <w:noWrap w:val="0"/>
            <w:vAlign w:val="center"/>
          </w:tcPr>
          <w:p w14:paraId="134ACB7C">
            <w:pPr>
              <w:jc w:val="center"/>
              <w:rPr>
                <w:rFonts w:hint="default" w:ascii="宋体" w:hAnsi="宋体" w:eastAsia="宋体" w:cs="宋体"/>
                <w:kern w:val="2"/>
                <w:sz w:val="28"/>
                <w:szCs w:val="28"/>
                <w:lang w:val="en-US" w:eastAsia="zh-CN" w:bidi="ar-SA"/>
              </w:rPr>
            </w:pPr>
            <w:r>
              <w:rPr>
                <w:rFonts w:hint="eastAsia" w:ascii="Times New Roman" w:hAnsi="宋体" w:eastAsia="微软雅黑" w:cs="宋体"/>
                <w:kern w:val="2"/>
                <w:sz w:val="28"/>
                <w:szCs w:val="28"/>
                <w:lang w:val="en-US" w:eastAsia="zh-CN" w:bidi="ar-SA"/>
              </w:rPr>
              <w:t xml:space="preserve"> cover </w:t>
            </w:r>
          </w:p>
        </w:tc>
        <w:tc>
          <w:tcPr>
            <w:tcW w:w="1756" w:type="dxa"/>
            <w:tcBorders>
              <w:left w:val="single" w:color="auto" w:sz="4" w:space="0"/>
            </w:tcBorders>
            <w:noWrap w:val="0"/>
            <w:vAlign w:val="center"/>
          </w:tcPr>
          <w:p w14:paraId="77DA12E2">
            <w:pPr>
              <w:jc w:val="center"/>
              <w:rPr>
                <w:rFonts w:hint="eastAsia" w:ascii="黑体" w:hAnsi="黑体" w:eastAsia="黑体" w:cs="黑体"/>
                <w:color w:val="auto"/>
                <w:kern w:val="0"/>
                <w:sz w:val="28"/>
                <w:szCs w:val="28"/>
                <w:lang w:val="en-US" w:eastAsia="zh-CN" w:bidi="ar"/>
              </w:rPr>
            </w:pPr>
            <w:r>
              <w:rPr>
                <w:rFonts w:hint="eastAsia" w:ascii="Times New Roman" w:hAnsi="宋体" w:eastAsia="微软雅黑" w:cs="宋体"/>
                <w:color w:val="auto"/>
                <w:kern w:val="0"/>
                <w:sz w:val="24"/>
                <w:szCs w:val="24"/>
                <w:lang w:val="en-US" w:eastAsia="zh-CN" w:bidi="ar"/>
              </w:rPr>
              <w:t xml:space="preserve">AIX Aix </w:t>
            </w:r>
          </w:p>
        </w:tc>
        <w:tc>
          <w:tcPr>
            <w:tcW w:w="1931" w:type="dxa"/>
            <w:tcBorders>
              <w:left w:val="single" w:color="auto" w:sz="4" w:space="0"/>
            </w:tcBorders>
            <w:noWrap w:val="0"/>
            <w:vAlign w:val="center"/>
          </w:tcPr>
          <w:p w14:paraId="6A8F4110">
            <w:pPr>
              <w:jc w:val="center"/>
              <w:rPr>
                <w:rFonts w:hint="default" w:ascii="宋体" w:hAnsi="宋体" w:eastAsia="宋体" w:cs="宋体"/>
                <w:color w:val="auto"/>
                <w:kern w:val="0"/>
                <w:sz w:val="24"/>
                <w:szCs w:val="24"/>
                <w:lang w:val="en-US" w:eastAsia="zh-CN" w:bidi="ar"/>
              </w:rPr>
            </w:pPr>
            <w:r>
              <w:rPr>
                <w:rFonts w:hint="eastAsia" w:ascii="Times New Roman" w:hAnsi="宋体" w:eastAsia="微软雅黑" w:cs="宋体"/>
                <w:color w:val="auto"/>
                <w:kern w:val="0"/>
                <w:sz w:val="24"/>
                <w:szCs w:val="24"/>
                <w:lang w:val="en-US" w:eastAsia="zh-CN" w:bidi="ar"/>
              </w:rPr>
              <w:t xml:space="preserve"> cost free </w:t>
            </w:r>
          </w:p>
        </w:tc>
      </w:tr>
    </w:tbl>
    <w:p w14:paraId="1380EE9A">
      <w:pPr>
        <w:rPr>
          <w:rFonts w:hint="default"/>
          <w:sz w:val="28"/>
          <w:szCs w:val="28"/>
          <w:lang w:val="en-US" w:eastAsia="zh-CN"/>
        </w:rPr>
      </w:pPr>
    </w:p>
    <w:sectPr>
      <w:headerReference r:id="rId3" w:type="default"/>
      <w:footerReference r:id="rId4" w:type="default"/>
      <w:pgSz w:w="11906" w:h="16838"/>
      <w:pgMar w:top="0" w:right="1800" w:bottom="567" w:left="1800" w:header="851" w:footer="35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5DAD3">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3A034F1">
                          <w:pPr>
                            <w:pStyle w:val="4"/>
                            <w:rPr>
                              <w:rFonts w:hint="eastAsia" w:eastAsia="宋体"/>
                              <w:lang w:eastAsia="zh-CN"/>
                            </w:rPr>
                          </w:pPr>
                          <w:r>
                            <w:rPr>
                              <w:rFonts w:hint="eastAsia" w:ascii="Times New Roman" w:hAnsi="Calibri" w:eastAsia="微软雅黑" w:cs="Times New Roman"/>
                              <w:kern w:val="2"/>
                              <w:sz w:val="18"/>
                              <w:szCs w:val="24"/>
                              <w:lang w:val="en-US" w:eastAsia="zh-CN" w:bidi="ar-SA"/>
                            </w:rPr>
                            <w:t>- 1 -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pMyU4AgAAb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e6kzJTgCAABvBAAADgAAAAAAAAABACAAAAAfAQAAZHJzL2Uyb0RvYy54&#10;bWxQSwUGAAAAAAYABgBZAQAAyQUAAAAA&#10;">
              <v:fill on="f" focussize="0,0"/>
              <v:stroke on="f" weight="0.5pt"/>
              <v:imagedata o:title=""/>
              <o:lock v:ext="edit" aspectratio="f"/>
              <v:textbox inset="0mm,0mm,0mm,0mm" style="mso-fit-shape-to-text:t;">
                <w:txbxContent>
                  <w:p w14:paraId="43A034F1">
                    <w:pPr>
                      <w:pStyle w:val="4"/>
                      <w:rPr>
                        <w:rFonts w:hint="eastAsia" w:eastAsia="宋体"/>
                        <w:lang w:eastAsia="zh-CN"/>
                      </w:rPr>
                    </w:pPr>
                    <w:r>
                      <w:rPr>
                        <w:rFonts w:hint="eastAsia" w:ascii="Times New Roman" w:hAnsi="Calibri" w:eastAsia="微软雅黑" w:cs="Times New Roman"/>
                        <w:kern w:val="2"/>
                        <w:sz w:val="18"/>
                        <w:szCs w:val="24"/>
                        <w:lang w:val="en-US" w:eastAsia="zh-CN" w:bidi="ar-SA"/>
                      </w:rPr>
                      <w:t>- 1 -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328A7">
    <w:pPr>
      <w:pStyle w:val="5"/>
      <w:pBdr>
        <w:bottom w:val="single" w:color="auto" w:sz="4" w:space="1"/>
      </w:pBdr>
      <w:tabs>
        <w:tab w:val="left" w:pos="8190"/>
        <w:tab w:val="clear" w:pos="8306"/>
      </w:tabs>
      <w:ind w:left="-1039" w:leftChars="-495" w:firstLine="0" w:firstLineChars="0"/>
      <w:rPr>
        <w:rFonts w:hint="eastAsia" w:eastAsia="宋体"/>
        <w:lang w:eastAsia="zh-CN"/>
      </w:rPr>
    </w:pPr>
    <w:r>
      <w:rPr>
        <w:rFonts w:hint="eastAsia" w:eastAsia="宋体"/>
        <w:lang w:eastAsia="zh-CN"/>
      </w:rPr>
      <w:drawing>
        <wp:inline distT="0" distB="0" distL="114300" distR="114300">
          <wp:extent cx="630555" cy="630555"/>
          <wp:effectExtent l="0" t="0" r="17145" b="0"/>
          <wp:docPr id="5" name="图片 14" descr="AIX-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4" descr="AIX-LOGO"/>
                  <pic:cNvPicPr>
                    <a:picLocks noChangeAspect="1"/>
                  </pic:cNvPicPr>
                </pic:nvPicPr>
                <pic:blipFill>
                  <a:blip r:embed="rId1"/>
                  <a:stretch>
                    <a:fillRect/>
                  </a:stretch>
                </pic:blipFill>
                <pic:spPr>
                  <a:xfrm>
                    <a:off x="0" y="0"/>
                    <a:ext cx="630555" cy="630555"/>
                  </a:xfrm>
                  <a:prstGeom prst="rect">
                    <a:avLst/>
                  </a:prstGeom>
                  <a:noFill/>
                  <a:ln>
                    <a:noFill/>
                  </a:ln>
                </pic:spPr>
              </pic:pic>
            </a:graphicData>
          </a:graphic>
        </wp:inline>
      </w:drawing>
    </w:r>
    <w:r>
      <w:rPr>
        <w:rFonts w:ascii="Times New Roman" w:eastAsia="微软雅黑"/>
        <w:sz w:val="18"/>
      </w:rPr>
      <mc:AlternateContent>
        <mc:Choice Requires="wps">
          <w:drawing>
            <wp:anchor distT="0" distB="0" distL="114300" distR="114300" simplePos="0" relativeHeight="251659264" behindDoc="0" locked="0" layoutInCell="1" allowOverlap="1">
              <wp:simplePos x="0" y="0"/>
              <wp:positionH relativeFrom="column">
                <wp:posOffset>432435</wp:posOffset>
              </wp:positionH>
              <wp:positionV relativeFrom="paragraph">
                <wp:posOffset>133985</wp:posOffset>
              </wp:positionV>
              <wp:extent cx="4732655" cy="466725"/>
              <wp:effectExtent l="0" t="0" r="10795" b="9525"/>
              <wp:wrapNone/>
              <wp:docPr id="6" name="文本框 6"/>
              <wp:cNvGraphicFramePr/>
              <a:graphic xmlns:a="http://schemas.openxmlformats.org/drawingml/2006/main">
                <a:graphicData uri="http://schemas.microsoft.com/office/word/2010/wordprocessingShape">
                  <wps:wsp>
                    <wps:cNvSpPr txBox="1"/>
                    <wps:spPr>
                      <a:xfrm>
                        <a:off x="1461135" y="696595"/>
                        <a:ext cx="4732655" cy="466725"/>
                      </a:xfrm>
                      <a:prstGeom prst="rect">
                        <a:avLst/>
                      </a:prstGeom>
                      <a:solidFill>
                        <a:srgbClr val="FFFFFF"/>
                      </a:solidFill>
                      <a:ln w="6350">
                        <a:noFill/>
                      </a:ln>
                      <a:effectLst/>
                    </wps:spPr>
                    <wps:txbx>
                      <w:txbxContent>
                        <w:p w14:paraId="6DC3E1DE">
                          <w:pPr>
                            <w:rPr>
                              <w:rFonts w:hint="default"/>
                              <w:sz w:val="40"/>
                              <w:szCs w:val="40"/>
                              <w:lang w:val="en-US" w:eastAsia="zh-CN"/>
                            </w:rPr>
                          </w:pPr>
                          <w:r>
                            <w:rPr>
                              <w:rFonts w:hint="eastAsia" w:ascii="Times New Roman" w:hAnsi="Calibri" w:eastAsia="微软雅黑" w:cs="Times New Roman"/>
                              <w:kern w:val="2"/>
                              <w:sz w:val="40"/>
                              <w:szCs w:val="40"/>
                              <w:lang w:val="en-US" w:eastAsia="zh-CN" w:bidi="ar-SA"/>
                            </w:rPr>
                            <w:t>Henan CNSJIE Industrial Equipment Co., Ltd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05pt;margin-top:10.55pt;height:36.75pt;width:372.65pt;z-index:251659264;mso-width-relative:page;mso-height-relative:page;" fillcolor="#FFFFFF" filled="t" stroked="f" coordsize="21600,21600" o:gfxdata="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s&#10;8Ui51AAAAAgBAAAPAAAAAAAAAAEAIAAAACIAAABkcnMvZG93bnJldi54bWxQSwECFAAUAAAACACH&#10;TuJACdz7GGECAACoBAAADgAAAAAAAAABACAAAAAjAQAAZHJzL2Uyb0RvYy54bWxQSwUGAAAAAAYA&#10;BgBZAQAA9gUAAAAA&#10;">
              <v:fill on="t" focussize="0,0"/>
              <v:stroke on="f" weight="0.5pt"/>
              <v:imagedata o:title=""/>
              <o:lock v:ext="edit" aspectratio="f"/>
              <v:textbox>
                <w:txbxContent>
                  <w:p w14:paraId="6DC3E1DE">
                    <w:pPr>
                      <w:rPr>
                        <w:rFonts w:hint="default"/>
                        <w:sz w:val="40"/>
                        <w:szCs w:val="40"/>
                        <w:lang w:val="en-US" w:eastAsia="zh-CN"/>
                      </w:rPr>
                    </w:pPr>
                    <w:r>
                      <w:rPr>
                        <w:rFonts w:hint="eastAsia" w:ascii="Times New Roman" w:hAnsi="Calibri" w:eastAsia="微软雅黑" w:cs="Times New Roman"/>
                        <w:kern w:val="2"/>
                        <w:sz w:val="40"/>
                        <w:szCs w:val="40"/>
                        <w:lang w:val="en-US" w:eastAsia="zh-CN" w:bidi="ar-SA"/>
                      </w:rPr>
                      <w:t>Henan CNSJIE Industrial Equipment Co., Ltd</w:t>
                    </w:r>
                  </w:p>
                </w:txbxContent>
              </v:textbox>
            </v:shape>
          </w:pict>
        </mc:Fallback>
      </mc:AlternateContent>
    </w:r>
    <w:r>
      <w:rPr>
        <w:rFonts w:hint="eastAsia" w:ascii="Times New Roman" w:hAnsi="Calibri" w:eastAsia="微软雅黑" w:cs="Times New Roman"/>
        <w:kern w:val="2"/>
        <w:sz w:val="18"/>
        <w:szCs w:val="24"/>
        <w:lang w:val="en-US" w:eastAsia="zh-CN" w:bidi="ar-S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52A32C"/>
    <w:multiLevelType w:val="singleLevel"/>
    <w:tmpl w:val="F452A32C"/>
    <w:lvl w:ilvl="0" w:tentative="0">
      <w:start w:val="4"/>
      <w:numFmt w:val="decimal"/>
      <w:suff w:val="space"/>
      <w:lvlText w:val="%1."/>
      <w:lvlJc w:val="left"/>
    </w:lvl>
  </w:abstractNum>
  <w:abstractNum w:abstractNumId="1">
    <w:nsid w:val="1BC2CC61"/>
    <w:multiLevelType w:val="singleLevel"/>
    <w:tmpl w:val="1BC2CC61"/>
    <w:lvl w:ilvl="0" w:tentative="0">
      <w:start w:val="1"/>
      <w:numFmt w:val="decimal"/>
      <w:suff w:val="nothing"/>
      <w:lvlText w:val="%1、"/>
      <w:lvlJc w:val="left"/>
      <w:rPr>
        <w:rFonts w:hint="default"/>
      </w:rPr>
    </w:lvl>
  </w:abstractNum>
  <w:abstractNum w:abstractNumId="2">
    <w:nsid w:val="5C8B8818"/>
    <w:multiLevelType w:val="singleLevel"/>
    <w:tmpl w:val="5C8B8818"/>
    <w:lvl w:ilvl="0" w:tentative="0">
      <w:start w:val="3"/>
      <w:numFmt w:val="decimal"/>
      <w:suff w:val="space"/>
      <w:lvlText w:val="%1."/>
      <w:lvlJc w:val="left"/>
    </w:lvl>
  </w:abstractNum>
  <w:abstractNum w:abstractNumId="3">
    <w:nsid w:val="6D539C0F"/>
    <w:multiLevelType w:val="singleLevel"/>
    <w:tmpl w:val="6D539C0F"/>
    <w:lvl w:ilvl="0" w:tentative="0">
      <w:start w:val="1"/>
      <w:numFmt w:val="decimal"/>
      <w:suff w:val="space"/>
      <w:lvlText w:val="%1."/>
      <w:lvlJc w:val="left"/>
    </w:lvl>
  </w:abstractNum>
  <w:abstractNum w:abstractNumId="4">
    <w:nsid w:val="6DC4D6BD"/>
    <w:multiLevelType w:val="singleLevel"/>
    <w:tmpl w:val="6DC4D6BD"/>
    <w:lvl w:ilvl="0" w:tentative="0">
      <w:start w:val="5"/>
      <w:numFmt w:val="decimal"/>
      <w:suff w:val="nothing"/>
      <w:lvlText w:val="%1、"/>
      <w:lvlJc w:val="left"/>
      <w:rPr>
        <w:rFonts w:hint="default"/>
      </w:rPr>
    </w:lvl>
  </w:abstractNum>
  <w:abstractNum w:abstractNumId="5">
    <w:nsid w:val="789152A5"/>
    <w:multiLevelType w:val="singleLevel"/>
    <w:tmpl w:val="789152A5"/>
    <w:lvl w:ilvl="0" w:tentative="0">
      <w:start w:val="2"/>
      <w:numFmt w:val="decimal"/>
      <w:suff w:val="space"/>
      <w:lvlText w:val="%1."/>
      <w:lvlJc w:val="left"/>
    </w:lvl>
  </w:abstractNum>
  <w:num w:numId="1">
    <w:abstractNumId w:val="1"/>
  </w:num>
  <w:num w:numId="2">
    <w:abstractNumId w:val="0"/>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04148B"/>
    <w:rsid w:val="05036BD3"/>
    <w:rsid w:val="2A693A48"/>
    <w:rsid w:val="3C04148B"/>
    <w:rsid w:val="66E128D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3">
    <w:name w:val="heading 4"/>
    <w:basedOn w:val="1"/>
    <w:next w:val="1"/>
    <w:unhideWhenUsed/>
    <w:qFormat/>
    <w:uiPriority w:val="0"/>
    <w:pPr>
      <w:spacing w:before="100" w:beforeAutospacing="1" w:after="100" w:afterAutospacing="1"/>
      <w:jc w:val="left"/>
      <w:outlineLvl w:val="3"/>
    </w:pPr>
    <w:rPr>
      <w:rFonts w:hint="eastAsia" w:ascii="宋体" w:hAnsi="宋体" w:eastAsia="宋体" w:cs="宋体"/>
      <w:b/>
      <w:bCs/>
      <w:kern w:val="0"/>
      <w:sz w:val="24"/>
      <w:szCs w:val="24"/>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Style w:val="7"/>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rPr>
      <w:sz w:val="24"/>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467</Words>
  <Characters>2832</Characters>
  <Lines>0</Lines>
  <Paragraphs>0</Paragraphs>
  <TotalTime>1</TotalTime>
  <ScaleCrop>false</ScaleCrop>
  <LinksUpToDate>false</LinksUpToDate>
  <CharactersWithSpaces>3227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2025-08-17T08:04:00Z</dcterms:created>
  <dc:creator>朱杰</dc:creator>
  <cp:lastModifiedBy>朱杰</cp:lastModifiedBy>
  <dcterms:modified xsi:type="dcterms:W3CDTF">2025-08-17T09:13:09Z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B461C1F955114C258B64CCBD55048DF2_13</vt:lpwstr>
  </property>
  <property fmtid="{D5CDD505-2E9C-101B-9397-08002B2CF9AE}" pid="4" name="KSOTemplateDocerSaveRecord">
    <vt:lpwstr>eyJoZGlkIjoiNTFhMThiOTkwZDVkNDI2NWI2OTA3MzY0YjJhZDU1NmYiLCJ1c2VySWQiOiIxMTMxNTcxMjgyIn0=</vt:lpwstr>
  </property>
</Properties>
</file>