
<file path=[Content_Types].xml><?xml version="1.0" encoding="utf-8"?>
<Types xmlns="http://schemas.openxmlformats.org/package/2006/content-types">
  <Default Extension="xml" ContentType="application/xml"/>
  <Default Extension="bin" ContentType="application/vnd.openxmlformats-officedocument.oleObject"/>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firstLine="359" w:firstLineChars="100"/>
        <w:rPr>
          <w:rFonts w:ascii="黑体" w:hAnsi="黑体" w:eastAsia="黑体"/>
          <w:color w:val="auto"/>
          <w:sz w:val="36"/>
          <w:szCs w:val="36"/>
        </w:rPr>
      </w:pPr>
      <w:bookmarkStart w:id="0" w:name="_Toc21037"/>
      <w:bookmarkStart w:id="1" w:name="_Toc15528"/>
      <w:bookmarkStart w:id="2" w:name="_Toc31385"/>
      <w:bookmarkStart w:id="3" w:name="_Toc6992"/>
    </w:p>
    <w:p>
      <w:pPr>
        <w:ind w:firstLine="359" w:firstLineChars="100"/>
        <w:rPr>
          <w:rFonts w:hint="eastAsia" w:ascii="黑体" w:hAnsi="黑体" w:eastAsia="黑体"/>
          <w:color w:val="auto"/>
          <w:sz w:val="36"/>
          <w:szCs w:val="36"/>
        </w:rPr>
      </w:pPr>
    </w:p>
    <w:p>
      <w:pPr>
        <w:jc w:val="center"/>
        <w:rPr>
          <w:rFonts w:hint="eastAsia" w:ascii="黑体" w:hAnsi="黑体" w:eastAsia="黑体"/>
          <w:color w:val="auto"/>
          <w:sz w:val="44"/>
          <w:szCs w:val="44"/>
        </w:rPr>
      </w:pPr>
      <w:r>
        <w:rPr>
          <w:rFonts w:hint="eastAsia" w:ascii="黑体" w:hAnsi="黑体" w:eastAsia="黑体"/>
          <w:color w:val="auto"/>
          <w:sz w:val="44"/>
          <w:szCs w:val="44"/>
        </w:rPr>
        <w:t>中国消费者权益保护工作年度报告</w:t>
      </w:r>
    </w:p>
    <w:p>
      <w:pPr>
        <w:jc w:val="center"/>
        <w:rPr>
          <w:rFonts w:ascii="黑体" w:hAnsi="黑体" w:eastAsia="黑体"/>
          <w:color w:val="auto"/>
          <w:sz w:val="44"/>
          <w:szCs w:val="44"/>
        </w:rPr>
      </w:pPr>
      <w:r>
        <w:rPr>
          <w:rFonts w:hint="eastAsia" w:ascii="黑体" w:hAnsi="黑体" w:eastAsia="黑体"/>
          <w:color w:val="auto"/>
          <w:sz w:val="44"/>
          <w:szCs w:val="44"/>
        </w:rPr>
        <w:t>（2</w:t>
      </w:r>
      <w:r>
        <w:rPr>
          <w:rFonts w:ascii="黑体" w:hAnsi="黑体" w:eastAsia="黑体"/>
          <w:color w:val="auto"/>
          <w:sz w:val="44"/>
          <w:szCs w:val="44"/>
        </w:rPr>
        <w:t>025</w:t>
      </w:r>
      <w:r>
        <w:rPr>
          <w:rFonts w:hint="eastAsia" w:ascii="黑体" w:hAnsi="黑体" w:eastAsia="黑体"/>
          <w:color w:val="auto"/>
          <w:sz w:val="44"/>
          <w:szCs w:val="44"/>
        </w:rPr>
        <w:t>）</w:t>
      </w:r>
    </w:p>
    <w:p>
      <w:pPr>
        <w:ind w:firstLine="359" w:firstLineChars="100"/>
        <w:rPr>
          <w:rFonts w:ascii="黑体" w:hAnsi="黑体" w:eastAsia="黑体"/>
          <w:color w:val="auto"/>
          <w:sz w:val="36"/>
          <w:szCs w:val="36"/>
        </w:rPr>
      </w:pPr>
    </w:p>
    <w:p>
      <w:pPr>
        <w:ind w:firstLine="359" w:firstLineChars="100"/>
        <w:rPr>
          <w:rFonts w:ascii="黑体" w:hAnsi="黑体" w:eastAsia="黑体"/>
          <w:color w:val="auto"/>
          <w:sz w:val="36"/>
          <w:szCs w:val="36"/>
        </w:rPr>
      </w:pPr>
    </w:p>
    <w:p>
      <w:pPr>
        <w:ind w:firstLine="359" w:firstLineChars="100"/>
        <w:rPr>
          <w:rFonts w:ascii="黑体" w:hAnsi="黑体" w:eastAsia="黑体"/>
          <w:color w:val="auto"/>
          <w:sz w:val="36"/>
          <w:szCs w:val="36"/>
        </w:rPr>
      </w:pPr>
    </w:p>
    <w:p>
      <w:pPr>
        <w:ind w:firstLine="359" w:firstLineChars="100"/>
        <w:rPr>
          <w:rFonts w:ascii="黑体" w:hAnsi="黑体" w:eastAsia="黑体"/>
          <w:color w:val="auto"/>
          <w:sz w:val="36"/>
          <w:szCs w:val="36"/>
        </w:rPr>
      </w:pPr>
    </w:p>
    <w:p>
      <w:pPr>
        <w:ind w:firstLine="359" w:firstLineChars="100"/>
        <w:rPr>
          <w:rFonts w:ascii="黑体" w:hAnsi="黑体" w:eastAsia="黑体"/>
          <w:color w:val="auto"/>
          <w:sz w:val="36"/>
          <w:szCs w:val="36"/>
        </w:rPr>
      </w:pPr>
    </w:p>
    <w:p>
      <w:pPr>
        <w:ind w:firstLine="359" w:firstLineChars="100"/>
        <w:rPr>
          <w:rFonts w:ascii="黑体" w:hAnsi="黑体" w:eastAsia="黑体"/>
          <w:color w:val="auto"/>
          <w:sz w:val="36"/>
          <w:szCs w:val="36"/>
        </w:rPr>
      </w:pPr>
    </w:p>
    <w:p>
      <w:pPr>
        <w:ind w:firstLine="359" w:firstLineChars="100"/>
        <w:rPr>
          <w:rFonts w:ascii="黑体" w:hAnsi="黑体" w:eastAsia="黑体"/>
          <w:color w:val="auto"/>
          <w:sz w:val="36"/>
          <w:szCs w:val="36"/>
        </w:rPr>
      </w:pPr>
    </w:p>
    <w:p>
      <w:pPr>
        <w:ind w:firstLine="359" w:firstLineChars="100"/>
        <w:rPr>
          <w:rFonts w:ascii="黑体" w:hAnsi="黑体" w:eastAsia="黑体"/>
          <w:color w:val="auto"/>
          <w:sz w:val="36"/>
          <w:szCs w:val="36"/>
        </w:rPr>
      </w:pPr>
    </w:p>
    <w:p>
      <w:pPr>
        <w:ind w:firstLine="359" w:firstLineChars="100"/>
        <w:rPr>
          <w:rFonts w:ascii="黑体" w:hAnsi="黑体" w:eastAsia="黑体"/>
          <w:color w:val="auto"/>
          <w:sz w:val="36"/>
          <w:szCs w:val="36"/>
        </w:rPr>
      </w:pPr>
    </w:p>
    <w:p>
      <w:pPr>
        <w:ind w:firstLine="359" w:firstLineChars="100"/>
        <w:rPr>
          <w:rFonts w:ascii="黑体" w:hAnsi="黑体" w:eastAsia="黑体"/>
          <w:color w:val="auto"/>
          <w:sz w:val="36"/>
          <w:szCs w:val="36"/>
        </w:rPr>
      </w:pPr>
    </w:p>
    <w:p>
      <w:pPr>
        <w:ind w:firstLine="359" w:firstLineChars="100"/>
        <w:rPr>
          <w:rFonts w:ascii="黑体" w:hAnsi="黑体" w:eastAsia="黑体"/>
          <w:color w:val="auto"/>
          <w:sz w:val="36"/>
          <w:szCs w:val="36"/>
        </w:rPr>
      </w:pPr>
    </w:p>
    <w:p>
      <w:pPr>
        <w:ind w:firstLine="359" w:firstLineChars="100"/>
        <w:rPr>
          <w:rFonts w:ascii="黑体" w:hAnsi="黑体" w:eastAsia="黑体"/>
          <w:color w:val="auto"/>
          <w:sz w:val="36"/>
          <w:szCs w:val="36"/>
        </w:rPr>
      </w:pPr>
    </w:p>
    <w:p>
      <w:pPr>
        <w:jc w:val="center"/>
        <w:rPr>
          <w:rFonts w:ascii="黑体" w:hAnsi="黑体" w:eastAsia="黑体"/>
          <w:color w:val="auto"/>
          <w:sz w:val="36"/>
          <w:szCs w:val="36"/>
        </w:rPr>
      </w:pPr>
    </w:p>
    <w:p>
      <w:pPr>
        <w:jc w:val="center"/>
        <w:rPr>
          <w:rFonts w:ascii="黑体" w:hAnsi="黑体" w:eastAsia="黑体"/>
          <w:color w:val="auto"/>
          <w:sz w:val="36"/>
          <w:szCs w:val="36"/>
        </w:rPr>
      </w:pPr>
    </w:p>
    <w:p>
      <w:pPr>
        <w:jc w:val="center"/>
        <w:rPr>
          <w:rFonts w:ascii="黑体" w:hAnsi="黑体" w:eastAsia="黑体"/>
          <w:color w:val="auto"/>
          <w:sz w:val="36"/>
          <w:szCs w:val="36"/>
        </w:rPr>
      </w:pPr>
    </w:p>
    <w:p>
      <w:pPr>
        <w:jc w:val="center"/>
        <w:rPr>
          <w:rFonts w:hint="eastAsia" w:ascii="黑体" w:hAnsi="黑体" w:eastAsia="黑体"/>
          <w:color w:val="auto"/>
          <w:sz w:val="36"/>
          <w:szCs w:val="36"/>
        </w:rPr>
      </w:pPr>
      <w:r>
        <w:rPr>
          <w:rFonts w:ascii="黑体" w:hAnsi="黑体" w:eastAsia="黑体"/>
          <w:color w:val="auto"/>
          <w:sz w:val="36"/>
          <w:szCs w:val="36"/>
        </w:rPr>
        <w:t xml:space="preserve"> </w:t>
      </w:r>
      <w:r>
        <w:rPr>
          <w:rFonts w:hint="eastAsia" w:ascii="黑体" w:hAnsi="黑体" w:eastAsia="黑体"/>
          <w:color w:val="auto"/>
          <w:sz w:val="36"/>
          <w:szCs w:val="36"/>
        </w:rPr>
        <w:t>中国消费者协会</w:t>
      </w:r>
    </w:p>
    <w:p>
      <w:pPr>
        <w:jc w:val="center"/>
        <w:rPr>
          <w:rFonts w:hint="eastAsia" w:ascii="黑体" w:hAnsi="黑体" w:eastAsia="黑体"/>
          <w:color w:val="auto"/>
          <w:sz w:val="36"/>
          <w:szCs w:val="36"/>
        </w:rPr>
      </w:pPr>
      <w:r>
        <w:rPr>
          <w:rFonts w:ascii="黑体" w:hAnsi="黑体" w:eastAsia="黑体"/>
          <w:color w:val="auto"/>
          <w:sz w:val="36"/>
          <w:szCs w:val="36"/>
        </w:rPr>
        <w:t>2026</w:t>
      </w:r>
      <w:r>
        <w:rPr>
          <w:rFonts w:hint="eastAsia" w:ascii="黑体" w:hAnsi="黑体" w:eastAsia="黑体"/>
          <w:color w:val="auto"/>
          <w:sz w:val="36"/>
          <w:szCs w:val="36"/>
        </w:rPr>
        <w:t>年</w:t>
      </w:r>
      <w:r>
        <w:rPr>
          <w:rFonts w:hint="eastAsia" w:ascii="黑体" w:hAnsi="黑体" w:eastAsia="黑体"/>
          <w:color w:val="auto"/>
          <w:sz w:val="36"/>
          <w:szCs w:val="36"/>
          <w:lang w:val="en-US" w:eastAsia="zh-CN"/>
        </w:rPr>
        <w:t>5</w:t>
      </w:r>
      <w:r>
        <w:rPr>
          <w:rFonts w:hint="eastAsia" w:ascii="黑体" w:hAnsi="黑体" w:eastAsia="黑体"/>
          <w:color w:val="auto"/>
          <w:sz w:val="36"/>
          <w:szCs w:val="36"/>
        </w:rPr>
        <w:t>月</w:t>
      </w:r>
    </w:p>
    <w:p>
      <w:pPr>
        <w:ind w:firstLine="359" w:firstLineChars="100"/>
        <w:rPr>
          <w:rFonts w:ascii="黑体" w:hAnsi="黑体" w:eastAsia="黑体"/>
          <w:color w:val="auto"/>
          <w:sz w:val="36"/>
          <w:szCs w:val="36"/>
        </w:rPr>
      </w:pPr>
    </w:p>
    <w:p>
      <w:pPr>
        <w:spacing w:before="579" w:beforeLines="100" w:after="579" w:afterLines="100"/>
        <w:ind w:left="0"/>
        <w:jc w:val="center"/>
        <w:rPr>
          <w:rFonts w:hint="eastAsia" w:ascii="黑体" w:hAnsi="黑体" w:eastAsia="黑体" w:cs="黑体"/>
          <w:b w:val="0"/>
          <w:bCs w:val="0"/>
          <w:color w:val="000000"/>
          <w:sz w:val="44"/>
          <w:szCs w:val="44"/>
        </w:rPr>
        <w:sectPr>
          <w:footerReference r:id="rId3" w:type="default"/>
          <w:pgSz w:w="11906" w:h="16157"/>
          <w:pgMar w:top="1587" w:right="1474" w:bottom="1417" w:left="1474" w:header="851" w:footer="992" w:gutter="0"/>
          <w:pgBorders>
            <w:top w:val="none" w:sz="0" w:space="0"/>
            <w:left w:val="none" w:sz="0" w:space="0"/>
            <w:bottom w:val="none" w:sz="0" w:space="0"/>
            <w:right w:val="none" w:sz="0" w:space="0"/>
          </w:pgBorders>
          <w:pgNumType w:fmt="decimal" w:start="1"/>
          <w:cols w:space="720" w:num="1"/>
          <w:rtlGutter w:val="0"/>
          <w:docGrid w:type="linesAndChars" w:linePitch="579" w:charSpace="-343"/>
        </w:sectPr>
      </w:pPr>
    </w:p>
    <w:p>
      <w:pPr>
        <w:spacing w:before="579" w:beforeLines="100" w:after="579" w:afterLines="100"/>
        <w:ind w:left="0"/>
        <w:jc w:val="center"/>
        <w:rPr>
          <w:rFonts w:hint="eastAsia" w:ascii="黑体" w:hAnsi="黑体" w:eastAsia="黑体" w:cs="黑体"/>
          <w:b w:val="0"/>
          <w:bCs w:val="0"/>
          <w:color w:val="000000"/>
          <w:sz w:val="44"/>
          <w:szCs w:val="44"/>
        </w:rPr>
      </w:pPr>
      <w:r>
        <w:rPr>
          <w:rFonts w:hint="eastAsia" w:ascii="黑体" w:hAnsi="黑体" w:eastAsia="黑体" w:cs="黑体"/>
          <w:b w:val="0"/>
          <w:bCs w:val="0"/>
          <w:color w:val="000000"/>
          <w:sz w:val="44"/>
          <w:szCs w:val="44"/>
        </w:rPr>
        <w:t xml:space="preserve">前 </w:t>
      </w:r>
      <w:r>
        <w:rPr>
          <w:rFonts w:hint="eastAsia" w:ascii="黑体" w:hAnsi="黑体" w:eastAsia="黑体" w:cs="黑体"/>
          <w:b w:val="0"/>
          <w:bCs w:val="0"/>
          <w:color w:val="000000"/>
          <w:sz w:val="44"/>
          <w:szCs w:val="44"/>
          <w:lang w:val="en-US" w:eastAsia="zh-CN"/>
        </w:rPr>
        <w:t xml:space="preserve">  </w:t>
      </w:r>
      <w:r>
        <w:rPr>
          <w:rFonts w:hint="eastAsia" w:ascii="黑体" w:hAnsi="黑体" w:eastAsia="黑体" w:cs="黑体"/>
          <w:b w:val="0"/>
          <w:bCs w:val="0"/>
          <w:color w:val="000000"/>
          <w:sz w:val="44"/>
          <w:szCs w:val="44"/>
        </w:rPr>
        <w:t xml:space="preserve"> 言</w:t>
      </w:r>
      <w:bookmarkEnd w:id="0"/>
      <w:bookmarkEnd w:id="1"/>
      <w:bookmarkEnd w:id="2"/>
      <w:bookmarkEnd w:id="3"/>
    </w:p>
    <w:p>
      <w:pPr>
        <w:widowControl w:val="0"/>
        <w:wordWrap/>
        <w:adjustRightInd/>
        <w:snapToGrid/>
        <w:spacing w:line="240" w:lineRule="auto"/>
        <w:ind w:left="0" w:leftChars="0" w:firstLine="638" w:firstLineChars="200"/>
        <w:jc w:val="both"/>
        <w:textAlignment w:val="auto"/>
        <w:rPr>
          <w:rFonts w:hint="eastAsia" w:ascii="仿宋_GB2312" w:hAnsi="仿宋_GB2312" w:eastAsia="仿宋_GB2312" w:cs="仿宋_GB2312"/>
          <w:b w:val="0"/>
          <w:bCs/>
          <w:color w:val="000000"/>
          <w:spacing w:val="0"/>
          <w:sz w:val="32"/>
          <w:szCs w:val="32"/>
          <w:shd w:val="clear" w:color="auto" w:fill="FFFFFF"/>
          <w:lang w:val="en-US" w:eastAsia="zh-CN"/>
        </w:rPr>
      </w:pPr>
      <w:r>
        <w:rPr>
          <w:rFonts w:hint="eastAsia" w:ascii="仿宋_GB2312" w:hAnsi="仿宋_GB2312" w:eastAsia="仿宋_GB2312" w:cs="仿宋_GB2312"/>
          <w:b w:val="0"/>
          <w:bCs/>
          <w:color w:val="000000"/>
          <w:spacing w:val="0"/>
          <w:sz w:val="32"/>
          <w:szCs w:val="32"/>
          <w:shd w:val="clear" w:color="auto" w:fill="FFFFFF"/>
          <w:lang w:val="en-US" w:eastAsia="zh-CN"/>
        </w:rPr>
        <w:t>2025年，有关部门和社会各界坚持以习近平新时代中国特色社会主义思想为指导，认真贯彻党的二十大和二十届历次全会及中央经济工作会议精神，全面落实党中央、国务院决策部署，持续推进立法、行政、司法、社会四位一体的消费者权益保护工作，推动我国消费市场实现扩容提质。</w:t>
      </w:r>
    </w:p>
    <w:p>
      <w:pPr>
        <w:widowControl w:val="0"/>
        <w:wordWrap/>
        <w:adjustRightInd/>
        <w:snapToGrid/>
        <w:spacing w:line="240" w:lineRule="auto"/>
        <w:ind w:left="0" w:leftChars="0" w:firstLine="638" w:firstLineChars="200"/>
        <w:jc w:val="both"/>
        <w:textAlignment w:val="auto"/>
        <w:rPr>
          <w:rFonts w:hint="eastAsia" w:ascii="仿宋_GB2312" w:hAnsi="仿宋_GB2312" w:eastAsia="仿宋_GB2312" w:cs="仿宋_GB2312"/>
          <w:b w:val="0"/>
          <w:bCs/>
          <w:color w:val="000000"/>
          <w:spacing w:val="0"/>
          <w:sz w:val="32"/>
          <w:szCs w:val="32"/>
          <w:shd w:val="clear" w:color="auto" w:fill="FFFFFF"/>
          <w:lang w:val="en-US" w:eastAsia="zh-CN"/>
        </w:rPr>
      </w:pPr>
      <w:bookmarkStart w:id="4" w:name="OLE_LINK6"/>
      <w:r>
        <w:rPr>
          <w:rFonts w:hint="eastAsia" w:ascii="仿宋_GB2312" w:hAnsi="仿宋_GB2312" w:eastAsia="仿宋_GB2312" w:cs="仿宋_GB2312"/>
          <w:b w:val="0"/>
          <w:bCs/>
          <w:color w:val="000000"/>
          <w:spacing w:val="0"/>
          <w:sz w:val="32"/>
          <w:szCs w:val="32"/>
          <w:shd w:val="clear" w:color="auto" w:fill="FFFFFF"/>
          <w:lang w:val="en-US" w:eastAsia="zh-CN"/>
        </w:rPr>
        <w:t>2025年，社会消费品零售总额规模达到501202亿元，比上年增长3.7%，增速比上年全年加快0.2个百分点；消费对经济增长的贡献率达到52%，持续发挥了经济发展主引擎作用</w:t>
      </w:r>
      <w:bookmarkEnd w:id="4"/>
      <w:r>
        <w:rPr>
          <w:rFonts w:hint="eastAsia" w:ascii="仿宋_GB2312" w:hAnsi="仿宋_GB2312" w:eastAsia="仿宋_GB2312" w:cs="仿宋_GB2312"/>
          <w:b w:val="0"/>
          <w:bCs/>
          <w:color w:val="000000"/>
          <w:spacing w:val="0"/>
          <w:sz w:val="32"/>
          <w:szCs w:val="32"/>
          <w:shd w:val="clear" w:color="auto" w:fill="FFFFFF"/>
          <w:lang w:val="en-US" w:eastAsia="zh-CN"/>
        </w:rPr>
        <w:t>。2025年，新商品、新场景、新业态不断涌现，数字消费、绿色消费、健康消费等新型消费持续升温。网络交易、直播电商、在线文娱等带动线上消费快速增长。满足居民品质化、个性化消费需求的新兴业态不断增长。</w:t>
      </w:r>
    </w:p>
    <w:p>
      <w:pPr>
        <w:widowControl w:val="0"/>
        <w:wordWrap/>
        <w:adjustRightInd/>
        <w:snapToGrid/>
        <w:spacing w:line="240" w:lineRule="auto"/>
        <w:ind w:left="0" w:leftChars="0" w:firstLine="638" w:firstLineChars="200"/>
        <w:jc w:val="both"/>
        <w:textAlignment w:val="auto"/>
        <w:rPr>
          <w:rFonts w:hint="eastAsia" w:ascii="仿宋_GB2312" w:hAnsi="仿宋_GB2312" w:eastAsia="仿宋_GB2312" w:cs="仿宋_GB2312"/>
          <w:b w:val="0"/>
          <w:bCs/>
          <w:color w:val="000000"/>
          <w:spacing w:val="0"/>
          <w:sz w:val="32"/>
          <w:szCs w:val="32"/>
          <w:shd w:val="clear" w:color="auto" w:fill="FFFFFF"/>
          <w:lang w:val="en-US" w:eastAsia="zh-CN"/>
        </w:rPr>
        <w:sectPr>
          <w:footerReference r:id="rId4" w:type="default"/>
          <w:pgSz w:w="11906" w:h="16157"/>
          <w:pgMar w:top="1587" w:right="1474" w:bottom="1417" w:left="1474" w:header="851" w:footer="992" w:gutter="0"/>
          <w:pgBorders>
            <w:top w:val="none" w:sz="0" w:space="0"/>
            <w:left w:val="none" w:sz="0" w:space="0"/>
            <w:bottom w:val="none" w:sz="0" w:space="0"/>
            <w:right w:val="none" w:sz="0" w:space="0"/>
          </w:pgBorders>
          <w:pgNumType w:fmt="decimal" w:start="1"/>
          <w:cols w:space="720" w:num="1"/>
          <w:rtlGutter w:val="0"/>
          <w:docGrid w:type="linesAndChars" w:linePitch="579" w:charSpace="-343"/>
        </w:sectPr>
      </w:pPr>
      <w:r>
        <w:rPr>
          <w:rFonts w:hint="eastAsia" w:ascii="仿宋_GB2312" w:hAnsi="仿宋_GB2312" w:eastAsia="仿宋_GB2312" w:cs="仿宋_GB2312"/>
          <w:b w:val="0"/>
          <w:bCs/>
          <w:color w:val="000000"/>
          <w:spacing w:val="0"/>
          <w:sz w:val="32"/>
          <w:szCs w:val="32"/>
          <w:shd w:val="clear" w:color="auto" w:fill="FFFFFF"/>
          <w:lang w:val="en-US" w:eastAsia="zh-CN"/>
        </w:rPr>
        <w:t>为全面总结2025年我国消费者保护事业所取得的成就，反映我国消费者权益立法、行政、司法及社会保护等方面所做工作和努力，分析当前消费者权益保护工作面临的主要问题，进一步提升我国消费者权益保护水平，中国消费者协会在连续发布2021年、2022年、2023年、2024年的年度报告后，继续推出《中国消费者权益保护状况年度报告（2025）》。报告内容包括：2025年消费者权益保护工作的主要进展、面临的主要问题、2026年消费者权益保护主要工作的展望等。报告正文之后附有《2025年中国消</w:t>
      </w:r>
    </w:p>
    <w:p>
      <w:pPr>
        <w:widowControl w:val="0"/>
        <w:wordWrap/>
        <w:adjustRightInd/>
        <w:snapToGrid/>
        <w:spacing w:line="240" w:lineRule="auto"/>
        <w:jc w:val="both"/>
        <w:textAlignment w:val="auto"/>
        <w:rPr>
          <w:rFonts w:hint="eastAsia" w:ascii="仿宋_GB2312" w:hAnsi="仿宋_GB2312" w:eastAsia="仿宋_GB2312" w:cs="仿宋_GB2312"/>
          <w:b w:val="0"/>
          <w:bCs/>
          <w:color w:val="000000"/>
          <w:spacing w:val="0"/>
          <w:sz w:val="32"/>
          <w:szCs w:val="32"/>
          <w:shd w:val="clear" w:color="auto" w:fill="FFFFFF"/>
          <w:lang w:val="en-US" w:eastAsia="zh-CN"/>
        </w:rPr>
      </w:pPr>
      <w:r>
        <w:rPr>
          <w:rFonts w:hint="eastAsia" w:ascii="仿宋_GB2312" w:hAnsi="仿宋_GB2312" w:eastAsia="仿宋_GB2312" w:cs="仿宋_GB2312"/>
          <w:b w:val="0"/>
          <w:bCs/>
          <w:color w:val="000000"/>
          <w:spacing w:val="0"/>
          <w:sz w:val="32"/>
          <w:szCs w:val="32"/>
          <w:shd w:val="clear" w:color="auto" w:fill="FFFFFF"/>
          <w:lang w:val="en-US" w:eastAsia="zh-CN"/>
        </w:rPr>
        <w:t>费者权益保护大事记》。</w:t>
      </w:r>
    </w:p>
    <w:p>
      <w:pPr>
        <w:widowControl w:val="0"/>
        <w:wordWrap/>
        <w:adjustRightInd/>
        <w:snapToGrid/>
        <w:spacing w:line="240" w:lineRule="auto"/>
        <w:ind w:left="0" w:leftChars="0" w:firstLine="638" w:firstLineChars="200"/>
        <w:jc w:val="both"/>
        <w:textAlignment w:val="auto"/>
        <w:rPr>
          <w:rFonts w:hint="eastAsia" w:ascii="仿宋_GB2312" w:hAnsi="仿宋_GB2312" w:eastAsia="仿宋_GB2312" w:cs="仿宋_GB2312"/>
          <w:b w:val="0"/>
          <w:bCs/>
          <w:color w:val="000000"/>
          <w:spacing w:val="0"/>
          <w:sz w:val="32"/>
          <w:szCs w:val="32"/>
          <w:shd w:val="clear" w:color="auto" w:fill="FFFFFF"/>
          <w:lang w:val="en-US" w:eastAsia="zh-CN"/>
        </w:rPr>
      </w:pPr>
      <w:r>
        <w:rPr>
          <w:rFonts w:hint="eastAsia" w:ascii="仿宋_GB2312" w:hAnsi="仿宋_GB2312" w:eastAsia="仿宋_GB2312" w:cs="仿宋_GB2312"/>
          <w:b w:val="0"/>
          <w:bCs/>
          <w:color w:val="000000"/>
          <w:spacing w:val="0"/>
          <w:sz w:val="32"/>
          <w:szCs w:val="32"/>
          <w:shd w:val="clear" w:color="auto" w:fill="FFFFFF"/>
          <w:lang w:val="en-US" w:eastAsia="zh-CN"/>
        </w:rPr>
        <w:t>期待年度报告能够为社会各界了解和把握我国消费者权益保护的状况、更</w:t>
      </w:r>
      <w:r>
        <w:rPr>
          <w:rFonts w:hint="eastAsia" w:ascii="仿宋_GB2312" w:hAnsi="仿宋_GB2312" w:eastAsia="仿宋_GB2312" w:cs="仿宋_GB2312"/>
          <w:b w:val="0"/>
          <w:bCs/>
          <w:color w:val="000000"/>
          <w:spacing w:val="0"/>
          <w:sz w:val="32"/>
          <w:szCs w:val="32"/>
          <w:u w:val="none"/>
          <w:shd w:val="clear" w:color="auto" w:fill="FFFFFF"/>
          <w:lang w:val="en-US" w:eastAsia="zh-CN"/>
        </w:rPr>
        <w:t>好</w:t>
      </w:r>
      <w:r>
        <w:rPr>
          <w:rFonts w:hint="eastAsia" w:ascii="仿宋_GB2312" w:hAnsi="仿宋_GB2312" w:eastAsia="仿宋_GB2312" w:cs="仿宋_GB2312"/>
          <w:b w:val="0"/>
          <w:bCs/>
          <w:color w:val="000000"/>
          <w:spacing w:val="0"/>
          <w:sz w:val="32"/>
          <w:szCs w:val="32"/>
          <w:shd w:val="clear" w:color="auto" w:fill="FFFFFF"/>
          <w:lang w:val="en-US" w:eastAsia="zh-CN"/>
        </w:rPr>
        <w:t>开展下一步消费者权益保护工作提供有力参考。也期待社会各有关方面持续关心关注消费者权益保护时代课题，共同促进中国式现代化建设进程中消费者权益保护事业的发展。</w:t>
      </w:r>
    </w:p>
    <w:p>
      <w:pPr>
        <w:widowControl w:val="0"/>
        <w:wordWrap/>
        <w:adjustRightInd/>
        <w:snapToGrid/>
        <w:spacing w:line="240" w:lineRule="auto"/>
        <w:ind w:left="0" w:leftChars="0" w:firstLine="638" w:firstLineChars="200"/>
        <w:jc w:val="both"/>
        <w:textAlignment w:val="auto"/>
        <w:rPr>
          <w:rFonts w:hint="eastAsia" w:ascii="仿宋_GB2312" w:hAnsi="仿宋_GB2312" w:eastAsia="仿宋_GB2312" w:cs="仿宋_GB2312"/>
          <w:b w:val="0"/>
          <w:bCs/>
          <w:color w:val="000000"/>
          <w:spacing w:val="0"/>
          <w:sz w:val="32"/>
          <w:szCs w:val="32"/>
          <w:shd w:val="clear" w:color="auto" w:fill="FFFFFF"/>
          <w:lang w:val="en-US" w:eastAsia="zh-CN"/>
        </w:rPr>
      </w:pPr>
      <w:r>
        <w:rPr>
          <w:rFonts w:hint="eastAsia" w:ascii="仿宋_GB2312" w:hAnsi="仿宋_GB2312" w:eastAsia="仿宋_GB2312" w:cs="仿宋_GB2312"/>
          <w:b w:val="0"/>
          <w:bCs/>
          <w:color w:val="000000"/>
          <w:spacing w:val="0"/>
          <w:sz w:val="32"/>
          <w:szCs w:val="32"/>
          <w:shd w:val="clear" w:color="auto" w:fill="FFFFFF"/>
          <w:lang w:val="en-US" w:eastAsia="zh-CN"/>
        </w:rPr>
        <w:t>《中国消费者权益保护状况年度报告（2025）》在研讨、编写、审稿等阶段，得到了赵萍、叶林、吕来明、苏号朋、张严方等专家学者的帮助和支持。全国人大常委会、全国政协、最高人民法院、最高人民检察院、国家发展改革委、教育部、工业和信息化部、公安部、司法部、生态环境部、住房和城乡建设部、交通运输部、农业农村部、商务部、文化和旅游部、海关总署、市场监管总局、金融监管总局、广电总局、体育总局、国家知识产权局、国家疾控局、国家邮政局、共青团中央、中华全国总工会、中国残疾人联合会、中国商业联合会、中国银行业协会、中国轻工业联合会、中国质量协会、中国家用电器协会、中国互联网协会、中国饭店协会等单位提供了相关数据和素材，并就报告的修改完善提出了宝贵的意见。在此一并表示感谢！</w:t>
      </w:r>
    </w:p>
    <w:p>
      <w:pPr>
        <w:wordWrap/>
        <w:adjustRightInd/>
        <w:snapToGrid/>
        <w:spacing w:before="0" w:beforeLines="0" w:after="0" w:afterLines="0" w:line="240" w:lineRule="auto"/>
        <w:ind w:left="0" w:leftChars="0" w:right="0" w:firstLine="0" w:firstLineChars="0"/>
        <w:jc w:val="center"/>
        <w:textAlignment w:val="auto"/>
        <w:rPr>
          <w:rFonts w:hint="eastAsia" w:ascii="黑体" w:hAnsi="黑体" w:eastAsia="黑体" w:cs="黑体"/>
          <w:color w:val="000000"/>
          <w:kern w:val="2"/>
          <w:sz w:val="44"/>
          <w:szCs w:val="44"/>
          <w:lang w:val="en-US" w:eastAsia="zh-CN" w:bidi="ar-SA"/>
        </w:rPr>
        <w:sectPr>
          <w:footerReference r:id="rId5" w:type="default"/>
          <w:pgSz w:w="11906" w:h="16157"/>
          <w:pgMar w:top="1587" w:right="1474" w:bottom="1417" w:left="1474" w:header="851" w:footer="992" w:gutter="0"/>
          <w:pgBorders>
            <w:top w:val="none" w:sz="0" w:space="0"/>
            <w:left w:val="none" w:sz="0" w:space="0"/>
            <w:bottom w:val="none" w:sz="0" w:space="0"/>
            <w:right w:val="none" w:sz="0" w:space="0"/>
          </w:pgBorders>
          <w:pgNumType w:fmt="decimal" w:start="1"/>
          <w:cols w:space="720" w:num="1"/>
          <w:rtlGutter w:val="0"/>
          <w:docGrid w:type="linesAndChars" w:linePitch="579" w:charSpace="-343"/>
        </w:sectPr>
      </w:pPr>
    </w:p>
    <w:p>
      <w:pPr>
        <w:widowControl w:val="0"/>
        <w:tabs>
          <w:tab w:val="center" w:pos="4539"/>
          <w:tab w:val="left" w:pos="6044"/>
        </w:tabs>
        <w:wordWrap/>
        <w:adjustRightInd/>
        <w:snapToGrid/>
        <w:spacing w:before="624" w:beforeLines="200" w:after="312" w:afterLines="100" w:line="240" w:lineRule="auto"/>
        <w:ind w:left="0" w:leftChars="0" w:right="0" w:firstLine="0" w:firstLineChars="0"/>
        <w:jc w:val="left"/>
        <w:textAlignment w:val="auto"/>
        <w:outlineLvl w:val="9"/>
        <w:rPr>
          <w:rFonts w:hint="eastAsia" w:ascii="黑体" w:hAnsi="黑体" w:eastAsia="黑体" w:cs="黑体"/>
          <w:color w:val="000000"/>
          <w:sz w:val="32"/>
          <w:szCs w:val="32"/>
          <w:lang w:eastAsia="zh-CN"/>
        </w:rPr>
      </w:pPr>
      <w:r>
        <w:rPr>
          <w:rFonts w:hint="eastAsia" w:ascii="黑体" w:hAnsi="黑体" w:eastAsia="黑体" w:cs="黑体"/>
          <w:color w:val="000000"/>
          <w:sz w:val="44"/>
          <w:szCs w:val="44"/>
          <w:lang w:eastAsia="zh-CN"/>
        </w:rPr>
        <w:tab/>
      </w:r>
      <w:r>
        <w:rPr>
          <w:rFonts w:hint="eastAsia" w:ascii="黑体" w:hAnsi="黑体" w:eastAsia="黑体" w:cs="黑体"/>
          <w:color w:val="000000"/>
          <w:sz w:val="44"/>
          <w:szCs w:val="44"/>
        </w:rPr>
        <w:t>目</w:t>
      </w:r>
      <w:r>
        <w:rPr>
          <w:rFonts w:hint="eastAsia" w:ascii="黑体" w:hAnsi="黑体" w:eastAsia="黑体" w:cs="黑体"/>
          <w:color w:val="000000"/>
          <w:sz w:val="44"/>
          <w:szCs w:val="44"/>
          <w:lang w:val="en-US" w:eastAsia="zh-CN"/>
        </w:rPr>
        <w:t xml:space="preserve">   </w:t>
      </w:r>
      <w:r>
        <w:rPr>
          <w:rFonts w:hint="eastAsia" w:ascii="黑体" w:hAnsi="黑体" w:eastAsia="黑体" w:cs="黑体"/>
          <w:color w:val="000000"/>
          <w:sz w:val="44"/>
          <w:szCs w:val="44"/>
        </w:rPr>
        <w:t>录</w:t>
      </w:r>
      <w:r>
        <w:rPr>
          <w:rFonts w:hint="eastAsia" w:ascii="黑体" w:hAnsi="黑体" w:eastAsia="黑体" w:cs="黑体"/>
          <w:color w:val="000000"/>
          <w:sz w:val="44"/>
          <w:szCs w:val="44"/>
          <w:lang w:eastAsia="zh-CN"/>
        </w:rPr>
        <w:tab/>
      </w:r>
    </w:p>
    <w:p>
      <w:pPr>
        <w:pStyle w:val="12"/>
        <w:tabs>
          <w:tab w:val="right" w:leader="dot" w:pos="8958"/>
          <w:tab w:val="clear" w:pos="8296"/>
        </w:tabs>
      </w:pPr>
      <w:r>
        <w:rPr>
          <w:rFonts w:hint="default" w:ascii="Times New Roman" w:hAnsi="Times New Roman" w:cs="Times New Roman"/>
          <w:color w:val="auto"/>
        </w:rPr>
        <w:fldChar w:fldCharType="begin"/>
      </w:r>
      <w:r>
        <w:rPr>
          <w:rFonts w:hint="default" w:ascii="Times New Roman" w:hAnsi="Times New Roman" w:cs="Times New Roman"/>
          <w:color w:val="auto"/>
        </w:rPr>
        <w:instrText xml:space="preserve"> TOC \o "1-3" \h \z \u </w:instrText>
      </w:r>
      <w:r>
        <w:rPr>
          <w:rFonts w:hint="default" w:ascii="Times New Roman" w:hAnsi="Times New Roman" w:cs="Times New Roman"/>
          <w:color w:val="auto"/>
        </w:rPr>
        <w:fldChar w:fldCharType="separate"/>
      </w:r>
      <w:r>
        <w:rPr>
          <w:rFonts w:hint="default" w:ascii="Times New Roman" w:hAnsi="Times New Roman" w:cs="Times New Roman"/>
          <w:color w:val="auto"/>
        </w:rPr>
        <w:fldChar w:fldCharType="begin"/>
      </w:r>
      <w:r>
        <w:rPr>
          <w:rFonts w:hint="default" w:ascii="Times New Roman" w:hAnsi="Times New Roman" w:cs="Times New Roman"/>
        </w:rPr>
        <w:instrText xml:space="preserve"> HYPERLINK \l _Toc20389 </w:instrText>
      </w:r>
      <w:r>
        <w:rPr>
          <w:rFonts w:hint="default" w:ascii="Times New Roman" w:hAnsi="Times New Roman" w:cs="Times New Roman"/>
        </w:rPr>
        <w:fldChar w:fldCharType="separate"/>
      </w:r>
      <w:r>
        <w:rPr>
          <w:rFonts w:hint="eastAsia" w:ascii="方正小标宋简体" w:hAnsi="方正小标宋简体" w:eastAsia="方正小标宋简体" w:cs="方正小标宋简体"/>
          <w:bCs/>
          <w:w w:val="95"/>
          <w:szCs w:val="44"/>
        </w:rPr>
        <w:t xml:space="preserve">第一部分 </w:t>
      </w:r>
      <w:r>
        <w:rPr>
          <w:rFonts w:hint="eastAsia" w:ascii="方正小标宋简体" w:hAnsi="方正小标宋简体" w:eastAsia="方正小标宋简体" w:cs="方正小标宋简体"/>
          <w:bCs/>
          <w:w w:val="95"/>
          <w:szCs w:val="44"/>
          <w:lang w:val="en-US" w:eastAsia="zh-CN"/>
        </w:rPr>
        <w:t xml:space="preserve"> </w:t>
      </w:r>
      <w:r>
        <w:rPr>
          <w:rFonts w:hint="eastAsia" w:ascii="方正小标宋简体" w:hAnsi="方正小标宋简体" w:eastAsia="方正小标宋简体" w:cs="方正小标宋简体"/>
          <w:bCs/>
          <w:w w:val="95"/>
          <w:szCs w:val="44"/>
        </w:rPr>
        <w:t>2025年消费者权益保护工作的主要进展</w:t>
      </w:r>
      <w:r>
        <w:tab/>
      </w:r>
      <w:r>
        <w:rPr>
          <w:rFonts w:ascii="Calibri" w:hAnsi="Calibri" w:eastAsia="宋体" w:cs="Arial"/>
          <w:b w:val="0"/>
          <w:kern w:val="2"/>
          <w:sz w:val="21"/>
          <w:szCs w:val="22"/>
          <w:lang w:val="en-US" w:eastAsia="zh-CN" w:bidi="ar-SA"/>
        </w:rPr>
        <w:fldChar w:fldCharType="begin"/>
      </w:r>
      <w:r>
        <w:rPr>
          <w:rFonts w:ascii="Calibri" w:hAnsi="Calibri" w:eastAsia="宋体" w:cs="Arial"/>
          <w:b w:val="0"/>
          <w:kern w:val="2"/>
          <w:sz w:val="21"/>
          <w:szCs w:val="22"/>
          <w:lang w:val="en-US" w:eastAsia="zh-CN" w:bidi="ar-SA"/>
        </w:rPr>
        <w:instrText xml:space="preserve"> PAGEREF _Toc20389 \h </w:instrText>
      </w:r>
      <w:r>
        <w:rPr>
          <w:rFonts w:ascii="Calibri" w:hAnsi="Calibri" w:eastAsia="宋体" w:cs="Arial"/>
          <w:b w:val="0"/>
          <w:kern w:val="2"/>
          <w:sz w:val="21"/>
          <w:szCs w:val="22"/>
          <w:lang w:val="en-US" w:eastAsia="zh-CN" w:bidi="ar-SA"/>
        </w:rPr>
        <w:fldChar w:fldCharType="separate"/>
      </w:r>
      <w:r>
        <w:rPr>
          <w:rFonts w:ascii="Calibri" w:hAnsi="Calibri" w:eastAsia="宋体" w:cs="Arial"/>
          <w:b w:val="0"/>
          <w:kern w:val="2"/>
          <w:sz w:val="21"/>
          <w:szCs w:val="22"/>
          <w:lang w:val="en-US" w:eastAsia="zh-CN" w:bidi="ar-SA"/>
        </w:rPr>
        <w:t>1</w:t>
      </w:r>
      <w:r>
        <w:rPr>
          <w:rFonts w:ascii="Calibri" w:hAnsi="Calibri" w:eastAsia="宋体" w:cs="Arial"/>
          <w:b w:val="0"/>
          <w:kern w:val="2"/>
          <w:sz w:val="21"/>
          <w:szCs w:val="22"/>
          <w:lang w:val="en-US" w:eastAsia="zh-CN" w:bidi="ar-SA"/>
        </w:rPr>
        <w:fldChar w:fldCharType="end"/>
      </w:r>
      <w:r>
        <w:rPr>
          <w:rFonts w:hint="default" w:ascii="Times New Roman" w:hAnsi="Times New Roman" w:cs="Times New Roman"/>
          <w:color w:val="auto"/>
        </w:rPr>
        <w:fldChar w:fldCharType="end"/>
      </w:r>
    </w:p>
    <w:p>
      <w:pPr>
        <w:pStyle w:val="12"/>
        <w:tabs>
          <w:tab w:val="right" w:leader="dot" w:pos="8958"/>
          <w:tab w:val="clear" w:pos="8296"/>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_Toc2186 </w:instrText>
      </w:r>
      <w:r>
        <w:rPr>
          <w:rFonts w:hint="default" w:ascii="Times New Roman" w:hAnsi="Times New Roman" w:cs="Times New Roman"/>
          <w:bCs/>
          <w:lang w:val="zh-CN"/>
        </w:rPr>
        <w:fldChar w:fldCharType="separate"/>
      </w:r>
      <w:r>
        <w:rPr>
          <w:rFonts w:hint="eastAsia" w:ascii="黑体" w:hAnsi="黑体" w:eastAsia="黑体" w:cs="宋体"/>
          <w:bCs/>
          <w:w w:val="95"/>
          <w:sz w:val="28"/>
          <w:szCs w:val="28"/>
        </w:rPr>
        <w:t>第一节</w:t>
      </w:r>
      <w:r>
        <w:rPr>
          <w:rFonts w:hint="eastAsia" w:ascii="黑体" w:hAnsi="黑体" w:eastAsia="黑体" w:cs="宋体"/>
          <w:bCs/>
          <w:w w:val="95"/>
          <w:sz w:val="28"/>
          <w:szCs w:val="28"/>
          <w:lang w:val="en-US" w:eastAsia="zh-CN"/>
        </w:rPr>
        <w:t xml:space="preserve"> </w:t>
      </w:r>
      <w:r>
        <w:rPr>
          <w:rFonts w:hint="eastAsia" w:ascii="黑体" w:hAnsi="黑体" w:eastAsia="黑体" w:cs="宋体"/>
          <w:bCs/>
          <w:w w:val="95"/>
          <w:sz w:val="28"/>
          <w:szCs w:val="28"/>
        </w:rPr>
        <w:t xml:space="preserve"> 立法保护</w:t>
      </w:r>
      <w:r>
        <w:tab/>
      </w:r>
      <w:r>
        <w:rPr>
          <w:rFonts w:ascii="Calibri" w:hAnsi="Calibri" w:eastAsia="宋体" w:cs="Arial"/>
          <w:b w:val="0"/>
          <w:kern w:val="2"/>
          <w:sz w:val="21"/>
          <w:szCs w:val="22"/>
          <w:lang w:val="en-US" w:eastAsia="zh-CN" w:bidi="ar-SA"/>
        </w:rPr>
        <w:fldChar w:fldCharType="begin"/>
      </w:r>
      <w:r>
        <w:rPr>
          <w:rFonts w:ascii="Calibri" w:hAnsi="Calibri" w:eastAsia="宋体" w:cs="Arial"/>
          <w:b w:val="0"/>
          <w:kern w:val="2"/>
          <w:sz w:val="21"/>
          <w:szCs w:val="22"/>
          <w:lang w:val="en-US" w:eastAsia="zh-CN" w:bidi="ar-SA"/>
        </w:rPr>
        <w:instrText xml:space="preserve"> PAGEREF _Toc2186 \h </w:instrText>
      </w:r>
      <w:r>
        <w:rPr>
          <w:rFonts w:ascii="Calibri" w:hAnsi="Calibri" w:eastAsia="宋体" w:cs="Arial"/>
          <w:b w:val="0"/>
          <w:kern w:val="2"/>
          <w:sz w:val="21"/>
          <w:szCs w:val="22"/>
          <w:lang w:val="en-US" w:eastAsia="zh-CN" w:bidi="ar-SA"/>
        </w:rPr>
        <w:fldChar w:fldCharType="separate"/>
      </w:r>
      <w:r>
        <w:rPr>
          <w:rFonts w:ascii="Calibri" w:hAnsi="Calibri" w:eastAsia="宋体" w:cs="Arial"/>
          <w:b w:val="0"/>
          <w:kern w:val="2"/>
          <w:sz w:val="21"/>
          <w:szCs w:val="22"/>
          <w:lang w:val="en-US" w:eastAsia="zh-CN" w:bidi="ar-SA"/>
        </w:rPr>
        <w:t>2</w:t>
      </w:r>
      <w:r>
        <w:rPr>
          <w:rFonts w:ascii="Calibri" w:hAnsi="Calibri" w:eastAsia="宋体" w:cs="Arial"/>
          <w:b w:val="0"/>
          <w:kern w:val="2"/>
          <w:sz w:val="21"/>
          <w:szCs w:val="22"/>
          <w:lang w:val="en-US" w:eastAsia="zh-CN" w:bidi="ar-SA"/>
        </w:rP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_Toc11174 </w:instrText>
      </w:r>
      <w:r>
        <w:rPr>
          <w:rFonts w:hint="default" w:ascii="Times New Roman" w:hAnsi="Times New Roman" w:cs="Times New Roman"/>
          <w:bCs/>
          <w:lang w:val="zh-CN"/>
        </w:rPr>
        <w:fldChar w:fldCharType="separate"/>
      </w:r>
      <w:r>
        <w:rPr>
          <w:rFonts w:hint="eastAsia" w:ascii="黑体" w:hAnsi="黑体" w:eastAsia="黑体" w:cs="黑体"/>
          <w:bCs/>
          <w:szCs w:val="32"/>
        </w:rPr>
        <w:t>一、保障民生消费立法不断健全完善</w:t>
      </w:r>
      <w:r>
        <w:tab/>
      </w:r>
      <w:r>
        <w:fldChar w:fldCharType="begin"/>
      </w:r>
      <w:r>
        <w:instrText xml:space="preserve"> PAGEREF _Toc11174 \h </w:instrText>
      </w:r>
      <w:r>
        <w:fldChar w:fldCharType="separate"/>
      </w:r>
      <w:r>
        <w:t>2</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_Toc12168 </w:instrText>
      </w:r>
      <w:r>
        <w:rPr>
          <w:rFonts w:hint="default" w:ascii="Times New Roman" w:hAnsi="Times New Roman" w:cs="Times New Roman"/>
          <w:bCs/>
          <w:lang w:val="zh-CN"/>
        </w:rPr>
        <w:fldChar w:fldCharType="separate"/>
      </w:r>
      <w:r>
        <w:rPr>
          <w:rFonts w:hint="eastAsia" w:ascii="黑体" w:hAnsi="黑体" w:eastAsia="黑体" w:cs="黑体"/>
          <w:bCs/>
          <w:szCs w:val="32"/>
        </w:rPr>
        <w:t>二、规范市场秩序和消费公平的立法实现新突破</w:t>
      </w:r>
      <w:r>
        <w:tab/>
      </w:r>
      <w:r>
        <w:fldChar w:fldCharType="begin"/>
      </w:r>
      <w:r>
        <w:instrText xml:space="preserve"> PAGEREF _Toc12168 \h </w:instrText>
      </w:r>
      <w:r>
        <w:fldChar w:fldCharType="separate"/>
      </w:r>
      <w:r>
        <w:t>5</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_Toc14705 </w:instrText>
      </w:r>
      <w:r>
        <w:rPr>
          <w:rFonts w:hint="default" w:ascii="Times New Roman" w:hAnsi="Times New Roman" w:cs="Times New Roman"/>
          <w:bCs/>
          <w:lang w:val="zh-CN"/>
        </w:rPr>
        <w:fldChar w:fldCharType="separate"/>
      </w:r>
      <w:r>
        <w:rPr>
          <w:rFonts w:hint="eastAsia" w:ascii="黑体" w:hAnsi="黑体" w:eastAsia="黑体" w:cs="黑体"/>
          <w:bCs/>
          <w:szCs w:val="32"/>
        </w:rPr>
        <w:t>三、消费者个人信息保护制度进一步充实细化</w:t>
      </w:r>
      <w:r>
        <w:tab/>
      </w:r>
      <w:r>
        <w:fldChar w:fldCharType="begin"/>
      </w:r>
      <w:r>
        <w:instrText xml:space="preserve"> PAGEREF _Toc14705 \h </w:instrText>
      </w:r>
      <w:r>
        <w:fldChar w:fldCharType="separate"/>
      </w:r>
      <w:r>
        <w:t>7</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_Toc887 </w:instrText>
      </w:r>
      <w:r>
        <w:rPr>
          <w:rFonts w:hint="default" w:ascii="Times New Roman" w:hAnsi="Times New Roman" w:cs="Times New Roman"/>
          <w:bCs/>
          <w:lang w:val="zh-CN"/>
        </w:rPr>
        <w:fldChar w:fldCharType="separate"/>
      </w:r>
      <w:r>
        <w:rPr>
          <w:rFonts w:hint="eastAsia" w:ascii="黑体" w:hAnsi="黑体" w:eastAsia="黑体" w:cs="黑体"/>
          <w:bCs/>
          <w:szCs w:val="32"/>
        </w:rPr>
        <w:t>四、消费维权救济程序的法律制度更加科学合理</w:t>
      </w:r>
      <w:r>
        <w:tab/>
      </w:r>
      <w:r>
        <w:fldChar w:fldCharType="begin"/>
      </w:r>
      <w:r>
        <w:instrText xml:space="preserve"> PAGEREF _Toc887 \h </w:instrText>
      </w:r>
      <w:r>
        <w:fldChar w:fldCharType="separate"/>
      </w:r>
      <w:r>
        <w:t>8</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_Toc13520 </w:instrText>
      </w:r>
      <w:r>
        <w:rPr>
          <w:rFonts w:hint="default" w:ascii="Times New Roman" w:hAnsi="Times New Roman" w:cs="Times New Roman"/>
          <w:bCs/>
          <w:lang w:val="zh-CN"/>
        </w:rPr>
        <w:fldChar w:fldCharType="separate"/>
      </w:r>
      <w:r>
        <w:rPr>
          <w:rFonts w:hint="eastAsia" w:ascii="黑体" w:hAnsi="黑体" w:eastAsia="黑体" w:cs="黑体"/>
          <w:bCs/>
          <w:szCs w:val="32"/>
        </w:rPr>
        <w:t>五、消费者权益保护的地方立法持续深入推进</w:t>
      </w:r>
      <w:r>
        <w:tab/>
      </w:r>
      <w:r>
        <w:fldChar w:fldCharType="begin"/>
      </w:r>
      <w:r>
        <w:instrText xml:space="preserve"> PAGEREF _Toc13520 \h </w:instrText>
      </w:r>
      <w:r>
        <w:fldChar w:fldCharType="separate"/>
      </w:r>
      <w:r>
        <w:t>10</w:t>
      </w:r>
      <w:r>
        <w:fldChar w:fldCharType="end"/>
      </w:r>
      <w:r>
        <w:rPr>
          <w:rFonts w:hint="default" w:ascii="Times New Roman" w:hAnsi="Times New Roman" w:cs="Times New Roman"/>
          <w:bCs/>
          <w:color w:val="auto"/>
          <w:lang w:val="zh-CN"/>
        </w:rPr>
        <w:fldChar w:fldCharType="end"/>
      </w:r>
    </w:p>
    <w:p>
      <w:pPr>
        <w:pStyle w:val="12"/>
        <w:tabs>
          <w:tab w:val="right" w:leader="dot" w:pos="8958"/>
          <w:tab w:val="clear" w:pos="8296"/>
        </w:tabs>
        <w:ind w:firstLine="630" w:firstLineChars="300"/>
        <w:rPr>
          <w:rFonts w:ascii="Calibri" w:hAnsi="Calibri" w:eastAsia="宋体" w:cs="Arial"/>
          <w:b w:val="0"/>
          <w:kern w:val="2"/>
          <w:sz w:val="21"/>
          <w:szCs w:val="22"/>
          <w:lang w:val="en-US" w:eastAsia="zh-CN" w:bidi="ar-SA"/>
        </w:rPr>
      </w:pPr>
      <w:r>
        <w:rPr>
          <w:rFonts w:hint="default" w:ascii="Calibri" w:hAnsi="Calibri" w:eastAsia="宋体" w:cs="Arial"/>
          <w:b w:val="0"/>
          <w:kern w:val="2"/>
          <w:sz w:val="21"/>
          <w:szCs w:val="22"/>
          <w:lang w:val="zh-CN" w:eastAsia="zh-CN" w:bidi="ar-SA"/>
        </w:rPr>
        <w:fldChar w:fldCharType="begin"/>
      </w:r>
      <w:r>
        <w:rPr>
          <w:rFonts w:hint="default" w:ascii="Calibri" w:hAnsi="Calibri" w:eastAsia="宋体" w:cs="Arial"/>
          <w:b w:val="0"/>
          <w:kern w:val="2"/>
          <w:sz w:val="21"/>
          <w:szCs w:val="22"/>
          <w:lang w:val="zh-CN" w:eastAsia="zh-CN" w:bidi="ar-SA"/>
        </w:rPr>
        <w:instrText xml:space="preserve"> HYPERLINK \l _Toc24184 </w:instrText>
      </w:r>
      <w:r>
        <w:rPr>
          <w:rFonts w:hint="default" w:ascii="Calibri" w:hAnsi="Calibri" w:eastAsia="宋体" w:cs="Arial"/>
          <w:b w:val="0"/>
          <w:kern w:val="2"/>
          <w:sz w:val="21"/>
          <w:szCs w:val="22"/>
          <w:lang w:val="zh-CN" w:eastAsia="zh-CN" w:bidi="ar-SA"/>
        </w:rPr>
        <w:fldChar w:fldCharType="separate"/>
      </w:r>
      <w:r>
        <w:rPr>
          <w:rFonts w:hint="eastAsia" w:ascii="黑体" w:hAnsi="黑体" w:eastAsia="黑体" w:cs="宋体"/>
          <w:bCs/>
          <w:w w:val="95"/>
          <w:sz w:val="28"/>
          <w:szCs w:val="28"/>
          <w:lang w:val="en-US" w:eastAsia="zh-CN"/>
        </w:rPr>
        <w:t>第二节  行政保护</w:t>
      </w:r>
      <w:r>
        <w:rPr>
          <w:rFonts w:ascii="Calibri" w:hAnsi="Calibri" w:eastAsia="宋体" w:cs="Arial"/>
          <w:b w:val="0"/>
          <w:kern w:val="2"/>
          <w:sz w:val="21"/>
          <w:szCs w:val="22"/>
          <w:lang w:val="en-US" w:eastAsia="zh-CN" w:bidi="ar-SA"/>
        </w:rPr>
        <w:tab/>
      </w:r>
      <w:r>
        <w:rPr>
          <w:rFonts w:ascii="Calibri" w:hAnsi="Calibri" w:eastAsia="宋体" w:cs="Arial"/>
          <w:b w:val="0"/>
          <w:kern w:val="2"/>
          <w:sz w:val="21"/>
          <w:szCs w:val="22"/>
          <w:lang w:val="en-US" w:eastAsia="zh-CN" w:bidi="ar-SA"/>
        </w:rPr>
        <w:fldChar w:fldCharType="begin"/>
      </w:r>
      <w:r>
        <w:rPr>
          <w:rFonts w:ascii="Calibri" w:hAnsi="Calibri" w:eastAsia="宋体" w:cs="Arial"/>
          <w:b w:val="0"/>
          <w:kern w:val="2"/>
          <w:sz w:val="21"/>
          <w:szCs w:val="22"/>
          <w:lang w:val="en-US" w:eastAsia="zh-CN" w:bidi="ar-SA"/>
        </w:rPr>
        <w:instrText xml:space="preserve"> PAGEREF _Toc24184 \h </w:instrText>
      </w:r>
      <w:r>
        <w:rPr>
          <w:rFonts w:ascii="Calibri" w:hAnsi="Calibri" w:eastAsia="宋体" w:cs="Arial"/>
          <w:b w:val="0"/>
          <w:kern w:val="2"/>
          <w:sz w:val="21"/>
          <w:szCs w:val="22"/>
          <w:lang w:val="en-US" w:eastAsia="zh-CN" w:bidi="ar-SA"/>
        </w:rPr>
        <w:fldChar w:fldCharType="separate"/>
      </w:r>
      <w:r>
        <w:rPr>
          <w:rFonts w:ascii="Calibri" w:hAnsi="Calibri" w:eastAsia="宋体" w:cs="Arial"/>
          <w:b w:val="0"/>
          <w:kern w:val="2"/>
          <w:sz w:val="21"/>
          <w:szCs w:val="22"/>
          <w:lang w:val="en-US" w:eastAsia="zh-CN" w:bidi="ar-SA"/>
        </w:rPr>
        <w:t>12</w:t>
      </w:r>
      <w:r>
        <w:rPr>
          <w:rFonts w:ascii="Calibri" w:hAnsi="Calibri" w:eastAsia="宋体" w:cs="Arial"/>
          <w:b w:val="0"/>
          <w:kern w:val="2"/>
          <w:sz w:val="21"/>
          <w:szCs w:val="22"/>
          <w:lang w:val="en-US" w:eastAsia="zh-CN" w:bidi="ar-SA"/>
        </w:rPr>
        <w:fldChar w:fldCharType="end"/>
      </w:r>
      <w:r>
        <w:rPr>
          <w:rFonts w:hint="default" w:ascii="Calibri" w:hAnsi="Calibri" w:eastAsia="宋体" w:cs="Arial"/>
          <w:b w:val="0"/>
          <w:kern w:val="2"/>
          <w:sz w:val="21"/>
          <w:szCs w:val="22"/>
          <w:lang w:val="zh-CN" w:eastAsia="zh-CN" w:bidi="ar-SA"/>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_Toc9371 </w:instrText>
      </w:r>
      <w:r>
        <w:rPr>
          <w:rFonts w:hint="default" w:ascii="Times New Roman" w:hAnsi="Times New Roman" w:cs="Times New Roman"/>
          <w:bCs/>
          <w:lang w:val="zh-CN"/>
        </w:rPr>
        <w:fldChar w:fldCharType="separate"/>
      </w:r>
      <w:r>
        <w:rPr>
          <w:rFonts w:hint="eastAsia" w:ascii="黑体" w:hAnsi="黑体" w:eastAsia="黑体" w:cs="黑体"/>
          <w:bCs/>
          <w:szCs w:val="32"/>
        </w:rPr>
        <w:t>一、大力提振消费，促进消费提质升级</w:t>
      </w:r>
      <w:r>
        <w:tab/>
      </w:r>
      <w:r>
        <w:fldChar w:fldCharType="begin"/>
      </w:r>
      <w:r>
        <w:instrText xml:space="preserve"> PAGEREF _Toc9371 \h </w:instrText>
      </w:r>
      <w:r>
        <w:fldChar w:fldCharType="separate"/>
      </w:r>
      <w:r>
        <w:t>12</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_Toc21583 </w:instrText>
      </w:r>
      <w:r>
        <w:rPr>
          <w:rFonts w:hint="default" w:ascii="Times New Roman" w:hAnsi="Times New Roman" w:cs="Times New Roman"/>
          <w:bCs/>
          <w:lang w:val="zh-CN"/>
        </w:rPr>
        <w:fldChar w:fldCharType="separate"/>
      </w:r>
      <w:r>
        <w:rPr>
          <w:rFonts w:hint="eastAsia" w:ascii="黑体" w:hAnsi="黑体" w:eastAsia="黑体" w:cs="黑体"/>
          <w:bCs/>
          <w:szCs w:val="32"/>
        </w:rPr>
        <w:t>二、全面优化消费环境，持续释放消费潜力</w:t>
      </w:r>
      <w:r>
        <w:tab/>
      </w:r>
      <w:r>
        <w:fldChar w:fldCharType="begin"/>
      </w:r>
      <w:r>
        <w:instrText xml:space="preserve"> PAGEREF _Toc21583 \h </w:instrText>
      </w:r>
      <w:r>
        <w:fldChar w:fldCharType="separate"/>
      </w:r>
      <w:r>
        <w:t>18</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_Toc7312 </w:instrText>
      </w:r>
      <w:r>
        <w:rPr>
          <w:rFonts w:hint="default" w:ascii="Times New Roman" w:hAnsi="Times New Roman" w:cs="Times New Roman"/>
          <w:bCs/>
          <w:lang w:val="zh-CN"/>
        </w:rPr>
        <w:fldChar w:fldCharType="separate"/>
      </w:r>
      <w:r>
        <w:rPr>
          <w:rFonts w:hint="eastAsia" w:ascii="黑体" w:hAnsi="黑体" w:eastAsia="黑体" w:cs="黑体"/>
          <w:bCs/>
          <w:szCs w:val="32"/>
        </w:rPr>
        <w:t>三、高效处理消费投诉，畅通消费维权途径</w:t>
      </w:r>
      <w:r>
        <w:tab/>
      </w:r>
      <w:r>
        <w:fldChar w:fldCharType="begin"/>
      </w:r>
      <w:r>
        <w:instrText xml:space="preserve"> PAGEREF _Toc7312 \h </w:instrText>
      </w:r>
      <w:r>
        <w:fldChar w:fldCharType="separate"/>
      </w:r>
      <w:r>
        <w:t>21</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_Toc25765 </w:instrText>
      </w:r>
      <w:r>
        <w:rPr>
          <w:rFonts w:hint="default" w:ascii="Times New Roman" w:hAnsi="Times New Roman" w:cs="Times New Roman"/>
          <w:bCs/>
          <w:lang w:val="zh-CN"/>
        </w:rPr>
        <w:fldChar w:fldCharType="separate"/>
      </w:r>
      <w:r>
        <w:rPr>
          <w:rFonts w:hint="eastAsia" w:ascii="黑体" w:hAnsi="黑体" w:eastAsia="黑体" w:cs="黑体"/>
          <w:bCs/>
          <w:szCs w:val="32"/>
        </w:rPr>
        <w:t>四、持续加</w:t>
      </w:r>
      <w:r>
        <w:rPr>
          <w:rFonts w:hint="eastAsia" w:ascii="黑体" w:hAnsi="黑体" w:eastAsia="黑体" w:cs="黑体"/>
          <w:bCs/>
          <w:szCs w:val="32"/>
          <w:lang w:val="en-US" w:eastAsia="zh-CN"/>
        </w:rPr>
        <w:t>大</w:t>
      </w:r>
      <w:r>
        <w:rPr>
          <w:rFonts w:hint="eastAsia" w:ascii="黑体" w:hAnsi="黑体" w:eastAsia="黑体" w:cs="黑体"/>
          <w:bCs/>
          <w:szCs w:val="32"/>
        </w:rPr>
        <w:t>违法行为打击力度，切实保障消费安全</w:t>
      </w:r>
      <w:r>
        <w:tab/>
      </w:r>
      <w:r>
        <w:fldChar w:fldCharType="begin"/>
      </w:r>
      <w:r>
        <w:instrText xml:space="preserve"> PAGEREF _Toc25765 \h </w:instrText>
      </w:r>
      <w:r>
        <w:fldChar w:fldCharType="separate"/>
      </w:r>
      <w:r>
        <w:t>22</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_Toc29963 </w:instrText>
      </w:r>
      <w:r>
        <w:rPr>
          <w:rFonts w:hint="default" w:ascii="Times New Roman" w:hAnsi="Times New Roman" w:cs="Times New Roman"/>
          <w:bCs/>
          <w:lang w:val="zh-CN"/>
        </w:rPr>
        <w:fldChar w:fldCharType="separate"/>
      </w:r>
      <w:r>
        <w:rPr>
          <w:rFonts w:hint="eastAsia" w:ascii="黑体" w:hAnsi="黑体" w:eastAsia="黑体" w:cs="黑体"/>
          <w:bCs/>
          <w:szCs w:val="32"/>
        </w:rPr>
        <w:t>五、提升质量</w:t>
      </w:r>
      <w:r>
        <w:rPr>
          <w:rFonts w:hint="eastAsia" w:ascii="黑体" w:hAnsi="黑体" w:eastAsia="黑体" w:cs="黑体"/>
          <w:bCs/>
          <w:szCs w:val="32"/>
          <w:lang w:val="en-US" w:eastAsia="zh-CN"/>
        </w:rPr>
        <w:t>水平</w:t>
      </w:r>
      <w:r>
        <w:rPr>
          <w:rFonts w:hint="eastAsia" w:ascii="黑体" w:hAnsi="黑体" w:eastAsia="黑体" w:cs="黑体"/>
          <w:bCs/>
          <w:szCs w:val="32"/>
        </w:rPr>
        <w:t>，推</w:t>
      </w:r>
      <w:r>
        <w:rPr>
          <w:rFonts w:hint="eastAsia" w:ascii="黑体" w:hAnsi="黑体" w:eastAsia="黑体" w:cs="黑体"/>
          <w:bCs/>
          <w:szCs w:val="32"/>
          <w:lang w:val="en-US" w:eastAsia="zh-CN"/>
        </w:rPr>
        <w:t>动</w:t>
      </w:r>
      <w:r>
        <w:rPr>
          <w:rFonts w:hint="eastAsia" w:ascii="黑体" w:hAnsi="黑体" w:eastAsia="黑体" w:cs="黑体"/>
          <w:bCs/>
          <w:szCs w:val="32"/>
        </w:rPr>
        <w:t>高质量发展</w:t>
      </w:r>
      <w:r>
        <w:tab/>
      </w:r>
      <w:r>
        <w:fldChar w:fldCharType="begin"/>
      </w:r>
      <w:r>
        <w:instrText xml:space="preserve"> PAGEREF _Toc29963 \h </w:instrText>
      </w:r>
      <w:r>
        <w:fldChar w:fldCharType="separate"/>
      </w:r>
      <w:r>
        <w:t>31</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_Toc26713 </w:instrText>
      </w:r>
      <w:r>
        <w:rPr>
          <w:rFonts w:hint="default" w:ascii="Times New Roman" w:hAnsi="Times New Roman" w:cs="Times New Roman"/>
          <w:bCs/>
          <w:lang w:val="zh-CN"/>
        </w:rPr>
        <w:fldChar w:fldCharType="separate"/>
      </w:r>
      <w:r>
        <w:rPr>
          <w:rFonts w:hint="eastAsia" w:ascii="黑体" w:hAnsi="黑体" w:eastAsia="黑体" w:cs="黑体"/>
          <w:bCs/>
          <w:szCs w:val="32"/>
          <w:lang w:val="en-US" w:eastAsia="zh-CN"/>
        </w:rPr>
        <w:t>六</w:t>
      </w:r>
      <w:r>
        <w:rPr>
          <w:rFonts w:hint="eastAsia" w:ascii="黑体" w:hAnsi="黑体" w:eastAsia="黑体" w:cs="黑体"/>
          <w:bCs/>
          <w:szCs w:val="32"/>
        </w:rPr>
        <w:t>、深入推进绿色消费，</w:t>
      </w:r>
      <w:r>
        <w:rPr>
          <w:rFonts w:hint="eastAsia" w:ascii="黑体" w:hAnsi="黑体" w:eastAsia="黑体" w:cs="黑体"/>
          <w:bCs/>
          <w:szCs w:val="32"/>
          <w:lang w:val="en-US" w:eastAsia="zh-CN"/>
        </w:rPr>
        <w:t>助力</w:t>
      </w:r>
      <w:r>
        <w:rPr>
          <w:rFonts w:hint="eastAsia" w:ascii="黑体" w:hAnsi="黑体" w:eastAsia="黑体" w:cs="黑体"/>
          <w:bCs/>
          <w:szCs w:val="32"/>
        </w:rPr>
        <w:t>绿色发展</w:t>
      </w:r>
      <w:r>
        <w:tab/>
      </w:r>
      <w:r>
        <w:fldChar w:fldCharType="begin"/>
      </w:r>
      <w:r>
        <w:instrText xml:space="preserve"> PAGEREF _Toc26713 \h </w:instrText>
      </w:r>
      <w:r>
        <w:fldChar w:fldCharType="separate"/>
      </w:r>
      <w:r>
        <w:t>33</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_Toc17819 </w:instrText>
      </w:r>
      <w:r>
        <w:rPr>
          <w:rFonts w:hint="default" w:ascii="Times New Roman" w:hAnsi="Times New Roman" w:cs="Times New Roman"/>
          <w:bCs/>
          <w:lang w:val="zh-CN"/>
        </w:rPr>
        <w:fldChar w:fldCharType="separate"/>
      </w:r>
      <w:r>
        <w:rPr>
          <w:rFonts w:hint="eastAsia" w:ascii="黑体" w:hAnsi="黑体" w:eastAsia="黑体" w:cs="黑体"/>
          <w:bCs/>
          <w:szCs w:val="32"/>
          <w:lang w:val="en-US" w:eastAsia="zh-CN"/>
        </w:rPr>
        <w:t>七</w:t>
      </w:r>
      <w:r>
        <w:rPr>
          <w:rFonts w:hint="eastAsia" w:ascii="黑体" w:hAnsi="黑体" w:eastAsia="黑体" w:cs="黑体"/>
          <w:bCs/>
          <w:szCs w:val="32"/>
        </w:rPr>
        <w:t>、积极开展消费教育宣传</w:t>
      </w:r>
      <w:r>
        <w:rPr>
          <w:rFonts w:hint="eastAsia" w:ascii="黑体" w:hAnsi="黑体" w:eastAsia="黑体" w:cs="黑体"/>
          <w:bCs/>
          <w:szCs w:val="32"/>
          <w:lang w:eastAsia="zh-CN"/>
        </w:rPr>
        <w:t>，</w:t>
      </w:r>
      <w:r>
        <w:rPr>
          <w:rFonts w:hint="eastAsia" w:ascii="黑体" w:hAnsi="黑体" w:eastAsia="黑体" w:cs="黑体"/>
          <w:bCs/>
          <w:szCs w:val="32"/>
        </w:rPr>
        <w:t>增强消费者防范风险能力</w:t>
      </w:r>
      <w:r>
        <w:tab/>
      </w:r>
      <w:r>
        <w:fldChar w:fldCharType="begin"/>
      </w:r>
      <w:r>
        <w:instrText xml:space="preserve"> PAGEREF _Toc17819 \h </w:instrText>
      </w:r>
      <w:r>
        <w:fldChar w:fldCharType="separate"/>
      </w:r>
      <w:r>
        <w:t>34</w:t>
      </w:r>
      <w:r>
        <w:fldChar w:fldCharType="end"/>
      </w:r>
      <w:r>
        <w:rPr>
          <w:rFonts w:hint="default" w:ascii="Times New Roman" w:hAnsi="Times New Roman" w:cs="Times New Roman"/>
          <w:bCs/>
          <w:color w:val="auto"/>
          <w:lang w:val="zh-CN"/>
        </w:rPr>
        <w:fldChar w:fldCharType="end"/>
      </w:r>
    </w:p>
    <w:p>
      <w:pPr>
        <w:pStyle w:val="12"/>
        <w:tabs>
          <w:tab w:val="right" w:leader="dot" w:pos="8958"/>
          <w:tab w:val="clear" w:pos="8296"/>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_Toc23107 </w:instrText>
      </w:r>
      <w:r>
        <w:rPr>
          <w:rFonts w:hint="default" w:ascii="Times New Roman" w:hAnsi="Times New Roman" w:cs="Times New Roman"/>
          <w:bCs/>
          <w:lang w:val="zh-CN"/>
        </w:rPr>
        <w:fldChar w:fldCharType="separate"/>
      </w:r>
      <w:r>
        <w:rPr>
          <w:rFonts w:hint="eastAsia" w:ascii="黑体" w:hAnsi="黑体" w:eastAsia="黑体" w:cs="宋体"/>
          <w:bCs/>
          <w:w w:val="95"/>
          <w:sz w:val="28"/>
          <w:szCs w:val="28"/>
        </w:rPr>
        <w:t xml:space="preserve">第三节 </w:t>
      </w:r>
      <w:r>
        <w:rPr>
          <w:rFonts w:hint="eastAsia" w:ascii="黑体" w:hAnsi="黑体" w:eastAsia="黑体" w:cs="宋体"/>
          <w:bCs/>
          <w:w w:val="95"/>
          <w:sz w:val="28"/>
          <w:szCs w:val="28"/>
          <w:lang w:val="en-US" w:eastAsia="zh-CN"/>
        </w:rPr>
        <w:t xml:space="preserve"> </w:t>
      </w:r>
      <w:r>
        <w:rPr>
          <w:rFonts w:hint="eastAsia" w:ascii="黑体" w:hAnsi="黑体" w:eastAsia="黑体" w:cs="宋体"/>
          <w:bCs/>
          <w:w w:val="95"/>
          <w:sz w:val="28"/>
          <w:szCs w:val="28"/>
        </w:rPr>
        <w:t>司法保护</w:t>
      </w:r>
      <w:r>
        <w:tab/>
      </w:r>
      <w:r>
        <w:rPr>
          <w:rFonts w:ascii="Calibri" w:hAnsi="Calibri" w:eastAsia="宋体" w:cs="Arial"/>
          <w:b w:val="0"/>
          <w:kern w:val="2"/>
          <w:sz w:val="21"/>
          <w:szCs w:val="22"/>
          <w:lang w:val="en-US" w:eastAsia="zh-CN" w:bidi="ar-SA"/>
        </w:rPr>
        <w:fldChar w:fldCharType="begin"/>
      </w:r>
      <w:r>
        <w:rPr>
          <w:rFonts w:ascii="Calibri" w:hAnsi="Calibri" w:eastAsia="宋体" w:cs="Arial"/>
          <w:b w:val="0"/>
          <w:kern w:val="2"/>
          <w:sz w:val="21"/>
          <w:szCs w:val="22"/>
          <w:lang w:val="en-US" w:eastAsia="zh-CN" w:bidi="ar-SA"/>
        </w:rPr>
        <w:instrText xml:space="preserve"> PAGEREF _Toc23107 \h </w:instrText>
      </w:r>
      <w:r>
        <w:rPr>
          <w:rFonts w:ascii="Calibri" w:hAnsi="Calibri" w:eastAsia="宋体" w:cs="Arial"/>
          <w:b w:val="0"/>
          <w:kern w:val="2"/>
          <w:sz w:val="21"/>
          <w:szCs w:val="22"/>
          <w:lang w:val="en-US" w:eastAsia="zh-CN" w:bidi="ar-SA"/>
        </w:rPr>
        <w:fldChar w:fldCharType="separate"/>
      </w:r>
      <w:r>
        <w:rPr>
          <w:rFonts w:ascii="Calibri" w:hAnsi="Calibri" w:eastAsia="宋体" w:cs="Arial"/>
          <w:b w:val="0"/>
          <w:kern w:val="2"/>
          <w:sz w:val="21"/>
          <w:szCs w:val="22"/>
          <w:lang w:val="en-US" w:eastAsia="zh-CN" w:bidi="ar-SA"/>
        </w:rPr>
        <w:t>37</w:t>
      </w:r>
      <w:r>
        <w:rPr>
          <w:rFonts w:ascii="Calibri" w:hAnsi="Calibri" w:eastAsia="宋体" w:cs="Arial"/>
          <w:b w:val="0"/>
          <w:kern w:val="2"/>
          <w:sz w:val="21"/>
          <w:szCs w:val="22"/>
          <w:lang w:val="en-US" w:eastAsia="zh-CN" w:bidi="ar-SA"/>
        </w:rP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_Toc24885 </w:instrText>
      </w:r>
      <w:r>
        <w:rPr>
          <w:rFonts w:hint="default" w:ascii="Times New Roman" w:hAnsi="Times New Roman" w:cs="Times New Roman"/>
          <w:bCs/>
          <w:lang w:val="zh-CN"/>
        </w:rPr>
        <w:fldChar w:fldCharType="separate"/>
      </w:r>
      <w:r>
        <w:rPr>
          <w:rFonts w:hint="eastAsia" w:ascii="黑体" w:hAnsi="黑体" w:eastAsia="黑体" w:cs="黑体"/>
          <w:bCs/>
          <w:szCs w:val="30"/>
        </w:rPr>
        <w:t>一、依法审理大量消费纠纷案件，筑牢</w:t>
      </w:r>
      <w:r>
        <w:rPr>
          <w:rFonts w:hint="eastAsia" w:ascii="黑体" w:hAnsi="黑体" w:eastAsia="黑体" w:cs="黑体"/>
          <w:bCs/>
          <w:szCs w:val="32"/>
        </w:rPr>
        <w:t>消费者权益司法保护防线</w:t>
      </w:r>
      <w:r>
        <w:tab/>
      </w:r>
      <w:r>
        <w:fldChar w:fldCharType="begin"/>
      </w:r>
      <w:r>
        <w:instrText xml:space="preserve"> PAGEREF _Toc24885 \h </w:instrText>
      </w:r>
      <w:r>
        <w:fldChar w:fldCharType="separate"/>
      </w:r>
      <w:r>
        <w:t>37</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_Toc24336 </w:instrText>
      </w:r>
      <w:r>
        <w:rPr>
          <w:rFonts w:hint="default" w:ascii="Times New Roman" w:hAnsi="Times New Roman" w:cs="Times New Roman"/>
          <w:bCs/>
          <w:lang w:val="zh-CN"/>
        </w:rPr>
        <w:fldChar w:fldCharType="separate"/>
      </w:r>
      <w:r>
        <w:rPr>
          <w:rFonts w:hint="eastAsia" w:ascii="黑体" w:hAnsi="黑体" w:eastAsia="黑体" w:cs="黑体"/>
          <w:bCs/>
          <w:szCs w:val="32"/>
        </w:rPr>
        <w:t>二、发布消费领域司法文件和典型案例，确立处理新型疑难问题的裁判规则</w:t>
      </w:r>
      <w:r>
        <w:tab/>
      </w:r>
      <w:r>
        <w:fldChar w:fldCharType="begin"/>
      </w:r>
      <w:r>
        <w:instrText xml:space="preserve"> PAGEREF _Toc24336 \h </w:instrText>
      </w:r>
      <w:r>
        <w:fldChar w:fldCharType="separate"/>
      </w:r>
      <w:r>
        <w:t>38</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_Toc18711 </w:instrText>
      </w:r>
      <w:r>
        <w:rPr>
          <w:rFonts w:hint="default" w:ascii="Times New Roman" w:hAnsi="Times New Roman" w:cs="Times New Roman"/>
          <w:bCs/>
          <w:lang w:val="zh-CN"/>
        </w:rPr>
        <w:fldChar w:fldCharType="separate"/>
      </w:r>
      <w:r>
        <w:rPr>
          <w:rFonts w:hint="eastAsia" w:ascii="黑体" w:hAnsi="黑体" w:eastAsia="黑体" w:cs="黑体"/>
          <w:bCs/>
          <w:szCs w:val="32"/>
        </w:rPr>
        <w:t>三、严厉打击消费领域违法犯罪行为，保障消费者人身财产安全</w:t>
      </w:r>
      <w:r>
        <w:tab/>
      </w:r>
      <w:r>
        <w:fldChar w:fldCharType="begin"/>
      </w:r>
      <w:r>
        <w:instrText xml:space="preserve"> PAGEREF _Toc18711 \h </w:instrText>
      </w:r>
      <w:r>
        <w:fldChar w:fldCharType="separate"/>
      </w:r>
      <w:r>
        <w:t>41</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_Toc19759 </w:instrText>
      </w:r>
      <w:r>
        <w:rPr>
          <w:rFonts w:hint="default" w:ascii="Times New Roman" w:hAnsi="Times New Roman" w:cs="Times New Roman"/>
          <w:bCs/>
          <w:lang w:val="zh-CN"/>
        </w:rPr>
        <w:fldChar w:fldCharType="separate"/>
      </w:r>
      <w:r>
        <w:rPr>
          <w:rFonts w:hint="eastAsia" w:ascii="黑体" w:hAnsi="黑体" w:eastAsia="黑体" w:cs="黑体"/>
          <w:bCs/>
          <w:szCs w:val="32"/>
          <w:lang w:val="en-US" w:eastAsia="zh-CN"/>
        </w:rPr>
        <w:t>四、依法开展公益诉讼与集体诉讼，维护广大消费者的</w:t>
      </w:r>
      <w:r>
        <w:rPr>
          <w:rFonts w:hint="eastAsia" w:ascii="黑体" w:hAnsi="黑体" w:eastAsia="黑体" w:cs="黑体"/>
          <w:bCs/>
          <w:szCs w:val="32"/>
        </w:rPr>
        <w:t>共同利益</w:t>
      </w:r>
      <w:r>
        <w:tab/>
      </w:r>
      <w:r>
        <w:fldChar w:fldCharType="begin"/>
      </w:r>
      <w:r>
        <w:instrText xml:space="preserve"> PAGEREF _Toc19759 \h </w:instrText>
      </w:r>
      <w:r>
        <w:fldChar w:fldCharType="separate"/>
      </w:r>
      <w:r>
        <w:t>43</w:t>
      </w:r>
      <w:r>
        <w:fldChar w:fldCharType="end"/>
      </w:r>
      <w:r>
        <w:rPr>
          <w:rFonts w:hint="default" w:ascii="Times New Roman" w:hAnsi="Times New Roman" w:cs="Times New Roman"/>
          <w:bCs/>
          <w:color w:val="auto"/>
          <w:lang w:val="zh-CN"/>
        </w:rPr>
        <w:fldChar w:fldCharType="end"/>
      </w:r>
    </w:p>
    <w:p>
      <w:pPr>
        <w:pStyle w:val="12"/>
        <w:tabs>
          <w:tab w:val="right" w:leader="dot" w:pos="8958"/>
          <w:tab w:val="clear" w:pos="8296"/>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_Toc29584 </w:instrText>
      </w:r>
      <w:r>
        <w:rPr>
          <w:rFonts w:hint="default" w:ascii="Times New Roman" w:hAnsi="Times New Roman" w:cs="Times New Roman"/>
          <w:bCs/>
          <w:lang w:val="zh-CN"/>
        </w:rPr>
        <w:fldChar w:fldCharType="separate"/>
      </w:r>
      <w:r>
        <w:rPr>
          <w:rFonts w:hint="eastAsia" w:ascii="黑体" w:hAnsi="黑体" w:eastAsia="黑体" w:cs="宋体"/>
          <w:bCs/>
          <w:w w:val="95"/>
          <w:sz w:val="28"/>
          <w:szCs w:val="28"/>
        </w:rPr>
        <w:t>第四节</w:t>
      </w:r>
      <w:r>
        <w:rPr>
          <w:rFonts w:hint="eastAsia" w:ascii="黑体" w:hAnsi="黑体" w:eastAsia="黑体" w:cs="宋体"/>
          <w:bCs/>
          <w:w w:val="95"/>
          <w:sz w:val="28"/>
          <w:szCs w:val="28"/>
          <w:lang w:val="en-US" w:eastAsia="zh-CN"/>
        </w:rPr>
        <w:t xml:space="preserve"> </w:t>
      </w:r>
      <w:r>
        <w:rPr>
          <w:rFonts w:hint="eastAsia" w:ascii="黑体" w:hAnsi="黑体" w:eastAsia="黑体" w:cs="宋体"/>
          <w:bCs/>
          <w:w w:val="95"/>
          <w:sz w:val="28"/>
          <w:szCs w:val="28"/>
        </w:rPr>
        <w:t xml:space="preserve"> 社会保护</w:t>
      </w:r>
      <w:r>
        <w:tab/>
      </w:r>
      <w:r>
        <w:rPr>
          <w:rFonts w:ascii="Calibri" w:hAnsi="Calibri" w:eastAsia="宋体" w:cs="Arial"/>
          <w:b w:val="0"/>
          <w:kern w:val="2"/>
          <w:sz w:val="21"/>
          <w:szCs w:val="22"/>
          <w:lang w:val="en-US" w:eastAsia="zh-CN" w:bidi="ar-SA"/>
        </w:rPr>
        <w:fldChar w:fldCharType="begin"/>
      </w:r>
      <w:r>
        <w:rPr>
          <w:rFonts w:ascii="Calibri" w:hAnsi="Calibri" w:eastAsia="宋体" w:cs="Arial"/>
          <w:b w:val="0"/>
          <w:kern w:val="2"/>
          <w:sz w:val="21"/>
          <w:szCs w:val="22"/>
          <w:lang w:val="en-US" w:eastAsia="zh-CN" w:bidi="ar-SA"/>
        </w:rPr>
        <w:instrText xml:space="preserve"> PAGEREF _Toc29584 \h </w:instrText>
      </w:r>
      <w:r>
        <w:rPr>
          <w:rFonts w:ascii="Calibri" w:hAnsi="Calibri" w:eastAsia="宋体" w:cs="Arial"/>
          <w:b w:val="0"/>
          <w:kern w:val="2"/>
          <w:sz w:val="21"/>
          <w:szCs w:val="22"/>
          <w:lang w:val="en-US" w:eastAsia="zh-CN" w:bidi="ar-SA"/>
        </w:rPr>
        <w:fldChar w:fldCharType="separate"/>
      </w:r>
      <w:r>
        <w:rPr>
          <w:rFonts w:ascii="Calibri" w:hAnsi="Calibri" w:eastAsia="宋体" w:cs="Arial"/>
          <w:b w:val="0"/>
          <w:kern w:val="2"/>
          <w:sz w:val="21"/>
          <w:szCs w:val="22"/>
          <w:lang w:val="en-US" w:eastAsia="zh-CN" w:bidi="ar-SA"/>
        </w:rPr>
        <w:t>45</w:t>
      </w:r>
      <w:r>
        <w:rPr>
          <w:rFonts w:ascii="Calibri" w:hAnsi="Calibri" w:eastAsia="宋体" w:cs="Arial"/>
          <w:b w:val="0"/>
          <w:kern w:val="2"/>
          <w:sz w:val="21"/>
          <w:szCs w:val="22"/>
          <w:lang w:val="en-US" w:eastAsia="zh-CN" w:bidi="ar-SA"/>
        </w:rP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_Toc15583 </w:instrText>
      </w:r>
      <w:r>
        <w:rPr>
          <w:rFonts w:hint="default" w:ascii="Times New Roman" w:hAnsi="Times New Roman" w:cs="Times New Roman"/>
          <w:bCs/>
          <w:lang w:val="zh-CN"/>
        </w:rPr>
        <w:fldChar w:fldCharType="separate"/>
      </w:r>
      <w:r>
        <w:rPr>
          <w:rFonts w:hint="eastAsia" w:ascii="黑体" w:hAnsi="黑体" w:eastAsia="黑体" w:cs="黑体"/>
          <w:bCs/>
          <w:szCs w:val="32"/>
        </w:rPr>
        <w:t>一、消协组织</w:t>
      </w:r>
      <w:r>
        <w:rPr>
          <w:rFonts w:hint="eastAsia" w:ascii="黑体" w:hAnsi="黑体" w:eastAsia="黑体" w:cs="黑体"/>
          <w:bCs/>
          <w:szCs w:val="32"/>
          <w:lang w:val="en-US" w:eastAsia="zh-CN"/>
        </w:rPr>
        <w:t>立足</w:t>
      </w:r>
      <w:r>
        <w:rPr>
          <w:rFonts w:hint="eastAsia" w:ascii="黑体" w:hAnsi="黑体" w:eastAsia="黑体" w:cs="黑体"/>
          <w:bCs/>
          <w:szCs w:val="32"/>
        </w:rPr>
        <w:t>消费维权枢纽</w:t>
      </w:r>
      <w:r>
        <w:rPr>
          <w:rFonts w:hint="eastAsia" w:ascii="黑体" w:hAnsi="黑体" w:eastAsia="黑体" w:cs="黑体"/>
          <w:bCs/>
          <w:szCs w:val="32"/>
          <w:lang w:val="en-US" w:eastAsia="zh-CN"/>
        </w:rPr>
        <w:t>新站位</w:t>
      </w:r>
      <w:r>
        <w:rPr>
          <w:rFonts w:hint="eastAsia" w:ascii="黑体" w:hAnsi="黑体" w:eastAsia="黑体" w:cs="黑体"/>
          <w:bCs/>
          <w:szCs w:val="32"/>
        </w:rPr>
        <w:t>，</w:t>
      </w:r>
      <w:r>
        <w:rPr>
          <w:rFonts w:hint="eastAsia" w:ascii="黑体" w:hAnsi="黑体" w:eastAsia="黑体" w:cs="黑体"/>
          <w:bCs/>
          <w:szCs w:val="32"/>
          <w:lang w:val="en-US" w:eastAsia="zh-CN"/>
        </w:rPr>
        <w:t>切实</w:t>
      </w:r>
      <w:r>
        <w:rPr>
          <w:rFonts w:hint="eastAsia" w:ascii="黑体" w:hAnsi="黑体" w:eastAsia="黑体" w:cs="黑体"/>
          <w:bCs/>
          <w:szCs w:val="32"/>
        </w:rPr>
        <w:t>发挥社会保护主导作用</w:t>
      </w:r>
      <w:r>
        <w:tab/>
      </w:r>
      <w:r>
        <w:fldChar w:fldCharType="begin"/>
      </w:r>
      <w:r>
        <w:instrText xml:space="preserve"> PAGEREF _Toc15583 \h </w:instrText>
      </w:r>
      <w:r>
        <w:fldChar w:fldCharType="separate"/>
      </w:r>
      <w:r>
        <w:t>45</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_Toc28239 </w:instrText>
      </w:r>
      <w:r>
        <w:rPr>
          <w:rFonts w:hint="default" w:ascii="Times New Roman" w:hAnsi="Times New Roman" w:cs="Times New Roman"/>
          <w:bCs/>
          <w:lang w:val="zh-CN"/>
        </w:rPr>
        <w:fldChar w:fldCharType="separate"/>
      </w:r>
      <w:r>
        <w:rPr>
          <w:rFonts w:hint="eastAsia" w:ascii="黑体" w:hAnsi="黑体" w:eastAsia="黑体" w:cs="黑体"/>
          <w:bCs/>
          <w:szCs w:val="32"/>
        </w:rPr>
        <w:t>二、行业组织持续推进自律自治，促进</w:t>
      </w:r>
      <w:r>
        <w:rPr>
          <w:rFonts w:hint="eastAsia" w:ascii="黑体" w:hAnsi="黑体" w:eastAsia="黑体" w:cs="黑体"/>
          <w:bCs/>
          <w:szCs w:val="32"/>
          <w:lang w:val="en-US" w:eastAsia="zh-CN"/>
        </w:rPr>
        <w:t>经营者</w:t>
      </w:r>
      <w:r>
        <w:rPr>
          <w:rFonts w:hint="eastAsia" w:ascii="黑体" w:hAnsi="黑体" w:eastAsia="黑体" w:cs="黑体"/>
          <w:bCs/>
          <w:szCs w:val="32"/>
        </w:rPr>
        <w:t>诚信经营</w:t>
      </w:r>
      <w:r>
        <w:tab/>
      </w:r>
      <w:r>
        <w:fldChar w:fldCharType="begin"/>
      </w:r>
      <w:r>
        <w:instrText xml:space="preserve"> PAGEREF _Toc28239 \h </w:instrText>
      </w:r>
      <w:r>
        <w:fldChar w:fldCharType="separate"/>
      </w:r>
      <w:r>
        <w:t>57</w:t>
      </w:r>
      <w:r>
        <w:fldChar w:fldCharType="end"/>
      </w:r>
      <w:r>
        <w:rPr>
          <w:rFonts w:hint="default" w:ascii="Times New Roman" w:hAnsi="Times New Roman" w:cs="Times New Roman"/>
          <w:bCs/>
          <w:color w:val="auto"/>
          <w:lang w:val="zh-CN"/>
        </w:rPr>
        <w:fldChar w:fldCharType="end"/>
      </w:r>
    </w:p>
    <w:p>
      <w:pPr>
        <w:pStyle w:val="8"/>
        <w:tabs>
          <w:tab w:val="right" w:leader="dot" w:pos="8958"/>
        </w:tabs>
        <w:rPr>
          <w:rFonts w:hint="eastAsia" w:eastAsia="宋体"/>
          <w:lang w:val="en-US" w:eastAsia="zh-CN"/>
        </w:rPr>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_Toc10710 </w:instrText>
      </w:r>
      <w:r>
        <w:rPr>
          <w:rFonts w:hint="default" w:ascii="Times New Roman" w:hAnsi="Times New Roman" w:cs="Times New Roman"/>
          <w:bCs/>
          <w:lang w:val="zh-CN"/>
        </w:rPr>
        <w:fldChar w:fldCharType="separate"/>
      </w:r>
      <w:r>
        <w:rPr>
          <w:rFonts w:hint="eastAsia" w:ascii="黑体" w:hAnsi="黑体" w:eastAsia="黑体" w:cs="黑体"/>
          <w:bCs/>
          <w:szCs w:val="32"/>
        </w:rPr>
        <w:t>三、经营者不断增强合规诚信意识，切实履行消费者权益保护主体责任</w:t>
      </w:r>
      <w:r>
        <w:tab/>
      </w:r>
      <w:r>
        <w:rPr>
          <w:rFonts w:hint="eastAsia"/>
          <w:lang w:val="en-US" w:eastAsia="zh-CN"/>
        </w:rPr>
        <w:t>6</w:t>
      </w:r>
      <w:r>
        <w:rPr>
          <w:rFonts w:hint="default" w:ascii="Times New Roman" w:hAnsi="Times New Roman" w:cs="Times New Roman"/>
          <w:bCs/>
          <w:color w:val="auto"/>
          <w:lang w:val="zh-CN"/>
        </w:rPr>
        <w:fldChar w:fldCharType="end"/>
      </w:r>
      <w:r>
        <w:rPr>
          <w:rFonts w:hint="eastAsia" w:ascii="Times New Roman" w:hAnsi="Times New Roman" w:cs="Times New Roman"/>
          <w:bCs/>
          <w:color w:val="auto"/>
          <w:lang w:val="en-US" w:eastAsia="zh-CN"/>
        </w:rPr>
        <w:t>0</w:t>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_Toc24554 </w:instrText>
      </w:r>
      <w:r>
        <w:rPr>
          <w:rFonts w:hint="default" w:ascii="Times New Roman" w:hAnsi="Times New Roman" w:cs="Times New Roman"/>
          <w:bCs/>
          <w:lang w:val="zh-CN"/>
        </w:rPr>
        <w:fldChar w:fldCharType="separate"/>
      </w:r>
      <w:r>
        <w:rPr>
          <w:rFonts w:hint="eastAsia" w:ascii="黑体" w:hAnsi="黑体" w:eastAsia="黑体" w:cs="黑体"/>
          <w:bCs/>
          <w:szCs w:val="32"/>
        </w:rPr>
        <w:t>四、群团组织与新闻媒体发挥各自优势，助力消费环境优化和维权效能提升</w:t>
      </w:r>
      <w:r>
        <w:tab/>
      </w:r>
      <w:r>
        <w:fldChar w:fldCharType="begin"/>
      </w:r>
      <w:r>
        <w:instrText xml:space="preserve"> PAGEREF _Toc24554 \h </w:instrText>
      </w:r>
      <w:r>
        <w:fldChar w:fldCharType="separate"/>
      </w:r>
      <w:r>
        <w:t>6</w:t>
      </w:r>
      <w:r>
        <w:rPr>
          <w:rFonts w:hint="eastAsia"/>
          <w:lang w:val="en-US" w:eastAsia="zh-CN"/>
        </w:rPr>
        <w:t>1</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_Toc15145 </w:instrText>
      </w:r>
      <w:r>
        <w:rPr>
          <w:rFonts w:hint="default" w:ascii="Times New Roman" w:hAnsi="Times New Roman" w:cs="Times New Roman"/>
          <w:bCs/>
          <w:lang w:val="zh-CN"/>
        </w:rPr>
        <w:fldChar w:fldCharType="separate"/>
      </w:r>
      <w:r>
        <w:rPr>
          <w:rFonts w:hint="eastAsia" w:ascii="黑体" w:hAnsi="黑体" w:eastAsia="黑体" w:cs="黑体"/>
          <w:bCs/>
          <w:szCs w:val="32"/>
        </w:rPr>
        <w:t>五、社会各界协作联</w:t>
      </w:r>
      <w:r>
        <w:rPr>
          <w:rFonts w:hint="eastAsia" w:ascii="黑体" w:hAnsi="黑体" w:eastAsia="黑体" w:cs="黑体"/>
          <w:bCs/>
          <w:szCs w:val="32"/>
          <w:lang w:val="en-US" w:eastAsia="zh-CN"/>
        </w:rPr>
        <w:t>动</w:t>
      </w:r>
      <w:r>
        <w:rPr>
          <w:rFonts w:hint="eastAsia" w:ascii="黑体" w:hAnsi="黑体" w:eastAsia="黑体" w:cs="黑体"/>
          <w:bCs/>
          <w:szCs w:val="32"/>
        </w:rPr>
        <w:t>，</w:t>
      </w:r>
      <w:r>
        <w:rPr>
          <w:rFonts w:hint="eastAsia" w:ascii="黑体" w:hAnsi="黑体" w:eastAsia="黑体" w:cs="黑体"/>
          <w:bCs/>
          <w:szCs w:val="32"/>
          <w:lang w:val="en-US" w:eastAsia="zh-CN"/>
        </w:rPr>
        <w:t>大力</w:t>
      </w:r>
      <w:r>
        <w:rPr>
          <w:rFonts w:hint="eastAsia" w:ascii="黑体" w:hAnsi="黑体" w:eastAsia="黑体" w:cs="黑体"/>
          <w:bCs/>
          <w:szCs w:val="32"/>
        </w:rPr>
        <w:t>构建消费维权社会共治机制</w:t>
      </w:r>
      <w:r>
        <w:tab/>
      </w:r>
      <w:r>
        <w:fldChar w:fldCharType="begin"/>
      </w:r>
      <w:r>
        <w:instrText xml:space="preserve"> PAGEREF _Toc15145 \h </w:instrText>
      </w:r>
      <w:r>
        <w:fldChar w:fldCharType="separate"/>
      </w:r>
      <w:r>
        <w:t>62</w:t>
      </w:r>
      <w:r>
        <w:fldChar w:fldCharType="end"/>
      </w:r>
      <w:r>
        <w:rPr>
          <w:rFonts w:hint="default" w:ascii="Times New Roman" w:hAnsi="Times New Roman" w:cs="Times New Roman"/>
          <w:bCs/>
          <w:color w:val="auto"/>
          <w:lang w:val="zh-CN"/>
        </w:rPr>
        <w:fldChar w:fldCharType="end"/>
      </w:r>
    </w:p>
    <w:p>
      <w:pPr>
        <w:pStyle w:val="12"/>
        <w:tabs>
          <w:tab w:val="right" w:leader="dot" w:pos="8958"/>
          <w:tab w:val="clear" w:pos="8296"/>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_Toc19116 </w:instrText>
      </w:r>
      <w:r>
        <w:rPr>
          <w:rFonts w:hint="default" w:ascii="Times New Roman" w:hAnsi="Times New Roman" w:cs="Times New Roman"/>
          <w:bCs/>
          <w:lang w:val="zh-CN"/>
        </w:rPr>
        <w:fldChar w:fldCharType="separate"/>
      </w:r>
      <w:r>
        <w:rPr>
          <w:rFonts w:hint="eastAsia" w:ascii="方正小标宋简体" w:hAnsi="方正小标宋简体" w:eastAsia="方正小标宋简体" w:cs="方正小标宋简体"/>
          <w:bCs/>
          <w:w w:val="95"/>
          <w:szCs w:val="44"/>
        </w:rPr>
        <w:t>第二部分</w:t>
      </w:r>
      <w:r>
        <w:rPr>
          <w:rFonts w:hint="eastAsia" w:ascii="方正小标宋简体" w:hAnsi="方正小标宋简体" w:eastAsia="方正小标宋简体" w:cs="方正小标宋简体"/>
          <w:bCs/>
          <w:w w:val="95"/>
          <w:szCs w:val="44"/>
          <w:lang w:val="en-US" w:eastAsia="zh-CN"/>
        </w:rPr>
        <w:t xml:space="preserve"> </w:t>
      </w:r>
      <w:r>
        <w:rPr>
          <w:rFonts w:hint="eastAsia" w:ascii="方正小标宋简体" w:hAnsi="方正小标宋简体" w:eastAsia="方正小标宋简体" w:cs="方正小标宋简体"/>
          <w:bCs/>
          <w:w w:val="95"/>
          <w:szCs w:val="44"/>
        </w:rPr>
        <w:t xml:space="preserve"> 消费者权益保护工作面临的</w:t>
      </w:r>
      <w:r>
        <w:rPr>
          <w:rFonts w:hint="eastAsia" w:ascii="方正小标宋简体" w:hAnsi="方正小标宋简体" w:eastAsia="方正小标宋简体" w:cs="方正小标宋简体"/>
          <w:bCs/>
          <w:w w:val="95"/>
          <w:szCs w:val="44"/>
          <w:lang w:val="en-US" w:eastAsia="zh-CN"/>
        </w:rPr>
        <w:t>主要</w:t>
      </w:r>
      <w:r>
        <w:rPr>
          <w:rFonts w:hint="eastAsia" w:ascii="方正小标宋简体" w:hAnsi="方正小标宋简体" w:eastAsia="方正小标宋简体" w:cs="方正小标宋简体"/>
          <w:bCs/>
          <w:w w:val="95"/>
          <w:szCs w:val="44"/>
        </w:rPr>
        <w:t>问题</w:t>
      </w:r>
      <w:r>
        <w:tab/>
      </w:r>
      <w:r>
        <w:rPr>
          <w:rFonts w:ascii="Calibri" w:hAnsi="Calibri" w:eastAsia="宋体" w:cs="Arial"/>
          <w:b w:val="0"/>
          <w:kern w:val="2"/>
          <w:sz w:val="21"/>
          <w:szCs w:val="22"/>
          <w:lang w:val="en-US" w:eastAsia="zh-CN" w:bidi="ar-SA"/>
        </w:rPr>
        <w:fldChar w:fldCharType="begin"/>
      </w:r>
      <w:r>
        <w:rPr>
          <w:rFonts w:ascii="Calibri" w:hAnsi="Calibri" w:eastAsia="宋体" w:cs="Arial"/>
          <w:b w:val="0"/>
          <w:kern w:val="2"/>
          <w:sz w:val="21"/>
          <w:szCs w:val="22"/>
          <w:lang w:val="en-US" w:eastAsia="zh-CN" w:bidi="ar-SA"/>
        </w:rPr>
        <w:instrText xml:space="preserve"> PAGEREF _Toc19116 \h </w:instrText>
      </w:r>
      <w:r>
        <w:rPr>
          <w:rFonts w:ascii="Calibri" w:hAnsi="Calibri" w:eastAsia="宋体" w:cs="Arial"/>
          <w:b w:val="0"/>
          <w:kern w:val="2"/>
          <w:sz w:val="21"/>
          <w:szCs w:val="22"/>
          <w:lang w:val="en-US" w:eastAsia="zh-CN" w:bidi="ar-SA"/>
        </w:rPr>
        <w:fldChar w:fldCharType="separate"/>
      </w:r>
      <w:r>
        <w:rPr>
          <w:rFonts w:ascii="Calibri" w:hAnsi="Calibri" w:eastAsia="宋体" w:cs="Arial"/>
          <w:b w:val="0"/>
          <w:kern w:val="2"/>
          <w:sz w:val="21"/>
          <w:szCs w:val="22"/>
          <w:lang w:val="en-US" w:eastAsia="zh-CN" w:bidi="ar-SA"/>
        </w:rPr>
        <w:t>64</w:t>
      </w:r>
      <w:r>
        <w:rPr>
          <w:rFonts w:ascii="Calibri" w:hAnsi="Calibri" w:eastAsia="宋体" w:cs="Arial"/>
          <w:b w:val="0"/>
          <w:kern w:val="2"/>
          <w:sz w:val="21"/>
          <w:szCs w:val="22"/>
          <w:lang w:val="en-US" w:eastAsia="zh-CN" w:bidi="ar-SA"/>
        </w:rP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_Toc11091 </w:instrText>
      </w:r>
      <w:r>
        <w:rPr>
          <w:rFonts w:hint="default" w:ascii="Times New Roman" w:hAnsi="Times New Roman" w:cs="Times New Roman"/>
          <w:bCs/>
          <w:lang w:val="zh-CN"/>
        </w:rPr>
        <w:fldChar w:fldCharType="separate"/>
      </w:r>
      <w:r>
        <w:rPr>
          <w:rFonts w:hint="eastAsia" w:ascii="黑体" w:hAnsi="黑体" w:eastAsia="黑体" w:cs="黑体"/>
          <w:bCs/>
          <w:szCs w:val="32"/>
        </w:rPr>
        <w:t>一、消费者权益保护的体制机制</w:t>
      </w:r>
      <w:r>
        <w:rPr>
          <w:rFonts w:hint="eastAsia" w:ascii="黑体" w:hAnsi="黑体" w:eastAsia="黑体" w:cs="黑体"/>
          <w:bCs/>
          <w:szCs w:val="32"/>
          <w:lang w:val="en-US" w:eastAsia="zh-CN"/>
        </w:rPr>
        <w:t>需要进一步完善</w:t>
      </w:r>
      <w:r>
        <w:tab/>
      </w:r>
      <w:r>
        <w:fldChar w:fldCharType="begin"/>
      </w:r>
      <w:r>
        <w:instrText xml:space="preserve"> PAGEREF _Toc11091 \h </w:instrText>
      </w:r>
      <w:r>
        <w:fldChar w:fldCharType="separate"/>
      </w:r>
      <w:r>
        <w:t>64</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_Toc17150 </w:instrText>
      </w:r>
      <w:r>
        <w:rPr>
          <w:rFonts w:hint="default" w:ascii="Times New Roman" w:hAnsi="Times New Roman" w:cs="Times New Roman"/>
          <w:bCs/>
          <w:lang w:val="zh-CN"/>
        </w:rPr>
        <w:fldChar w:fldCharType="separate"/>
      </w:r>
      <w:r>
        <w:rPr>
          <w:rFonts w:hint="eastAsia" w:ascii="黑体" w:hAnsi="黑体" w:eastAsia="黑体" w:cs="黑体"/>
          <w:bCs/>
          <w:szCs w:val="32"/>
        </w:rPr>
        <w:t>二、民生消费领域违法行为和安全隐患不容忽视</w:t>
      </w:r>
      <w:r>
        <w:tab/>
      </w:r>
      <w:r>
        <w:fldChar w:fldCharType="begin"/>
      </w:r>
      <w:r>
        <w:instrText xml:space="preserve"> PAGEREF _Toc17150 \h </w:instrText>
      </w:r>
      <w:r>
        <w:fldChar w:fldCharType="separate"/>
      </w:r>
      <w:r>
        <w:t>66</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_Toc22924 </w:instrText>
      </w:r>
      <w:r>
        <w:rPr>
          <w:rFonts w:hint="default" w:ascii="Times New Roman" w:hAnsi="Times New Roman" w:cs="Times New Roman"/>
          <w:bCs/>
          <w:lang w:val="zh-CN"/>
        </w:rPr>
        <w:fldChar w:fldCharType="separate"/>
      </w:r>
      <w:r>
        <w:rPr>
          <w:rFonts w:hint="eastAsia" w:ascii="黑体" w:hAnsi="黑体" w:eastAsia="黑体" w:cs="黑体"/>
          <w:bCs/>
          <w:szCs w:val="32"/>
          <w:lang w:val="en-US" w:eastAsia="zh-CN"/>
        </w:rPr>
        <w:t>三</w:t>
      </w:r>
      <w:r>
        <w:rPr>
          <w:rFonts w:hint="eastAsia" w:ascii="黑体" w:hAnsi="黑体" w:eastAsia="黑体" w:cs="黑体"/>
          <w:bCs/>
          <w:szCs w:val="32"/>
        </w:rPr>
        <w:t>、</w:t>
      </w:r>
      <w:r>
        <w:rPr>
          <w:rFonts w:hint="eastAsia" w:ascii="黑体" w:hAnsi="黑体" w:eastAsia="黑体" w:cs="黑体"/>
          <w:bCs/>
          <w:szCs w:val="32"/>
          <w:lang w:val="en-US"/>
        </w:rPr>
        <w:t>网络</w:t>
      </w:r>
      <w:r>
        <w:rPr>
          <w:rFonts w:hint="eastAsia" w:ascii="黑体" w:hAnsi="黑体" w:eastAsia="黑体" w:cs="黑体"/>
          <w:bCs/>
          <w:szCs w:val="32"/>
        </w:rPr>
        <w:t>消费领域虚假宣传</w:t>
      </w:r>
      <w:r>
        <w:rPr>
          <w:rFonts w:hint="eastAsia" w:ascii="黑体" w:hAnsi="黑体" w:eastAsia="黑体" w:cs="黑体"/>
          <w:bCs/>
          <w:szCs w:val="32"/>
          <w:lang w:val="en-US" w:eastAsia="zh-CN"/>
        </w:rPr>
        <w:t>等新旧</w:t>
      </w:r>
      <w:r>
        <w:rPr>
          <w:rFonts w:hint="eastAsia" w:ascii="黑体" w:hAnsi="黑体" w:eastAsia="黑体" w:cs="黑体"/>
          <w:bCs/>
          <w:szCs w:val="32"/>
        </w:rPr>
        <w:t>问题</w:t>
      </w:r>
      <w:r>
        <w:rPr>
          <w:rFonts w:hint="eastAsia" w:ascii="黑体" w:hAnsi="黑体" w:eastAsia="黑体" w:cs="黑体"/>
          <w:bCs/>
          <w:szCs w:val="32"/>
          <w:lang w:val="en-US" w:eastAsia="zh-CN"/>
        </w:rPr>
        <w:t>时有发生</w:t>
      </w:r>
      <w:r>
        <w:tab/>
      </w:r>
      <w:r>
        <w:fldChar w:fldCharType="begin"/>
      </w:r>
      <w:r>
        <w:instrText xml:space="preserve"> PAGEREF _Toc22924 \h </w:instrText>
      </w:r>
      <w:r>
        <w:fldChar w:fldCharType="separate"/>
      </w:r>
      <w:r>
        <w:t>69</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_Toc7649 </w:instrText>
      </w:r>
      <w:r>
        <w:rPr>
          <w:rFonts w:hint="default" w:ascii="Times New Roman" w:hAnsi="Times New Roman" w:cs="Times New Roman"/>
          <w:bCs/>
          <w:lang w:val="zh-CN"/>
        </w:rPr>
        <w:fldChar w:fldCharType="separate"/>
      </w:r>
      <w:r>
        <w:rPr>
          <w:rFonts w:hint="eastAsia" w:ascii="黑体" w:hAnsi="黑体" w:eastAsia="黑体" w:cs="黑体"/>
          <w:bCs/>
          <w:szCs w:val="32"/>
          <w:lang w:val="en-US" w:eastAsia="zh-CN"/>
        </w:rPr>
        <w:t>四</w:t>
      </w:r>
      <w:r>
        <w:rPr>
          <w:rFonts w:hint="eastAsia" w:ascii="黑体" w:hAnsi="黑体" w:eastAsia="黑体" w:cs="黑体"/>
          <w:bCs/>
          <w:szCs w:val="32"/>
        </w:rPr>
        <w:t>、新型消费领域纠纷</w:t>
      </w:r>
      <w:r>
        <w:rPr>
          <w:rFonts w:hint="eastAsia" w:ascii="黑体" w:hAnsi="黑体" w:eastAsia="黑体" w:cs="黑体"/>
          <w:bCs/>
          <w:szCs w:val="32"/>
          <w:lang w:val="en-US" w:eastAsia="zh-CN"/>
        </w:rPr>
        <w:t>亟待妥善处理</w:t>
      </w:r>
      <w:r>
        <w:tab/>
      </w:r>
      <w:r>
        <w:fldChar w:fldCharType="begin"/>
      </w:r>
      <w:r>
        <w:instrText xml:space="preserve"> PAGEREF _Toc7649 \h </w:instrText>
      </w:r>
      <w:r>
        <w:fldChar w:fldCharType="separate"/>
      </w:r>
      <w:r>
        <w:t>71</w:t>
      </w:r>
      <w:r>
        <w:fldChar w:fldCharType="end"/>
      </w:r>
      <w:r>
        <w:rPr>
          <w:rFonts w:hint="default" w:ascii="Times New Roman" w:hAnsi="Times New Roman" w:cs="Times New Roman"/>
          <w:bCs/>
          <w:color w:val="auto"/>
          <w:lang w:val="zh-CN"/>
        </w:rPr>
        <w:fldChar w:fldCharType="end"/>
      </w:r>
    </w:p>
    <w:p>
      <w:pPr>
        <w:pStyle w:val="12"/>
        <w:tabs>
          <w:tab w:val="right" w:leader="dot" w:pos="8958"/>
          <w:tab w:val="clear" w:pos="8296"/>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_Toc5847 </w:instrText>
      </w:r>
      <w:r>
        <w:rPr>
          <w:rFonts w:hint="default" w:ascii="Times New Roman" w:hAnsi="Times New Roman" w:cs="Times New Roman"/>
          <w:bCs/>
          <w:lang w:val="zh-CN"/>
        </w:rPr>
        <w:fldChar w:fldCharType="separate"/>
      </w:r>
      <w:r>
        <w:rPr>
          <w:rFonts w:hint="eastAsia" w:ascii="方正小标宋简体" w:hAnsi="方正小标宋简体" w:eastAsia="方正小标宋简体" w:cs="方正小标宋简体"/>
          <w:bCs/>
          <w:w w:val="95"/>
          <w:szCs w:val="44"/>
        </w:rPr>
        <w:t>第三部分</w:t>
      </w:r>
      <w:r>
        <w:rPr>
          <w:rFonts w:hint="eastAsia" w:ascii="方正小标宋简体" w:hAnsi="方正小标宋简体" w:eastAsia="方正小标宋简体" w:cs="方正小标宋简体"/>
          <w:bCs/>
          <w:w w:val="95"/>
          <w:szCs w:val="44"/>
          <w:lang w:val="en-US" w:eastAsia="zh-CN"/>
        </w:rPr>
        <w:t xml:space="preserve"> </w:t>
      </w:r>
      <w:r>
        <w:rPr>
          <w:rFonts w:hint="eastAsia" w:ascii="方正小标宋简体" w:hAnsi="方正小标宋简体" w:eastAsia="方正小标宋简体" w:cs="方正小标宋简体"/>
          <w:bCs/>
          <w:w w:val="95"/>
          <w:szCs w:val="44"/>
        </w:rPr>
        <w:t xml:space="preserve"> 2026年消费者权益保护工作的展望与建议</w:t>
      </w:r>
      <w:r>
        <w:tab/>
      </w:r>
      <w:r>
        <w:rPr>
          <w:rFonts w:ascii="Calibri" w:hAnsi="Calibri" w:eastAsia="宋体" w:cs="Arial"/>
          <w:b w:val="0"/>
          <w:kern w:val="2"/>
          <w:sz w:val="21"/>
          <w:szCs w:val="22"/>
          <w:lang w:val="en-US" w:eastAsia="zh-CN" w:bidi="ar-SA"/>
        </w:rPr>
        <w:fldChar w:fldCharType="begin"/>
      </w:r>
      <w:r>
        <w:rPr>
          <w:rFonts w:ascii="Calibri" w:hAnsi="Calibri" w:eastAsia="宋体" w:cs="Arial"/>
          <w:b w:val="0"/>
          <w:kern w:val="2"/>
          <w:sz w:val="21"/>
          <w:szCs w:val="22"/>
          <w:lang w:val="en-US" w:eastAsia="zh-CN" w:bidi="ar-SA"/>
        </w:rPr>
        <w:instrText xml:space="preserve"> PAGEREF _Toc5847 \h </w:instrText>
      </w:r>
      <w:r>
        <w:rPr>
          <w:rFonts w:ascii="Calibri" w:hAnsi="Calibri" w:eastAsia="宋体" w:cs="Arial"/>
          <w:b w:val="0"/>
          <w:kern w:val="2"/>
          <w:sz w:val="21"/>
          <w:szCs w:val="22"/>
          <w:lang w:val="en-US" w:eastAsia="zh-CN" w:bidi="ar-SA"/>
        </w:rPr>
        <w:fldChar w:fldCharType="separate"/>
      </w:r>
      <w:r>
        <w:rPr>
          <w:rFonts w:ascii="Calibri" w:hAnsi="Calibri" w:eastAsia="宋体" w:cs="Arial"/>
          <w:b w:val="0"/>
          <w:kern w:val="2"/>
          <w:sz w:val="21"/>
          <w:szCs w:val="22"/>
          <w:lang w:val="en-US" w:eastAsia="zh-CN" w:bidi="ar-SA"/>
        </w:rPr>
        <w:t>74</w:t>
      </w:r>
      <w:r>
        <w:rPr>
          <w:rFonts w:ascii="Calibri" w:hAnsi="Calibri" w:eastAsia="宋体" w:cs="Arial"/>
          <w:b w:val="0"/>
          <w:kern w:val="2"/>
          <w:sz w:val="21"/>
          <w:szCs w:val="22"/>
          <w:lang w:val="en-US" w:eastAsia="zh-CN" w:bidi="ar-SA"/>
        </w:rP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_Toc5223 </w:instrText>
      </w:r>
      <w:r>
        <w:rPr>
          <w:rFonts w:hint="default" w:ascii="Times New Roman" w:hAnsi="Times New Roman" w:cs="Times New Roman"/>
          <w:bCs/>
          <w:lang w:val="zh-CN"/>
        </w:rPr>
        <w:fldChar w:fldCharType="separate"/>
      </w:r>
      <w:r>
        <w:rPr>
          <w:rFonts w:hint="eastAsia" w:ascii="黑体" w:hAnsi="黑体" w:eastAsia="黑体" w:cs="黑体"/>
          <w:bCs/>
          <w:szCs w:val="32"/>
          <w:lang w:val="en-US" w:eastAsia="zh-CN"/>
        </w:rPr>
        <w:t>一、大力提振消费，深入推进消费环境建设</w:t>
      </w:r>
      <w:r>
        <w:tab/>
      </w:r>
      <w:r>
        <w:fldChar w:fldCharType="begin"/>
      </w:r>
      <w:r>
        <w:instrText xml:space="preserve"> PAGEREF _Toc5223 \h </w:instrText>
      </w:r>
      <w:r>
        <w:fldChar w:fldCharType="separate"/>
      </w:r>
      <w:r>
        <w:t>74</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_Toc15973 </w:instrText>
      </w:r>
      <w:r>
        <w:rPr>
          <w:rFonts w:hint="default" w:ascii="Times New Roman" w:hAnsi="Times New Roman" w:cs="Times New Roman"/>
          <w:bCs/>
          <w:lang w:val="zh-CN"/>
        </w:rPr>
        <w:fldChar w:fldCharType="separate"/>
      </w:r>
      <w:r>
        <w:rPr>
          <w:rFonts w:hint="eastAsia" w:ascii="黑体" w:hAnsi="黑体" w:eastAsia="黑体" w:cs="黑体"/>
          <w:bCs/>
          <w:szCs w:val="32"/>
          <w:lang w:val="en-US" w:eastAsia="zh-CN"/>
        </w:rPr>
        <w:t>二、提升维权能力，持续完善消费者权益保护体制机制</w:t>
      </w:r>
      <w:r>
        <w:tab/>
      </w:r>
      <w:r>
        <w:fldChar w:fldCharType="begin"/>
      </w:r>
      <w:r>
        <w:instrText xml:space="preserve"> PAGEREF _Toc15973 \h </w:instrText>
      </w:r>
      <w:r>
        <w:fldChar w:fldCharType="separate"/>
      </w:r>
      <w:r>
        <w:t>76</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_Toc17998 </w:instrText>
      </w:r>
      <w:r>
        <w:rPr>
          <w:rFonts w:hint="default" w:ascii="Times New Roman" w:hAnsi="Times New Roman" w:cs="Times New Roman"/>
          <w:bCs/>
          <w:lang w:val="zh-CN"/>
        </w:rPr>
        <w:fldChar w:fldCharType="separate"/>
      </w:r>
      <w:r>
        <w:rPr>
          <w:rFonts w:hint="eastAsia" w:ascii="黑体" w:hAnsi="黑体" w:eastAsia="黑体" w:cs="黑体"/>
          <w:bCs/>
          <w:szCs w:val="32"/>
          <w:lang w:val="en-US" w:eastAsia="zh-CN"/>
        </w:rPr>
        <w:t>三、坚持民生导向，持续加大对相关领域消费违法行为的打击力度</w:t>
      </w:r>
      <w:r>
        <w:tab/>
      </w:r>
      <w:r>
        <w:fldChar w:fldCharType="begin"/>
      </w:r>
      <w:r>
        <w:instrText xml:space="preserve"> PAGEREF _Toc17998 \h </w:instrText>
      </w:r>
      <w:r>
        <w:fldChar w:fldCharType="separate"/>
      </w:r>
      <w:r>
        <w:t>78</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_Toc12824 </w:instrText>
      </w:r>
      <w:r>
        <w:rPr>
          <w:rFonts w:hint="default" w:ascii="Times New Roman" w:hAnsi="Times New Roman" w:cs="Times New Roman"/>
          <w:bCs/>
          <w:lang w:val="zh-CN"/>
        </w:rPr>
        <w:fldChar w:fldCharType="separate"/>
      </w:r>
      <w:r>
        <w:rPr>
          <w:rFonts w:hint="eastAsia" w:ascii="黑体" w:hAnsi="黑体" w:eastAsia="黑体" w:cs="黑体"/>
          <w:bCs/>
          <w:szCs w:val="32"/>
          <w:lang w:val="en-US" w:eastAsia="zh-CN"/>
        </w:rPr>
        <w:t>四、聚焦难点堵点问题，有效提升网络消费中侵害消费者权益治理效果</w:t>
      </w:r>
      <w:r>
        <w:tab/>
      </w:r>
      <w:r>
        <w:fldChar w:fldCharType="begin"/>
      </w:r>
      <w:r>
        <w:instrText xml:space="preserve"> PAGEREF _Toc12824 \h </w:instrText>
      </w:r>
      <w:r>
        <w:fldChar w:fldCharType="separate"/>
      </w:r>
      <w:r>
        <w:t>79</w:t>
      </w:r>
      <w:r>
        <w:fldChar w:fldCharType="end"/>
      </w:r>
      <w:r>
        <w:rPr>
          <w:rFonts w:hint="default" w:ascii="Times New Roman" w:hAnsi="Times New Roman" w:cs="Times New Roman"/>
          <w:bCs/>
          <w:color w:val="auto"/>
          <w:lang w:val="zh-CN"/>
        </w:rPr>
        <w:fldChar w:fldCharType="end"/>
      </w:r>
    </w:p>
    <w:p>
      <w:pPr>
        <w:pStyle w:val="8"/>
        <w:tabs>
          <w:tab w:val="right" w:leader="dot" w:pos="8958"/>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_Toc25753 </w:instrText>
      </w:r>
      <w:r>
        <w:rPr>
          <w:rFonts w:hint="default" w:ascii="Times New Roman" w:hAnsi="Times New Roman" w:cs="Times New Roman"/>
          <w:bCs/>
          <w:lang w:val="zh-CN"/>
        </w:rPr>
        <w:fldChar w:fldCharType="separate"/>
      </w:r>
      <w:r>
        <w:rPr>
          <w:rFonts w:hint="eastAsia" w:ascii="黑体" w:hAnsi="黑体" w:eastAsia="黑体" w:cs="黑体"/>
          <w:bCs/>
          <w:szCs w:val="32"/>
          <w:lang w:val="en-US" w:eastAsia="zh-CN"/>
        </w:rPr>
        <w:t>五、强化制度供给，健全新型消费领域的权益保障规制</w:t>
      </w:r>
      <w:r>
        <w:tab/>
      </w:r>
      <w:r>
        <w:fldChar w:fldCharType="begin"/>
      </w:r>
      <w:r>
        <w:instrText xml:space="preserve"> PAGEREF _Toc25753 \h </w:instrText>
      </w:r>
      <w:r>
        <w:fldChar w:fldCharType="separate"/>
      </w:r>
      <w:r>
        <w:t>81</w:t>
      </w:r>
      <w:r>
        <w:fldChar w:fldCharType="end"/>
      </w:r>
      <w:r>
        <w:rPr>
          <w:rFonts w:hint="default" w:ascii="Times New Roman" w:hAnsi="Times New Roman" w:cs="Times New Roman"/>
          <w:bCs/>
          <w:color w:val="auto"/>
          <w:lang w:val="zh-CN"/>
        </w:rPr>
        <w:fldChar w:fldCharType="end"/>
      </w:r>
    </w:p>
    <w:p>
      <w:pPr>
        <w:pStyle w:val="12"/>
        <w:tabs>
          <w:tab w:val="right" w:leader="dot" w:pos="8958"/>
          <w:tab w:val="clear" w:pos="8296"/>
        </w:tabs>
      </w:pPr>
      <w:r>
        <w:rPr>
          <w:rFonts w:hint="default" w:ascii="Times New Roman" w:hAnsi="Times New Roman" w:cs="Times New Roman"/>
          <w:bCs/>
          <w:color w:val="auto"/>
          <w:lang w:val="zh-CN"/>
        </w:rPr>
        <w:fldChar w:fldCharType="begin"/>
      </w:r>
      <w:r>
        <w:rPr>
          <w:rFonts w:hint="default" w:ascii="Times New Roman" w:hAnsi="Times New Roman" w:cs="Times New Roman"/>
          <w:bCs/>
          <w:lang w:val="zh-CN"/>
        </w:rPr>
        <w:instrText xml:space="preserve"> HYPERLINK \l _Toc10790 </w:instrText>
      </w:r>
      <w:r>
        <w:rPr>
          <w:rFonts w:hint="default" w:ascii="Times New Roman" w:hAnsi="Times New Roman" w:cs="Times New Roman"/>
          <w:bCs/>
          <w:lang w:val="zh-CN"/>
        </w:rPr>
        <w:fldChar w:fldCharType="separate"/>
      </w:r>
      <w:r>
        <w:rPr>
          <w:rFonts w:hint="eastAsia" w:ascii="方正小标宋简体" w:hAnsi="方正小标宋简体" w:eastAsia="方正小标宋简体" w:cs="方正小标宋简体"/>
          <w:bCs/>
          <w:w w:val="95"/>
          <w:szCs w:val="44"/>
        </w:rPr>
        <w:t>2025年消费者权益保护工作大事记</w:t>
      </w:r>
      <w:r>
        <w:tab/>
      </w:r>
      <w:r>
        <w:rPr>
          <w:rFonts w:ascii="Calibri" w:hAnsi="Calibri" w:eastAsia="宋体" w:cs="Arial"/>
          <w:b w:val="0"/>
          <w:kern w:val="2"/>
          <w:sz w:val="21"/>
          <w:szCs w:val="22"/>
          <w:lang w:val="en-US" w:eastAsia="zh-CN" w:bidi="ar-SA"/>
        </w:rPr>
        <w:fldChar w:fldCharType="begin"/>
      </w:r>
      <w:r>
        <w:rPr>
          <w:rFonts w:ascii="Calibri" w:hAnsi="Calibri" w:eastAsia="宋体" w:cs="Arial"/>
          <w:b w:val="0"/>
          <w:kern w:val="2"/>
          <w:sz w:val="21"/>
          <w:szCs w:val="22"/>
          <w:lang w:val="en-US" w:eastAsia="zh-CN" w:bidi="ar-SA"/>
        </w:rPr>
        <w:instrText xml:space="preserve"> PAGEREF _Toc10790 \h </w:instrText>
      </w:r>
      <w:r>
        <w:rPr>
          <w:rFonts w:ascii="Calibri" w:hAnsi="Calibri" w:eastAsia="宋体" w:cs="Arial"/>
          <w:b w:val="0"/>
          <w:kern w:val="2"/>
          <w:sz w:val="21"/>
          <w:szCs w:val="22"/>
          <w:lang w:val="en-US" w:eastAsia="zh-CN" w:bidi="ar-SA"/>
        </w:rPr>
        <w:fldChar w:fldCharType="separate"/>
      </w:r>
      <w:r>
        <w:rPr>
          <w:rFonts w:ascii="Calibri" w:hAnsi="Calibri" w:eastAsia="宋体" w:cs="Arial"/>
          <w:b w:val="0"/>
          <w:kern w:val="2"/>
          <w:sz w:val="21"/>
          <w:szCs w:val="22"/>
          <w:lang w:val="en-US" w:eastAsia="zh-CN" w:bidi="ar-SA"/>
        </w:rPr>
        <w:t>83</w:t>
      </w:r>
      <w:r>
        <w:rPr>
          <w:rFonts w:ascii="Calibri" w:hAnsi="Calibri" w:eastAsia="宋体" w:cs="Arial"/>
          <w:b w:val="0"/>
          <w:kern w:val="2"/>
          <w:sz w:val="21"/>
          <w:szCs w:val="22"/>
          <w:lang w:val="en-US" w:eastAsia="zh-CN" w:bidi="ar-SA"/>
        </w:rPr>
        <w:fldChar w:fldCharType="end"/>
      </w:r>
      <w:r>
        <w:rPr>
          <w:rFonts w:hint="default" w:ascii="Times New Roman" w:hAnsi="Times New Roman" w:cs="Times New Roman"/>
          <w:bCs/>
          <w:color w:val="auto"/>
          <w:lang w:val="zh-CN"/>
        </w:rPr>
        <w:fldChar w:fldCharType="end"/>
      </w:r>
    </w:p>
    <w:p>
      <w:pPr>
        <w:pStyle w:val="24"/>
        <w:widowControl w:val="0"/>
        <w:tabs>
          <w:tab w:val="right" w:leader="middleDot" w:pos="8925"/>
        </w:tabs>
        <w:wordWrap/>
        <w:adjustRightInd/>
        <w:snapToGrid/>
        <w:spacing w:line="560" w:lineRule="exact"/>
        <w:ind w:firstLine="641"/>
        <w:jc w:val="left"/>
        <w:textAlignment w:val="auto"/>
        <w:outlineLvl w:val="1"/>
        <w:rPr>
          <w:rFonts w:hint="default" w:ascii="Times New Roman" w:hAnsi="Times New Roman" w:cs="Times New Roman"/>
          <w:bCs/>
          <w:color w:val="auto"/>
          <w:lang w:val="zh-CN"/>
        </w:rPr>
      </w:pPr>
      <w:r>
        <w:rPr>
          <w:rFonts w:hint="default" w:ascii="Times New Roman" w:hAnsi="Times New Roman" w:cs="Times New Roman"/>
          <w:bCs/>
          <w:color w:val="auto"/>
          <w:lang w:val="zh-CN"/>
        </w:rPr>
        <w:fldChar w:fldCharType="end"/>
      </w:r>
    </w:p>
    <w:p>
      <w:pPr>
        <w:bidi w:val="0"/>
        <w:rPr>
          <w:rFonts w:hint="eastAsia"/>
          <w:lang w:val="zh-CN"/>
        </w:rPr>
      </w:pPr>
    </w:p>
    <w:p>
      <w:pPr>
        <w:bidi w:val="0"/>
        <w:rPr>
          <w:rFonts w:hint="eastAsia"/>
          <w:lang w:val="zh-CN"/>
        </w:rPr>
      </w:pPr>
    </w:p>
    <w:p>
      <w:pPr>
        <w:bidi w:val="0"/>
        <w:rPr>
          <w:rFonts w:hint="eastAsia"/>
          <w:lang w:val="zh-CN"/>
        </w:rPr>
      </w:pPr>
    </w:p>
    <w:p>
      <w:pPr>
        <w:tabs>
          <w:tab w:val="center" w:pos="4479"/>
        </w:tabs>
        <w:bidi w:val="0"/>
        <w:jc w:val="left"/>
        <w:rPr>
          <w:rFonts w:hint="eastAsia"/>
          <w:lang w:val="zh-CN"/>
        </w:rPr>
        <w:sectPr>
          <w:footerReference r:id="rId6" w:type="default"/>
          <w:pgSz w:w="11906" w:h="16157"/>
          <w:pgMar w:top="1587" w:right="1474" w:bottom="1417" w:left="1474" w:header="851" w:footer="992" w:gutter="0"/>
          <w:pgBorders>
            <w:top w:val="none" w:sz="0" w:space="0"/>
            <w:left w:val="none" w:sz="0" w:space="0"/>
            <w:bottom w:val="none" w:sz="0" w:space="0"/>
            <w:right w:val="none" w:sz="0" w:space="0"/>
          </w:pgBorders>
          <w:pgNumType w:fmt="decimal" w:start="1"/>
          <w:cols w:space="720" w:num="1"/>
          <w:rtlGutter w:val="0"/>
          <w:docGrid w:type="lines" w:linePitch="312" w:charSpace="0"/>
        </w:sectPr>
      </w:pPr>
      <w:r>
        <w:rPr>
          <w:rFonts w:hint="eastAsia"/>
          <w:lang w:val="zh-CN"/>
        </w:rPr>
        <w:tab/>
      </w:r>
    </w:p>
    <w:p>
      <w:pPr>
        <w:widowControl w:val="0"/>
        <w:wordWrap/>
        <w:adjustRightInd/>
        <w:snapToGrid/>
        <w:spacing w:before="468" w:beforeLines="150" w:after="312" w:afterLines="100" w:line="640" w:lineRule="exact"/>
        <w:ind w:left="0" w:leftChars="0" w:right="0" w:firstLine="0" w:firstLineChars="0"/>
        <w:jc w:val="center"/>
        <w:textAlignment w:val="auto"/>
        <w:outlineLvl w:val="0"/>
        <w:rPr>
          <w:rFonts w:hint="eastAsia" w:ascii="方正小标宋简体" w:hAnsi="方正小标宋简体" w:eastAsia="方正小标宋简体" w:cs="方正小标宋简体"/>
          <w:b w:val="0"/>
          <w:bCs/>
          <w:color w:val="000000"/>
          <w:w w:val="95"/>
          <w:sz w:val="44"/>
          <w:szCs w:val="44"/>
        </w:rPr>
      </w:pPr>
      <w:bookmarkStart w:id="5" w:name="_Toc20389"/>
      <w:bookmarkStart w:id="6" w:name="_Toc27699"/>
      <w:bookmarkStart w:id="7" w:name="_Toc221610660"/>
      <w:bookmarkStart w:id="8" w:name="_Toc27689"/>
      <w:r>
        <w:rPr>
          <w:rFonts w:hint="eastAsia" w:ascii="方正小标宋简体" w:hAnsi="方正小标宋简体" w:eastAsia="方正小标宋简体" w:cs="方正小标宋简体"/>
          <w:b w:val="0"/>
          <w:bCs/>
          <w:color w:val="000000"/>
          <w:w w:val="95"/>
          <w:sz w:val="44"/>
          <w:szCs w:val="44"/>
        </w:rPr>
        <w:t xml:space="preserve">第一部分 </w:t>
      </w:r>
      <w:r>
        <w:rPr>
          <w:rFonts w:hint="eastAsia" w:ascii="方正小标宋简体" w:hAnsi="方正小标宋简体" w:eastAsia="方正小标宋简体" w:cs="方正小标宋简体"/>
          <w:b w:val="0"/>
          <w:bCs/>
          <w:color w:val="000000"/>
          <w:w w:val="95"/>
          <w:sz w:val="44"/>
          <w:szCs w:val="44"/>
          <w:lang w:val="en-US" w:eastAsia="zh-CN"/>
        </w:rPr>
        <w:t xml:space="preserve"> </w:t>
      </w:r>
      <w:r>
        <w:rPr>
          <w:rFonts w:hint="eastAsia" w:ascii="方正小标宋简体" w:hAnsi="方正小标宋简体" w:eastAsia="方正小标宋简体" w:cs="方正小标宋简体"/>
          <w:b w:val="0"/>
          <w:bCs/>
          <w:color w:val="000000"/>
          <w:w w:val="95"/>
          <w:sz w:val="44"/>
          <w:szCs w:val="44"/>
        </w:rPr>
        <w:t>2025年消费者权益保护工作的</w:t>
      </w:r>
      <w:bookmarkEnd w:id="5"/>
    </w:p>
    <w:p>
      <w:pPr>
        <w:widowControl w:val="0"/>
        <w:wordWrap/>
        <w:adjustRightInd/>
        <w:snapToGrid/>
        <w:spacing w:before="468" w:beforeLines="150" w:after="312" w:afterLines="100" w:line="640" w:lineRule="exact"/>
        <w:ind w:left="0" w:leftChars="0" w:right="0" w:firstLine="0" w:firstLineChars="0"/>
        <w:jc w:val="center"/>
        <w:textAlignment w:val="auto"/>
        <w:outlineLvl w:val="0"/>
        <w:rPr>
          <w:rFonts w:hint="eastAsia" w:ascii="方正小标宋简体" w:hAnsi="方正小标宋简体" w:eastAsia="方正小标宋简体" w:cs="方正小标宋简体"/>
          <w:b w:val="0"/>
          <w:bCs/>
          <w:color w:val="000000"/>
          <w:w w:val="95"/>
          <w:sz w:val="44"/>
          <w:szCs w:val="44"/>
        </w:rPr>
      </w:pPr>
      <w:bookmarkStart w:id="9" w:name="_Toc29197"/>
      <w:r>
        <w:rPr>
          <w:rFonts w:hint="eastAsia" w:ascii="方正小标宋简体" w:hAnsi="方正小标宋简体" w:eastAsia="方正小标宋简体" w:cs="方正小标宋简体"/>
          <w:b w:val="0"/>
          <w:bCs/>
          <w:color w:val="000000"/>
          <w:w w:val="95"/>
          <w:sz w:val="44"/>
          <w:szCs w:val="44"/>
        </w:rPr>
        <w:t>主要进展</w:t>
      </w:r>
      <w:bookmarkEnd w:id="6"/>
      <w:bookmarkEnd w:id="7"/>
      <w:bookmarkEnd w:id="9"/>
    </w:p>
    <w:p>
      <w:pPr>
        <w:pStyle w:val="23"/>
        <w:spacing w:line="594" w:lineRule="exact"/>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lang w:val="en-US" w:eastAsia="zh-CN"/>
        </w:rPr>
        <w:t>2025年是“十四五”规划收官之年，也是“十五五”规划谋篇布局之年，“消费”与“消费者权益保护”成为国家发展政策和管理实践中的高频词汇。2024年12月召开的中央经济工作会议把“大力提振消费、提高投资效益，全方位</w:t>
      </w:r>
      <w:r>
        <w:rPr>
          <w:rFonts w:hint="eastAsia" w:ascii="仿宋_GB2312" w:hAnsi="仿宋_GB2312" w:eastAsia="仿宋_GB2312" w:cs="仿宋_GB2312"/>
          <w:color w:val="000000"/>
          <w:sz w:val="32"/>
          <w:szCs w:val="32"/>
        </w:rPr>
        <w:t>扩大国内需求”列为2025年各项重点任务之首。2025月4月召开的中央政治局会议，要求“尽快清理消费领域限制性措施”“增强消费对经济增长的拉动作用”。</w:t>
      </w:r>
      <w:r>
        <w:rPr>
          <w:rFonts w:hint="eastAsia" w:ascii="仿宋_GB2312" w:hAnsi="仿宋_GB2312" w:eastAsia="仿宋_GB2312" w:cs="仿宋_GB2312"/>
          <w:color w:val="000000"/>
          <w:sz w:val="32"/>
          <w:szCs w:val="32"/>
          <w:lang w:val="en-US" w:eastAsia="zh-CN"/>
        </w:rPr>
        <w:t>2025年10月，党的二十届四中全会提出，要“大力提振消费”“深入实施提振消费专项行动”“强化消费者权益保护。”2025年</w:t>
      </w:r>
      <w:r>
        <w:rPr>
          <w:rFonts w:hint="eastAsia" w:ascii="仿宋_GB2312" w:hAnsi="仿宋_GB2312" w:eastAsia="仿宋_GB2312" w:cs="仿宋_GB2312"/>
          <w:color w:val="000000"/>
          <w:sz w:val="32"/>
          <w:szCs w:val="32"/>
        </w:rPr>
        <w:t>《政府工作报告》提出，</w:t>
      </w:r>
      <w:r>
        <w:rPr>
          <w:rFonts w:hint="eastAsia" w:ascii="仿宋_GB2312" w:hAnsi="仿宋_GB2312" w:eastAsia="仿宋_GB2312" w:cs="仿宋_GB2312"/>
          <w:color w:val="000000"/>
          <w:sz w:val="32"/>
          <w:szCs w:val="32"/>
          <w:lang w:val="en-US" w:eastAsia="zh-CN"/>
        </w:rPr>
        <w:t>要</w:t>
      </w:r>
      <w:r>
        <w:rPr>
          <w:rFonts w:hint="eastAsia" w:ascii="仿宋_GB2312" w:hAnsi="仿宋_GB2312" w:eastAsia="仿宋_GB2312" w:cs="仿宋_GB2312"/>
          <w:color w:val="000000"/>
          <w:sz w:val="32"/>
          <w:szCs w:val="32"/>
        </w:rPr>
        <w:t>“大力提振消费”</w:t>
      </w:r>
      <w:r>
        <w:rPr>
          <w:rFonts w:hint="eastAsia" w:ascii="仿宋_GB2312" w:hAnsi="仿宋_GB2312" w:eastAsia="仿宋_GB2312" w:cs="仿宋_GB2312"/>
          <w:color w:val="000000"/>
          <w:sz w:val="32"/>
          <w:szCs w:val="32"/>
          <w:lang w:val="en-US" w:eastAsia="zh-CN"/>
        </w:rPr>
        <w:t>“强化消费者权益保护，营造安全放心消费环境。”</w:t>
      </w:r>
      <w:r>
        <w:rPr>
          <w:rFonts w:hint="eastAsia" w:ascii="仿宋_GB2312" w:hAnsi="仿宋_GB2312" w:eastAsia="仿宋_GB2312" w:cs="仿宋_GB2312"/>
          <w:color w:val="000000"/>
          <w:sz w:val="32"/>
          <w:szCs w:val="32"/>
        </w:rPr>
        <w:t>中国消费者权益保护工作</w:t>
      </w:r>
      <w:r>
        <w:rPr>
          <w:rFonts w:hint="eastAsia" w:ascii="仿宋_GB2312" w:hAnsi="仿宋_GB2312" w:eastAsia="仿宋_GB2312" w:cs="仿宋_GB2312"/>
          <w:color w:val="000000"/>
          <w:sz w:val="32"/>
          <w:szCs w:val="32"/>
          <w:lang w:val="en-US" w:eastAsia="zh-CN"/>
        </w:rPr>
        <w:t>以习近平新时代中国特色社会主义思想为指导，</w:t>
      </w:r>
      <w:r>
        <w:rPr>
          <w:rFonts w:hint="eastAsia" w:ascii="仿宋_GB2312" w:hAnsi="仿宋_GB2312" w:eastAsia="仿宋_GB2312" w:cs="仿宋_GB2312"/>
          <w:color w:val="000000"/>
          <w:sz w:val="32"/>
          <w:szCs w:val="32"/>
        </w:rPr>
        <w:t>全面贯彻落实党中央、国务院决策部署，</w:t>
      </w:r>
      <w:r>
        <w:rPr>
          <w:rFonts w:hint="eastAsia" w:ascii="仿宋_GB2312" w:hAnsi="仿宋_GB2312" w:eastAsia="仿宋_GB2312" w:cs="仿宋_GB2312"/>
          <w:color w:val="000000"/>
          <w:sz w:val="32"/>
          <w:szCs w:val="32"/>
          <w:lang w:val="en-US" w:eastAsia="zh-CN"/>
        </w:rPr>
        <w:t>积极</w:t>
      </w:r>
      <w:r>
        <w:rPr>
          <w:rFonts w:hint="eastAsia" w:ascii="仿宋_GB2312" w:hAnsi="仿宋_GB2312" w:eastAsia="仿宋_GB2312" w:cs="仿宋_GB2312"/>
          <w:color w:val="000000"/>
          <w:sz w:val="32"/>
          <w:szCs w:val="32"/>
        </w:rPr>
        <w:t>服务经济社会发展大局，大力提振消费，</w:t>
      </w:r>
      <w:r>
        <w:rPr>
          <w:rFonts w:hint="eastAsia" w:ascii="仿宋_GB2312" w:hAnsi="仿宋_GB2312" w:eastAsia="仿宋_GB2312" w:cs="仿宋_GB2312"/>
          <w:color w:val="000000"/>
          <w:sz w:val="32"/>
          <w:szCs w:val="32"/>
          <w:lang w:val="en-US" w:eastAsia="zh-CN"/>
        </w:rPr>
        <w:t>持续推进</w:t>
      </w:r>
      <w:r>
        <w:rPr>
          <w:rFonts w:hint="eastAsia" w:ascii="仿宋_GB2312" w:hAnsi="仿宋_GB2312" w:eastAsia="仿宋_GB2312" w:cs="仿宋_GB2312"/>
          <w:color w:val="000000"/>
          <w:sz w:val="32"/>
          <w:szCs w:val="32"/>
        </w:rPr>
        <w:t>消费环境优化，</w:t>
      </w:r>
      <w:r>
        <w:rPr>
          <w:rFonts w:hint="eastAsia" w:ascii="仿宋_GB2312" w:hAnsi="仿宋_GB2312" w:eastAsia="仿宋_GB2312" w:cs="仿宋_GB2312"/>
          <w:color w:val="000000"/>
          <w:sz w:val="32"/>
          <w:szCs w:val="32"/>
          <w:lang w:val="en-US" w:eastAsia="zh-CN"/>
        </w:rPr>
        <w:t>全面</w:t>
      </w:r>
      <w:r>
        <w:rPr>
          <w:rFonts w:hint="eastAsia" w:ascii="仿宋_GB2312" w:hAnsi="仿宋_GB2312" w:eastAsia="仿宋_GB2312" w:cs="仿宋_GB2312"/>
          <w:color w:val="000000"/>
          <w:sz w:val="32"/>
          <w:szCs w:val="32"/>
        </w:rPr>
        <w:t>打击消费领域违法侵权行为，切实保障消费安全，</w:t>
      </w:r>
      <w:r>
        <w:rPr>
          <w:rFonts w:hint="eastAsia" w:ascii="仿宋_GB2312" w:hAnsi="仿宋_GB2312" w:eastAsia="仿宋_GB2312" w:cs="仿宋_GB2312"/>
          <w:color w:val="000000"/>
          <w:sz w:val="32"/>
          <w:szCs w:val="32"/>
          <w:lang w:val="en-US" w:eastAsia="zh-CN"/>
        </w:rPr>
        <w:t>有效</w:t>
      </w:r>
      <w:r>
        <w:rPr>
          <w:rFonts w:hint="eastAsia" w:ascii="仿宋_GB2312" w:hAnsi="仿宋_GB2312" w:eastAsia="仿宋_GB2312" w:cs="仿宋_GB2312"/>
          <w:color w:val="000000"/>
          <w:sz w:val="32"/>
          <w:szCs w:val="32"/>
        </w:rPr>
        <w:t>维护消费市场秩序，不断增强消费者的获得感、幸福感、安全感。有关部门和社会各界砥砺奋进、协同共治，在立法、行政、司法</w:t>
      </w:r>
      <w:r>
        <w:rPr>
          <w:rFonts w:hint="eastAsia" w:ascii="仿宋_GB2312" w:hAnsi="仿宋_GB2312" w:eastAsia="仿宋_GB2312" w:cs="仿宋_GB2312"/>
          <w:color w:val="000000"/>
          <w:sz w:val="32"/>
          <w:szCs w:val="32"/>
          <w:lang w:val="en-US" w:eastAsia="zh-CN"/>
        </w:rPr>
        <w:t>和</w:t>
      </w:r>
      <w:r>
        <w:rPr>
          <w:rFonts w:hint="eastAsia" w:ascii="仿宋_GB2312" w:hAnsi="仿宋_GB2312" w:eastAsia="仿宋_GB2312" w:cs="仿宋_GB2312"/>
          <w:color w:val="000000"/>
          <w:sz w:val="32"/>
          <w:szCs w:val="32"/>
        </w:rPr>
        <w:t>社会保护</w:t>
      </w:r>
      <w:r>
        <w:rPr>
          <w:rFonts w:hint="eastAsia" w:ascii="仿宋_GB2312" w:hAnsi="仿宋_GB2312" w:eastAsia="仿宋_GB2312" w:cs="仿宋_GB2312"/>
          <w:color w:val="000000"/>
          <w:sz w:val="32"/>
          <w:szCs w:val="32"/>
          <w:lang w:val="en-US" w:eastAsia="zh-CN"/>
        </w:rPr>
        <w:t>等各方面</w:t>
      </w:r>
      <w:r>
        <w:rPr>
          <w:rFonts w:hint="eastAsia" w:ascii="仿宋_GB2312" w:hAnsi="仿宋_GB2312" w:eastAsia="仿宋_GB2312" w:cs="仿宋_GB2312"/>
          <w:color w:val="000000"/>
          <w:sz w:val="32"/>
          <w:szCs w:val="32"/>
        </w:rPr>
        <w:t>工作中开创新局面，取得新进展。</w:t>
      </w:r>
    </w:p>
    <w:p>
      <w:pPr>
        <w:widowControl w:val="0"/>
        <w:wordWrap/>
        <w:adjustRightInd/>
        <w:snapToGrid/>
        <w:spacing w:before="295" w:beforeLines="50" w:after="295" w:afterLines="50" w:line="560" w:lineRule="exact"/>
        <w:ind w:left="0"/>
        <w:jc w:val="center"/>
        <w:textAlignment w:val="auto"/>
        <w:outlineLvl w:val="0"/>
        <w:rPr>
          <w:rFonts w:hint="eastAsia" w:ascii="黑体" w:hAnsi="黑体" w:eastAsia="黑体" w:cs="宋体"/>
          <w:b w:val="0"/>
          <w:bCs/>
          <w:color w:val="000000"/>
          <w:w w:val="95"/>
          <w:sz w:val="36"/>
          <w:szCs w:val="36"/>
        </w:rPr>
      </w:pPr>
      <w:bookmarkStart w:id="10" w:name="_Toc221610661"/>
      <w:bookmarkStart w:id="11" w:name="_Toc6335"/>
      <w:bookmarkStart w:id="12" w:name="_Toc2186"/>
      <w:r>
        <w:rPr>
          <w:rFonts w:hint="eastAsia" w:ascii="黑体" w:hAnsi="黑体" w:eastAsia="黑体" w:cs="宋体"/>
          <w:b w:val="0"/>
          <w:bCs/>
          <w:color w:val="000000"/>
          <w:w w:val="95"/>
          <w:sz w:val="36"/>
          <w:szCs w:val="36"/>
        </w:rPr>
        <w:t>第一节</w:t>
      </w:r>
      <w:r>
        <w:rPr>
          <w:rFonts w:hint="eastAsia" w:ascii="黑体" w:hAnsi="黑体" w:eastAsia="黑体" w:cs="宋体"/>
          <w:b w:val="0"/>
          <w:bCs/>
          <w:color w:val="000000"/>
          <w:w w:val="95"/>
          <w:sz w:val="36"/>
          <w:szCs w:val="36"/>
          <w:lang w:val="en-US" w:eastAsia="zh-CN"/>
        </w:rPr>
        <w:t xml:space="preserve"> </w:t>
      </w:r>
      <w:r>
        <w:rPr>
          <w:rFonts w:hint="eastAsia" w:ascii="黑体" w:hAnsi="黑体" w:eastAsia="黑体" w:cs="宋体"/>
          <w:b w:val="0"/>
          <w:bCs/>
          <w:color w:val="000000"/>
          <w:w w:val="95"/>
          <w:sz w:val="36"/>
          <w:szCs w:val="36"/>
        </w:rPr>
        <w:t xml:space="preserve"> 立法保护</w:t>
      </w:r>
      <w:bookmarkEnd w:id="10"/>
      <w:bookmarkEnd w:id="11"/>
      <w:bookmarkEnd w:id="12"/>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kern w:val="2"/>
          <w:sz w:val="32"/>
          <w:szCs w:val="32"/>
          <w:lang w:val="en-US" w:eastAsia="zh-CN" w:bidi="ar-SA"/>
        </w:rPr>
      </w:pPr>
      <w:r>
        <w:rPr>
          <w:rFonts w:hint="eastAsia" w:ascii="仿宋_GB2312" w:hAnsi="仿宋_GB2312" w:eastAsia="仿宋_GB2312" w:cs="仿宋_GB2312"/>
          <w:color w:val="000000"/>
          <w:kern w:val="2"/>
          <w:sz w:val="32"/>
          <w:szCs w:val="32"/>
          <w:lang w:val="en-US" w:eastAsia="zh-CN" w:bidi="ar-SA"/>
        </w:rPr>
        <w:t>2025年，面对数字经济快速发展、消费业态持续更新的新形势，我国消费者权益立法保护工作积极回应社会关切、填补制度空白、优化制度供给，制定和修改了一系列法律文件，进一步夯实了消费者权益保护的法治根基，为营造安全、放心的消费环境提供了重要支撑。全国政协聚焦优化消费品以旧换新政策、充分释放消费需求、下大力气整治“内卷式”竞争等方面反映社情民意，提出高质量提案；针对“加快社会适老化改造，共建老年友好型社会”等开展民主监督视察，提出工作建议，有力推进消费提质升级和消费者权益保护。</w:t>
      </w:r>
    </w:p>
    <w:p>
      <w:pPr>
        <w:spacing w:line="594" w:lineRule="exact"/>
        <w:ind w:firstLine="640" w:firstLineChars="200"/>
        <w:outlineLvl w:val="2"/>
        <w:rPr>
          <w:rFonts w:hint="eastAsia" w:ascii="黑体" w:hAnsi="黑体" w:eastAsia="黑体" w:cs="黑体"/>
          <w:bCs/>
          <w:color w:val="000000"/>
          <w:sz w:val="32"/>
          <w:szCs w:val="32"/>
        </w:rPr>
      </w:pPr>
      <w:bookmarkStart w:id="13" w:name="_Toc221610662"/>
      <w:bookmarkStart w:id="14" w:name="_Toc3225"/>
      <w:bookmarkStart w:id="15" w:name="_Toc11174"/>
      <w:r>
        <w:rPr>
          <w:rFonts w:hint="eastAsia" w:ascii="黑体" w:hAnsi="黑体" w:eastAsia="黑体" w:cs="黑体"/>
          <w:bCs/>
          <w:color w:val="000000"/>
          <w:sz w:val="32"/>
          <w:szCs w:val="32"/>
        </w:rPr>
        <w:t>一、保障民生消费立法不断健全完善</w:t>
      </w:r>
      <w:bookmarkEnd w:id="13"/>
      <w:bookmarkEnd w:id="14"/>
      <w:bookmarkEnd w:id="15"/>
    </w:p>
    <w:p>
      <w:pPr>
        <w:keepNext w:val="0"/>
        <w:keepLines w:val="0"/>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是进一步完善食品安全法律制度。《食品安全法》第四次修改，聚焦重点液态食品道路散装运输和婴幼儿配方液态乳监管两个突出问题，强化准入与过程监管，筑牢重点食品全链条安全的法治防线。市场监管总局发布《食品生产经营企业落实食品安全主体责任监督管理规定》和《集中用餐单位落实食品安全主体责任监督管理规定》，细化履职要求和法律责任，强化食品生产经营者的法律责任；发布《餐饮服务连锁企业落实食品安全主体责任监督管理规定》</w:t>
      </w:r>
      <w:r>
        <w:rPr>
          <w:rFonts w:hint="eastAsia" w:ascii="仿宋_GB2312" w:hAnsi="仿宋_GB2312" w:eastAsia="仿宋_GB2312" w:cs="仿宋_GB2312"/>
          <w:color w:val="auto"/>
          <w:sz w:val="32"/>
          <w:szCs w:val="32"/>
          <w:shd w:val="clear" w:color="auto" w:fill="FFFFFF"/>
        </w:rPr>
        <w:t>《食品销售连锁企业落实食品安全主体责任监督管理规定》，进一步压实企业总部、分支机构、门店等的食品安全主体责任，着力防范系统性、区域性食品安全风险；出台《食品委托生产监督管理办法》，</w:t>
      </w:r>
      <w:r>
        <w:rPr>
          <w:rFonts w:hint="eastAsia" w:ascii="仿宋_GB2312" w:hAnsi="仿宋_GB2312" w:eastAsia="仿宋_GB2312" w:cs="仿宋_GB2312"/>
          <w:color w:val="auto"/>
          <w:sz w:val="32"/>
          <w:szCs w:val="32"/>
          <w:shd w:val="clear" w:color="auto" w:fill="FFFFFF"/>
          <w:lang w:val="en-US" w:eastAsia="zh-CN"/>
        </w:rPr>
        <w:t>明确</w:t>
      </w:r>
      <w:r>
        <w:rPr>
          <w:rFonts w:hint="eastAsia" w:ascii="仿宋_GB2312" w:hAnsi="仿宋_GB2312" w:eastAsia="仿宋_GB2312" w:cs="仿宋_GB2312"/>
          <w:color w:val="auto"/>
          <w:sz w:val="32"/>
          <w:szCs w:val="32"/>
          <w:shd w:val="clear" w:color="auto" w:fill="FFFFFF"/>
        </w:rPr>
        <w:t>委托双方责任，规范食品委托生产行为；制定《食品标识监督管理办法》，将鼓励性措施转化为强制性要求，有效解决食品标签存在的问题；发布《食品安全国家标准 食品中污染物限量》等93项食品安全强制性国家标准及修改单，进一步细化食品安全规范</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val="en-US" w:eastAsia="zh-CN"/>
        </w:rPr>
        <w:t>其中，</w:t>
      </w:r>
      <w:r>
        <w:rPr>
          <w:rFonts w:hint="eastAsia" w:ascii="仿宋_GB2312" w:hAnsi="仿宋_GB2312" w:eastAsia="仿宋_GB2312" w:cs="仿宋_GB2312"/>
          <w:color w:val="auto"/>
          <w:sz w:val="32"/>
          <w:szCs w:val="32"/>
          <w:shd w:val="clear" w:color="auto" w:fill="FFFFFF"/>
        </w:rPr>
        <w:t>《预包装食品标签通则》和《预包装食品营养标签通则》细化</w:t>
      </w:r>
      <w:r>
        <w:rPr>
          <w:rFonts w:hint="eastAsia" w:ascii="仿宋_GB2312" w:hAnsi="仿宋_GB2312" w:eastAsia="仿宋_GB2312" w:cs="仿宋_GB2312"/>
          <w:color w:val="auto"/>
          <w:sz w:val="32"/>
          <w:szCs w:val="32"/>
          <w:shd w:val="clear" w:color="auto" w:fill="FFFFFF"/>
          <w:lang w:val="en-US" w:eastAsia="zh-CN"/>
        </w:rPr>
        <w:t>了</w:t>
      </w:r>
      <w:r>
        <w:rPr>
          <w:rFonts w:hint="eastAsia" w:ascii="仿宋_GB2312" w:hAnsi="仿宋_GB2312" w:eastAsia="仿宋_GB2312" w:cs="仿宋_GB2312"/>
          <w:color w:val="auto"/>
          <w:sz w:val="32"/>
          <w:szCs w:val="32"/>
          <w:shd w:val="clear" w:color="auto" w:fill="FFFFFF"/>
        </w:rPr>
        <w:t>标签信息标注方式</w:t>
      </w:r>
      <w:r>
        <w:rPr>
          <w:rFonts w:hint="eastAsia" w:ascii="仿宋_GB2312" w:hAnsi="仿宋_GB2312" w:eastAsia="仿宋_GB2312" w:cs="仿宋_GB2312"/>
          <w:color w:val="auto"/>
          <w:sz w:val="32"/>
          <w:szCs w:val="32"/>
          <w:shd w:val="clear" w:color="auto" w:fill="FFFFFF"/>
          <w:lang w:val="en-US" w:eastAsia="zh-CN"/>
        </w:rPr>
        <w:t>等要求</w:t>
      </w:r>
      <w:r>
        <w:rPr>
          <w:rFonts w:hint="eastAsia" w:ascii="仿宋_GB2312" w:hAnsi="仿宋_GB2312" w:eastAsia="仿宋_GB2312" w:cs="仿宋_GB2312"/>
          <w:color w:val="auto"/>
          <w:sz w:val="32"/>
          <w:szCs w:val="32"/>
          <w:shd w:val="clear" w:color="auto" w:fill="FFFFFF"/>
        </w:rPr>
        <w:t>，显著提升标签信</w:t>
      </w:r>
      <w:r>
        <w:rPr>
          <w:rFonts w:hint="eastAsia" w:ascii="仿宋_GB2312" w:hAnsi="仿宋_GB2312" w:eastAsia="仿宋_GB2312" w:cs="仿宋_GB2312"/>
          <w:color w:val="auto"/>
          <w:sz w:val="32"/>
          <w:szCs w:val="32"/>
        </w:rPr>
        <w:t>息规范性，有效解决食品标签信息 “看不清”“找不到”等问题。</w:t>
      </w:r>
    </w:p>
    <w:p>
      <w:pPr>
        <w:keepNext w:val="0"/>
        <w:keepLines w:val="0"/>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二是健全工业产品质量安全制度规范。市场监管总局发布</w:t>
      </w:r>
      <w:r>
        <w:rPr>
          <w:rFonts w:hint="eastAsia" w:ascii="仿宋_GB2312" w:hAnsi="仿宋_GB2312" w:eastAsia="仿宋_GB2312" w:cs="仿宋_GB2312"/>
          <w:color w:val="auto"/>
          <w:sz w:val="32"/>
          <w:szCs w:val="32"/>
          <w:shd w:val="clear" w:color="auto" w:fill="FFFFFF"/>
        </w:rPr>
        <w:t>《网络销售重点工业产品质量安全监督管理规定》，进一步明确了电子商务经营者质量安全主体责任，要求</w:t>
      </w:r>
      <w:r>
        <w:rPr>
          <w:rStyle w:val="30"/>
          <w:rFonts w:hint="eastAsia" w:ascii="仿宋_GB2312" w:hAnsi="仿宋_GB2312" w:eastAsia="仿宋_GB2312" w:cs="仿宋_GB2312"/>
          <w:color w:val="auto"/>
          <w:sz w:val="32"/>
          <w:szCs w:val="32"/>
        </w:rPr>
        <w:t>电子商务经营者履行消费</w:t>
      </w:r>
      <w:r>
        <w:rPr>
          <w:rFonts w:hint="eastAsia" w:ascii="仿宋_GB2312" w:hAnsi="仿宋_GB2312" w:eastAsia="仿宋_GB2312" w:cs="仿宋_GB2312"/>
          <w:color w:val="auto"/>
          <w:sz w:val="32"/>
          <w:szCs w:val="32"/>
        </w:rPr>
        <w:t>者权益保护义务，保障产品符合人身健康和生命财产安全要求；</w:t>
      </w:r>
      <w:r>
        <w:rPr>
          <w:rFonts w:hint="eastAsia" w:ascii="仿宋_GB2312" w:hAnsi="仿宋_GB2312" w:eastAsia="仿宋_GB2312" w:cs="仿宋_GB2312"/>
          <w:color w:val="auto"/>
          <w:sz w:val="32"/>
          <w:szCs w:val="32"/>
          <w:lang w:val="en-US" w:eastAsia="zh-CN"/>
        </w:rPr>
        <w:t>制定</w:t>
      </w:r>
      <w:r>
        <w:rPr>
          <w:rFonts w:hint="eastAsia" w:ascii="仿宋_GB2312" w:hAnsi="仿宋_GB2312" w:eastAsia="仿宋_GB2312" w:cs="仿宋_GB2312"/>
          <w:color w:val="auto"/>
          <w:sz w:val="32"/>
          <w:szCs w:val="32"/>
        </w:rPr>
        <w:t>《纤维制品质量监督管理办法》，将与消费者健康安全密切相关的所有生活用纤维制品全部纳入监管范围，形成覆盖原料使用、生产加工、流通销售、经营性服务的全链条监管体系。</w:t>
      </w:r>
    </w:p>
    <w:p>
      <w:pPr>
        <w:keepNext w:val="0"/>
        <w:keepLines w:val="0"/>
        <w:pageBreakBefore w:val="0"/>
        <w:widowControl/>
        <w:kinsoku/>
        <w:wordWrap/>
        <w:overflowPunct/>
        <w:topLinePunct w:val="0"/>
        <w:autoSpaceDE/>
        <w:autoSpaceDN/>
        <w:bidi w:val="0"/>
        <w:adjustRightInd/>
        <w:snapToGrid/>
        <w:spacing w:line="574"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rPr>
        <w:t>三是持续完善消费领域标准建设。国家标准具有技术性和专业性的优势及适用上的灵活性，为消费品领域产品和服务质量提升提供了科学依据，</w:t>
      </w:r>
      <w:r>
        <w:rPr>
          <w:rFonts w:hint="eastAsia" w:ascii="仿宋_GB2312" w:hAnsi="仿宋_GB2312" w:eastAsia="仿宋_GB2312" w:cs="仿宋_GB2312"/>
          <w:color w:val="auto"/>
          <w:sz w:val="32"/>
          <w:szCs w:val="32"/>
          <w:lang w:val="en-US" w:eastAsia="zh-CN"/>
        </w:rPr>
        <w:t>发挥着</w:t>
      </w:r>
      <w:r>
        <w:rPr>
          <w:rFonts w:hint="eastAsia" w:ascii="仿宋_GB2312" w:hAnsi="仿宋_GB2312" w:eastAsia="仿宋_GB2312" w:cs="仿宋_GB2312"/>
          <w:color w:val="auto"/>
          <w:sz w:val="32"/>
          <w:szCs w:val="32"/>
        </w:rPr>
        <w:t>标准引领产业升级、促进消费的积极作用。2025年，涉消费领域的标准建设进展迅速，大量强制性国家标准</w:t>
      </w:r>
      <w:r>
        <w:rPr>
          <w:rFonts w:hint="eastAsia" w:ascii="仿宋_GB2312" w:hAnsi="仿宋_GB2312" w:eastAsia="仿宋_GB2312" w:cs="仿宋_GB2312"/>
          <w:color w:val="auto"/>
          <w:sz w:val="32"/>
          <w:szCs w:val="32"/>
          <w:lang w:val="en-US" w:eastAsia="zh-CN"/>
        </w:rPr>
        <w:t>陆续出台</w:t>
      </w:r>
      <w:r>
        <w:rPr>
          <w:rFonts w:hint="eastAsia" w:ascii="仿宋_GB2312" w:hAnsi="仿宋_GB2312" w:eastAsia="仿宋_GB2312" w:cs="仿宋_GB2312"/>
          <w:color w:val="auto"/>
          <w:sz w:val="32"/>
          <w:szCs w:val="32"/>
        </w:rPr>
        <w:t>，持续强化消费者人身财产安全保障和服务消费体验。如新修订的《电动汽车用动力蓄电池安全要求》，首次将“不起火、不爆炸”列为强制性要求，</w:t>
      </w:r>
      <w:r>
        <w:rPr>
          <w:rFonts w:hint="eastAsia" w:ascii="仿宋_GB2312" w:hAnsi="仿宋_GB2312" w:eastAsia="仿宋_GB2312" w:cs="仿宋_GB2312"/>
          <w:color w:val="auto"/>
          <w:sz w:val="32"/>
          <w:szCs w:val="32"/>
          <w:lang w:val="en-US" w:eastAsia="zh-CN"/>
        </w:rPr>
        <w:t>有效</w:t>
      </w:r>
      <w:r>
        <w:rPr>
          <w:rFonts w:hint="eastAsia" w:ascii="仿宋_GB2312" w:hAnsi="仿宋_GB2312" w:eastAsia="仿宋_GB2312" w:cs="仿宋_GB2312"/>
          <w:color w:val="auto"/>
          <w:sz w:val="32"/>
          <w:szCs w:val="32"/>
        </w:rPr>
        <w:t>提升新能源汽车安全水平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《电动自行车安全技术规范》及系列摩托车强制性国家标准，在加强电动自行车、摩托车产品质量监管、维护消费者出行安全方面发挥重要作用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《烟花爆竹安全与质量》国家标准，为烟花爆竹行业安全监管与高质量发展提供关键技术支撑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《住宅项目规范》明确了住宅项目建设的基本质量安全要求，保障居民居住安全与舒适度。</w:t>
      </w:r>
      <w:r>
        <w:rPr>
          <w:rFonts w:hint="eastAsia" w:ascii="仿宋_GB2312" w:hAnsi="仿宋_GB2312" w:eastAsia="仿宋_GB2312" w:cs="仿宋_GB2312"/>
          <w:color w:val="auto"/>
          <w:sz w:val="32"/>
          <w:szCs w:val="32"/>
          <w:lang w:val="en-US" w:eastAsia="zh-CN"/>
        </w:rPr>
        <w:t>在文化和旅游领域，相关部门先后出台《旅游信息咨询服务》等2项国家标准、《电竞酒店电子竞技经营服务要求》等13项行业标准，立项《舞台艺术线上演播制作规程》等10项行业标准，为文化和旅游服务质量提升、优化消费环境、保障消费者权益提供有力支撑。</w:t>
      </w:r>
      <w:r>
        <w:rPr>
          <w:rFonts w:hint="eastAsia" w:ascii="仿宋_GB2312" w:hAnsi="仿宋_GB2312" w:eastAsia="仿宋_GB2312" w:cs="仿宋_GB2312"/>
          <w:sz w:val="32"/>
          <w:szCs w:val="32"/>
        </w:rPr>
        <w:t>针对社会广泛关注的预制菜相关话题，</w:t>
      </w:r>
      <w:r>
        <w:rPr>
          <w:rFonts w:hint="eastAsia" w:ascii="仿宋_GB2312" w:hAnsi="仿宋_GB2312" w:eastAsia="仿宋_GB2312" w:cs="仿宋_GB2312"/>
          <w:color w:val="auto"/>
          <w:sz w:val="32"/>
          <w:szCs w:val="32"/>
        </w:rPr>
        <w:t>国务院食品安全委员会办公室（以下简称国务院食安办）</w:t>
      </w:r>
      <w:r>
        <w:rPr>
          <w:rFonts w:hint="eastAsia" w:ascii="仿宋_GB2312" w:hAnsi="仿宋_GB2312" w:eastAsia="仿宋_GB2312" w:cs="仿宋_GB2312"/>
          <w:sz w:val="32"/>
          <w:szCs w:val="32"/>
        </w:rPr>
        <w:t>高度重视，组织工业和信息化部、商务部、国家卫生健康委、市场监管总局等部门认真研究，加快推进预制菜国家标准制定，更好维护消费者知情权和选择权。</w:t>
      </w:r>
    </w:p>
    <w:p>
      <w:pPr>
        <w:pStyle w:val="25"/>
        <w:keepNext w:val="0"/>
        <w:keepLines w:val="0"/>
        <w:pageBreakBefore w:val="0"/>
        <w:widowControl w:val="0"/>
        <w:kinsoku/>
        <w:wordWrap/>
        <w:overflowPunct w:val="0"/>
        <w:topLinePunct/>
        <w:autoSpaceDE/>
        <w:autoSpaceDN/>
        <w:bidi w:val="0"/>
        <w:adjustRightInd/>
        <w:snapToGrid/>
        <w:spacing w:before="313" w:beforeLines="100" w:line="260" w:lineRule="exact"/>
        <w:ind w:left="0" w:leftChars="0" w:right="0" w:firstLine="0" w:firstLineChars="0"/>
        <w:jc w:val="center"/>
        <w:textAlignment w:val="auto"/>
        <w:outlineLvl w:val="9"/>
        <w:rPr>
          <w:rFonts w:hint="eastAsia" w:ascii="黑体" w:hAnsi="黑体" w:eastAsia="黑体" w:cs="黑体"/>
          <w:color w:val="000000"/>
          <w:sz w:val="28"/>
          <w:szCs w:val="28"/>
          <w:shd w:val="clear" w:color="auto" w:fill="FFFFFF"/>
        </w:rPr>
      </w:pPr>
      <w:r>
        <w:rPr>
          <w:rFonts w:hint="eastAsia" w:ascii="黑体" w:hAnsi="黑体" w:eastAsia="黑体" w:cs="黑体"/>
          <w:color w:val="000000"/>
          <w:sz w:val="28"/>
          <w:szCs w:val="28"/>
          <w:shd w:val="clear" w:color="auto" w:fill="FFFFFF"/>
        </w:rPr>
        <w:t>表1:2025年发布的</w:t>
      </w:r>
      <w:r>
        <w:rPr>
          <w:rFonts w:hint="eastAsia" w:ascii="黑体" w:hAnsi="黑体" w:eastAsia="黑体" w:cs="黑体"/>
          <w:color w:val="000000"/>
          <w:sz w:val="28"/>
          <w:szCs w:val="28"/>
          <w:shd w:val="clear" w:color="auto" w:fill="FFFFFF"/>
          <w:lang w:val="en-US" w:eastAsia="zh-CN"/>
        </w:rPr>
        <w:t>涉及</w:t>
      </w:r>
      <w:r>
        <w:rPr>
          <w:rFonts w:hint="eastAsia" w:ascii="黑体" w:hAnsi="黑体" w:eastAsia="黑体" w:cs="黑体"/>
          <w:color w:val="000000"/>
          <w:sz w:val="28"/>
          <w:szCs w:val="28"/>
          <w:shd w:val="clear" w:color="auto" w:fill="FFFFFF"/>
        </w:rPr>
        <w:t>消费</w:t>
      </w:r>
      <w:r>
        <w:rPr>
          <w:rFonts w:hint="eastAsia" w:ascii="黑体" w:hAnsi="黑体" w:eastAsia="黑体" w:cs="黑体"/>
          <w:color w:val="000000"/>
          <w:sz w:val="28"/>
          <w:szCs w:val="28"/>
          <w:shd w:val="clear" w:color="auto" w:fill="FFFFFF"/>
          <w:lang w:val="en-US" w:eastAsia="zh-CN"/>
        </w:rPr>
        <w:t>的</w:t>
      </w:r>
      <w:r>
        <w:rPr>
          <w:rFonts w:hint="eastAsia" w:ascii="黑体" w:hAnsi="黑体" w:eastAsia="黑体" w:cs="黑体"/>
          <w:color w:val="000000"/>
          <w:sz w:val="28"/>
          <w:szCs w:val="28"/>
          <w:shd w:val="clear" w:color="auto" w:fill="FFFFFF"/>
        </w:rPr>
        <w:t>主要强制性国家标准</w:t>
      </w:r>
    </w:p>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lang w:eastAsia="zh-CN"/>
        </w:rPr>
      </w:pPr>
      <w:r>
        <w:rPr>
          <w:rFonts w:hint="eastAsia" w:ascii="宋体" w:hAnsi="宋体" w:eastAsia="宋体" w:cs="Arial"/>
          <w:color w:val="000000"/>
          <w:szCs w:val="21"/>
          <w:lang w:eastAsia="zh-CN"/>
        </w:rPr>
        <w:t>（不含食品安全标准及工程建设标准）</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6"/>
        <w:gridCol w:w="66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6"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黑体" w:hAnsi="黑体" w:eastAsia="黑体" w:cs="黑体"/>
                <w:b w:val="0"/>
                <w:bCs/>
                <w:color w:val="000000"/>
                <w:szCs w:val="21"/>
              </w:rPr>
            </w:pPr>
            <w:r>
              <w:rPr>
                <w:rFonts w:hint="eastAsia" w:ascii="黑体" w:hAnsi="黑体" w:eastAsia="黑体" w:cs="黑体"/>
                <w:b w:val="0"/>
                <w:bCs/>
                <w:color w:val="000000"/>
                <w:szCs w:val="21"/>
              </w:rPr>
              <w:t>产品领域</w:t>
            </w:r>
          </w:p>
        </w:tc>
        <w:tc>
          <w:tcPr>
            <w:tcW w:w="660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jc w:val="center"/>
              <w:rPr>
                <w:rFonts w:hint="eastAsia" w:ascii="黑体" w:hAnsi="黑体" w:eastAsia="黑体" w:cs="黑体"/>
                <w:b w:val="0"/>
                <w:bCs/>
                <w:color w:val="000000"/>
                <w:szCs w:val="21"/>
              </w:rPr>
            </w:pPr>
            <w:r>
              <w:rPr>
                <w:rFonts w:hint="eastAsia" w:ascii="黑体" w:hAnsi="黑体" w:eastAsia="黑体" w:cs="黑体"/>
                <w:b w:val="0"/>
                <w:bCs/>
                <w:color w:val="000000"/>
                <w:szCs w:val="21"/>
              </w:rPr>
              <w:t>标准名称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3" w:hRule="atLeast"/>
          <w:jc w:val="center"/>
        </w:trPr>
        <w:tc>
          <w:tcPr>
            <w:tcW w:w="16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农产品</w:t>
            </w:r>
          </w:p>
        </w:tc>
        <w:tc>
          <w:tcPr>
            <w:tcW w:w="66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《稻谷》《雪茄烟》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6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儿童用品</w:t>
            </w:r>
          </w:p>
        </w:tc>
        <w:tc>
          <w:tcPr>
            <w:tcW w:w="66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《儿童骑行及活动用品通用安全要求》《玩具安全 第1部分：基本规范》《玩具安全 第2部分：机械与物理性能》《玩具安全 第3部分：易燃性能》《玩具安全 第4部分：特定元素的迁移》《儿童用品通用安全要求》《儿童呵护用品 通用安全要求》《儿童手表安全技术要求》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kern w:val="2"/>
                <w:sz w:val="21"/>
                <w:szCs w:val="21"/>
                <w:lang w:val="en-US" w:eastAsia="zh-CN" w:bidi="ar-SA"/>
              </w:rPr>
            </w:pPr>
            <w:r>
              <w:rPr>
                <w:rFonts w:hint="eastAsia" w:ascii="宋体" w:hAnsi="宋体" w:eastAsia="宋体" w:cs="Arial"/>
                <w:color w:val="000000"/>
                <w:szCs w:val="21"/>
              </w:rPr>
              <w:t>汽车、电动汽车、电动自行车、摩托车</w:t>
            </w:r>
          </w:p>
        </w:tc>
        <w:tc>
          <w:tcPr>
            <w:tcW w:w="66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line="340" w:lineRule="exact"/>
              <w:jc w:val="center"/>
              <w:textAlignment w:val="auto"/>
              <w:rPr>
                <w:rFonts w:hint="eastAsia" w:ascii="宋体" w:hAnsi="宋体" w:eastAsia="宋体" w:cs="Arial"/>
                <w:color w:val="000000"/>
                <w:kern w:val="2"/>
                <w:sz w:val="21"/>
                <w:szCs w:val="21"/>
                <w:lang w:val="en-US" w:eastAsia="zh-CN" w:bidi="ar-SA"/>
              </w:rPr>
            </w:pPr>
            <w:r>
              <w:rPr>
                <w:rFonts w:hint="eastAsia" w:ascii="宋体" w:hAnsi="宋体" w:eastAsia="宋体" w:cs="Arial"/>
                <w:color w:val="000000"/>
                <w:szCs w:val="21"/>
              </w:rPr>
              <w:t>《汽车转向系 基本要求》</w:t>
            </w:r>
            <w:r>
              <w:rPr>
                <w:rFonts w:hint="eastAsia" w:ascii="宋体" w:hAnsi="宋体" w:eastAsia="宋体" w:cs="Arial"/>
                <w:color w:val="000000"/>
                <w:szCs w:val="21"/>
                <w:lang w:eastAsia="zh-CN"/>
              </w:rPr>
              <w:t>《</w:t>
            </w:r>
            <w:r>
              <w:rPr>
                <w:rFonts w:hint="eastAsia" w:ascii="宋体" w:hAnsi="宋体" w:eastAsia="宋体" w:cs="Arial"/>
                <w:color w:val="000000"/>
                <w:szCs w:val="21"/>
              </w:rPr>
              <w:t>三轮汽车 安全技术规范</w:t>
            </w:r>
            <w:r>
              <w:rPr>
                <w:rFonts w:hint="eastAsia" w:ascii="宋体" w:hAnsi="宋体" w:eastAsia="宋体" w:cs="Arial"/>
                <w:color w:val="000000"/>
                <w:szCs w:val="21"/>
                <w:lang w:eastAsia="zh-CN"/>
              </w:rPr>
              <w:t>》</w:t>
            </w:r>
            <w:r>
              <w:rPr>
                <w:rFonts w:hint="eastAsia" w:ascii="宋体" w:hAnsi="宋体" w:eastAsia="宋体" w:cs="Arial"/>
                <w:color w:val="000000"/>
                <w:szCs w:val="21"/>
              </w:rPr>
              <w:t>《机动车冷却液 第2部分：电动汽车冷却液》</w:t>
            </w:r>
            <w:r>
              <w:rPr>
                <w:rFonts w:hint="eastAsia" w:ascii="宋体" w:hAnsi="宋体" w:eastAsia="宋体" w:cs="Arial"/>
                <w:color w:val="000000"/>
                <w:szCs w:val="21"/>
                <w:lang w:eastAsia="zh-CN"/>
              </w:rPr>
              <w:t>《</w:t>
            </w:r>
            <w:r>
              <w:rPr>
                <w:rFonts w:hint="eastAsia" w:ascii="宋体" w:hAnsi="宋体" w:eastAsia="宋体" w:cs="Arial"/>
                <w:color w:val="000000"/>
                <w:szCs w:val="21"/>
              </w:rPr>
              <w:t>机动车冷却液 第3部分：燃料电池汽车冷却液</w:t>
            </w:r>
            <w:r>
              <w:rPr>
                <w:rFonts w:hint="eastAsia" w:ascii="宋体" w:hAnsi="宋体" w:eastAsia="宋体" w:cs="Arial"/>
                <w:color w:val="000000"/>
                <w:szCs w:val="21"/>
                <w:lang w:eastAsia="zh-CN"/>
              </w:rPr>
              <w:t>》</w:t>
            </w:r>
            <w:r>
              <w:rPr>
                <w:rFonts w:hint="eastAsia" w:ascii="宋体" w:hAnsi="宋体" w:eastAsia="宋体" w:cs="Arial"/>
                <w:color w:val="000000"/>
                <w:szCs w:val="21"/>
              </w:rPr>
              <w:t>《汽车风窗玻璃除霜和除雾系统技术规范》《机动车辆制动液》《电动汽车供电设备能效限定值及能效等级》《电动汽车用动力蓄电池安全要求》《摩托车和轻便摩托车燃油箱安全性能要求和试验方法》《摩托车和轻便摩托车光信号装置》《摩托车和轻便摩托车道路照明及光信号装置的安装规定》《摩托车和轻便摩托车操纵件、指示器及信号装置的图形符号》《机动车排气火花熄灭器》《乘用车燃料消耗量评价方法及指标》《乘用车制动系统技术要求及试验方法》《机动车用光源 安全性要求》《汽车侧面碰撞的乘员保护》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家用电器、</w:t>
            </w:r>
            <w:r>
              <w:rPr>
                <w:rFonts w:hint="eastAsia" w:ascii="宋体" w:hAnsi="宋体" w:eastAsia="宋体" w:cs="Arial"/>
                <w:color w:val="000000"/>
                <w:szCs w:val="21"/>
                <w:lang w:eastAsia="zh-CN"/>
              </w:rPr>
              <w:t>燃气灶具</w:t>
            </w:r>
          </w:p>
        </w:tc>
        <w:tc>
          <w:tcPr>
            <w:tcW w:w="66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家用和类似用途吸油烟机与换气扇能效限定值及能效等级》《智能坐便器能效水效限定值及等级》《家用太阳能热水系统能效限定值及能效等级》《洗碗机能效水效限定值及等级》《投影机能效限定值及能效等级》《家用电冰箱耗电量限定值及能效等级》《燃气灶具能效限定值及能效等级》《电器电子产品有害物质限制使用要求》《燃气燃烧器具用电安全通用技术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医疗器械</w:t>
            </w:r>
          </w:p>
        </w:tc>
        <w:tc>
          <w:tcPr>
            <w:tcW w:w="66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《一次性使用无菌注射针》《医用手套安全技术要求》《眼科光学 接触镜 第3部分：软性接触镜》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jc w:val="center"/>
        </w:trPr>
        <w:tc>
          <w:tcPr>
            <w:tcW w:w="16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建筑装饰材料</w:t>
            </w:r>
          </w:p>
        </w:tc>
        <w:tc>
          <w:tcPr>
            <w:tcW w:w="66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《建筑装饰石材安全技术要求》《建筑用安全玻璃安全技术要求》《墙体材料可浸出有害金属元素限值》《室内装饰装修材料 人造板及其制品中甲醛释放限量》《建筑防水涂料安全技术规范》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16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服务标准</w:t>
            </w:r>
          </w:p>
        </w:tc>
        <w:tc>
          <w:tcPr>
            <w:tcW w:w="6600"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《假肢配置服务》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96"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其他产品</w:t>
            </w:r>
          </w:p>
        </w:tc>
        <w:tc>
          <w:tcPr>
            <w:tcW w:w="6600" w:type="dxa"/>
            <w:tcBorders>
              <w:top w:val="single" w:color="auto" w:sz="4" w:space="0"/>
              <w:left w:val="single" w:color="auto" w:sz="4" w:space="0"/>
              <w:bottom w:val="single" w:color="auto" w:sz="4" w:space="0"/>
              <w:right w:val="single" w:color="auto" w:sz="4" w:space="0"/>
            </w:tcBorders>
            <w:noWrap w:val="0"/>
            <w:vAlign w:val="top"/>
          </w:tcPr>
          <w:p>
            <w:pPr>
              <w:keepNext w:val="0"/>
              <w:keepLines w:val="0"/>
              <w:pageBreakBefore w:val="0"/>
              <w:widowControl/>
              <w:kinsoku/>
              <w:wordWrap/>
              <w:overflowPunct/>
              <w:topLinePunct w:val="0"/>
              <w:autoSpaceDE/>
              <w:autoSpaceDN/>
              <w:bidi w:val="0"/>
              <w:adjustRightInd/>
              <w:snapToGrid/>
              <w:spacing w:line="360" w:lineRule="exact"/>
              <w:jc w:val="center"/>
              <w:textAlignment w:val="auto"/>
              <w:rPr>
                <w:rFonts w:hint="eastAsia" w:ascii="宋体" w:hAnsi="宋体" w:eastAsia="宋体" w:cs="Arial"/>
                <w:color w:val="000000"/>
                <w:szCs w:val="21"/>
              </w:rPr>
            </w:pPr>
            <w:r>
              <w:rPr>
                <w:rFonts w:hint="eastAsia" w:ascii="宋体" w:hAnsi="宋体" w:eastAsia="宋体" w:cs="Arial"/>
                <w:color w:val="000000"/>
                <w:szCs w:val="21"/>
              </w:rPr>
              <w:t>《消费类激光指示器产品光辐射安全要求》《絮用纤维制品通用技术要求》《烟花爆竹 安全与质量》《烟花爆竹生产机械设备安全技术规范》《锁具安全技术要求 第2部分：防盗锁》《民用无人驾驶航空器实名登记和激活要求》《液化石油气》《车用乙醇汽油》</w:t>
            </w:r>
          </w:p>
        </w:tc>
      </w:tr>
    </w:tbl>
    <w:p>
      <w:pPr>
        <w:spacing w:line="594" w:lineRule="exact"/>
        <w:ind w:firstLine="640" w:firstLineChars="200"/>
        <w:outlineLvl w:val="2"/>
        <w:rPr>
          <w:rFonts w:hint="eastAsia" w:ascii="黑体" w:hAnsi="黑体" w:eastAsia="黑体" w:cs="黑体"/>
          <w:bCs/>
          <w:color w:val="000000"/>
          <w:sz w:val="32"/>
          <w:szCs w:val="32"/>
        </w:rPr>
      </w:pPr>
      <w:bookmarkStart w:id="16" w:name="_Toc221610663"/>
      <w:bookmarkStart w:id="17" w:name="_Toc12160"/>
      <w:bookmarkStart w:id="18" w:name="_Toc12168"/>
      <w:r>
        <w:rPr>
          <w:rFonts w:hint="eastAsia" w:ascii="黑体" w:hAnsi="黑体" w:eastAsia="黑体" w:cs="黑体"/>
          <w:bCs/>
          <w:color w:val="000000"/>
          <w:sz w:val="32"/>
          <w:szCs w:val="32"/>
        </w:rPr>
        <w:t>二、规范市场秩序和消费公平的立法实现新突破</w:t>
      </w:r>
      <w:bookmarkEnd w:id="16"/>
      <w:bookmarkEnd w:id="17"/>
      <w:bookmarkEnd w:id="18"/>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一是规范竞争秩序，保护消费者合法权益的基础性法律制度持续修改完善。新修订的《反不正当竞争法》确立国家建立健全公平竞争审查制度、细化完善不正当竞争行为的规制、完善网络不正当竞争行为的规定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明确经营者不得利用数据和算法、技术、平台规则等实施不正当竞争行为，禁止侵害数据权益、恶意交易，增设平台经营者处置平台内经营者不正当竞争行为的义务，精准回应数字经济发展新挑战</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规定平台经营者不得强制或者变相强制平台内经营者低于成本价格销售商品，治理“内卷式”竞争，维护公平竞争市场秩序</w:t>
      </w:r>
      <w:r>
        <w:rPr>
          <w:rFonts w:hint="eastAsia" w:ascii="仿宋_GB2312" w:hAnsi="仿宋_GB2312" w:eastAsia="仿宋_GB2312" w:cs="仿宋_GB2312"/>
          <w:color w:val="auto"/>
          <w:sz w:val="32"/>
          <w:szCs w:val="32"/>
          <w:lang w:val="en-US" w:eastAsia="zh-CN"/>
        </w:rPr>
        <w:t>和良好的消费环境</w:t>
      </w:r>
      <w:r>
        <w:rPr>
          <w:rFonts w:hint="eastAsia" w:ascii="仿宋_GB2312" w:hAnsi="仿宋_GB2312" w:eastAsia="仿宋_GB2312" w:cs="仿宋_GB2312"/>
          <w:color w:val="auto"/>
          <w:sz w:val="32"/>
          <w:szCs w:val="32"/>
        </w:rPr>
        <w:t>。《价格法》修正草案于2025年7</w:t>
      </w:r>
      <w:r>
        <w:rPr>
          <w:rFonts w:hint="eastAsia" w:ascii="仿宋_GB2312" w:hAnsi="仿宋_GB2312" w:eastAsia="仿宋_GB2312" w:cs="仿宋_GB2312"/>
          <w:color w:val="auto"/>
          <w:sz w:val="32"/>
          <w:szCs w:val="32"/>
          <w:lang w:val="en-US" w:eastAsia="zh-CN"/>
        </w:rPr>
        <w:t>至</w:t>
      </w:r>
      <w:r>
        <w:rPr>
          <w:rFonts w:hint="eastAsia" w:ascii="仿宋_GB2312" w:hAnsi="仿宋_GB2312" w:eastAsia="仿宋_GB2312" w:cs="仿宋_GB2312"/>
          <w:color w:val="auto"/>
          <w:sz w:val="32"/>
          <w:szCs w:val="32"/>
        </w:rPr>
        <w:t>8月向社会公开征求意见，完善不正当价格行为认定标准，释放强监管信号，保护经营者和消费者价格权益。</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是日常消费领域的消费者权益保护法律制度覆盖面进一步增强。《住房租赁条例》推动加快建立租购并举的住房制度，标志着住房租赁管理迈向制度化治理的新阶段。金融监管总局发布《金融机构产品适当性管理办法》，推动金融机构严格履行适当性义务，帮助消费者识别风险，并根据自身需求和风险承受能力选择适当的产品；</w:t>
      </w:r>
      <w:r>
        <w:rPr>
          <w:rFonts w:hint="eastAsia" w:ascii="仿宋_GB2312" w:hAnsi="仿宋_GB2312" w:eastAsia="仿宋_GB2312" w:cs="仿宋_GB2312"/>
          <w:color w:val="auto"/>
          <w:sz w:val="32"/>
          <w:szCs w:val="32"/>
          <w:lang w:val="en-US" w:eastAsia="zh-CN"/>
        </w:rPr>
        <w:t>发布</w:t>
      </w:r>
      <w:r>
        <w:rPr>
          <w:rFonts w:hint="eastAsia" w:ascii="仿宋_GB2312" w:hAnsi="仿宋_GB2312" w:eastAsia="仿宋_GB2312" w:cs="仿宋_GB2312"/>
          <w:color w:val="auto"/>
          <w:sz w:val="32"/>
          <w:szCs w:val="32"/>
        </w:rPr>
        <w:t>《商业银行代理销售业务管理办法》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代理销售市场存在的风险和问题进行了全面审视，并在此基础上建立了规范体系，推动代理销售业务健康发展，更好满足金融消费者需求，保护消费者合法权益。中国人民银行、金融监管总局、中国证监会联合发布《金融机构客户尽职调查和客户身份资料及交易记录保存管理办法》，区分风险程度，设置客户尽职调查的相应措施。文化和旅游部等部门联合发布《边境旅游管理办法》，推动旅游服务品质提升，促进</w:t>
      </w:r>
      <w:r>
        <w:rPr>
          <w:rFonts w:hint="eastAsia" w:ascii="仿宋_GB2312" w:hAnsi="仿宋_GB2312" w:eastAsia="仿宋_GB2312" w:cs="仿宋_GB2312"/>
          <w:color w:val="auto"/>
          <w:sz w:val="32"/>
          <w:szCs w:val="32"/>
          <w:lang w:val="en-US" w:eastAsia="zh-CN"/>
        </w:rPr>
        <w:t>旅游市场</w:t>
      </w:r>
      <w:r>
        <w:rPr>
          <w:rFonts w:hint="eastAsia" w:ascii="仿宋_GB2312" w:hAnsi="仿宋_GB2312" w:eastAsia="仿宋_GB2312" w:cs="仿宋_GB2312"/>
          <w:color w:val="auto"/>
          <w:sz w:val="32"/>
          <w:szCs w:val="32"/>
        </w:rPr>
        <w:t>消费潜力释放。</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是网络交易规范进一步完善。国家发展改革委、市场监管总局、国家网信办联合发布《互联网平台价格行为规则》，旨在规范平台价格行为，为治理大数据杀熟、价格欺诈、不合理干预经营者定价等问题提供了依据，促进平台经济健康发展。市场监管总局会同国家网信办制定《网络交易平台规则监督管理办法》和《直播电商监督管理办法》，为规制平台经济领域利用平台规则从事“内卷式”竞争、治理网络直播领域消费侵权乱象提供了</w:t>
      </w:r>
      <w:r>
        <w:rPr>
          <w:rFonts w:hint="eastAsia" w:ascii="仿宋_GB2312" w:hAnsi="仿宋_GB2312" w:eastAsia="仿宋_GB2312" w:cs="仿宋_GB2312"/>
          <w:color w:val="auto"/>
          <w:sz w:val="32"/>
          <w:szCs w:val="32"/>
          <w:lang w:val="en-US" w:eastAsia="zh-CN"/>
        </w:rPr>
        <w:t>重要</w:t>
      </w:r>
      <w:r>
        <w:rPr>
          <w:rFonts w:hint="eastAsia" w:ascii="仿宋_GB2312" w:hAnsi="仿宋_GB2312" w:eastAsia="仿宋_GB2312" w:cs="仿宋_GB2312"/>
          <w:color w:val="auto"/>
          <w:sz w:val="32"/>
          <w:szCs w:val="32"/>
        </w:rPr>
        <w:t>依据。国家网信办等四部门联合发布《人工智能生成合成内容标识办法》，通过创设“显式标识”与“隐式标识”相结合的双重技术监管框架，建立溯源机制，从源头降低消费者受误导的风险，切实维护其合法权益。</w:t>
      </w:r>
    </w:p>
    <w:p>
      <w:pPr>
        <w:spacing w:line="594" w:lineRule="exact"/>
        <w:ind w:firstLine="640" w:firstLineChars="200"/>
        <w:outlineLvl w:val="2"/>
        <w:rPr>
          <w:rFonts w:hint="eastAsia" w:ascii="黑体" w:hAnsi="黑体" w:eastAsia="黑体" w:cs="黑体"/>
          <w:bCs/>
          <w:color w:val="000000"/>
          <w:sz w:val="32"/>
          <w:szCs w:val="32"/>
        </w:rPr>
      </w:pPr>
      <w:bookmarkStart w:id="19" w:name="_Toc14705"/>
      <w:bookmarkStart w:id="20" w:name="_Toc19096"/>
      <w:bookmarkStart w:id="21" w:name="_Toc221610664"/>
      <w:r>
        <w:rPr>
          <w:rFonts w:hint="eastAsia" w:ascii="黑体" w:hAnsi="黑体" w:eastAsia="黑体" w:cs="黑体"/>
          <w:bCs/>
          <w:color w:val="000000"/>
          <w:sz w:val="32"/>
          <w:szCs w:val="32"/>
        </w:rPr>
        <w:t>三、消费者个人信息保护制度进一步充实细化</w:t>
      </w:r>
      <w:bookmarkEnd w:id="19"/>
      <w:bookmarkEnd w:id="20"/>
      <w:bookmarkEnd w:id="21"/>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新修订的《网络安全法》，进一步强化了网络运营者的安全责任与个人信息保护义务，构建起更加完善的网络安全综合治理体系，有力地保障了个人信息权益与国家网络安全。国家网信办发布《个人信息保护合规审计管理办法》，通过建立审计监督机制，督促个人信息处理者履行法定义务；与公安部联合发布《人脸识别技术应用安全管理办法》，对敏感生物识别信息的应用划定红线，通过“知情同意”和“最小必要”原则等一系列</w:t>
      </w:r>
      <w:r>
        <w:rPr>
          <w:rFonts w:hint="eastAsia" w:ascii="仿宋_GB2312" w:hAnsi="仿宋_GB2312" w:eastAsia="仿宋_GB2312" w:cs="仿宋_GB2312"/>
          <w:color w:val="auto"/>
          <w:sz w:val="32"/>
          <w:szCs w:val="32"/>
          <w:lang w:val="en-US" w:eastAsia="zh-CN"/>
        </w:rPr>
        <w:t>规定</w:t>
      </w:r>
      <w:r>
        <w:rPr>
          <w:rFonts w:hint="eastAsia" w:ascii="仿宋_GB2312" w:hAnsi="仿宋_GB2312" w:eastAsia="仿宋_GB2312" w:cs="仿宋_GB2312"/>
          <w:color w:val="auto"/>
          <w:sz w:val="32"/>
          <w:szCs w:val="32"/>
        </w:rPr>
        <w:t>，防范技术滥用风险；与市场监管总局联合发布《个人信息出境认证办法》，强化了个人信息权益保障，明确了数据跨境流动的合规要求。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此外，</w:t>
      </w:r>
      <w:r>
        <w:rPr>
          <w:rFonts w:hint="eastAsia" w:ascii="仿宋_GB2312" w:hAnsi="仿宋_GB2312" w:eastAsia="仿宋_GB2312" w:cs="仿宋_GB2312"/>
          <w:color w:val="auto"/>
          <w:sz w:val="32"/>
          <w:szCs w:val="32"/>
          <w:lang w:val="en-US" w:eastAsia="zh-CN"/>
        </w:rPr>
        <w:t>在一些</w:t>
      </w:r>
      <w:r>
        <w:rPr>
          <w:rFonts w:hint="eastAsia" w:ascii="仿宋_GB2312" w:hAnsi="仿宋_GB2312" w:eastAsia="仿宋_GB2312" w:cs="仿宋_GB2312"/>
          <w:color w:val="auto"/>
          <w:sz w:val="32"/>
          <w:szCs w:val="32"/>
        </w:rPr>
        <w:t>细分场景和领域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个人信息保护的配套制度建设正在稳步推进。国家网信办等部门发布《大型网络平台个人信息保护规定（征求意见稿）》《网络安全标识管理办法（征求意见稿）》《未成年人用户数量巨大和对未成年人群体具有显著影响的网络平台服务提供者认定办法（征求意见稿）》等，旨在将《个人信息保护法》的原则性规定转化为精准、可执行的监管制度，有效提升对消费者个人信息权益的保护层级。</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22" w:name="_Toc887"/>
      <w:bookmarkStart w:id="23" w:name="_Toc12376"/>
      <w:bookmarkStart w:id="24" w:name="_Toc221610665"/>
      <w:r>
        <w:rPr>
          <w:rFonts w:hint="eastAsia" w:ascii="黑体" w:hAnsi="黑体" w:eastAsia="黑体" w:cs="黑体"/>
          <w:bCs/>
          <w:color w:val="000000"/>
          <w:sz w:val="32"/>
          <w:szCs w:val="32"/>
        </w:rPr>
        <w:t>四、消费维权救济程序的法律制度更加科学合理</w:t>
      </w:r>
      <w:bookmarkEnd w:id="22"/>
      <w:bookmarkEnd w:id="23"/>
      <w:bookmarkEnd w:id="24"/>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文化和旅游部出台《文化和旅游部行政复议和应诉办法》，通过规范处理消费者复议申请及应诉程序，</w:t>
      </w:r>
      <w:r>
        <w:rPr>
          <w:rFonts w:hint="eastAsia" w:ascii="仿宋_GB2312" w:hAnsi="仿宋_GB2312" w:eastAsia="仿宋_GB2312" w:cs="仿宋_GB2312"/>
          <w:color w:val="auto"/>
          <w:sz w:val="32"/>
          <w:szCs w:val="32"/>
          <w:lang w:val="en-US" w:eastAsia="zh-CN"/>
        </w:rPr>
        <w:t>进一步</w:t>
      </w:r>
      <w:r>
        <w:rPr>
          <w:rFonts w:hint="eastAsia" w:ascii="仿宋_GB2312" w:hAnsi="仿宋_GB2312" w:eastAsia="仿宋_GB2312" w:cs="仿宋_GB2312"/>
          <w:color w:val="auto"/>
          <w:sz w:val="32"/>
          <w:szCs w:val="32"/>
        </w:rPr>
        <w:t>畅通消费者的维权渠道。金融监管总局印发《金融机构消费者权益保护监管评价办法》，从多个</w:t>
      </w:r>
      <w:r>
        <w:rPr>
          <w:rFonts w:hint="eastAsia" w:ascii="仿宋_GB2312" w:hAnsi="仿宋_GB2312" w:eastAsia="仿宋_GB2312" w:cs="仿宋_GB2312"/>
          <w:color w:val="auto"/>
          <w:sz w:val="32"/>
          <w:szCs w:val="32"/>
          <w:lang w:val="en-US" w:eastAsia="zh-CN"/>
        </w:rPr>
        <w:t>维度</w:t>
      </w:r>
      <w:r>
        <w:rPr>
          <w:rFonts w:hint="eastAsia" w:ascii="仿宋_GB2312" w:hAnsi="仿宋_GB2312" w:eastAsia="仿宋_GB2312" w:cs="仿宋_GB2312"/>
          <w:color w:val="auto"/>
          <w:sz w:val="32"/>
          <w:szCs w:val="32"/>
        </w:rPr>
        <w:t>评价金融机构消费者权益保护工作质效，督促金融机构依法合规经营，切实维护金融消费者合法权益。市场监管</w:t>
      </w:r>
      <w:r>
        <w:rPr>
          <w:rFonts w:hint="eastAsia" w:ascii="仿宋_GB2312" w:hAnsi="仿宋_GB2312" w:eastAsia="仿宋_GB2312" w:cs="仿宋_GB2312"/>
          <w:color w:val="auto"/>
          <w:sz w:val="32"/>
          <w:szCs w:val="32"/>
          <w:lang w:val="en-US" w:eastAsia="zh-CN"/>
        </w:rPr>
        <w:t>总局</w:t>
      </w:r>
      <w:r>
        <w:rPr>
          <w:rFonts w:hint="eastAsia" w:ascii="仿宋_GB2312" w:hAnsi="仿宋_GB2312" w:eastAsia="仿宋_GB2312" w:cs="仿宋_GB2312"/>
          <w:color w:val="auto"/>
          <w:sz w:val="32"/>
          <w:szCs w:val="32"/>
        </w:rPr>
        <w:t>出台《市场监督管理投诉举报处理办法》，完</w:t>
      </w:r>
      <w:r>
        <w:rPr>
          <w:rFonts w:hint="eastAsia" w:ascii="仿宋_GB2312" w:hAnsi="仿宋_GB2312" w:eastAsia="仿宋_GB2312" w:cs="仿宋_GB2312"/>
          <w:color w:val="auto"/>
          <w:kern w:val="0"/>
          <w:sz w:val="32"/>
          <w:szCs w:val="32"/>
        </w:rPr>
        <w:t>善行政调解等程序，提升消费维权效能，规制恶意索赔、防范制度滥用</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sz w:val="32"/>
          <w:szCs w:val="32"/>
        </w:rPr>
        <w:t>发布《电子商务平台协助查处商标侵权案件规定（征求意见稿）》面向社会公开征</w:t>
      </w:r>
      <w:r>
        <w:rPr>
          <w:rFonts w:hint="eastAsia" w:ascii="仿宋_GB2312" w:hAnsi="仿宋_GB2312" w:eastAsia="仿宋_GB2312" w:cs="仿宋_GB2312"/>
          <w:color w:val="auto"/>
          <w:kern w:val="0"/>
          <w:sz w:val="32"/>
          <w:szCs w:val="32"/>
        </w:rPr>
        <w:t>求意见，推进解决电商领域“幽灵网店”等导致的商标侵权执法难题，保障消费者</w:t>
      </w:r>
      <w:r>
        <w:rPr>
          <w:rFonts w:hint="eastAsia" w:ascii="仿宋_GB2312" w:hAnsi="仿宋_GB2312" w:eastAsia="仿宋_GB2312" w:cs="仿宋_GB2312"/>
          <w:color w:val="auto"/>
          <w:sz w:val="32"/>
          <w:szCs w:val="32"/>
        </w:rPr>
        <w:t>和生产</w:t>
      </w:r>
      <w:r>
        <w:rPr>
          <w:rFonts w:hint="eastAsia" w:ascii="仿宋_GB2312" w:hAnsi="仿宋_GB2312" w:eastAsia="仿宋_GB2312" w:cs="仿宋_GB2312"/>
          <w:color w:val="auto"/>
          <w:sz w:val="32"/>
          <w:szCs w:val="32"/>
          <w:lang w:val="en-US" w:eastAsia="zh-CN"/>
        </w:rPr>
        <w:t>者</w:t>
      </w:r>
      <w:r>
        <w:rPr>
          <w:rFonts w:hint="eastAsia" w:ascii="仿宋_GB2312" w:hAnsi="仿宋_GB2312" w:eastAsia="仿宋_GB2312" w:cs="仿宋_GB2312"/>
          <w:color w:val="auto"/>
          <w:sz w:val="32"/>
          <w:szCs w:val="32"/>
        </w:rPr>
        <w:t>、经营者合法权益。</w:t>
      </w:r>
    </w:p>
    <w:p>
      <w:pPr>
        <w:widowControl/>
        <w:jc w:val="left"/>
        <w:rPr>
          <w:rFonts w:hint="eastAsia" w:cs="等线"/>
          <w:color w:val="auto"/>
        </w:rPr>
      </w:pPr>
    </w:p>
    <w:p>
      <w:pPr>
        <w:pStyle w:val="25"/>
        <w:keepNext w:val="0"/>
        <w:keepLines w:val="0"/>
        <w:pageBreakBefore w:val="0"/>
        <w:widowControl w:val="0"/>
        <w:kinsoku/>
        <w:wordWrap/>
        <w:overflowPunct w:val="0"/>
        <w:topLinePunct/>
        <w:autoSpaceDE/>
        <w:autoSpaceDN/>
        <w:bidi w:val="0"/>
        <w:adjustRightInd/>
        <w:snapToGrid/>
        <w:spacing w:before="157" w:beforeLines="50" w:line="480" w:lineRule="exact"/>
        <w:ind w:left="0" w:leftChars="0" w:right="0" w:firstLine="0" w:firstLineChars="0"/>
        <w:jc w:val="center"/>
        <w:textAlignment w:val="auto"/>
        <w:outlineLvl w:val="9"/>
        <w:rPr>
          <w:rFonts w:hint="eastAsia" w:ascii="黑体" w:hAnsi="黑体" w:eastAsia="黑体" w:cs="黑体"/>
          <w:color w:val="000000"/>
          <w:sz w:val="28"/>
          <w:szCs w:val="28"/>
          <w:shd w:val="clear" w:color="auto" w:fill="FFFFFF"/>
        </w:rPr>
      </w:pPr>
      <w:r>
        <w:rPr>
          <w:rFonts w:hint="eastAsia" w:ascii="黑体" w:hAnsi="黑体" w:eastAsia="黑体" w:cs="黑体"/>
          <w:color w:val="000000"/>
          <w:sz w:val="31"/>
          <w:szCs w:val="31"/>
          <w:shd w:val="clear" w:color="auto" w:fill="FFFFFF"/>
        </w:rPr>
        <w:br w:type="page"/>
      </w:r>
      <w:r>
        <w:rPr>
          <w:rFonts w:hint="eastAsia" w:ascii="黑体" w:hAnsi="黑体" w:eastAsia="黑体" w:cs="黑体"/>
          <w:color w:val="000000"/>
          <w:sz w:val="28"/>
          <w:szCs w:val="28"/>
          <w:shd w:val="clear" w:color="auto" w:fill="FFFFFF"/>
        </w:rPr>
        <w:t>表2：2025年涉消费者权益保护的主要法律法规与</w:t>
      </w:r>
    </w:p>
    <w:tbl>
      <w:tblPr>
        <w:tblStyle w:val="17"/>
        <w:tblpPr w:leftFromText="180" w:rightFromText="180" w:vertAnchor="text" w:horzAnchor="page" w:tblpXSpec="center" w:tblpY="515"/>
        <w:tblOverlap w:val="never"/>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
        <w:gridCol w:w="3841"/>
        <w:gridCol w:w="2277"/>
        <w:gridCol w:w="116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类别</w:t>
            </w: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制定或修改的法律规范</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发布机构</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发布时间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法律</w:t>
            </w: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仿宋"/>
                <w:color w:val="auto"/>
                <w:sz w:val="21"/>
                <w:szCs w:val="21"/>
              </w:rPr>
            </w:pPr>
            <w:r>
              <w:rPr>
                <w:rFonts w:hint="eastAsia" w:ascii="宋体" w:hAnsi="宋体" w:eastAsia="宋体" w:cs="仿宋"/>
                <w:color w:val="auto"/>
                <w:sz w:val="21"/>
                <w:szCs w:val="21"/>
              </w:rPr>
              <w:t>中华人民共和国反不正当竞争法</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w:t>
            </w:r>
            <w:r>
              <w:rPr>
                <w:rFonts w:hint="eastAsia" w:ascii="宋体" w:hAnsi="宋体" w:eastAsia="宋体" w:cs="仿宋"/>
                <w:color w:val="auto"/>
                <w:sz w:val="21"/>
                <w:szCs w:val="21"/>
                <w:lang w:val="en-US" w:eastAsia="zh-CN"/>
              </w:rPr>
              <w:t>再</w:t>
            </w:r>
            <w:r>
              <w:rPr>
                <w:rFonts w:hint="eastAsia" w:ascii="宋体" w:hAnsi="宋体" w:eastAsia="宋体" w:cs="仿宋"/>
                <w:color w:val="auto"/>
                <w:sz w:val="21"/>
                <w:szCs w:val="21"/>
              </w:rPr>
              <w:t>次修订）</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全国人大常委会</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6月27日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中华人民共和国食品安全法（修正）</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全国人大常委会</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9月12日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中华人民共和国网络安全法（修正）</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全国人大常委会</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10月28日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restart"/>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行政</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法规</w:t>
            </w: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公共安全视频图像信息系统管理条例</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国务院</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1月13日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快递暂行条例（第二次修订）</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国务院</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4月13日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住房租赁条例</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国务院</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7月21日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restart"/>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部</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门</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规</w:t>
            </w:r>
          </w:p>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章</w:t>
            </w: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个人信息保护合规审计管理办法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国家网信办</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2月14日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人工智能生成合成内容标识办法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国家网信办、工业和信息化部、公安部</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3月7日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人脸识别技术应用安全管理办法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国家网信办、公安部</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3月21日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食品标识监督管理办法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市场监管总局</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3月27日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食品生产经营企业落实食品安全主体责任监督管理规定（修正）</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市场监管总局</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4月2日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集中用餐单位落实食品安全主体责任监督管理规定</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市场监管总局</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4月2日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边境旅游管理办法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文化和旅游部、外交部、公安部、海关总署</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4月9日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金融机构产品适当性管理办法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金融监管总局</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7月11日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文化和旅游部行政复议和应诉办法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文化和旅游部</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7月25日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餐饮服务连锁企业落实食品安全主体责任监督管理规定</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市场监管总局</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9月28日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个人信息出境认证办法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国家网信办、市场监管总局</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10月14日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金融机构客户尽职调查和客户身份资料及交易记录保存管理办法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人民银行、金融监管总局、证监会</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11月28日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网络交易平台规则监督管理办法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市场监管总局、国家</w:t>
            </w:r>
            <w:r>
              <w:rPr>
                <w:rFonts w:hint="eastAsia" w:ascii="宋体" w:hAnsi="宋体" w:eastAsia="宋体" w:cs="仿宋"/>
                <w:color w:val="auto"/>
                <w:sz w:val="21"/>
                <w:szCs w:val="21"/>
                <w:lang w:val="en-US" w:eastAsia="zh-CN"/>
              </w:rPr>
              <w:t>网</w:t>
            </w:r>
            <w:r>
              <w:rPr>
                <w:rFonts w:hint="eastAsia" w:ascii="宋体" w:hAnsi="宋体" w:eastAsia="宋体" w:cs="仿宋"/>
                <w:color w:val="auto"/>
                <w:sz w:val="21"/>
                <w:szCs w:val="21"/>
              </w:rPr>
              <w:t>信办</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12月18日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直播电商监督管理办法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市场监管总局、国家网信办</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12月18日</w:t>
            </w:r>
          </w:p>
          <w:p>
            <w:pPr>
              <w:keepNext w:val="0"/>
              <w:keepLines w:val="0"/>
              <w:pageBreakBefore w:val="0"/>
              <w:widowControl w:val="0"/>
              <w:kinsoku/>
              <w:wordWrap/>
              <w:overflowPunct/>
              <w:topLinePunct w:val="0"/>
              <w:autoSpaceDE/>
              <w:autoSpaceDN/>
              <w:bidi w:val="0"/>
              <w:adjustRightInd/>
              <w:snapToGrid/>
              <w:spacing w:line="280" w:lineRule="exact"/>
              <w:jc w:val="left"/>
              <w:textAlignment w:val="auto"/>
              <w:rPr>
                <w:rFonts w:hint="eastAsia" w:ascii="宋体" w:hAnsi="宋体" w:eastAsia="宋体" w:cs="仿宋"/>
                <w:color w:val="auto"/>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互联网平台价格行为规则</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发展改革委、市场监管总局、国家网信办</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12月20日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shd w:val="clear" w:color="auto" w:fill="FFFFFF"/>
              </w:rPr>
            </w:pPr>
            <w:r>
              <w:rPr>
                <w:rFonts w:hint="eastAsia" w:ascii="宋体" w:hAnsi="宋体" w:eastAsia="宋体" w:cs="仿宋"/>
                <w:color w:val="auto"/>
                <w:sz w:val="21"/>
                <w:szCs w:val="21"/>
                <w:shd w:val="clear" w:color="auto" w:fill="FFFFFF"/>
              </w:rPr>
              <w:t>网络销售重点工业产品质量安全监督管理规定</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市场监管总局</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12月23日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shd w:val="clear" w:color="auto" w:fill="FFFFFF"/>
              </w:rPr>
              <w:t>食品销售连锁企业落实食品安全主体责任监督管理规定</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市场监管总局</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12月23日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仿宋"/>
                <w:color w:val="auto"/>
                <w:sz w:val="21"/>
                <w:szCs w:val="21"/>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shd w:val="clear" w:color="auto" w:fill="FFFFFF"/>
              </w:rPr>
              <w:t>食品委托生产监督管理办法</w:t>
            </w:r>
          </w:p>
        </w:tc>
        <w:tc>
          <w:tcPr>
            <w:tcW w:w="2277"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市场监管总局</w:t>
            </w:r>
          </w:p>
        </w:tc>
        <w:tc>
          <w:tcPr>
            <w:tcW w:w="1164"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12月29日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45" w:type="dxa"/>
            <w:vMerge w:val="continue"/>
            <w:tcBorders>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shd w:val="clear" w:color="auto" w:fill="FFFFFF"/>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shd w:val="clear" w:color="auto" w:fill="FFFFFF"/>
              </w:rPr>
            </w:pPr>
            <w:r>
              <w:rPr>
                <w:rFonts w:hint="eastAsia" w:ascii="宋体" w:hAnsi="宋体" w:eastAsia="宋体" w:cs="仿宋"/>
                <w:color w:val="auto"/>
                <w:sz w:val="21"/>
                <w:szCs w:val="21"/>
                <w:shd w:val="clear" w:color="auto" w:fill="FFFFFF"/>
              </w:rPr>
              <w:t>市场监督管理投诉举报处理办法（修订）</w:t>
            </w:r>
          </w:p>
        </w:tc>
        <w:tc>
          <w:tcPr>
            <w:tcW w:w="2277"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市场监管总局</w:t>
            </w:r>
          </w:p>
        </w:tc>
        <w:tc>
          <w:tcPr>
            <w:tcW w:w="1164" w:type="dxa"/>
            <w:tcBorders>
              <w:top w:val="single" w:color="auto" w:sz="4" w:space="0"/>
              <w:left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12月30日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945" w:type="dxa"/>
            <w:vMerge w:val="continue"/>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shd w:val="clear" w:color="auto" w:fill="FFFFFF"/>
              </w:rPr>
            </w:pPr>
          </w:p>
        </w:tc>
        <w:tc>
          <w:tcPr>
            <w:tcW w:w="3841" w:type="dxa"/>
            <w:tcBorders>
              <w:top w:val="single" w:color="auto" w:sz="4" w:space="0"/>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shd w:val="clear" w:color="auto" w:fill="FFFFFF"/>
              </w:rPr>
            </w:pPr>
            <w:r>
              <w:rPr>
                <w:rFonts w:hint="eastAsia" w:ascii="宋体" w:hAnsi="宋体" w:eastAsia="宋体" w:cs="仿宋"/>
                <w:color w:val="auto"/>
                <w:sz w:val="21"/>
                <w:szCs w:val="21"/>
                <w:shd w:val="clear" w:color="auto" w:fill="FFFFFF"/>
              </w:rPr>
              <w:t>纤维制品质量监督管理办法</w:t>
            </w:r>
          </w:p>
        </w:tc>
        <w:tc>
          <w:tcPr>
            <w:tcW w:w="2277" w:type="dxa"/>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hint="eastAsia" w:ascii="宋体" w:hAnsi="宋体" w:eastAsia="宋体" w:cs="仿宋"/>
                <w:color w:val="auto"/>
                <w:sz w:val="21"/>
                <w:szCs w:val="21"/>
              </w:rPr>
              <w:t>市场监管总局</w:t>
            </w:r>
          </w:p>
        </w:tc>
        <w:tc>
          <w:tcPr>
            <w:tcW w:w="1164" w:type="dxa"/>
            <w:tcBorders>
              <w:left w:val="single" w:color="auto" w:sz="4" w:space="0"/>
              <w:bottom w:val="single" w:color="auto" w:sz="4" w:space="0"/>
              <w:right w:val="single" w:color="auto" w:sz="4" w:space="0"/>
            </w:tcBorders>
            <w:noWrap w:val="0"/>
            <w:vAlign w:val="center"/>
          </w:tcPr>
          <w:p>
            <w:pPr>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仿宋"/>
                <w:color w:val="auto"/>
                <w:sz w:val="21"/>
                <w:szCs w:val="21"/>
              </w:rPr>
            </w:pPr>
            <w:r>
              <w:rPr>
                <w:rFonts w:ascii="宋体" w:hAnsi="宋体" w:eastAsia="宋体" w:cs="仿宋"/>
                <w:color w:val="auto"/>
                <w:sz w:val="21"/>
                <w:szCs w:val="21"/>
              </w:rPr>
              <w:t>12</w:t>
            </w:r>
            <w:r>
              <w:rPr>
                <w:rFonts w:hint="eastAsia" w:ascii="宋体" w:hAnsi="宋体" w:eastAsia="宋体" w:cs="仿宋"/>
                <w:color w:val="auto"/>
                <w:sz w:val="21"/>
                <w:szCs w:val="21"/>
              </w:rPr>
              <w:t>月2</w:t>
            </w:r>
            <w:r>
              <w:rPr>
                <w:rFonts w:ascii="宋体" w:hAnsi="宋体" w:eastAsia="宋体" w:cs="仿宋"/>
                <w:color w:val="auto"/>
                <w:sz w:val="21"/>
                <w:szCs w:val="21"/>
              </w:rPr>
              <w:t>5</w:t>
            </w:r>
            <w:r>
              <w:rPr>
                <w:rFonts w:hint="eastAsia" w:ascii="宋体" w:hAnsi="宋体" w:eastAsia="宋体" w:cs="仿宋"/>
                <w:color w:val="auto"/>
                <w:sz w:val="21"/>
                <w:szCs w:val="21"/>
              </w:rPr>
              <w:t>日</w:t>
            </w:r>
          </w:p>
        </w:tc>
      </w:tr>
    </w:tbl>
    <w:p>
      <w:pPr>
        <w:pStyle w:val="25"/>
        <w:keepNext w:val="0"/>
        <w:keepLines w:val="0"/>
        <w:pageBreakBefore w:val="0"/>
        <w:widowControl w:val="0"/>
        <w:kinsoku/>
        <w:wordWrap/>
        <w:overflowPunct w:val="0"/>
        <w:topLinePunct/>
        <w:autoSpaceDE/>
        <w:autoSpaceDN/>
        <w:bidi w:val="0"/>
        <w:adjustRightInd/>
        <w:snapToGrid/>
        <w:spacing w:line="400" w:lineRule="exact"/>
        <w:ind w:left="0" w:leftChars="0" w:right="0" w:firstLine="0" w:firstLineChars="0"/>
        <w:jc w:val="center"/>
        <w:textAlignment w:val="auto"/>
        <w:outlineLvl w:val="9"/>
        <w:rPr>
          <w:rFonts w:hint="eastAsia" w:ascii="黑体" w:hAnsi="黑体" w:eastAsia="黑体" w:cs="黑体"/>
          <w:b w:val="0"/>
          <w:bCs w:val="0"/>
          <w:color w:val="000000"/>
          <w:sz w:val="28"/>
          <w:szCs w:val="28"/>
          <w:shd w:val="clear" w:color="auto" w:fill="FFFFFF"/>
        </w:rPr>
      </w:pPr>
      <w:r>
        <w:rPr>
          <w:rFonts w:hint="eastAsia" w:ascii="黑体" w:hAnsi="黑体" w:eastAsia="黑体" w:cs="黑体"/>
          <w:color w:val="000000"/>
          <w:sz w:val="28"/>
          <w:szCs w:val="28"/>
          <w:shd w:val="clear" w:color="auto" w:fill="FFFFFF"/>
        </w:rPr>
        <w:t>规章修改建立情况</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25" w:name="_Toc221610667"/>
      <w:bookmarkStart w:id="26" w:name="_Toc21171"/>
      <w:bookmarkStart w:id="27" w:name="_Toc13520"/>
      <w:r>
        <w:rPr>
          <w:rFonts w:hint="eastAsia" w:ascii="黑体" w:hAnsi="黑体" w:eastAsia="黑体" w:cs="黑体"/>
          <w:bCs/>
          <w:color w:val="000000"/>
          <w:sz w:val="32"/>
          <w:szCs w:val="32"/>
        </w:rPr>
        <w:t>五、消费者权益保护的地方立法持续深入推进</w:t>
      </w:r>
      <w:bookmarkEnd w:id="25"/>
      <w:bookmarkEnd w:id="26"/>
      <w:bookmarkEnd w:id="27"/>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一是</w:t>
      </w:r>
      <w:r>
        <w:rPr>
          <w:rFonts w:hint="eastAsia" w:ascii="仿宋_GB2312" w:hAnsi="仿宋_GB2312" w:eastAsia="仿宋_GB2312" w:cs="仿宋_GB2312"/>
          <w:color w:val="auto"/>
          <w:sz w:val="32"/>
          <w:szCs w:val="32"/>
          <w:lang w:val="en-US" w:eastAsia="zh-CN"/>
        </w:rPr>
        <w:t>多地</w:t>
      </w:r>
      <w:r>
        <w:rPr>
          <w:rFonts w:hint="eastAsia" w:ascii="仿宋_GB2312" w:hAnsi="仿宋_GB2312" w:eastAsia="仿宋_GB2312" w:cs="仿宋_GB2312"/>
          <w:color w:val="auto"/>
          <w:sz w:val="32"/>
          <w:szCs w:val="32"/>
        </w:rPr>
        <w:t>适应新形势修改完善消费者权益综合保护和市场秩序规范的地方立法。</w:t>
      </w:r>
      <w:r>
        <w:rPr>
          <w:rFonts w:hint="eastAsia" w:ascii="仿宋_GB2312" w:hAnsi="仿宋_GB2312" w:eastAsia="仿宋_GB2312" w:cs="仿宋_GB2312"/>
          <w:color w:val="auto"/>
          <w:sz w:val="32"/>
          <w:szCs w:val="32"/>
          <w:lang w:val="en-US" w:eastAsia="zh-CN"/>
        </w:rPr>
        <w:t>如</w:t>
      </w:r>
      <w:r>
        <w:rPr>
          <w:rFonts w:hint="eastAsia" w:ascii="仿宋_GB2312" w:hAnsi="仿宋_GB2312" w:eastAsia="仿宋_GB2312" w:cs="仿宋_GB2312"/>
          <w:color w:val="auto"/>
          <w:sz w:val="32"/>
          <w:szCs w:val="32"/>
        </w:rPr>
        <w:t>江苏省第二次修订《江苏省消费者权益保护条例》，从多个维度强化了消费者权益的法治保障，更加贴合新形势下的监管需要和维权实践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吉林省修订《吉林省反不正当竞争条例》，致力于适应新形势</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维护公平竞争市场环境。</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二是</w:t>
      </w:r>
      <w:r>
        <w:rPr>
          <w:rFonts w:hint="eastAsia" w:ascii="仿宋_GB2312" w:hAnsi="仿宋_GB2312" w:eastAsia="仿宋_GB2312" w:cs="仿宋_GB2312"/>
          <w:color w:val="auto"/>
          <w:sz w:val="32"/>
          <w:szCs w:val="32"/>
          <w:lang w:val="en-US" w:eastAsia="zh-CN"/>
        </w:rPr>
        <w:t>部分地方</w:t>
      </w:r>
      <w:r>
        <w:rPr>
          <w:rFonts w:hint="eastAsia" w:ascii="仿宋_GB2312" w:hAnsi="仿宋_GB2312" w:eastAsia="仿宋_GB2312" w:cs="仿宋_GB2312"/>
          <w:color w:val="auto"/>
          <w:sz w:val="32"/>
          <w:szCs w:val="32"/>
        </w:rPr>
        <w:t>积极推进制定</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修改涉民生消费安全的地方性立法。</w:t>
      </w:r>
      <w:r>
        <w:rPr>
          <w:rFonts w:hint="eastAsia" w:ascii="仿宋_GB2312" w:hAnsi="仿宋_GB2312" w:eastAsia="仿宋_GB2312" w:cs="仿宋_GB2312"/>
          <w:color w:val="auto"/>
          <w:sz w:val="32"/>
          <w:szCs w:val="32"/>
          <w:lang w:val="en-US" w:eastAsia="zh-CN"/>
        </w:rPr>
        <w:t>如</w:t>
      </w:r>
      <w:r>
        <w:rPr>
          <w:rFonts w:hint="eastAsia" w:ascii="仿宋_GB2312" w:hAnsi="仿宋_GB2312" w:eastAsia="仿宋_GB2312" w:cs="仿宋_GB2312"/>
          <w:color w:val="auto"/>
          <w:spacing w:val="15"/>
          <w:sz w:val="32"/>
          <w:szCs w:val="32"/>
        </w:rPr>
        <w:t>北京市</w:t>
      </w:r>
      <w:r>
        <w:rPr>
          <w:rFonts w:hint="eastAsia" w:ascii="仿宋_GB2312" w:hAnsi="仿宋_GB2312" w:eastAsia="仿宋_GB2312" w:cs="仿宋_GB2312"/>
          <w:color w:val="auto"/>
          <w:spacing w:val="15"/>
          <w:sz w:val="32"/>
          <w:szCs w:val="32"/>
          <w:lang w:val="en-US" w:eastAsia="zh-CN"/>
        </w:rPr>
        <w:t>制定</w:t>
      </w:r>
      <w:r>
        <w:rPr>
          <w:rFonts w:hint="eastAsia" w:ascii="仿宋_GB2312" w:hAnsi="仿宋_GB2312" w:eastAsia="仿宋_GB2312" w:cs="仿宋_GB2312"/>
          <w:color w:val="auto"/>
          <w:spacing w:val="15"/>
          <w:sz w:val="32"/>
          <w:szCs w:val="32"/>
        </w:rPr>
        <w:t>《北京市房屋建筑使用安全条例》，通过立法建立健</w:t>
      </w:r>
      <w:r>
        <w:rPr>
          <w:rFonts w:hint="eastAsia" w:ascii="仿宋_GB2312" w:hAnsi="仿宋_GB2312" w:eastAsia="仿宋_GB2312" w:cs="仿宋_GB2312"/>
          <w:color w:val="auto"/>
          <w:sz w:val="32"/>
          <w:szCs w:val="32"/>
        </w:rPr>
        <w:t>全房屋建筑使用安全和隐患治理机制，为城市</w:t>
      </w:r>
      <w:r>
        <w:rPr>
          <w:rFonts w:hint="eastAsia" w:ascii="仿宋_GB2312" w:hAnsi="仿宋_GB2312" w:eastAsia="仿宋_GB2312" w:cs="仿宋_GB2312"/>
          <w:color w:val="auto"/>
          <w:sz w:val="32"/>
          <w:szCs w:val="32"/>
          <w:lang w:val="en-US" w:eastAsia="zh-CN"/>
        </w:rPr>
        <w:t>建筑</w:t>
      </w:r>
      <w:r>
        <w:rPr>
          <w:rFonts w:hint="eastAsia" w:ascii="仿宋_GB2312" w:hAnsi="仿宋_GB2312" w:eastAsia="仿宋_GB2312" w:cs="仿宋_GB2312"/>
          <w:color w:val="auto"/>
          <w:sz w:val="32"/>
          <w:szCs w:val="32"/>
        </w:rPr>
        <w:t>安全稳定运行提供</w:t>
      </w:r>
      <w:r>
        <w:rPr>
          <w:rFonts w:hint="eastAsia" w:ascii="仿宋_GB2312" w:hAnsi="仿宋_GB2312" w:eastAsia="仿宋_GB2312" w:cs="仿宋_GB2312"/>
          <w:color w:val="auto"/>
          <w:sz w:val="32"/>
          <w:szCs w:val="32"/>
          <w:lang w:val="en-US" w:eastAsia="zh-CN"/>
        </w:rPr>
        <w:t>重要</w:t>
      </w:r>
      <w:r>
        <w:rPr>
          <w:rFonts w:hint="eastAsia" w:ascii="仿宋_GB2312" w:hAnsi="仿宋_GB2312" w:eastAsia="仿宋_GB2312" w:cs="仿宋_GB2312"/>
          <w:color w:val="auto"/>
          <w:sz w:val="32"/>
          <w:szCs w:val="32"/>
        </w:rPr>
        <w:t>保障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河南、山东、山西、安徽、上海等省市制定粮食安全保障条例或实施《粮食安全保障法》的相关办法，将耕地保护、粮食生产、储备流通等全链条工作制度化，筑牢粮食安全底线</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福建、湖北、浙江等多地制定或修订农产品质量安全条例，旨在通过法治手段构建从农田到餐桌的全过程监管体系，保障公众健康和消费安全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湖北、重庆、</w:t>
      </w:r>
      <w:r>
        <w:rPr>
          <w:rFonts w:hint="eastAsia" w:ascii="仿宋_GB2312" w:hAnsi="仿宋_GB2312" w:eastAsia="仿宋_GB2312" w:cs="仿宋_GB2312"/>
          <w:color w:val="auto"/>
          <w:kern w:val="0"/>
          <w:sz w:val="32"/>
          <w:szCs w:val="32"/>
        </w:rPr>
        <w:t>内蒙古等</w:t>
      </w:r>
      <w:r>
        <w:rPr>
          <w:rFonts w:hint="eastAsia" w:ascii="仿宋_GB2312" w:hAnsi="仿宋_GB2312" w:eastAsia="仿宋_GB2312" w:cs="仿宋_GB2312"/>
          <w:color w:val="auto"/>
          <w:kern w:val="0"/>
          <w:sz w:val="32"/>
          <w:szCs w:val="32"/>
          <w:lang w:val="en-US" w:eastAsia="zh-CN"/>
        </w:rPr>
        <w:t>地</w:t>
      </w:r>
      <w:r>
        <w:rPr>
          <w:rFonts w:hint="eastAsia" w:ascii="仿宋_GB2312" w:hAnsi="仿宋_GB2312" w:eastAsia="仿宋_GB2312" w:cs="仿宋_GB2312"/>
          <w:color w:val="auto"/>
          <w:kern w:val="0"/>
          <w:sz w:val="32"/>
          <w:szCs w:val="32"/>
        </w:rPr>
        <w:t>分别发布电梯安全条例、特种设备安全条例、电动自行车管理条例等地方</w:t>
      </w:r>
      <w:r>
        <w:rPr>
          <w:rFonts w:hint="eastAsia" w:ascii="仿宋_GB2312" w:hAnsi="仿宋_GB2312" w:eastAsia="仿宋_GB2312" w:cs="仿宋_GB2312"/>
          <w:color w:val="auto"/>
          <w:kern w:val="0"/>
          <w:sz w:val="32"/>
          <w:szCs w:val="32"/>
          <w:lang w:val="en-US" w:eastAsia="zh-CN"/>
        </w:rPr>
        <w:t>性</w:t>
      </w:r>
      <w:r>
        <w:rPr>
          <w:rFonts w:hint="eastAsia" w:ascii="仿宋_GB2312" w:hAnsi="仿宋_GB2312" w:eastAsia="仿宋_GB2312" w:cs="仿宋_GB2312"/>
          <w:color w:val="auto"/>
          <w:kern w:val="0"/>
          <w:sz w:val="32"/>
          <w:szCs w:val="32"/>
        </w:rPr>
        <w:t>法规</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筑牢相关领域消费安全底线</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sz w:val="32"/>
          <w:szCs w:val="32"/>
        </w:rPr>
        <w:t>江苏、福建、四川等省修订地方燃气管理条例，强化特种设备和能源安全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浙江省发布《浙江省实施〈中华人民共和国反电信网络诈骗法〉办法》，精准打击电信网络诈骗犯罪，守护</w:t>
      </w:r>
      <w:r>
        <w:rPr>
          <w:rFonts w:hint="eastAsia" w:ascii="仿宋_GB2312" w:hAnsi="仿宋_GB2312" w:eastAsia="仿宋_GB2312" w:cs="仿宋_GB2312"/>
          <w:color w:val="auto"/>
          <w:sz w:val="32"/>
          <w:szCs w:val="32"/>
          <w:lang w:val="en-US" w:eastAsia="zh-CN"/>
        </w:rPr>
        <w:t>消费者</w:t>
      </w:r>
      <w:r>
        <w:rPr>
          <w:rFonts w:hint="eastAsia" w:ascii="仿宋_GB2312" w:hAnsi="仿宋_GB2312" w:eastAsia="仿宋_GB2312" w:cs="仿宋_GB2312"/>
          <w:color w:val="auto"/>
          <w:sz w:val="32"/>
          <w:szCs w:val="32"/>
        </w:rPr>
        <w:t>财产安全。</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三是旅游</w:t>
      </w:r>
      <w:r>
        <w:rPr>
          <w:rFonts w:hint="eastAsia" w:ascii="仿宋_GB2312" w:hAnsi="仿宋_GB2312" w:eastAsia="仿宋_GB2312" w:cs="仿宋_GB2312"/>
          <w:color w:val="auto"/>
          <w:sz w:val="32"/>
          <w:szCs w:val="32"/>
          <w:lang w:val="en-US" w:eastAsia="zh-CN"/>
        </w:rPr>
        <w:t>消费</w:t>
      </w:r>
      <w:r>
        <w:rPr>
          <w:rFonts w:hint="eastAsia" w:ascii="仿宋_GB2312" w:hAnsi="仿宋_GB2312" w:eastAsia="仿宋_GB2312" w:cs="仿宋_GB2312"/>
          <w:color w:val="auto"/>
          <w:sz w:val="32"/>
          <w:szCs w:val="32"/>
        </w:rPr>
        <w:t>领域地方立法进一步完善。</w:t>
      </w:r>
      <w:r>
        <w:rPr>
          <w:rFonts w:hint="eastAsia" w:ascii="仿宋_GB2312" w:hAnsi="仿宋_GB2312" w:eastAsia="仿宋_GB2312" w:cs="仿宋_GB2312"/>
          <w:color w:val="auto"/>
          <w:sz w:val="32"/>
          <w:szCs w:val="32"/>
          <w:lang w:val="en-US" w:eastAsia="zh-CN"/>
        </w:rPr>
        <w:t>如</w:t>
      </w:r>
      <w:r>
        <w:rPr>
          <w:rFonts w:hint="eastAsia" w:ascii="仿宋_GB2312" w:hAnsi="仿宋_GB2312" w:eastAsia="仿宋_GB2312" w:cs="仿宋_GB2312"/>
          <w:color w:val="auto"/>
          <w:sz w:val="32"/>
          <w:szCs w:val="32"/>
          <w:shd w:val="clear" w:color="auto" w:fill="FFFFFF"/>
        </w:rPr>
        <w:t>北京市制定《北京市长城保护条例》，规定了建立长城参观游览区名录、运营单位的</w:t>
      </w:r>
      <w:r>
        <w:rPr>
          <w:rFonts w:hint="eastAsia" w:ascii="仿宋_GB2312" w:hAnsi="仿宋_GB2312" w:eastAsia="仿宋_GB2312" w:cs="仿宋_GB2312"/>
          <w:color w:val="auto"/>
          <w:sz w:val="32"/>
          <w:szCs w:val="32"/>
          <w:shd w:val="clear" w:color="auto" w:fill="FFFFFF"/>
          <w:lang w:val="en-US" w:eastAsia="zh-CN"/>
        </w:rPr>
        <w:t>责任以及</w:t>
      </w:r>
      <w:r>
        <w:rPr>
          <w:rFonts w:hint="eastAsia" w:ascii="仿宋_GB2312" w:hAnsi="仿宋_GB2312" w:eastAsia="仿宋_GB2312" w:cs="仿宋_GB2312"/>
          <w:color w:val="auto"/>
          <w:sz w:val="32"/>
          <w:szCs w:val="32"/>
          <w:shd w:val="clear" w:color="auto" w:fill="FFFFFF"/>
        </w:rPr>
        <w:t>有关部门完善旅游服务设施</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促进文旅融合发展的职责</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rPr>
        <w:t>浙江省修订当地的旅游条例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进一步</w:t>
      </w:r>
      <w:r>
        <w:rPr>
          <w:rFonts w:hint="eastAsia" w:ascii="仿宋_GB2312" w:hAnsi="仿宋_GB2312" w:eastAsia="仿宋_GB2312" w:cs="仿宋_GB2312"/>
          <w:color w:val="auto"/>
          <w:sz w:val="32"/>
          <w:szCs w:val="32"/>
          <w:lang w:eastAsia="zh-CN"/>
        </w:rPr>
        <w:t>规范旅游市场秩序，促进旅游业高质量发展，满足人民群众多样化多层次的旅游需求；</w:t>
      </w:r>
      <w:r>
        <w:rPr>
          <w:rFonts w:hint="eastAsia" w:ascii="仿宋_GB2312" w:hAnsi="仿宋_GB2312" w:eastAsia="仿宋_GB2312" w:cs="仿宋_GB2312"/>
          <w:color w:val="auto"/>
          <w:sz w:val="32"/>
          <w:szCs w:val="32"/>
        </w:rPr>
        <w:t>海南省公布《海南自由贸易港旅游条例》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全方位提升游客在海南的消费体验与权益保障水平。</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四是</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一老一小</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消费者</w:t>
      </w:r>
      <w:r>
        <w:rPr>
          <w:rFonts w:hint="eastAsia" w:ascii="仿宋_GB2312" w:hAnsi="仿宋_GB2312" w:eastAsia="仿宋_GB2312" w:cs="仿宋_GB2312"/>
          <w:color w:val="auto"/>
          <w:sz w:val="32"/>
          <w:szCs w:val="32"/>
        </w:rPr>
        <w:t>权益保障的地方立法</w:t>
      </w:r>
      <w:r>
        <w:rPr>
          <w:rFonts w:hint="eastAsia" w:ascii="仿宋_GB2312" w:hAnsi="仿宋_GB2312" w:eastAsia="仿宋_GB2312" w:cs="仿宋_GB2312"/>
          <w:color w:val="auto"/>
          <w:sz w:val="32"/>
          <w:szCs w:val="32"/>
          <w:lang w:val="en-US" w:eastAsia="zh-CN"/>
        </w:rPr>
        <w:t>进一步充实</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如</w:t>
      </w:r>
      <w:r>
        <w:rPr>
          <w:rFonts w:hint="eastAsia" w:ascii="仿宋_GB2312" w:hAnsi="仿宋_GB2312" w:eastAsia="仿宋_GB2312" w:cs="仿宋_GB2312"/>
          <w:color w:val="auto"/>
          <w:kern w:val="0"/>
          <w:sz w:val="32"/>
          <w:szCs w:val="32"/>
        </w:rPr>
        <w:t>吉林制定地方《养老服务条例》</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致力于</w:t>
      </w:r>
      <w:r>
        <w:rPr>
          <w:rFonts w:hint="eastAsia" w:ascii="仿宋_GB2312" w:hAnsi="仿宋_GB2312" w:eastAsia="仿宋_GB2312" w:cs="仿宋_GB2312"/>
          <w:color w:val="auto"/>
          <w:kern w:val="0"/>
          <w:sz w:val="32"/>
          <w:szCs w:val="32"/>
          <w:lang w:eastAsia="zh-CN"/>
        </w:rPr>
        <w:t>满足老年人多样化、多层次养老服务需求，规范养老服务行为，健全养老服务体系，促进养老服务高质量发展；</w:t>
      </w:r>
      <w:r>
        <w:rPr>
          <w:rFonts w:hint="eastAsia" w:ascii="仿宋_GB2312" w:hAnsi="仿宋_GB2312" w:eastAsia="仿宋_GB2312" w:cs="仿宋_GB2312"/>
          <w:color w:val="auto"/>
          <w:kern w:val="0"/>
          <w:sz w:val="32"/>
          <w:szCs w:val="32"/>
          <w:lang w:val="en-US" w:eastAsia="zh-CN"/>
        </w:rPr>
        <w:t>上海市修订《上海市老年人权益保障条例》，从制度层面升级老年人权益保障体系，大力激活银发经济潜力，加强消费者权益保护。</w:t>
      </w:r>
      <w:r>
        <w:rPr>
          <w:rFonts w:hint="eastAsia" w:ascii="仿宋_GB2312" w:hAnsi="仿宋_GB2312" w:eastAsia="仿宋_GB2312" w:cs="仿宋_GB2312"/>
          <w:color w:val="auto"/>
          <w:sz w:val="32"/>
          <w:szCs w:val="32"/>
          <w:lang w:val="en-US" w:eastAsia="zh-CN"/>
        </w:rPr>
        <w:t>福建省制定</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福建省</w:t>
      </w:r>
      <w:r>
        <w:rPr>
          <w:rFonts w:hint="eastAsia" w:ascii="仿宋_GB2312" w:hAnsi="仿宋_GB2312" w:eastAsia="仿宋_GB2312" w:cs="仿宋_GB2312"/>
          <w:color w:val="auto"/>
          <w:sz w:val="32"/>
          <w:szCs w:val="32"/>
        </w:rPr>
        <w:t>未成年人保护条例》</w:t>
      </w:r>
      <w:r>
        <w:rPr>
          <w:rFonts w:hint="eastAsia" w:ascii="仿宋_GB2312" w:hAnsi="仿宋_GB2312" w:eastAsia="仿宋_GB2312" w:cs="仿宋_GB2312"/>
          <w:color w:val="auto"/>
          <w:sz w:val="32"/>
          <w:szCs w:val="32"/>
          <w:lang w:eastAsia="zh-CN"/>
        </w:rPr>
        <w:t>，强化未成年人</w:t>
      </w:r>
      <w:r>
        <w:rPr>
          <w:rFonts w:hint="eastAsia" w:ascii="仿宋_GB2312" w:hAnsi="仿宋_GB2312" w:eastAsia="仿宋_GB2312" w:cs="仿宋_GB2312"/>
          <w:color w:val="auto"/>
          <w:sz w:val="32"/>
          <w:szCs w:val="32"/>
          <w:lang w:val="en-US" w:eastAsia="zh-CN"/>
        </w:rPr>
        <w:t>合法权益</w:t>
      </w:r>
      <w:r>
        <w:rPr>
          <w:rFonts w:hint="eastAsia" w:ascii="仿宋_GB2312" w:hAnsi="仿宋_GB2312" w:eastAsia="仿宋_GB2312" w:cs="仿宋_GB2312"/>
          <w:color w:val="auto"/>
          <w:sz w:val="32"/>
          <w:szCs w:val="32"/>
          <w:lang w:eastAsia="zh-CN"/>
        </w:rPr>
        <w:t>保护，</w:t>
      </w:r>
      <w:r>
        <w:rPr>
          <w:rFonts w:hint="eastAsia" w:ascii="仿宋_GB2312" w:hAnsi="仿宋_GB2312" w:eastAsia="仿宋_GB2312" w:cs="仿宋_GB2312"/>
          <w:color w:val="auto"/>
          <w:sz w:val="32"/>
          <w:szCs w:val="32"/>
          <w:lang w:val="en-US" w:eastAsia="zh-CN"/>
        </w:rPr>
        <w:t>特别是加强了对未成年人涉网络消费的管理规定</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此外，湖北、湖南、甘肃、</w:t>
      </w:r>
      <w:r>
        <w:rPr>
          <w:rFonts w:hint="eastAsia" w:ascii="仿宋_GB2312" w:hAnsi="仿宋_GB2312" w:eastAsia="仿宋_GB2312" w:cs="仿宋_GB2312"/>
          <w:color w:val="auto"/>
          <w:kern w:val="0"/>
          <w:sz w:val="32"/>
          <w:szCs w:val="32"/>
        </w:rPr>
        <w:t>新疆维吾尔自治区</w:t>
      </w:r>
      <w:r>
        <w:rPr>
          <w:rFonts w:hint="eastAsia" w:ascii="仿宋_GB2312" w:hAnsi="仿宋_GB2312" w:eastAsia="仿宋_GB2312" w:cs="仿宋_GB2312"/>
          <w:color w:val="auto"/>
          <w:sz w:val="32"/>
          <w:szCs w:val="32"/>
        </w:rPr>
        <w:t>等地区相继发布本地区数据条例，积极构建数据治理规则，维护消费者权益。地方立法的持续推进，精准应对当地消费领域的突出问题与挑战，成为国家立法的重要补充，对于不断完善消费者权益保护法律体系具有重要意义。</w:t>
      </w:r>
    </w:p>
    <w:p>
      <w:pPr>
        <w:rPr>
          <w:rFonts w:hint="eastAsia" w:ascii="方正小标宋简体" w:hAnsi="方正小标宋简体" w:eastAsia="方正小标宋简体" w:cs="方正小标宋简体"/>
          <w:b w:val="0"/>
          <w:bCs/>
          <w:color w:val="000000"/>
          <w:w w:val="95"/>
          <w:sz w:val="44"/>
          <w:szCs w:val="44"/>
        </w:rPr>
      </w:pPr>
      <w:r>
        <w:rPr>
          <w:rFonts w:hint="eastAsia" w:ascii="方正小标宋简体" w:hAnsi="方正小标宋简体" w:eastAsia="方正小标宋简体" w:cs="方正小标宋简体"/>
          <w:b w:val="0"/>
          <w:bCs/>
          <w:color w:val="000000"/>
          <w:w w:val="95"/>
          <w:sz w:val="44"/>
          <w:szCs w:val="44"/>
        </w:rPr>
        <w:br w:type="page"/>
      </w:r>
    </w:p>
    <w:p>
      <w:pPr>
        <w:widowControl w:val="0"/>
        <w:wordWrap/>
        <w:adjustRightInd/>
        <w:snapToGrid/>
        <w:spacing w:before="295" w:beforeLines="50" w:after="295" w:afterLines="50" w:line="560" w:lineRule="exact"/>
        <w:ind w:left="0"/>
        <w:jc w:val="center"/>
        <w:textAlignment w:val="auto"/>
        <w:outlineLvl w:val="0"/>
        <w:rPr>
          <w:rFonts w:hint="eastAsia" w:ascii="黑体" w:hAnsi="黑体" w:eastAsia="黑体" w:cs="宋体"/>
          <w:b w:val="0"/>
          <w:bCs/>
          <w:color w:val="000000"/>
          <w:w w:val="95"/>
          <w:sz w:val="36"/>
          <w:szCs w:val="36"/>
        </w:rPr>
      </w:pPr>
      <w:bookmarkStart w:id="28" w:name="_Toc221610668"/>
      <w:bookmarkStart w:id="29" w:name="_Toc24184"/>
      <w:bookmarkStart w:id="30" w:name="_Toc18107"/>
      <w:r>
        <w:rPr>
          <w:rFonts w:hint="eastAsia" w:ascii="黑体" w:hAnsi="黑体" w:eastAsia="黑体" w:cs="宋体"/>
          <w:b w:val="0"/>
          <w:bCs/>
          <w:color w:val="000000"/>
          <w:w w:val="95"/>
          <w:sz w:val="36"/>
          <w:szCs w:val="36"/>
        </w:rPr>
        <w:t>第二节</w:t>
      </w:r>
      <w:r>
        <w:rPr>
          <w:rFonts w:hint="eastAsia" w:ascii="黑体" w:hAnsi="黑体" w:eastAsia="黑体" w:cs="宋体"/>
          <w:b w:val="0"/>
          <w:bCs/>
          <w:color w:val="000000"/>
          <w:w w:val="95"/>
          <w:sz w:val="36"/>
          <w:szCs w:val="36"/>
          <w:lang w:val="en-US" w:eastAsia="zh-CN"/>
        </w:rPr>
        <w:t xml:space="preserve"> </w:t>
      </w:r>
      <w:r>
        <w:rPr>
          <w:rFonts w:hint="eastAsia" w:ascii="黑体" w:hAnsi="黑体" w:eastAsia="黑体" w:cs="宋体"/>
          <w:b w:val="0"/>
          <w:bCs/>
          <w:color w:val="000000"/>
          <w:w w:val="95"/>
          <w:sz w:val="36"/>
          <w:szCs w:val="36"/>
        </w:rPr>
        <w:t xml:space="preserve"> 行政保护</w:t>
      </w:r>
      <w:bookmarkEnd w:id="28"/>
      <w:bookmarkEnd w:id="29"/>
      <w:bookmarkEnd w:id="30"/>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2025年，各级政府部门持续优化消费环境，大力培育消费新场景，促进消费潜力不断释放；强化监管执法，严厉打击违法行为，切实维护广大消费者合法权益。</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31" w:name="_Toc221610669"/>
      <w:bookmarkStart w:id="32" w:name="_Toc6024"/>
      <w:bookmarkStart w:id="33" w:name="_Toc9371"/>
      <w:r>
        <w:rPr>
          <w:rFonts w:hint="eastAsia" w:ascii="黑体" w:hAnsi="黑体" w:eastAsia="黑体" w:cs="黑体"/>
          <w:bCs/>
          <w:color w:val="000000"/>
          <w:sz w:val="32"/>
          <w:szCs w:val="32"/>
        </w:rPr>
        <w:t>一、大力提振消费，促进消费提质升级</w:t>
      </w:r>
      <w:bookmarkEnd w:id="31"/>
      <w:bookmarkEnd w:id="32"/>
      <w:bookmarkEnd w:id="33"/>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中共中央办公厅、国务院办公厅</w:t>
      </w:r>
      <w:r>
        <w:rPr>
          <w:rFonts w:hint="eastAsia" w:ascii="仿宋_GB2312" w:hAnsi="仿宋_GB2312" w:eastAsia="仿宋_GB2312" w:cs="仿宋_GB2312"/>
          <w:color w:val="auto"/>
          <w:sz w:val="32"/>
          <w:szCs w:val="32"/>
          <w:lang w:val="en-US" w:eastAsia="zh-CN"/>
        </w:rPr>
        <w:t>联合</w:t>
      </w:r>
      <w:r>
        <w:rPr>
          <w:rFonts w:hint="eastAsia" w:ascii="仿宋_GB2312" w:hAnsi="仿宋_GB2312" w:eastAsia="仿宋_GB2312" w:cs="仿宋_GB2312"/>
          <w:color w:val="auto"/>
          <w:sz w:val="32"/>
          <w:szCs w:val="32"/>
        </w:rPr>
        <w:t>印发《提振消费专项行动方案》，部署开展</w:t>
      </w:r>
      <w:r>
        <w:rPr>
          <w:rStyle w:val="20"/>
          <w:rFonts w:hint="eastAsia" w:ascii="仿宋_GB2312" w:hAnsi="仿宋_GB2312" w:eastAsia="仿宋_GB2312" w:cs="仿宋_GB2312"/>
          <w:b w:val="0"/>
          <w:color w:val="auto"/>
          <w:sz w:val="32"/>
          <w:szCs w:val="32"/>
          <w:shd w:val="clear" w:color="auto" w:fill="FFFFFF"/>
        </w:rPr>
        <w:t>城乡居民增收促进、消费能力保障支持、服务消费提质惠民、大宗消费更新升级、消费品质提升、限制措施清理优化、完善支持政策等多方面的行动，</w:t>
      </w:r>
      <w:r>
        <w:rPr>
          <w:rFonts w:hint="eastAsia" w:ascii="仿宋_GB2312" w:hAnsi="仿宋_GB2312" w:eastAsia="仿宋_GB2312" w:cs="仿宋_GB2312"/>
          <w:color w:val="auto"/>
          <w:sz w:val="32"/>
          <w:szCs w:val="32"/>
        </w:rPr>
        <w:t>大力提振消费，</w:t>
      </w:r>
      <w:r>
        <w:rPr>
          <w:rFonts w:hint="eastAsia" w:ascii="仿宋_GB2312" w:hAnsi="仿宋_GB2312" w:eastAsia="仿宋_GB2312" w:cs="仿宋_GB2312"/>
          <w:color w:val="auto"/>
          <w:sz w:val="32"/>
          <w:szCs w:val="32"/>
          <w:shd w:val="clear" w:color="auto" w:fill="FFFFFF"/>
        </w:rPr>
        <w:t>针对性解决制约消费的突出矛盾问题，</w:t>
      </w:r>
      <w:r>
        <w:rPr>
          <w:rFonts w:hint="eastAsia" w:ascii="仿宋_GB2312" w:hAnsi="仿宋_GB2312" w:eastAsia="仿宋_GB2312" w:cs="仿宋_GB2312"/>
          <w:color w:val="auto"/>
          <w:sz w:val="32"/>
          <w:szCs w:val="32"/>
        </w:rPr>
        <w:t>全方位扩大国内需求。2025年《政府工作报告》提出，实施提振消费专项行动，制定提升消费能力、增加优质供给、改善消费环境专项措施，释放多样化、差异化消费潜力，推动消费提质升级。各地各级政府部门深入贯彻落实党中央、国务院决策部署，推进实施相关工作，确保各项政策落地落实。</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sz w:val="32"/>
          <w:szCs w:val="32"/>
        </w:rPr>
        <w:t>一是大力开展提振消费专项行动。在涉及消费的不同环节和领域，国务院有关部门充分发挥职能作用，组织推进提振消费专项行动，</w:t>
      </w:r>
      <w:r>
        <w:rPr>
          <w:rFonts w:hint="eastAsia" w:ascii="仿宋_GB2312" w:hAnsi="仿宋_GB2312" w:eastAsia="仿宋_GB2312" w:cs="仿宋_GB2312"/>
          <w:bCs/>
          <w:color w:val="auto"/>
          <w:sz w:val="32"/>
          <w:szCs w:val="32"/>
          <w:shd w:val="clear" w:color="auto" w:fill="FFFFFF"/>
        </w:rPr>
        <w:t>促进消费增长。</w:t>
      </w:r>
      <w:r>
        <w:rPr>
          <w:rFonts w:hint="eastAsia" w:ascii="仿宋_GB2312" w:hAnsi="仿宋_GB2312" w:eastAsia="仿宋_GB2312" w:cs="仿宋_GB2312"/>
          <w:color w:val="auto"/>
          <w:sz w:val="32"/>
          <w:szCs w:val="32"/>
          <w:shd w:val="clear" w:color="auto" w:fill="FFFFFF"/>
        </w:rPr>
        <w:t>在商</w:t>
      </w:r>
      <w:r>
        <w:rPr>
          <w:rFonts w:hint="eastAsia" w:ascii="仿宋_GB2312" w:hAnsi="仿宋_GB2312" w:eastAsia="仿宋_GB2312" w:cs="仿宋_GB2312"/>
          <w:color w:val="auto"/>
          <w:kern w:val="0"/>
          <w:sz w:val="32"/>
          <w:szCs w:val="32"/>
        </w:rPr>
        <w:t>品生产供给和流通方面，</w:t>
      </w:r>
      <w:r>
        <w:rPr>
          <w:rFonts w:hint="eastAsia" w:ascii="仿宋_GB2312" w:hAnsi="仿宋_GB2312" w:eastAsia="仿宋_GB2312" w:cs="仿宋_GB2312"/>
          <w:color w:val="auto"/>
          <w:sz w:val="32"/>
          <w:szCs w:val="32"/>
        </w:rPr>
        <w:t>工业和信息化部</w:t>
      </w:r>
      <w:r>
        <w:rPr>
          <w:rFonts w:hint="eastAsia" w:ascii="仿宋_GB2312" w:hAnsi="仿宋_GB2312" w:eastAsia="仿宋_GB2312" w:cs="仿宋_GB2312"/>
          <w:color w:val="auto"/>
          <w:sz w:val="32"/>
          <w:szCs w:val="32"/>
          <w:lang w:val="en-US" w:eastAsia="zh-CN"/>
        </w:rPr>
        <w:t>分级打造中国消费名品方阵，发布2025年度中国消费名品，包括165个企业品牌、76个区域品牌和35个特定人群适用产品，为消费者甄选优质产品提供权威参考；联合市场监管总局</w:t>
      </w:r>
      <w:r>
        <w:rPr>
          <w:rFonts w:hint="eastAsia" w:ascii="仿宋_GB2312" w:hAnsi="仿宋_GB2312" w:eastAsia="仿宋_GB2312" w:cs="仿宋_GB2312"/>
          <w:color w:val="auto"/>
          <w:sz w:val="32"/>
          <w:szCs w:val="32"/>
        </w:rPr>
        <w:t>等部门印发《关于增强消费品供需适配性进一步促进消费的实施方案》，以消费升级引领产业升级，以优质供给更好满足多元需求。</w:t>
      </w:r>
      <w:r>
        <w:rPr>
          <w:rFonts w:hint="eastAsia" w:ascii="仿宋_GB2312" w:hAnsi="仿宋_GB2312" w:eastAsia="仿宋_GB2312" w:cs="仿宋_GB2312"/>
          <w:color w:val="auto"/>
          <w:sz w:val="32"/>
          <w:szCs w:val="32"/>
          <w:shd w:val="clear" w:color="auto" w:fill="FFFFFF"/>
        </w:rPr>
        <w:t>农业农村部等部门联合制定《促进农产品消费实施方案》，</w:t>
      </w:r>
      <w:r>
        <w:rPr>
          <w:rFonts w:hint="eastAsia" w:ascii="仿宋_GB2312" w:hAnsi="仿宋_GB2312" w:eastAsia="仿宋_GB2312" w:cs="仿宋_GB2312"/>
          <w:bCs/>
          <w:color w:val="auto"/>
          <w:sz w:val="32"/>
          <w:szCs w:val="32"/>
          <w:shd w:val="clear" w:color="auto" w:fill="FFFFFF"/>
        </w:rPr>
        <w:t>优化绿色优质产品供给，满足多层次消费需求。商务部组织开展消费新业态新模式新场景试点、国际化消费环境建设、有奖发票试点工作，深入推进现代商贸流通体系试点城市建设和县域商业建设行动</w:t>
      </w:r>
      <w:r>
        <w:rPr>
          <w:rFonts w:hint="eastAsia" w:ascii="仿宋_GB2312" w:hAnsi="仿宋_GB2312" w:eastAsia="仿宋_GB2312" w:cs="仿宋_GB2312"/>
          <w:color w:val="auto"/>
          <w:kern w:val="0"/>
          <w:sz w:val="32"/>
          <w:szCs w:val="32"/>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kern w:val="0"/>
          <w:sz w:val="32"/>
          <w:szCs w:val="32"/>
        </w:rPr>
        <w:t>在</w:t>
      </w:r>
      <w:r>
        <w:rPr>
          <w:rFonts w:hint="eastAsia" w:ascii="仿宋_GB2312" w:hAnsi="仿宋_GB2312" w:eastAsia="仿宋_GB2312" w:cs="仿宋_GB2312"/>
          <w:color w:val="auto"/>
          <w:sz w:val="32"/>
          <w:szCs w:val="32"/>
        </w:rPr>
        <w:t>金融政策支持方面，财政部等三部门公布《个人消费贷款财政贴息政策实施方案》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积极发挥财政资金对提振消费的支持引导作用，降低居民消费信贷成本，助力释放居民消费潜力</w:t>
      </w:r>
      <w:r>
        <w:rPr>
          <w:rFonts w:hint="eastAsia" w:ascii="仿宋_GB2312" w:hAnsi="仿宋_GB2312" w:eastAsia="仿宋_GB2312" w:cs="仿宋_GB2312"/>
          <w:color w:val="auto"/>
          <w:sz w:val="32"/>
          <w:szCs w:val="32"/>
        </w:rPr>
        <w:t>；中国人民银行等六部门发布《关于金融支持提振和扩大消费的指导意见》，从支持增强消费能力、扩大消费领域金融供给、促进提升消费供给效能、优化消费环境和政策支撑保障等方面提出</w:t>
      </w:r>
      <w:r>
        <w:rPr>
          <w:rFonts w:hint="eastAsia" w:ascii="仿宋_GB2312" w:hAnsi="仿宋_GB2312" w:eastAsia="仿宋_GB2312" w:cs="仿宋_GB2312"/>
          <w:color w:val="auto"/>
          <w:sz w:val="32"/>
          <w:szCs w:val="32"/>
          <w:lang w:val="en-US" w:eastAsia="zh-CN"/>
        </w:rPr>
        <w:t>19</w:t>
      </w:r>
      <w:r>
        <w:rPr>
          <w:rFonts w:hint="eastAsia" w:ascii="仿宋_GB2312" w:hAnsi="仿宋_GB2312" w:eastAsia="仿宋_GB2312" w:cs="仿宋_GB2312"/>
          <w:color w:val="auto"/>
          <w:sz w:val="32"/>
          <w:szCs w:val="32"/>
        </w:rPr>
        <w:t>项重点举措；商务部等三部门发布</w:t>
      </w:r>
      <w:r>
        <w:rPr>
          <w:rFonts w:hint="eastAsia" w:ascii="仿宋_GB2312" w:hAnsi="仿宋_GB2312" w:eastAsia="仿宋_GB2312" w:cs="仿宋_GB2312"/>
          <w:color w:val="auto"/>
          <w:sz w:val="32"/>
          <w:szCs w:val="32"/>
          <w:lang w:eastAsia="zh-CN"/>
        </w:rPr>
        <w:t>《关于加强商务和金融协同 更大力度提振消费的通知》</w:t>
      </w:r>
      <w:r>
        <w:rPr>
          <w:rFonts w:hint="eastAsia" w:ascii="仿宋_GB2312" w:hAnsi="仿宋_GB2312" w:eastAsia="仿宋_GB2312" w:cs="仿宋_GB2312"/>
          <w:color w:val="auto"/>
          <w:sz w:val="32"/>
          <w:szCs w:val="32"/>
        </w:rPr>
        <w:t>，强化商务和金融系统协作，引导金融机构聚焦消费重点领域加大支持力度，</w:t>
      </w:r>
      <w:r>
        <w:rPr>
          <w:rFonts w:hint="eastAsia" w:ascii="仿宋_GB2312" w:hAnsi="仿宋_GB2312" w:eastAsia="仿宋_GB2312" w:cs="仿宋_GB2312"/>
          <w:color w:val="auto"/>
          <w:sz w:val="32"/>
          <w:szCs w:val="32"/>
          <w:lang w:val="en-US" w:eastAsia="zh-CN"/>
        </w:rPr>
        <w:t>凝聚</w:t>
      </w:r>
      <w:r>
        <w:rPr>
          <w:rFonts w:hint="eastAsia" w:ascii="仿宋_GB2312" w:hAnsi="仿宋_GB2312" w:eastAsia="仿宋_GB2312" w:cs="仿宋_GB2312"/>
          <w:color w:val="auto"/>
          <w:sz w:val="32"/>
          <w:szCs w:val="32"/>
        </w:rPr>
        <w:t>提振消费</w:t>
      </w:r>
      <w:r>
        <w:rPr>
          <w:rFonts w:hint="eastAsia" w:ascii="仿宋_GB2312" w:hAnsi="仿宋_GB2312" w:eastAsia="仿宋_GB2312" w:cs="仿宋_GB2312"/>
          <w:color w:val="auto"/>
          <w:sz w:val="32"/>
          <w:szCs w:val="32"/>
          <w:lang w:val="en-US" w:eastAsia="zh-CN"/>
        </w:rPr>
        <w:t>工作合力</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shd w:val="clear" w:color="auto" w:fill="FFFFFF"/>
        </w:rPr>
        <w:t>在文体旅游</w:t>
      </w:r>
      <w:r>
        <w:rPr>
          <w:rFonts w:hint="eastAsia" w:ascii="仿宋_GB2312" w:hAnsi="仿宋_GB2312" w:eastAsia="仿宋_GB2312" w:cs="仿宋_GB2312"/>
          <w:color w:val="auto"/>
          <w:sz w:val="32"/>
          <w:szCs w:val="32"/>
        </w:rPr>
        <w:t>消费领域，国务院办公厅印发《关于进一步培育新增长点繁荣文化和旅游消费的若干措施》，</w:t>
      </w:r>
      <w:r>
        <w:rPr>
          <w:rFonts w:hint="eastAsia" w:ascii="仿宋_GB2312" w:hAnsi="仿宋_GB2312" w:eastAsia="仿宋_GB2312" w:cs="仿宋_GB2312"/>
          <w:color w:val="auto"/>
          <w:sz w:val="32"/>
          <w:szCs w:val="32"/>
          <w:lang w:val="en-US" w:eastAsia="zh-CN"/>
        </w:rPr>
        <w:t>积极</w:t>
      </w:r>
      <w:r>
        <w:rPr>
          <w:rFonts w:hint="eastAsia" w:ascii="仿宋_GB2312" w:hAnsi="仿宋_GB2312" w:eastAsia="仿宋_GB2312" w:cs="仿宋_GB2312"/>
          <w:color w:val="auto"/>
          <w:sz w:val="32"/>
          <w:szCs w:val="32"/>
        </w:rPr>
        <w:t>发挥文化赋能、旅游带动作用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推进</w:t>
      </w:r>
      <w:r>
        <w:rPr>
          <w:rFonts w:hint="eastAsia" w:ascii="仿宋_GB2312" w:hAnsi="仿宋_GB2312" w:eastAsia="仿宋_GB2312" w:cs="仿宋_GB2312"/>
          <w:color w:val="auto"/>
          <w:sz w:val="32"/>
          <w:szCs w:val="32"/>
          <w:lang w:eastAsia="zh-CN"/>
        </w:rPr>
        <w:t>产品供给能力提升，丰富消费业态和场景</w:t>
      </w:r>
      <w:r>
        <w:rPr>
          <w:rFonts w:hint="eastAsia" w:ascii="仿宋_GB2312" w:hAnsi="仿宋_GB2312" w:eastAsia="仿宋_GB2312" w:cs="仿宋_GB2312"/>
          <w:color w:val="auto"/>
          <w:sz w:val="32"/>
          <w:szCs w:val="32"/>
        </w:rPr>
        <w:t>；印发《关于释放体育消费潜力进一步推进体育产业高质量发展的意见》，</w:t>
      </w:r>
      <w:r>
        <w:rPr>
          <w:rFonts w:hint="eastAsia" w:ascii="仿宋_GB2312" w:hAnsi="仿宋_GB2312" w:eastAsia="仿宋_GB2312" w:cs="仿宋_GB2312"/>
          <w:color w:val="auto"/>
          <w:sz w:val="32"/>
          <w:szCs w:val="32"/>
          <w:lang w:val="en-US" w:eastAsia="zh-CN"/>
        </w:rPr>
        <w:t>在扩大体育产品供给、激发体育消费需求、壮大体育经营主体、强化产业要素支撑等方面</w:t>
      </w:r>
      <w:r>
        <w:rPr>
          <w:rFonts w:hint="eastAsia" w:ascii="仿宋_GB2312" w:hAnsi="仿宋_GB2312" w:eastAsia="仿宋_GB2312" w:cs="仿宋_GB2312"/>
          <w:color w:val="auto"/>
          <w:sz w:val="32"/>
          <w:szCs w:val="32"/>
        </w:rPr>
        <w:t>进行系统、全面的顶层设计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大力提振体育消费</w:t>
      </w:r>
      <w:r>
        <w:rPr>
          <w:rFonts w:hint="eastAsia" w:ascii="仿宋_GB2312" w:hAnsi="仿宋_GB2312" w:eastAsia="仿宋_GB2312" w:cs="仿宋_GB2312"/>
          <w:color w:val="auto"/>
          <w:sz w:val="32"/>
          <w:szCs w:val="32"/>
        </w:rPr>
        <w:t>。文化和旅游部部署实施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百城百区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百城千站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文化和旅游消费行动计划，围绕重要时间节点组织各地举办2025年全国文化和旅游消费促进活动，先后举办全国春节文化和旅游消费月、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五一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文化和旅游消费周、暑期文化和旅游消费季、国庆文化和旅游消费月，丰富文旅消费体验，增加优质文旅供给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上述活动期间，各地共举办17.4万场次文旅消费活动，累计发放消费券及消费补贴27.1亿元。商务部等</w:t>
      </w: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rPr>
        <w:t>部门联合印发《</w:t>
      </w:r>
      <w:bookmarkStart w:id="34" w:name="OLE_LINK83"/>
      <w:r>
        <w:rPr>
          <w:rFonts w:hint="eastAsia" w:ascii="仿宋_GB2312" w:hAnsi="仿宋_GB2312" w:eastAsia="仿宋_GB2312" w:cs="仿宋_GB2312"/>
          <w:color w:val="auto"/>
          <w:sz w:val="32"/>
          <w:szCs w:val="32"/>
        </w:rPr>
        <w:t>关于进一步优化离境退税政策扩大入境消费的通知</w:t>
      </w:r>
      <w:bookmarkEnd w:id="34"/>
      <w:r>
        <w:rPr>
          <w:rFonts w:hint="eastAsia" w:ascii="仿宋_GB2312" w:hAnsi="仿宋_GB2312" w:eastAsia="仿宋_GB2312" w:cs="仿宋_GB2312"/>
          <w:color w:val="auto"/>
          <w:sz w:val="32"/>
          <w:szCs w:val="32"/>
        </w:rPr>
        <w:t>》，吸引外籍人员入境消费，离境退税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即买即退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掀起境外旅客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消费潮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财政部等</w:t>
      </w: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rPr>
        <w:t>部门联合印发《关于完善免税店政策支持提振消费的通知》，发挥免税店政策支持提振消费的作用，</w:t>
      </w:r>
      <w:r>
        <w:rPr>
          <w:rFonts w:hint="eastAsia" w:ascii="仿宋_GB2312" w:hAnsi="仿宋_GB2312" w:eastAsia="仿宋_GB2312" w:cs="仿宋_GB2312"/>
          <w:color w:val="auto"/>
          <w:sz w:val="32"/>
          <w:szCs w:val="32"/>
          <w:lang w:val="en-US" w:eastAsia="zh-CN"/>
        </w:rPr>
        <w:t>积极</w:t>
      </w:r>
      <w:r>
        <w:rPr>
          <w:rFonts w:hint="eastAsia" w:ascii="仿宋_GB2312" w:hAnsi="仿宋_GB2312" w:eastAsia="仿宋_GB2312" w:cs="仿宋_GB2312"/>
          <w:color w:val="auto"/>
          <w:sz w:val="32"/>
          <w:szCs w:val="32"/>
        </w:rPr>
        <w:t>引导海外消费回流，吸引外籍人员入境消费。</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在服务消费领域，商务部等九部门联合印发《服务消费提质惠民行动2025年工作方案》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实施服务消费提质惠民行动，</w:t>
      </w:r>
      <w:r>
        <w:rPr>
          <w:rFonts w:hint="eastAsia" w:ascii="仿宋_GB2312" w:hAnsi="仿宋_GB2312" w:eastAsia="仿宋_GB2312" w:cs="仿宋_GB2312"/>
          <w:color w:val="auto"/>
          <w:sz w:val="32"/>
          <w:szCs w:val="32"/>
        </w:rPr>
        <w:t>围绕加强政策支持、开展促进活动、搭建平台载体、扩大对外开放、强化标准引领、优化消费环境等方面提出</w:t>
      </w:r>
      <w:r>
        <w:rPr>
          <w:rFonts w:hint="eastAsia" w:ascii="仿宋_GB2312" w:hAnsi="仿宋_GB2312" w:eastAsia="仿宋_GB2312" w:cs="仿宋_GB2312"/>
          <w:color w:val="auto"/>
          <w:sz w:val="32"/>
          <w:szCs w:val="32"/>
          <w:lang w:val="en-US" w:eastAsia="zh-CN"/>
        </w:rPr>
        <w:t>工作</w:t>
      </w:r>
      <w:r>
        <w:rPr>
          <w:rFonts w:hint="eastAsia" w:ascii="仿宋_GB2312" w:hAnsi="仿宋_GB2312" w:eastAsia="仿宋_GB2312" w:cs="仿宋_GB2312"/>
          <w:color w:val="auto"/>
          <w:sz w:val="32"/>
          <w:szCs w:val="32"/>
        </w:rPr>
        <w:t>举措</w:t>
      </w:r>
      <w:r>
        <w:rPr>
          <w:rFonts w:hint="eastAsia" w:ascii="仿宋_GB2312" w:hAnsi="仿宋_GB2312" w:eastAsia="仿宋_GB2312" w:cs="仿宋_GB2312"/>
          <w:color w:val="auto"/>
          <w:sz w:val="32"/>
          <w:szCs w:val="32"/>
          <w:lang w:eastAsia="zh-CN"/>
        </w:rPr>
        <w:t>；会同国家发展改革委</w:t>
      </w:r>
      <w:r>
        <w:rPr>
          <w:rFonts w:hint="eastAsia" w:ascii="仿宋_GB2312" w:hAnsi="仿宋_GB2312" w:eastAsia="仿宋_GB2312" w:cs="仿宋_GB2312"/>
          <w:color w:val="auto"/>
          <w:sz w:val="32"/>
          <w:szCs w:val="32"/>
          <w:lang w:val="en-US" w:eastAsia="zh-CN"/>
        </w:rPr>
        <w:t>等部门</w:t>
      </w:r>
      <w:r>
        <w:rPr>
          <w:rFonts w:hint="eastAsia" w:ascii="仿宋_GB2312" w:hAnsi="仿宋_GB2312" w:eastAsia="仿宋_GB2312" w:cs="仿宋_GB2312"/>
          <w:color w:val="auto"/>
          <w:sz w:val="32"/>
          <w:szCs w:val="32"/>
        </w:rPr>
        <w:t>印发了《关于扩大服务消费的若干政策措施》</w:t>
      </w:r>
      <w:r>
        <w:rPr>
          <w:rFonts w:hint="eastAsia" w:ascii="仿宋_GB2312" w:hAnsi="仿宋_GB2312" w:eastAsia="仿宋_GB2312" w:cs="仿宋_GB2312"/>
          <w:color w:val="auto"/>
          <w:sz w:val="32"/>
          <w:szCs w:val="32"/>
          <w:lang w:eastAsia="zh-CN"/>
        </w:rPr>
        <w:t>，共提出5个方面19项任务举措，</w:t>
      </w:r>
      <w:r>
        <w:rPr>
          <w:rFonts w:hint="eastAsia" w:ascii="仿宋_GB2312" w:hAnsi="仿宋_GB2312" w:eastAsia="仿宋_GB2312" w:cs="仿宋_GB2312"/>
          <w:color w:val="auto"/>
          <w:sz w:val="32"/>
          <w:szCs w:val="32"/>
          <w:lang w:val="en-US" w:eastAsia="zh-CN"/>
        </w:rPr>
        <w:t>大力培育服务消费促进平台，不断丰富高品质服务供给，持续激发服务消费新增量。</w:t>
      </w:r>
      <w:r>
        <w:rPr>
          <w:rFonts w:hint="eastAsia" w:ascii="仿宋_GB2312" w:hAnsi="仿宋_GB2312" w:eastAsia="仿宋_GB2312" w:cs="仿宋_GB2312"/>
          <w:color w:val="auto"/>
          <w:sz w:val="32"/>
          <w:szCs w:val="32"/>
          <w:shd w:val="clear" w:color="auto" w:fill="FFFFFF"/>
        </w:rPr>
        <w:t>交通运输部采取多种措施</w:t>
      </w:r>
      <w:r>
        <w:rPr>
          <w:rFonts w:hint="eastAsia" w:ascii="仿宋_GB2312" w:hAnsi="仿宋_GB2312" w:eastAsia="仿宋_GB2312" w:cs="仿宋_GB2312"/>
          <w:color w:val="auto"/>
          <w:sz w:val="32"/>
          <w:szCs w:val="32"/>
          <w:shd w:val="clear" w:color="auto" w:fill="FFFFFF"/>
          <w:lang w:val="en-US" w:eastAsia="zh-CN"/>
        </w:rPr>
        <w:t>提升</w:t>
      </w:r>
      <w:r>
        <w:rPr>
          <w:rFonts w:hint="eastAsia" w:ascii="仿宋_GB2312" w:hAnsi="仿宋_GB2312" w:eastAsia="仿宋_GB2312" w:cs="仿宋_GB2312"/>
          <w:color w:val="auto"/>
          <w:sz w:val="32"/>
          <w:szCs w:val="32"/>
          <w:shd w:val="clear" w:color="auto" w:fill="FFFFFF"/>
        </w:rPr>
        <w:t>适老化无障碍出行服务水平，</w:t>
      </w:r>
      <w:r>
        <w:rPr>
          <w:rFonts w:hint="eastAsia" w:ascii="仿宋_GB2312" w:hAnsi="仿宋_GB2312" w:eastAsia="仿宋_GB2312" w:cs="仿宋_GB2312"/>
          <w:color w:val="auto"/>
          <w:sz w:val="32"/>
          <w:szCs w:val="32"/>
        </w:rPr>
        <w:t>引导各地推广应用低地板及低入口城市公交车13.6万辆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完成超过3.5万个城市公交站台适老化改造</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5000余座地铁车站配备无障碍渡板</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打造敬老爱老公交线路超过4700条，指导所有城市轨道交通线路开通“爱心预约”服务。商务部、国家卫生健康委等十二个部门联合印发《促进健康消费专项行动方案》，</w:t>
      </w:r>
      <w:r>
        <w:rPr>
          <w:rFonts w:hint="eastAsia" w:ascii="仿宋_GB2312" w:hAnsi="仿宋_GB2312" w:eastAsia="仿宋_GB2312" w:cs="仿宋_GB2312"/>
          <w:color w:val="auto"/>
          <w:sz w:val="32"/>
          <w:szCs w:val="32"/>
          <w:lang w:val="en-US" w:eastAsia="zh-CN"/>
        </w:rPr>
        <w:t>大力构建商旅文体健等消费业态融合发展格局，积极培育和发展健康消费领域新质生产力，提升健康商品和服务供给质量，更好满足人民健康消费需求</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在数字消费领域，商务部等八部门联合印发《关于大力发展数字消费共创数字时代美好生活的指导意见》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从丰富数字消费领域供给、培育壮大数字消费经营主体、优化数字消费支撑体系、营造数字消费良好环境等方面提出多项任务举措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工业和信息化部加快推动消费品工业数字化转型，通过超长期特别国债支持463个消费品行业技改项目，取得明显成效；</w:t>
      </w:r>
      <w:r>
        <w:rPr>
          <w:rFonts w:hint="eastAsia" w:ascii="仿宋_GB2312" w:hAnsi="仿宋_GB2312" w:eastAsia="仿宋_GB2312" w:cs="仿宋_GB2312"/>
          <w:color w:val="auto"/>
          <w:sz w:val="32"/>
          <w:szCs w:val="32"/>
          <w:shd w:val="clear" w:color="auto" w:fill="FFFFFF"/>
        </w:rPr>
        <w:t>国家广播电视总局</w:t>
      </w:r>
      <w:r>
        <w:rPr>
          <w:rFonts w:hint="eastAsia" w:ascii="仿宋_GB2312" w:hAnsi="仿宋_GB2312" w:eastAsia="仿宋_GB2312" w:cs="仿宋_GB2312"/>
          <w:color w:val="auto"/>
          <w:sz w:val="32"/>
          <w:szCs w:val="32"/>
          <w:shd w:val="clear" w:color="auto" w:fill="FFFFFF"/>
          <w:lang w:val="en-US" w:eastAsia="zh-CN"/>
        </w:rPr>
        <w:t>组织开展插入式微型机顶盒千万级规模部署工作</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实现超千万套插入式微型机顶盒及通用遥控器的部署，同时完成一体化电视百万</w:t>
      </w:r>
      <w:r>
        <w:rPr>
          <w:rFonts w:hint="eastAsia" w:ascii="仿宋_GB2312" w:hAnsi="仿宋_GB2312" w:eastAsia="仿宋_GB2312" w:cs="仿宋_GB2312"/>
          <w:color w:val="auto"/>
          <w:sz w:val="32"/>
          <w:szCs w:val="32"/>
          <w:shd w:val="clear" w:color="auto" w:fill="FFFFFF"/>
          <w:lang w:val="en-US" w:eastAsia="zh-CN"/>
        </w:rPr>
        <w:t>级</w:t>
      </w:r>
      <w:r>
        <w:rPr>
          <w:rFonts w:hint="eastAsia" w:ascii="仿宋_GB2312" w:hAnsi="仿宋_GB2312" w:eastAsia="仿宋_GB2312" w:cs="仿宋_GB2312"/>
          <w:color w:val="auto"/>
          <w:sz w:val="32"/>
          <w:szCs w:val="32"/>
          <w:shd w:val="clear" w:color="auto" w:fill="FFFFFF"/>
        </w:rPr>
        <w:t>试点落地</w:t>
      </w:r>
      <w:r>
        <w:rPr>
          <w:rFonts w:hint="eastAsia" w:ascii="仿宋_GB2312" w:hAnsi="仿宋_GB2312" w:eastAsia="仿宋_GB2312" w:cs="仿宋_GB2312"/>
          <w:color w:val="auto"/>
          <w:sz w:val="32"/>
          <w:szCs w:val="32"/>
          <w:shd w:val="clear" w:color="auto" w:fill="FFFFFF"/>
          <w:lang w:val="en-US" w:eastAsia="zh-CN"/>
        </w:rPr>
        <w:t>任务</w:t>
      </w:r>
      <w:r>
        <w:rPr>
          <w:rFonts w:hint="eastAsia" w:ascii="仿宋_GB2312" w:hAnsi="仿宋_GB2312" w:eastAsia="仿宋_GB2312" w:cs="仿宋_GB2312"/>
          <w:color w:val="auto"/>
          <w:sz w:val="32"/>
          <w:szCs w:val="32"/>
          <w:shd w:val="clear" w:color="auto" w:fill="FFFFFF"/>
        </w:rPr>
        <w:t>，让更便捷、更适配的新型终端走进千家万户，</w:t>
      </w:r>
      <w:r>
        <w:rPr>
          <w:rFonts w:hint="eastAsia" w:ascii="仿宋_GB2312" w:hAnsi="仿宋_GB2312" w:eastAsia="仿宋_GB2312" w:cs="仿宋_GB2312"/>
          <w:color w:val="auto"/>
          <w:sz w:val="32"/>
          <w:szCs w:val="32"/>
          <w:shd w:val="clear" w:color="auto" w:fill="FFFFFF"/>
          <w:lang w:val="en-US" w:eastAsia="zh-CN"/>
        </w:rPr>
        <w:t>有效</w:t>
      </w:r>
      <w:r>
        <w:rPr>
          <w:rFonts w:hint="eastAsia" w:ascii="仿宋_GB2312" w:hAnsi="仿宋_GB2312" w:eastAsia="仿宋_GB2312" w:cs="仿宋_GB2312"/>
          <w:color w:val="auto"/>
          <w:sz w:val="32"/>
          <w:szCs w:val="32"/>
          <w:shd w:val="clear" w:color="auto" w:fill="FFFFFF"/>
        </w:rPr>
        <w:t>提升了</w:t>
      </w:r>
      <w:r>
        <w:rPr>
          <w:rFonts w:hint="eastAsia" w:ascii="仿宋_GB2312" w:hAnsi="仿宋_GB2312" w:eastAsia="仿宋_GB2312" w:cs="仿宋_GB2312"/>
          <w:color w:val="auto"/>
          <w:sz w:val="32"/>
          <w:szCs w:val="32"/>
          <w:shd w:val="clear" w:color="auto" w:fill="FFFFFF"/>
          <w:lang w:val="en-US" w:eastAsia="zh-CN"/>
        </w:rPr>
        <w:t>广大消费者</w:t>
      </w:r>
      <w:r>
        <w:rPr>
          <w:rFonts w:hint="eastAsia" w:ascii="仿宋_GB2312" w:hAnsi="仿宋_GB2312" w:eastAsia="仿宋_GB2312" w:cs="仿宋_GB2312"/>
          <w:color w:val="auto"/>
          <w:sz w:val="32"/>
          <w:szCs w:val="32"/>
          <w:shd w:val="clear" w:color="auto" w:fill="FFFFFF"/>
        </w:rPr>
        <w:t>的看电视体验</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此外</w:t>
      </w:r>
      <w:r>
        <w:rPr>
          <w:rFonts w:hint="eastAsia" w:ascii="仿宋_GB2312" w:hAnsi="仿宋_GB2312" w:eastAsia="仿宋_GB2312" w:cs="仿宋_GB2312"/>
          <w:color w:val="auto"/>
          <w:kern w:val="0"/>
          <w:sz w:val="32"/>
          <w:szCs w:val="32"/>
        </w:rPr>
        <w:t>，</w:t>
      </w:r>
      <w:r>
        <w:rPr>
          <w:rFonts w:hint="eastAsia" w:ascii="仿宋_GB2312" w:hAnsi="仿宋_GB2312" w:eastAsia="仿宋_GB2312" w:cs="仿宋_GB2312"/>
          <w:color w:val="auto"/>
          <w:sz w:val="32"/>
          <w:szCs w:val="32"/>
        </w:rPr>
        <w:t>地方各级人民政府积极组织推进提振消费专项行动，全国31个省（自治区、直辖市）级人民政府制定了本地区的相关方案并切实推进实施，确保</w:t>
      </w:r>
      <w:r>
        <w:rPr>
          <w:rFonts w:hint="eastAsia" w:ascii="仿宋_GB2312" w:hAnsi="仿宋_GB2312" w:eastAsia="仿宋_GB2312" w:cs="仿宋_GB2312"/>
          <w:bCs/>
          <w:color w:val="auto"/>
          <w:sz w:val="32"/>
          <w:szCs w:val="32"/>
          <w:shd w:val="clear" w:color="auto" w:fill="FFFFFF"/>
        </w:rPr>
        <w:t>中央政策落地落实。</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二是扩围实施大规模设备更新和消费品以旧换新政策。2025年2月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fldChar w:fldCharType="begin"/>
      </w:r>
      <w:r>
        <w:rPr>
          <w:rFonts w:hint="eastAsia" w:ascii="仿宋_GB2312" w:hAnsi="仿宋_GB2312" w:eastAsia="仿宋_GB2312" w:cs="仿宋_GB2312"/>
          <w:color w:val="auto"/>
          <w:sz w:val="32"/>
          <w:szCs w:val="32"/>
        </w:rPr>
        <w:instrText xml:space="preserve"> HYPERLINK "https://www.gov.cn/yaowen/liebiao/202508/content_7037490.htm" \t "_blank" </w:instrText>
      </w:r>
      <w:r>
        <w:rPr>
          <w:rFonts w:hint="eastAsia" w:ascii="仿宋_GB2312" w:hAnsi="仿宋_GB2312" w:eastAsia="仿宋_GB2312" w:cs="仿宋_GB2312"/>
          <w:color w:val="auto"/>
          <w:sz w:val="32"/>
          <w:szCs w:val="32"/>
        </w:rPr>
        <w:fldChar w:fldCharType="separate"/>
      </w:r>
      <w:r>
        <w:rPr>
          <w:rFonts w:hint="eastAsia" w:ascii="仿宋_GB2312" w:hAnsi="仿宋_GB2312" w:eastAsia="仿宋_GB2312" w:cs="仿宋_GB2312"/>
          <w:color w:val="auto"/>
          <w:sz w:val="32"/>
          <w:szCs w:val="32"/>
        </w:rPr>
        <w:t>国务院常务会议</w:t>
      </w:r>
      <w:r>
        <w:rPr>
          <w:rFonts w:hint="eastAsia" w:ascii="仿宋_GB2312" w:hAnsi="仿宋_GB2312" w:eastAsia="仿宋_GB2312" w:cs="仿宋_GB2312"/>
          <w:color w:val="auto"/>
          <w:sz w:val="32"/>
          <w:szCs w:val="32"/>
        </w:rPr>
        <w:fldChar w:fldCharType="end"/>
      </w:r>
      <w:r>
        <w:rPr>
          <w:rFonts w:hint="eastAsia" w:ascii="仿宋_GB2312" w:hAnsi="仿宋_GB2312" w:eastAsia="仿宋_GB2312" w:cs="仿宋_GB2312"/>
          <w:color w:val="auto"/>
          <w:sz w:val="32"/>
          <w:szCs w:val="32"/>
        </w:rPr>
        <w:t>对更好发挥“两新”政策，扩大内需作出系列部署。相关部门积极制定相应方案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及时组织实施。国家发展改革委、财政部发布《关于2025年加力扩围实施大规模设备更新和消费品以旧换新政策的通知》，</w:t>
      </w:r>
      <w:r>
        <w:rPr>
          <w:rFonts w:hint="eastAsia" w:ascii="仿宋_GB2312" w:hAnsi="仿宋_GB2312" w:eastAsia="仿宋_GB2312" w:cs="仿宋_GB2312"/>
          <w:color w:val="auto"/>
          <w:sz w:val="32"/>
          <w:szCs w:val="32"/>
          <w:shd w:val="clear" w:color="auto" w:fill="FFFFFF"/>
        </w:rPr>
        <w:t>继续向地方直接安排超长期特别国债资金，</w:t>
      </w:r>
      <w:r>
        <w:rPr>
          <w:rStyle w:val="20"/>
          <w:rFonts w:hint="eastAsia" w:ascii="仿宋_GB2312" w:hAnsi="仿宋_GB2312" w:eastAsia="仿宋_GB2312" w:cs="仿宋_GB2312"/>
          <w:b w:val="0"/>
          <w:color w:val="auto"/>
          <w:sz w:val="32"/>
          <w:szCs w:val="32"/>
        </w:rPr>
        <w:t>扩围支持消费品以旧换新，主要包括</w:t>
      </w:r>
      <w:r>
        <w:rPr>
          <w:rFonts w:hint="eastAsia" w:ascii="仿宋_GB2312" w:hAnsi="仿宋_GB2312" w:eastAsia="仿宋_GB2312" w:cs="仿宋_GB2312"/>
          <w:color w:val="auto"/>
          <w:sz w:val="32"/>
          <w:szCs w:val="32"/>
          <w:shd w:val="clear" w:color="auto" w:fill="FFFFFF"/>
        </w:rPr>
        <w:t>扩大汽车报废更新支持范围、完善汽车置换更新补贴标准；加力支持家电产品以旧换新，实施手机等数码产品购新补贴；推进电动自行车、家装消费品换新补贴等。</w:t>
      </w:r>
      <w:r>
        <w:rPr>
          <w:rFonts w:hint="eastAsia" w:ascii="仿宋_GB2312" w:hAnsi="仿宋_GB2312" w:eastAsia="仿宋_GB2312" w:cs="仿宋_GB2312"/>
          <w:color w:val="auto"/>
          <w:sz w:val="32"/>
          <w:szCs w:val="32"/>
        </w:rPr>
        <w:t>商务部</w:t>
      </w:r>
      <w:r>
        <w:rPr>
          <w:rFonts w:hint="eastAsia" w:ascii="仿宋_GB2312" w:hAnsi="仿宋_GB2312" w:eastAsia="仿宋_GB2312" w:cs="仿宋_GB2312"/>
          <w:color w:val="auto"/>
          <w:sz w:val="32"/>
          <w:szCs w:val="32"/>
          <w:lang w:val="en-US" w:eastAsia="zh-CN"/>
        </w:rPr>
        <w:t>会同相关</w:t>
      </w:r>
      <w:r>
        <w:rPr>
          <w:rFonts w:hint="eastAsia" w:ascii="仿宋_GB2312" w:hAnsi="仿宋_GB2312" w:eastAsia="仿宋_GB2312" w:cs="仿宋_GB2312"/>
          <w:color w:val="auto"/>
          <w:sz w:val="32"/>
          <w:szCs w:val="32"/>
        </w:rPr>
        <w:t>部门联合印发《关于做好2025年汽车以旧换新工作的通知》《手机、平板、智能手表（手环）购新补贴实施方案》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关于做好2025年家装厨卫“焕新”工作的通知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积极打造消费新增长点</w:t>
      </w:r>
      <w:r>
        <w:rPr>
          <w:rFonts w:hint="eastAsia" w:ascii="仿宋_GB2312" w:hAnsi="仿宋_GB2312" w:eastAsia="仿宋_GB2312" w:cs="仿宋_GB2312"/>
          <w:color w:val="auto"/>
          <w:sz w:val="32"/>
          <w:szCs w:val="32"/>
        </w:rPr>
        <w:t>，确保政策红利真正惠及广大消费者。</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各地持续加力“两新”政策，进一步优化流程、制定细则，加快资金安排和政策落地。河北省加力扩围推动消费品以旧换新，新增微波炉、净水器等4类家电产品</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咖啡机、洗地机等</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类小家电，</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鼓励商家出台配套促销政策。江西省、海南省结合冰箱、空调夏季销售旺季，鼓励商家推出卖场联动、品牌联动、“拆旧装新”服务等。广东省通过政府补贴和企业补贴相叠加的方式，助力新能源汽车及汽车用品市场热度不断攀升。</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以旧换新政策支撑消费持续扩大，取得显著成效。全年以旧换新相关商品销售额超2.6万亿元，惠及超3.6亿人次，以旧换新带动社会零售消费总额增长超1个百分点。汽车以旧换新超1150万辆，家电以旧换新超1.29亿件，手机等数码产品购新超9100万部，家装厨卫“焕新”超1.2亿件，电动自行车以旧换新超1250万辆。</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三是开展形式多样的促销活动。</w:t>
      </w:r>
      <w:r>
        <w:rPr>
          <w:rFonts w:hint="eastAsia" w:ascii="仿宋_GB2312" w:hAnsi="仿宋_GB2312" w:eastAsia="仿宋_GB2312" w:cs="仿宋_GB2312"/>
          <w:color w:val="auto"/>
          <w:sz w:val="32"/>
          <w:szCs w:val="32"/>
        </w:rPr>
        <w:t>工业和信息化部</w:t>
      </w:r>
      <w:r>
        <w:rPr>
          <w:rFonts w:hint="eastAsia" w:ascii="仿宋_GB2312" w:hAnsi="仿宋_GB2312" w:eastAsia="仿宋_GB2312" w:cs="仿宋_GB2312"/>
          <w:color w:val="auto"/>
          <w:sz w:val="32"/>
          <w:szCs w:val="32"/>
          <w:shd w:val="clear" w:color="auto" w:fill="FFFFFF"/>
        </w:rPr>
        <w:t>联合市场监管总局等部门开展2025年“孝老爱老购物季”工作，</w:t>
      </w:r>
      <w:r>
        <w:rPr>
          <w:rFonts w:hint="eastAsia" w:ascii="仿宋_GB2312" w:hAnsi="仿宋_GB2312" w:eastAsia="仿宋_GB2312" w:cs="仿宋_GB2312"/>
          <w:color w:val="auto"/>
          <w:sz w:val="32"/>
          <w:szCs w:val="32"/>
          <w:shd w:val="clear" w:color="auto" w:fill="FFFFFF"/>
          <w:lang w:val="en-US" w:eastAsia="zh-CN"/>
        </w:rPr>
        <w:t>促进</w:t>
      </w:r>
      <w:r>
        <w:rPr>
          <w:rFonts w:hint="eastAsia" w:ascii="仿宋_GB2312" w:hAnsi="仿宋_GB2312" w:eastAsia="仿宋_GB2312" w:cs="仿宋_GB2312"/>
          <w:color w:val="auto"/>
          <w:sz w:val="32"/>
          <w:szCs w:val="32"/>
          <w:shd w:val="clear" w:color="auto" w:fill="FFFFFF"/>
        </w:rPr>
        <w:t>优质老年用品和服务供给</w:t>
      </w:r>
      <w:r>
        <w:rPr>
          <w:rFonts w:hint="eastAsia" w:ascii="仿宋_GB2312" w:hAnsi="仿宋_GB2312" w:eastAsia="仿宋_GB2312" w:cs="仿宋_GB2312"/>
          <w:color w:val="auto"/>
          <w:sz w:val="32"/>
          <w:szCs w:val="32"/>
          <w:shd w:val="clear" w:color="auto" w:fill="FFFFFF"/>
          <w:lang w:val="en-US" w:eastAsia="zh-CN"/>
        </w:rPr>
        <w:t>提升</w:t>
      </w:r>
      <w:r>
        <w:rPr>
          <w:rFonts w:hint="eastAsia" w:ascii="仿宋_GB2312" w:hAnsi="仿宋_GB2312" w:eastAsia="仿宋_GB2312" w:cs="仿宋_GB2312"/>
          <w:color w:val="auto"/>
          <w:sz w:val="32"/>
          <w:szCs w:val="32"/>
          <w:shd w:val="clear" w:color="auto" w:fill="FFFFFF"/>
        </w:rPr>
        <w:t>；会同</w:t>
      </w:r>
      <w:r>
        <w:rPr>
          <w:rFonts w:hint="eastAsia" w:ascii="仿宋_GB2312" w:hAnsi="仿宋_GB2312" w:eastAsia="仿宋_GB2312" w:cs="仿宋_GB2312"/>
          <w:color w:val="auto"/>
          <w:sz w:val="32"/>
          <w:szCs w:val="32"/>
        </w:rPr>
        <w:t>商务部等部门组织开展2025纺织服装“优供给促升级”活动、2025年新能源汽车下乡活动、</w:t>
      </w:r>
      <w:r>
        <w:rPr>
          <w:rFonts w:hint="eastAsia" w:ascii="仿宋_GB2312" w:hAnsi="仿宋_GB2312" w:eastAsia="仿宋_GB2312" w:cs="仿宋_GB2312"/>
          <w:color w:val="auto"/>
          <w:kern w:val="0"/>
          <w:sz w:val="32"/>
          <w:szCs w:val="32"/>
        </w:rPr>
        <w:t>2025“吃货季”活动等，全方位扩大国内需求。</w:t>
      </w:r>
      <w:r>
        <w:rPr>
          <w:rFonts w:hint="eastAsia" w:ascii="仿宋_GB2312" w:hAnsi="仿宋_GB2312" w:eastAsia="仿宋_GB2312" w:cs="仿宋_GB2312"/>
          <w:color w:val="auto"/>
          <w:sz w:val="32"/>
          <w:szCs w:val="32"/>
        </w:rPr>
        <w:t>民政部等部门组织举办的全国性“养老服务消费季”促消费活动，以“惠老助老、品质生活”为主题，大力提升老年人生活品质，推动养老事业与产业协同发展。</w:t>
      </w:r>
      <w:r>
        <w:rPr>
          <w:rFonts w:hint="eastAsia" w:ascii="仿宋_GB2312" w:hAnsi="仿宋_GB2312" w:eastAsia="仿宋_GB2312" w:cs="仿宋_GB2312"/>
          <w:color w:val="auto"/>
          <w:kern w:val="0"/>
          <w:sz w:val="32"/>
          <w:szCs w:val="32"/>
          <w:lang w:val="en-US" w:eastAsia="zh-CN"/>
        </w:rPr>
        <w:t>商务部等六部门联合印发《关于开展组织“购在中国”系列活动的通知》，并</w:t>
      </w:r>
      <w:r>
        <w:rPr>
          <w:rFonts w:hint="eastAsia" w:ascii="仿宋_GB2312" w:hAnsi="仿宋_GB2312" w:eastAsia="仿宋_GB2312" w:cs="仿宋_GB2312"/>
          <w:color w:val="auto"/>
          <w:kern w:val="1"/>
          <w:sz w:val="32"/>
          <w:szCs w:val="32"/>
        </w:rPr>
        <w:t>会同有关部门组织开展“</w:t>
      </w:r>
      <w:r>
        <w:rPr>
          <w:rFonts w:hint="eastAsia" w:ascii="仿宋_GB2312" w:hAnsi="仿宋_GB2312" w:eastAsia="仿宋_GB2312" w:cs="仿宋_GB2312"/>
          <w:color w:val="auto"/>
          <w:kern w:val="1"/>
          <w:sz w:val="32"/>
          <w:szCs w:val="32"/>
          <w:lang w:val="en-US" w:eastAsia="zh-CN"/>
        </w:rPr>
        <w:t>精品消费月</w:t>
      </w:r>
      <w:r>
        <w:rPr>
          <w:rFonts w:hint="eastAsia" w:ascii="仿宋_GB2312" w:hAnsi="仿宋_GB2312" w:eastAsia="仿宋_GB2312" w:cs="仿宋_GB2312"/>
          <w:color w:val="auto"/>
          <w:kern w:val="1"/>
          <w:sz w:val="32"/>
          <w:szCs w:val="32"/>
        </w:rPr>
        <w:t>”</w:t>
      </w:r>
      <w:r>
        <w:rPr>
          <w:rFonts w:hint="eastAsia" w:ascii="仿宋_GB2312" w:hAnsi="仿宋_GB2312" w:eastAsia="仿宋_GB2312" w:cs="仿宋_GB2312"/>
          <w:color w:val="auto"/>
          <w:kern w:val="0"/>
          <w:sz w:val="32"/>
          <w:szCs w:val="32"/>
        </w:rPr>
        <w:t>“服务消费季”</w:t>
      </w:r>
      <w:r>
        <w:rPr>
          <w:rFonts w:hint="eastAsia" w:ascii="仿宋_GB2312" w:hAnsi="仿宋_GB2312" w:eastAsia="仿宋_GB2312" w:cs="仿宋_GB2312"/>
          <w:color w:val="auto"/>
          <w:kern w:val="1"/>
          <w:sz w:val="32"/>
          <w:szCs w:val="32"/>
        </w:rPr>
        <w:t>“</w:t>
      </w:r>
      <w:r>
        <w:rPr>
          <w:rFonts w:hint="eastAsia" w:ascii="仿宋_GB2312" w:hAnsi="仿宋_GB2312" w:eastAsia="仿宋_GB2312" w:cs="仿宋_GB2312"/>
          <w:color w:val="auto"/>
          <w:kern w:val="1"/>
          <w:sz w:val="32"/>
          <w:szCs w:val="32"/>
          <w:lang w:val="en-US" w:eastAsia="zh-CN"/>
        </w:rPr>
        <w:t>中华美食荟</w:t>
      </w:r>
      <w:r>
        <w:rPr>
          <w:rFonts w:hint="eastAsia" w:ascii="仿宋_GB2312" w:hAnsi="仿宋_GB2312" w:eastAsia="仿宋_GB2312" w:cs="仿宋_GB2312"/>
          <w:color w:val="auto"/>
          <w:kern w:val="1"/>
          <w:sz w:val="32"/>
          <w:szCs w:val="32"/>
        </w:rPr>
        <w:t>”</w:t>
      </w:r>
      <w:r>
        <w:rPr>
          <w:rFonts w:hint="eastAsia" w:ascii="仿宋_GB2312" w:hAnsi="仿宋_GB2312" w:eastAsia="仿宋_GB2312" w:cs="仿宋_GB2312"/>
          <w:color w:val="auto"/>
          <w:kern w:val="1"/>
          <w:sz w:val="32"/>
          <w:szCs w:val="32"/>
          <w:lang w:val="en-US" w:eastAsia="zh-CN"/>
        </w:rPr>
        <w:t>等专项</w:t>
      </w:r>
      <w:r>
        <w:rPr>
          <w:rFonts w:hint="eastAsia" w:ascii="仿宋_GB2312" w:hAnsi="仿宋_GB2312" w:eastAsia="仿宋_GB2312" w:cs="仿宋_GB2312"/>
          <w:color w:val="auto"/>
          <w:kern w:val="0"/>
          <w:sz w:val="32"/>
          <w:szCs w:val="32"/>
        </w:rPr>
        <w:t>促消费活动</w:t>
      </w:r>
      <w:r>
        <w:rPr>
          <w:rFonts w:hint="eastAsia" w:ascii="仿宋_GB2312" w:hAnsi="仿宋_GB2312" w:eastAsia="仿宋_GB2312" w:cs="仿宋_GB2312"/>
          <w:color w:val="auto"/>
          <w:kern w:val="1"/>
          <w:sz w:val="32"/>
          <w:szCs w:val="32"/>
        </w:rPr>
        <w:t>，</w:t>
      </w:r>
      <w:r>
        <w:rPr>
          <w:rFonts w:hint="eastAsia" w:ascii="仿宋_GB2312" w:hAnsi="仿宋_GB2312" w:eastAsia="仿宋_GB2312" w:cs="仿宋_GB2312"/>
          <w:color w:val="auto"/>
          <w:kern w:val="1"/>
          <w:sz w:val="32"/>
          <w:szCs w:val="32"/>
          <w:lang w:val="en-US" w:eastAsia="zh-CN"/>
        </w:rPr>
        <w:t>以及</w:t>
      </w:r>
      <w:r>
        <w:rPr>
          <w:rFonts w:hint="eastAsia" w:ascii="仿宋_GB2312" w:hAnsi="仿宋_GB2312" w:eastAsia="仿宋_GB2312" w:cs="仿宋_GB2312"/>
          <w:color w:val="auto"/>
          <w:kern w:val="1"/>
          <w:sz w:val="32"/>
          <w:szCs w:val="32"/>
        </w:rPr>
        <w:t>“上海之夏”、北京“京彩四季”“不夜重庆生活节”等地方站活动</w:t>
      </w:r>
      <w:r>
        <w:rPr>
          <w:rFonts w:hint="eastAsia" w:ascii="仿宋_GB2312" w:hAnsi="仿宋_GB2312" w:eastAsia="仿宋_GB2312" w:cs="仿宋_GB2312"/>
          <w:color w:val="auto"/>
          <w:kern w:val="1"/>
          <w:sz w:val="32"/>
          <w:szCs w:val="32"/>
          <w:lang w:val="en-US" w:eastAsia="zh-CN"/>
        </w:rPr>
        <w:t>6</w:t>
      </w:r>
      <w:r>
        <w:rPr>
          <w:rFonts w:hint="eastAsia" w:ascii="仿宋_GB2312" w:hAnsi="仿宋_GB2312" w:eastAsia="仿宋_GB2312" w:cs="仿宋_GB2312"/>
          <w:color w:val="auto"/>
          <w:kern w:val="1"/>
          <w:sz w:val="32"/>
          <w:szCs w:val="32"/>
        </w:rPr>
        <w:t>0余场次；</w:t>
      </w:r>
      <w:r>
        <w:rPr>
          <w:rFonts w:hint="eastAsia" w:ascii="仿宋_GB2312" w:hAnsi="仿宋_GB2312" w:eastAsia="仿宋_GB2312" w:cs="仿宋_GB2312"/>
          <w:color w:val="auto"/>
          <w:kern w:val="0"/>
          <w:sz w:val="32"/>
          <w:szCs w:val="32"/>
        </w:rPr>
        <w:t>联合</w:t>
      </w:r>
      <w:r>
        <w:rPr>
          <w:rFonts w:hint="eastAsia" w:ascii="仿宋_GB2312" w:hAnsi="仿宋_GB2312" w:eastAsia="仿宋_GB2312" w:cs="仿宋_GB2312"/>
          <w:color w:val="auto"/>
          <w:sz w:val="32"/>
          <w:szCs w:val="32"/>
        </w:rPr>
        <w:t>中央广播电视总台、上海市人民政府启动2025国际消费季，</w:t>
      </w:r>
      <w:r>
        <w:rPr>
          <w:rFonts w:hint="eastAsia" w:ascii="仿宋_GB2312" w:hAnsi="仿宋_GB2312" w:eastAsia="仿宋_GB2312" w:cs="仿宋_GB2312"/>
          <w:bCs/>
          <w:color w:val="auto"/>
          <w:sz w:val="32"/>
          <w:szCs w:val="32"/>
        </w:rPr>
        <w:t>助力国内居民和入境游客惠购全球好物、惠享优质服务</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农业农村部</w:t>
      </w:r>
      <w:r>
        <w:rPr>
          <w:rFonts w:hint="eastAsia" w:ascii="仿宋_GB2312" w:hAnsi="仿宋_GB2312" w:eastAsia="仿宋_GB2312" w:cs="仿宋_GB2312"/>
          <w:color w:val="auto"/>
          <w:kern w:val="0"/>
          <w:sz w:val="32"/>
          <w:szCs w:val="32"/>
          <w:lang w:val="en-US" w:eastAsia="zh-CN"/>
        </w:rPr>
        <w:t>会同有关部门举办中国农民丰收节金秋消费季，引导各地开展丰富多彩的促消费活动，带动农产品销售超300亿元；组织开展协作帮扶促消费和助力农文旅融合发展专项工作，通过产销对接推动西部脱贫地区农产品“走出去”，依托农文旅发展将东部消费群体“引进来”，合力提振乡村消费水平；重点筛选267家东部省份农产品购销主体、257家西部省份农产品生产经营主体进行产销对接，筛选35条乡村农文旅路线和175个特色乡村进行重点推介；组织元旦春节农产品消费促进活动，引导各地发布一批“土特产”品牌年货目录，组织一批节日主题消费活动，提升一批农文旅融合消费活动，推出一批营养健康消费活动，举办一批消费帮扶对接活动</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kern w:val="0"/>
          <w:sz w:val="32"/>
          <w:szCs w:val="32"/>
        </w:rPr>
      </w:pPr>
      <w:r>
        <w:rPr>
          <w:rFonts w:hint="eastAsia" w:ascii="仿宋_GB2312" w:hAnsi="仿宋_GB2312" w:eastAsia="仿宋_GB2312" w:cs="仿宋_GB2312"/>
          <w:color w:val="auto"/>
          <w:kern w:val="0"/>
          <w:sz w:val="32"/>
          <w:szCs w:val="32"/>
        </w:rPr>
        <w:t>全国各地组织开展的促</w:t>
      </w:r>
      <w:r>
        <w:rPr>
          <w:rFonts w:hint="eastAsia" w:ascii="仿宋_GB2312" w:hAnsi="仿宋_GB2312" w:eastAsia="仿宋_GB2312" w:cs="仿宋_GB2312"/>
          <w:color w:val="auto"/>
          <w:kern w:val="0"/>
          <w:sz w:val="32"/>
          <w:szCs w:val="32"/>
          <w:lang w:val="en-US" w:eastAsia="zh-CN"/>
        </w:rPr>
        <w:t>消费</w:t>
      </w:r>
      <w:r>
        <w:rPr>
          <w:rFonts w:hint="eastAsia" w:ascii="仿宋_GB2312" w:hAnsi="仿宋_GB2312" w:eastAsia="仿宋_GB2312" w:cs="仿宋_GB2312"/>
          <w:color w:val="auto"/>
          <w:kern w:val="0"/>
          <w:sz w:val="32"/>
          <w:szCs w:val="32"/>
        </w:rPr>
        <w:t>活动特色鲜明、内容丰富。江苏开展“苏新消费・春惠江苏”“暖冬购物季”等主题活动、</w:t>
      </w:r>
      <w:r>
        <w:rPr>
          <w:rFonts w:hint="eastAsia" w:ascii="仿宋_GB2312" w:hAnsi="仿宋_GB2312" w:eastAsia="仿宋_GB2312" w:cs="仿宋_GB2312"/>
          <w:color w:val="auto"/>
          <w:sz w:val="32"/>
          <w:szCs w:val="32"/>
          <w:shd w:val="clear" w:color="auto" w:fill="FFFFFF"/>
        </w:rPr>
        <w:t>浙江开展“激情浙夏 快乐消费”2025年暑期促消费活动、重庆市开展“购在中国·爱尚重庆”2025金秋消费季活动、广东开展“粤享暖冬 乐游广东”消费季活动。北京、天津、河北三地联合开展</w:t>
      </w:r>
      <w:r>
        <w:rPr>
          <w:rFonts w:hint="eastAsia" w:ascii="仿宋_GB2312" w:hAnsi="仿宋_GB2312" w:eastAsia="仿宋_GB2312" w:cs="仿宋_GB2312"/>
          <w:color w:val="auto"/>
          <w:kern w:val="0"/>
          <w:sz w:val="32"/>
          <w:szCs w:val="32"/>
        </w:rPr>
        <w:t>京津冀消费季活动</w:t>
      </w:r>
      <w:r>
        <w:rPr>
          <w:rFonts w:hint="eastAsia" w:ascii="仿宋_GB2312" w:hAnsi="仿宋_GB2312" w:eastAsia="仿宋_GB2312" w:cs="仿宋_GB2312"/>
          <w:color w:val="auto"/>
          <w:kern w:val="0"/>
          <w:sz w:val="32"/>
          <w:szCs w:val="32"/>
          <w:lang w:val="en-US" w:eastAsia="zh-CN"/>
        </w:rPr>
        <w:t>，通过充分融合三地商旅文体健展优势资源</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持续强化京津冀三地区域消费协同发展，大力营造繁荣有序的消费氛围</w:t>
      </w:r>
      <w:r>
        <w:rPr>
          <w:rFonts w:hint="eastAsia" w:ascii="仿宋_GB2312" w:hAnsi="仿宋_GB2312" w:eastAsia="仿宋_GB2312" w:cs="仿宋_GB2312"/>
          <w:color w:val="auto"/>
          <w:kern w:val="0"/>
          <w:sz w:val="32"/>
          <w:szCs w:val="32"/>
        </w:rPr>
        <w:t>。多样化的促销活动，</w:t>
      </w:r>
      <w:r>
        <w:rPr>
          <w:rFonts w:hint="eastAsia" w:ascii="仿宋_GB2312" w:hAnsi="仿宋_GB2312" w:eastAsia="仿宋_GB2312" w:cs="仿宋_GB2312"/>
          <w:color w:val="auto"/>
          <w:sz w:val="32"/>
          <w:szCs w:val="32"/>
          <w:shd w:val="clear" w:color="auto" w:fill="FFFFFF"/>
        </w:rPr>
        <w:t>从家电3C到汽车家居、从餐饮美食到文旅休闲，全方位覆盖</w:t>
      </w:r>
      <w:r>
        <w:rPr>
          <w:rFonts w:hint="eastAsia" w:ascii="仿宋_GB2312" w:hAnsi="仿宋_GB2312" w:eastAsia="仿宋_GB2312" w:cs="仿宋_GB2312"/>
          <w:color w:val="auto"/>
          <w:sz w:val="32"/>
          <w:szCs w:val="32"/>
          <w:shd w:val="clear" w:color="auto" w:fill="FFFFFF"/>
          <w:lang w:val="en-US" w:eastAsia="zh-CN"/>
        </w:rPr>
        <w:t>各类</w:t>
      </w:r>
      <w:r>
        <w:rPr>
          <w:rFonts w:hint="eastAsia" w:ascii="仿宋_GB2312" w:hAnsi="仿宋_GB2312" w:eastAsia="仿宋_GB2312" w:cs="仿宋_GB2312"/>
          <w:color w:val="auto"/>
          <w:sz w:val="32"/>
          <w:szCs w:val="32"/>
          <w:shd w:val="clear" w:color="auto" w:fill="FFFFFF"/>
        </w:rPr>
        <w:t>消费场景，</w:t>
      </w:r>
      <w:r>
        <w:rPr>
          <w:rStyle w:val="20"/>
          <w:rFonts w:hint="eastAsia" w:ascii="仿宋_GB2312" w:hAnsi="仿宋_GB2312" w:eastAsia="仿宋_GB2312" w:cs="仿宋_GB2312"/>
          <w:b w:val="0"/>
          <w:color w:val="auto"/>
          <w:sz w:val="32"/>
          <w:szCs w:val="32"/>
        </w:rPr>
        <w:t>进一步激</w:t>
      </w:r>
      <w:r>
        <w:rPr>
          <w:rStyle w:val="20"/>
          <w:rFonts w:hint="eastAsia" w:ascii="仿宋_GB2312" w:hAnsi="仿宋_GB2312" w:eastAsia="仿宋_GB2312" w:cs="仿宋_GB2312"/>
          <w:b w:val="0"/>
          <w:color w:val="auto"/>
          <w:sz w:val="32"/>
          <w:szCs w:val="32"/>
          <w:lang w:val="en-US"/>
        </w:rPr>
        <w:t>发</w:t>
      </w:r>
      <w:r>
        <w:rPr>
          <w:rStyle w:val="20"/>
          <w:rFonts w:hint="eastAsia" w:ascii="仿宋_GB2312" w:hAnsi="仿宋_GB2312" w:eastAsia="仿宋_GB2312" w:cs="仿宋_GB2312"/>
          <w:b w:val="0"/>
          <w:color w:val="auto"/>
          <w:sz w:val="32"/>
          <w:szCs w:val="32"/>
        </w:rPr>
        <w:t>了消费活力，</w:t>
      </w:r>
      <w:r>
        <w:rPr>
          <w:rFonts w:hint="eastAsia" w:ascii="仿宋_GB2312" w:hAnsi="仿宋_GB2312" w:eastAsia="仿宋_GB2312" w:cs="仿宋_GB2312"/>
          <w:color w:val="auto"/>
          <w:sz w:val="32"/>
          <w:szCs w:val="32"/>
          <w:shd w:val="clear" w:color="auto" w:fill="FFFFFF"/>
        </w:rPr>
        <w:t>有力推动了消费增长。</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35" w:name="_Toc21583"/>
      <w:bookmarkStart w:id="36" w:name="_Toc9193"/>
      <w:bookmarkStart w:id="37" w:name="_Toc221610670"/>
      <w:r>
        <w:rPr>
          <w:rFonts w:hint="eastAsia" w:ascii="黑体" w:hAnsi="黑体" w:eastAsia="黑体" w:cs="黑体"/>
          <w:bCs/>
          <w:color w:val="000000"/>
          <w:sz w:val="32"/>
          <w:szCs w:val="32"/>
        </w:rPr>
        <w:t>二、全面优化消费环境，持续释放消费潜力</w:t>
      </w:r>
      <w:bookmarkEnd w:id="35"/>
      <w:bookmarkEnd w:id="36"/>
      <w:bookmarkEnd w:id="37"/>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优化消费环境是消费者权益保护的长效机制，也是</w:t>
      </w:r>
      <w:r>
        <w:rPr>
          <w:rFonts w:hint="eastAsia" w:ascii="仿宋_GB2312" w:hAnsi="仿宋_GB2312" w:eastAsia="仿宋_GB2312" w:cs="仿宋_GB2312"/>
          <w:color w:val="auto"/>
          <w:sz w:val="32"/>
          <w:szCs w:val="32"/>
          <w:shd w:val="clear" w:color="auto" w:fill="FFFFFF"/>
        </w:rPr>
        <w:t>提振消费信心、激发经济活力的重要举措。2025年，经国务院同意，</w:t>
      </w:r>
      <w:r>
        <w:rPr>
          <w:rFonts w:hint="eastAsia" w:ascii="仿宋_GB2312" w:hAnsi="仿宋_GB2312" w:eastAsia="仿宋_GB2312" w:cs="仿宋_GB2312"/>
          <w:color w:val="auto"/>
          <w:sz w:val="32"/>
          <w:szCs w:val="32"/>
        </w:rPr>
        <w:t>市场监管总局等5部委联合印发《优化消费环境三年行动方案（2025—2027年）》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以下简称</w:t>
      </w:r>
      <w:r>
        <w:rPr>
          <w:rFonts w:hint="eastAsia" w:ascii="仿宋_GB2312" w:hAnsi="仿宋_GB2312" w:eastAsia="仿宋_GB2312" w:cs="仿宋_GB2312"/>
          <w:color w:val="auto"/>
          <w:sz w:val="32"/>
          <w:szCs w:val="32"/>
        </w:rPr>
        <w:t>《行动方案》</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，部署各地区、各部门全面优化消费环境。《行动方案》以消费供给提质、消费秩序优化、消费维权提效、消费环境共治、消费环境引领五大行动为</w:t>
      </w:r>
      <w:r>
        <w:rPr>
          <w:rFonts w:hint="eastAsia" w:ascii="仿宋_GB2312" w:hAnsi="仿宋_GB2312" w:eastAsia="仿宋_GB2312" w:cs="仿宋_GB2312"/>
          <w:color w:val="auto"/>
          <w:sz w:val="32"/>
          <w:szCs w:val="32"/>
          <w:lang w:val="en-US" w:eastAsia="zh-CN"/>
        </w:rPr>
        <w:t>主要内容</w:t>
      </w:r>
      <w:r>
        <w:rPr>
          <w:rFonts w:hint="eastAsia" w:ascii="仿宋_GB2312" w:hAnsi="仿宋_GB2312" w:eastAsia="仿宋_GB2312" w:cs="仿宋_GB2312"/>
          <w:color w:val="auto"/>
          <w:sz w:val="32"/>
          <w:szCs w:val="32"/>
        </w:rPr>
        <w:t>，综合统筹扩大内需和改善民生，安排部署了强化消费纠纷源头解决、加强消协组织建设等</w:t>
      </w:r>
      <w:r>
        <w:rPr>
          <w:rFonts w:hint="eastAsia" w:ascii="仿宋_GB2312" w:hAnsi="仿宋_GB2312" w:eastAsia="仿宋_GB2312" w:cs="仿宋_GB2312"/>
          <w:color w:val="auto"/>
          <w:sz w:val="32"/>
          <w:szCs w:val="32"/>
          <w:lang w:val="en-US" w:eastAsia="zh-CN"/>
        </w:rPr>
        <w:t>19</w:t>
      </w:r>
      <w:r>
        <w:rPr>
          <w:rFonts w:hint="eastAsia" w:ascii="仿宋_GB2312" w:hAnsi="仿宋_GB2312" w:eastAsia="仿宋_GB2312" w:cs="仿宋_GB2312"/>
          <w:color w:val="auto"/>
          <w:sz w:val="32"/>
          <w:szCs w:val="32"/>
        </w:rPr>
        <w:t>项重点任务，着力破除消费者反映突出的痛点难点问题，</w:t>
      </w:r>
      <w:r>
        <w:rPr>
          <w:rFonts w:hint="eastAsia" w:ascii="仿宋_GB2312" w:hAnsi="仿宋_GB2312" w:eastAsia="仿宋_GB2312" w:cs="仿宋_GB2312"/>
          <w:color w:val="auto"/>
          <w:sz w:val="32"/>
          <w:szCs w:val="32"/>
          <w:lang w:val="en-US" w:eastAsia="zh-CN"/>
        </w:rPr>
        <w:t>大力推进</w:t>
      </w:r>
      <w:r>
        <w:rPr>
          <w:rFonts w:hint="eastAsia" w:ascii="仿宋_GB2312" w:hAnsi="仿宋_GB2312" w:eastAsia="仿宋_GB2312" w:cs="仿宋_GB2312"/>
          <w:color w:val="auto"/>
          <w:sz w:val="32"/>
          <w:szCs w:val="32"/>
        </w:rPr>
        <w:t>诚信、公平、便捷、安全的消费环境建设。</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Style w:val="20"/>
          <w:rFonts w:hint="eastAsia" w:ascii="仿宋_GB2312" w:hAnsi="仿宋_GB2312" w:eastAsia="仿宋_GB2312" w:cs="仿宋_GB2312"/>
          <w:b w:val="0"/>
          <w:color w:val="auto"/>
          <w:sz w:val="32"/>
          <w:szCs w:val="32"/>
        </w:rPr>
        <w:t>各部门</w:t>
      </w:r>
      <w:r>
        <w:rPr>
          <w:rFonts w:hint="eastAsia" w:ascii="仿宋_GB2312" w:hAnsi="仿宋_GB2312" w:eastAsia="仿宋_GB2312" w:cs="仿宋_GB2312"/>
          <w:color w:val="auto"/>
          <w:sz w:val="32"/>
          <w:szCs w:val="32"/>
        </w:rPr>
        <w:t>积极落实《行动方案》，</w:t>
      </w:r>
      <w:r>
        <w:rPr>
          <w:rFonts w:hint="eastAsia" w:ascii="仿宋_GB2312" w:hAnsi="仿宋_GB2312" w:eastAsia="仿宋_GB2312" w:cs="仿宋_GB2312"/>
          <w:color w:val="auto"/>
          <w:sz w:val="32"/>
          <w:szCs w:val="32"/>
          <w:lang w:val="en-US" w:eastAsia="zh-CN"/>
        </w:rPr>
        <w:t>推进</w:t>
      </w:r>
      <w:r>
        <w:rPr>
          <w:rFonts w:hint="eastAsia" w:ascii="仿宋_GB2312" w:hAnsi="仿宋_GB2312" w:eastAsia="仿宋_GB2312" w:cs="仿宋_GB2312"/>
          <w:color w:val="auto"/>
          <w:sz w:val="32"/>
          <w:szCs w:val="32"/>
        </w:rPr>
        <w:t>消费环境持续改善。</w:t>
      </w:r>
      <w:r>
        <w:rPr>
          <w:rStyle w:val="20"/>
          <w:rFonts w:hint="eastAsia" w:ascii="仿宋_GB2312" w:hAnsi="仿宋_GB2312" w:eastAsia="仿宋_GB2312" w:cs="仿宋_GB2312"/>
          <w:b w:val="0"/>
          <w:color w:val="auto"/>
          <w:sz w:val="32"/>
          <w:szCs w:val="32"/>
        </w:rPr>
        <w:t>商务部</w:t>
      </w:r>
      <w:r>
        <w:rPr>
          <w:rStyle w:val="20"/>
          <w:rFonts w:hint="eastAsia" w:ascii="仿宋_GB2312" w:hAnsi="仿宋_GB2312" w:eastAsia="仿宋_GB2312" w:cs="仿宋_GB2312"/>
          <w:b w:val="0"/>
          <w:color w:val="auto"/>
          <w:sz w:val="32"/>
          <w:szCs w:val="32"/>
          <w:lang w:val="en-US"/>
        </w:rPr>
        <w:t>发布</w:t>
      </w:r>
      <w:r>
        <w:rPr>
          <w:rStyle w:val="20"/>
          <w:rFonts w:hint="eastAsia" w:ascii="仿宋_GB2312" w:hAnsi="仿宋_GB2312" w:eastAsia="仿宋_GB2312" w:cs="仿宋_GB2312"/>
          <w:b w:val="0"/>
          <w:color w:val="auto"/>
          <w:sz w:val="32"/>
          <w:szCs w:val="32"/>
        </w:rPr>
        <w:t>《关于支持国际消费中心城市培育建设的若干措施》，</w:t>
      </w:r>
      <w:r>
        <w:rPr>
          <w:rFonts w:hint="eastAsia" w:ascii="仿宋_GB2312" w:hAnsi="仿宋_GB2312" w:eastAsia="仿宋_GB2312" w:cs="仿宋_GB2312"/>
          <w:color w:val="auto"/>
          <w:sz w:val="32"/>
          <w:szCs w:val="32"/>
        </w:rPr>
        <w:t>支持北京、上海、广州、天津、重庆等相关城市加快国际消费中心城市培育建设，打造具有全球吸引力的消费环境。市场监管总局积极开展优化消费环境试点工作，选取</w:t>
      </w:r>
      <w:r>
        <w:rPr>
          <w:rFonts w:hint="eastAsia" w:ascii="仿宋_GB2312" w:hAnsi="仿宋_GB2312" w:eastAsia="仿宋_GB2312" w:cs="仿宋_GB2312"/>
          <w:color w:val="auto"/>
          <w:sz w:val="32"/>
          <w:szCs w:val="32"/>
          <w:lang w:val="en-US" w:eastAsia="zh-CN"/>
        </w:rPr>
        <w:t>48</w:t>
      </w:r>
      <w:r>
        <w:rPr>
          <w:rFonts w:hint="eastAsia" w:ascii="仿宋_GB2312" w:hAnsi="仿宋_GB2312" w:eastAsia="仿宋_GB2312" w:cs="仿宋_GB2312"/>
          <w:color w:val="auto"/>
          <w:sz w:val="32"/>
          <w:szCs w:val="32"/>
        </w:rPr>
        <w:t>个地区，重点研究部署“推动放心消费主体培育”“消费维权综合治理机制”等17项重点试点任务，探索以优化消费环境释放消费潜力，为全国层面政策推广提供多层次借鉴</w:t>
      </w:r>
      <w:r>
        <w:rPr>
          <w:rFonts w:hint="eastAsia" w:ascii="仿宋_GB2312" w:hAnsi="仿宋_GB2312" w:eastAsia="仿宋_GB2312" w:cs="仿宋_GB2312"/>
          <w:color w:val="auto"/>
          <w:sz w:val="32"/>
          <w:szCs w:val="32"/>
          <w:lang w:val="en-US" w:eastAsia="zh-CN"/>
        </w:rPr>
        <w:t>成果</w:t>
      </w:r>
      <w:r>
        <w:rPr>
          <w:rFonts w:hint="eastAsia" w:ascii="仿宋_GB2312" w:hAnsi="仿宋_GB2312" w:eastAsia="仿宋_GB2312" w:cs="仿宋_GB2312"/>
          <w:color w:val="auto"/>
          <w:sz w:val="32"/>
          <w:szCs w:val="32"/>
        </w:rPr>
        <w:t>；会同</w:t>
      </w:r>
      <w:r>
        <w:rPr>
          <w:rStyle w:val="30"/>
          <w:rFonts w:hint="eastAsia" w:ascii="仿宋_GB2312" w:hAnsi="仿宋_GB2312" w:eastAsia="仿宋_GB2312" w:cs="仿宋_GB2312"/>
          <w:color w:val="auto"/>
          <w:sz w:val="32"/>
          <w:szCs w:val="32"/>
        </w:rPr>
        <w:t>工业和信息化部、公安部等十三部门联合部署开展2025年全国“优化消费环境月”活动，</w:t>
      </w:r>
      <w:r>
        <w:rPr>
          <w:rFonts w:hint="eastAsia" w:ascii="仿宋_GB2312" w:hAnsi="仿宋_GB2312" w:eastAsia="仿宋_GB2312" w:cs="仿宋_GB2312"/>
          <w:color w:val="auto"/>
          <w:kern w:val="0"/>
          <w:sz w:val="32"/>
          <w:szCs w:val="32"/>
        </w:rPr>
        <w:t>通过发布重要成果、公示执法案例、开</w:t>
      </w:r>
      <w:r>
        <w:rPr>
          <w:rFonts w:hint="eastAsia" w:ascii="仿宋_GB2312" w:hAnsi="仿宋_GB2312" w:eastAsia="仿宋_GB2312" w:cs="仿宋_GB2312"/>
          <w:color w:val="auto"/>
          <w:sz w:val="32"/>
          <w:szCs w:val="32"/>
        </w:rPr>
        <w:t>展消费提示、开放服务场景等形式，调动全社会共同参与消费环境建设，</w:t>
      </w:r>
      <w:r>
        <w:rPr>
          <w:rFonts w:hint="eastAsia" w:ascii="仿宋_GB2312" w:hAnsi="仿宋_GB2312" w:eastAsia="仿宋_GB2312" w:cs="仿宋_GB2312"/>
          <w:color w:val="auto"/>
          <w:kern w:val="0"/>
          <w:sz w:val="32"/>
          <w:szCs w:val="32"/>
        </w:rPr>
        <w:t>各地区各部门积极响应，共开展131项活动</w:t>
      </w:r>
      <w:r>
        <w:rPr>
          <w:rFonts w:hint="eastAsia" w:ascii="仿宋_GB2312" w:hAnsi="仿宋_GB2312" w:eastAsia="仿宋_GB2312" w:cs="仿宋_GB2312"/>
          <w:color w:val="auto"/>
          <w:sz w:val="32"/>
          <w:szCs w:val="32"/>
        </w:rPr>
        <w:t>；会同国家发展改革委发布《关于开展线下异地异店退换货承诺活动的倡议》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大力营造安全放心消费环境，推动全国统一大市场建设</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工业和信息化部组织开展电信业务“明白办、放心用”行动，推动各基础电信企业加强业务经营服务管理，资费公示率达99.9%</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指导推出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信息通信暖心服务十件实事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，电信服务线上办理量占比超91%，依据用户意愿累计为12.9亿用户提供营销电话、短信防护超1144亿次，推动3000余个老年人适用网站、APP完成适老化及无障碍改造</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bCs/>
          <w:color w:val="auto"/>
          <w:sz w:val="32"/>
          <w:szCs w:val="32"/>
        </w:rPr>
        <w:t>财政部与商务部联合发布</w:t>
      </w:r>
      <w:r>
        <w:rPr>
          <w:rFonts w:hint="eastAsia" w:ascii="仿宋_GB2312" w:hAnsi="仿宋_GB2312" w:eastAsia="仿宋_GB2312" w:cs="仿宋_GB2312"/>
          <w:bCs/>
          <w:color w:val="auto"/>
          <w:sz w:val="32"/>
          <w:szCs w:val="32"/>
          <w:lang w:eastAsia="zh-CN"/>
        </w:rPr>
        <w:t>《关于开展国际化消费环境建设工作的通知》</w:t>
      </w:r>
      <w:r>
        <w:rPr>
          <w:rFonts w:hint="eastAsia" w:ascii="仿宋_GB2312" w:hAnsi="仿宋_GB2312" w:eastAsia="仿宋_GB2312" w:cs="仿宋_GB2312"/>
          <w:bCs/>
          <w:color w:val="auto"/>
          <w:sz w:val="32"/>
          <w:szCs w:val="32"/>
        </w:rPr>
        <w:t>，通过打造更加便捷、舒适的消费环境</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进一步激发消费潜力</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推动消费提质升级</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吸引更多入境消费</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更好满足人民群众美好生活需要；</w:t>
      </w:r>
      <w:r>
        <w:rPr>
          <w:rFonts w:hint="eastAsia" w:ascii="仿宋_GB2312" w:hAnsi="仿宋_GB2312" w:eastAsia="仿宋_GB2312" w:cs="仿宋_GB2312"/>
          <w:color w:val="auto"/>
          <w:sz w:val="32"/>
          <w:szCs w:val="32"/>
        </w:rPr>
        <w:t>发布《关于开展消费新业态新模式新场景试点工作的通知》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在优化产品供给、创新消费业态、加强跨界融合等方面试点突破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增加更多优质供给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提供更多创新消费场景</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进一步释放多样化、差异化消费潜力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全方位扩大国内需求。</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文化和旅游部联合国家发展改革委、市场监管总局等部门印发《关于加强景区管理优化旅游环境的通知》，加强对热门景区的管理，提供未成年人、老年人群体窗口等多元化购票途径，持续整治热门旅游景区“黄牛”倒票现象；加强景区门票及周边市场等价格管理，督促依托公共资源建设的景区坚持公益属性，由发展改革部门严格核定景区门票价格，并依法查处不执行政府定价或政府指导价、价格欺诈等行为，进一步实施旅游景区强基焕新行动，提高旅游景区经营管理服务水平，优化旅游环境，提高游客体验感和满意度。推动出台《国务院办公厅关于进一步加强旅游市场综合监管的通知》，从依法落实旅游市场监管责任、完善旅游市场综合监管机制、全面提高旅游市场综合监管水平和增强旅游市场综合监管保障能力等方面提出明确要求，推动旅游业高质量发展。</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交通运输部在春节、清明、“五一”、国庆等节假日期间，针对性部署旅客出行安全和服务保障工作，便利“一老一小”等重点群体购票乘车、办理退改签等。</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全国各地也相继出台相关政策，推进消费环境优化。如重庆市印发《进一步清理消费领域限制性举措持续扩大消费若干措施》，持续激发消费潜力；湖北省印发《湖北省优化消费环境三年行动实施方案（2025—2027年）》，着力打造放心安心的高水平消费环境；安徽省发布《优化消费环境促进放心消费若干措施（2025—2027年）》，提出15项重点举措和50余条具体措施。</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38" w:name="_Toc12828"/>
      <w:bookmarkStart w:id="39" w:name="_Toc7312"/>
      <w:bookmarkStart w:id="40" w:name="_Toc221610671"/>
      <w:r>
        <w:rPr>
          <w:rFonts w:hint="eastAsia" w:ascii="黑体" w:hAnsi="黑体" w:eastAsia="黑体" w:cs="黑体"/>
          <w:bCs/>
          <w:color w:val="000000"/>
          <w:sz w:val="32"/>
          <w:szCs w:val="32"/>
        </w:rPr>
        <w:t>三、高效处理消费投诉，畅通消费维权途径</w:t>
      </w:r>
      <w:bookmarkEnd w:id="38"/>
      <w:bookmarkEnd w:id="39"/>
      <w:bookmarkEnd w:id="40"/>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政府有关部门聚焦投诉举报处置环节，有效化解消费纠纷，营造放心消费环境。司法部联合最高人民法院、最高人民检察院以及国家发展改革委等部门建立行政争议预防与实质化解相关工作机制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会同市场监管总局研究起草《关于深入推进消费纠纷化解工作的指导意见》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拟指导各地加强消费纠纷调解组织队伍建设，及时化解消费纠纷。工业和信息化部每季度公布电信服务质量通告，各级电信用户申诉受理机构按照《电信用户申诉处理办法》相关规定，对用户申诉进行处理和调解，有效维护了电信用户合法权益。金融监管总局、中国人民银行、中国证监会联合发布《关于推进金融纠纷调解工作高质量发展的意见》，在金融领域践行新时代“枫桥经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不断优化</w:t>
      </w:r>
      <w:r>
        <w:rPr>
          <w:rFonts w:hint="eastAsia" w:ascii="仿宋_GB2312" w:hAnsi="仿宋_GB2312" w:eastAsia="仿宋_GB2312" w:cs="仿宋_GB2312"/>
          <w:color w:val="auto"/>
          <w:sz w:val="32"/>
          <w:szCs w:val="32"/>
        </w:rPr>
        <w:t>12378热线系统，</w:t>
      </w:r>
      <w:bookmarkStart w:id="41" w:name="OLE_LINK72"/>
      <w:r>
        <w:rPr>
          <w:rFonts w:hint="eastAsia" w:ascii="仿宋_GB2312" w:hAnsi="仿宋_GB2312" w:eastAsia="仿宋_GB2312" w:cs="仿宋_GB2312"/>
          <w:color w:val="auto"/>
          <w:sz w:val="32"/>
          <w:szCs w:val="32"/>
          <w:lang w:val="en-US" w:eastAsia="zh-CN"/>
        </w:rPr>
        <w:t>完善</w:t>
      </w:r>
      <w:r>
        <w:rPr>
          <w:rFonts w:hint="eastAsia" w:ascii="仿宋_GB2312" w:hAnsi="仿宋_GB2312" w:eastAsia="仿宋_GB2312" w:cs="仿宋_GB2312"/>
          <w:color w:val="auto"/>
          <w:sz w:val="32"/>
          <w:szCs w:val="32"/>
        </w:rPr>
        <w:t>金融消费者保护服务平台</w:t>
      </w:r>
      <w:r>
        <w:rPr>
          <w:rFonts w:hint="eastAsia" w:ascii="仿宋_GB2312" w:hAnsi="仿宋_GB2312" w:eastAsia="仿宋_GB2312" w:cs="仿宋_GB2312"/>
          <w:color w:val="auto"/>
          <w:sz w:val="32"/>
          <w:szCs w:val="32"/>
          <w:lang w:val="en-US" w:eastAsia="zh-CN"/>
        </w:rPr>
        <w:t>功能</w:t>
      </w:r>
      <w:r>
        <w:rPr>
          <w:rFonts w:hint="eastAsia" w:ascii="仿宋_GB2312" w:hAnsi="仿宋_GB2312" w:eastAsia="仿宋_GB2312" w:cs="仿宋_GB2312"/>
          <w:color w:val="auto"/>
          <w:sz w:val="32"/>
          <w:szCs w:val="32"/>
          <w:lang w:eastAsia="zh-CN"/>
        </w:rPr>
        <w:t>，为金融消费者免费提供更加多元化、便捷化的诉求反映渠道和纠纷化解方式；</w:t>
      </w:r>
      <w:r>
        <w:rPr>
          <w:rFonts w:hint="eastAsia" w:ascii="仿宋_GB2312" w:hAnsi="仿宋_GB2312" w:eastAsia="仿宋_GB2312" w:cs="仿宋_GB2312"/>
          <w:color w:val="auto"/>
          <w:sz w:val="32"/>
          <w:szCs w:val="32"/>
          <w:lang w:val="en-US" w:eastAsia="zh-CN"/>
        </w:rPr>
        <w:t>上线</w:t>
      </w:r>
      <w:r>
        <w:rPr>
          <w:rFonts w:hint="eastAsia" w:ascii="仿宋_GB2312" w:hAnsi="仿宋_GB2312" w:eastAsia="仿宋_GB2312" w:cs="仿宋_GB2312"/>
          <w:color w:val="auto"/>
          <w:sz w:val="32"/>
          <w:szCs w:val="32"/>
        </w:rPr>
        <w:t>金融产品查询平台</w:t>
      </w:r>
      <w:bookmarkEnd w:id="41"/>
      <w:r>
        <w:rPr>
          <w:rFonts w:hint="eastAsia" w:ascii="仿宋_GB2312" w:hAnsi="仿宋_GB2312" w:eastAsia="仿宋_GB2312" w:cs="仿宋_GB2312"/>
          <w:color w:val="auto"/>
          <w:sz w:val="32"/>
          <w:szCs w:val="32"/>
          <w:lang w:eastAsia="zh-CN"/>
        </w:rPr>
        <w:t>，支持消费者简单、便利、快捷查询金融产品信息</w:t>
      </w:r>
      <w:r>
        <w:rPr>
          <w:rFonts w:hint="eastAsia" w:ascii="仿宋_GB2312" w:hAnsi="仿宋_GB2312" w:eastAsia="仿宋_GB2312" w:cs="仿宋_GB2312"/>
          <w:color w:val="auto"/>
          <w:sz w:val="32"/>
          <w:szCs w:val="32"/>
        </w:rPr>
        <w:t>。</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w:t>
      </w:r>
      <w:bookmarkStart w:id="42" w:name="OLE_LINK71"/>
      <w:r>
        <w:rPr>
          <w:rFonts w:hint="eastAsia" w:ascii="仿宋_GB2312" w:hAnsi="仿宋_GB2312" w:eastAsia="仿宋_GB2312" w:cs="仿宋_GB2312"/>
          <w:color w:val="auto"/>
          <w:sz w:val="32"/>
          <w:szCs w:val="32"/>
        </w:rPr>
        <w:t>全国市场监管部门共受理消费者投诉、举报</w:t>
      </w:r>
      <w:bookmarkEnd w:id="42"/>
      <w:r>
        <w:rPr>
          <w:rFonts w:hint="eastAsia" w:ascii="仿宋_GB2312" w:hAnsi="仿宋_GB2312" w:eastAsia="仿宋_GB2312" w:cs="仿宋_GB2312"/>
          <w:color w:val="auto"/>
          <w:sz w:val="32"/>
          <w:szCs w:val="32"/>
        </w:rPr>
        <w:t>2646万件，为消费者挽回经济损失43.5亿元；</w:t>
      </w:r>
      <w:bookmarkStart w:id="43" w:name="OLE_LINK1"/>
      <w:r>
        <w:rPr>
          <w:rFonts w:hint="eastAsia" w:ascii="仿宋_GB2312" w:hAnsi="仿宋_GB2312" w:eastAsia="仿宋_GB2312" w:cs="仿宋_GB2312"/>
          <w:color w:val="auto"/>
          <w:sz w:val="32"/>
          <w:szCs w:val="32"/>
        </w:rPr>
        <w:t>12315消费投诉信息公示平台，公示率上升</w:t>
      </w:r>
      <w:r>
        <w:rPr>
          <w:rFonts w:hint="eastAsia" w:ascii="仿宋_GB2312" w:hAnsi="仿宋_GB2312" w:eastAsia="仿宋_GB2312" w:cs="仿宋_GB2312"/>
          <w:color w:val="auto"/>
          <w:sz w:val="32"/>
          <w:szCs w:val="32"/>
          <w:lang w:val="en-US" w:eastAsia="zh-CN"/>
        </w:rPr>
        <w:t>至</w:t>
      </w:r>
      <w:bookmarkEnd w:id="43"/>
      <w:r>
        <w:rPr>
          <w:rFonts w:hint="eastAsia" w:ascii="仿宋_GB2312" w:hAnsi="仿宋_GB2312" w:eastAsia="仿宋_GB2312" w:cs="仿宋_GB2312"/>
          <w:color w:val="auto"/>
          <w:sz w:val="32"/>
          <w:szCs w:val="32"/>
        </w:rPr>
        <w:t>98.4%。多地</w:t>
      </w:r>
      <w:bookmarkStart w:id="44" w:name="OLE_LINK2"/>
      <w:r>
        <w:rPr>
          <w:rFonts w:hint="eastAsia" w:ascii="仿宋_GB2312" w:hAnsi="仿宋_GB2312" w:eastAsia="仿宋_GB2312" w:cs="仿宋_GB2312"/>
          <w:color w:val="auto"/>
          <w:sz w:val="32"/>
          <w:szCs w:val="32"/>
        </w:rPr>
        <w:t>探索在消费集聚区的公共电子屏上公示投诉信息，从源头减少消费纠纷</w:t>
      </w:r>
      <w:bookmarkEnd w:id="44"/>
      <w:r>
        <w:rPr>
          <w:rFonts w:hint="eastAsia" w:ascii="仿宋_GB2312" w:hAnsi="仿宋_GB2312" w:eastAsia="仿宋_GB2312" w:cs="仿宋_GB2312"/>
          <w:color w:val="auto"/>
          <w:sz w:val="32"/>
          <w:szCs w:val="32"/>
        </w:rPr>
        <w:t>。交通运输部畅通交通运输投诉举报渠道，加强12328交通运输服务监督热线运行管理工作，</w:t>
      </w:r>
      <w:r>
        <w:rPr>
          <w:rFonts w:hint="eastAsia" w:ascii="仿宋_GB2312" w:hAnsi="仿宋_GB2312" w:eastAsia="仿宋_GB2312" w:cs="仿宋_GB2312"/>
          <w:color w:val="auto"/>
          <w:sz w:val="32"/>
          <w:szCs w:val="32"/>
          <w:lang w:val="en-US" w:eastAsia="zh-CN"/>
        </w:rPr>
        <w:t>2025年</w:t>
      </w:r>
      <w:r>
        <w:rPr>
          <w:rFonts w:hint="eastAsia" w:ascii="仿宋_GB2312" w:hAnsi="仿宋_GB2312" w:eastAsia="仿宋_GB2312" w:cs="仿宋_GB2312"/>
          <w:color w:val="auto"/>
          <w:sz w:val="32"/>
          <w:szCs w:val="32"/>
        </w:rPr>
        <w:t>，12328</w:t>
      </w:r>
      <w:r>
        <w:rPr>
          <w:rFonts w:hint="eastAsia" w:ascii="仿宋_GB2312" w:hAnsi="仿宋_GB2312" w:eastAsia="仿宋_GB2312" w:cs="仿宋_GB2312"/>
          <w:color w:val="auto"/>
          <w:sz w:val="32"/>
          <w:szCs w:val="32"/>
          <w:lang w:val="en-US" w:eastAsia="zh-CN"/>
        </w:rPr>
        <w:t>交通运输服务监督</w:t>
      </w:r>
      <w:r>
        <w:rPr>
          <w:rFonts w:hint="eastAsia" w:ascii="仿宋_GB2312" w:hAnsi="仿宋_GB2312" w:eastAsia="仿宋_GB2312" w:cs="仿宋_GB2312"/>
          <w:color w:val="auto"/>
          <w:sz w:val="32"/>
          <w:szCs w:val="32"/>
        </w:rPr>
        <w:t>热线共受理办理各类投诉举报业务</w:t>
      </w:r>
      <w:r>
        <w:rPr>
          <w:rFonts w:hint="eastAsia" w:ascii="仿宋_GB2312" w:hAnsi="仿宋_GB2312" w:eastAsia="仿宋_GB2312" w:cs="仿宋_GB2312"/>
          <w:color w:val="auto"/>
          <w:sz w:val="32"/>
          <w:szCs w:val="32"/>
          <w:lang w:val="en-US" w:eastAsia="zh-CN"/>
        </w:rPr>
        <w:t>336.1</w:t>
      </w:r>
      <w:r>
        <w:rPr>
          <w:rFonts w:hint="eastAsia" w:ascii="仿宋_GB2312" w:hAnsi="仿宋_GB2312" w:eastAsia="仿宋_GB2312" w:cs="仿宋_GB2312"/>
          <w:color w:val="auto"/>
          <w:sz w:val="32"/>
          <w:szCs w:val="32"/>
        </w:rPr>
        <w:t>万件，客货运服务质量、汽车维修、驾驶培训等方面消费者诉求办理质效稳步提升。</w:t>
      </w:r>
    </w:p>
    <w:p>
      <w:pPr>
        <w:widowControl/>
        <w:jc w:val="left"/>
        <w:rPr>
          <w:color w:val="auto"/>
        </w:rPr>
      </w:pPr>
      <w:r>
        <w:rPr>
          <w:rFonts w:hint="eastAsia" w:cs="等线"/>
          <w:color w:val="auto"/>
        </w:rPr>
        <w:t xml:space="preserve"> </w:t>
      </w:r>
      <w:r>
        <w:rPr>
          <w:rFonts w:cs="等线"/>
          <w:color w:val="auto"/>
        </w:rPr>
        <w:t xml:space="preserve">  </w:t>
      </w:r>
      <w:r>
        <w:rPr>
          <w:rFonts w:hint="eastAsia" w:cs="等线"/>
          <w:color w:val="auto"/>
          <w:lang w:val="en-US" w:eastAsia="zh-CN"/>
        </w:rPr>
        <w:t xml:space="preserve">    </w:t>
      </w:r>
      <w:r>
        <w:rPr>
          <w:rFonts w:cs="等线"/>
          <w:color w:val="auto"/>
        </w:rPr>
        <w:t xml:space="preserve">  </w:t>
      </w:r>
      <w:r>
        <w:rPr>
          <w:color w:val="auto"/>
        </w:rPr>
        <w:object>
          <v:shape id="_x0000_i1025" o:spt="75" type="#_x0000_t75" style="height:163.75pt;width:385.55pt;" o:ole="t" filled="f" o:preferrelative="t" stroked="f" coordsize="21600,21600">
            <v:path/>
            <v:fill on="f" focussize="0,0"/>
            <v:stroke on="f"/>
            <v:imagedata r:id="rId10" o:title=""/>
            <o:lock v:ext="edit" aspectratio="t"/>
            <w10:wrap type="none"/>
            <w10:anchorlock/>
          </v:shape>
          <o:OLEObject Type="Embed" ProgID="Excel.Chart.8" ShapeID="_x0000_i1025" DrawAspect="Content" ObjectID="_1468075725" r:id="rId9">
            <o:LockedField>false</o:LockedField>
          </o:OLEObject>
        </w:object>
      </w:r>
    </w:p>
    <w:p>
      <w:pPr>
        <w:pStyle w:val="25"/>
        <w:ind w:firstLine="562"/>
        <w:jc w:val="center"/>
        <w:rPr>
          <w:rFonts w:hint="eastAsia" w:ascii="黑体" w:hAnsi="黑体" w:eastAsia="黑体" w:cs="黑体"/>
          <w:b w:val="0"/>
          <w:bCs/>
          <w:color w:val="auto"/>
          <w:sz w:val="28"/>
          <w:szCs w:val="28"/>
        </w:rPr>
      </w:pPr>
      <w:r>
        <w:rPr>
          <w:rFonts w:hint="eastAsia" w:ascii="黑体" w:hAnsi="黑体" w:eastAsia="黑体" w:cs="黑体"/>
          <w:b w:val="0"/>
          <w:bCs/>
          <w:color w:val="auto"/>
          <w:sz w:val="28"/>
          <w:szCs w:val="28"/>
        </w:rPr>
        <w:t>图：2022—2025年市场监管部门受理消费投诉</w:t>
      </w:r>
      <w:r>
        <w:rPr>
          <w:rFonts w:hint="eastAsia" w:ascii="黑体" w:hAnsi="黑体" w:eastAsia="黑体" w:cs="黑体"/>
          <w:b w:val="0"/>
          <w:bCs/>
          <w:color w:val="auto"/>
          <w:sz w:val="28"/>
          <w:szCs w:val="28"/>
          <w:lang w:eastAsia="zh-CN"/>
        </w:rPr>
        <w:t>、</w:t>
      </w:r>
      <w:r>
        <w:rPr>
          <w:rFonts w:hint="eastAsia" w:ascii="黑体" w:hAnsi="黑体" w:eastAsia="黑体" w:cs="黑体"/>
          <w:b w:val="0"/>
          <w:bCs/>
          <w:color w:val="auto"/>
          <w:sz w:val="28"/>
          <w:szCs w:val="28"/>
          <w:lang w:val="en-US" w:eastAsia="zh-CN"/>
        </w:rPr>
        <w:t>举报</w:t>
      </w:r>
      <w:r>
        <w:rPr>
          <w:rFonts w:hint="eastAsia" w:ascii="黑体" w:hAnsi="黑体" w:eastAsia="黑体" w:cs="黑体"/>
          <w:b w:val="0"/>
          <w:bCs/>
          <w:color w:val="auto"/>
          <w:sz w:val="28"/>
          <w:szCs w:val="28"/>
        </w:rPr>
        <w:t>情况</w:t>
      </w:r>
    </w:p>
    <w:p>
      <w:pPr>
        <w:keepNext w:val="0"/>
        <w:keepLines w:val="0"/>
        <w:pageBreakBefore w:val="0"/>
        <w:widowControl w:val="0"/>
        <w:kinsoku/>
        <w:wordWrap/>
        <w:overflowPunct/>
        <w:topLinePunct w:val="0"/>
        <w:autoSpaceDE/>
        <w:autoSpaceDN/>
        <w:bidi w:val="0"/>
        <w:adjustRightInd/>
        <w:snapToGrid/>
        <w:spacing w:before="157" w:beforeLines="50" w:line="594" w:lineRule="exact"/>
        <w:ind w:firstLine="640" w:firstLineChars="200"/>
        <w:textAlignment w:val="auto"/>
        <w:outlineLvl w:val="2"/>
        <w:rPr>
          <w:rFonts w:hint="eastAsia" w:ascii="黑体" w:hAnsi="黑体" w:eastAsia="黑体" w:cs="黑体"/>
          <w:bCs/>
          <w:color w:val="000000"/>
          <w:sz w:val="32"/>
          <w:szCs w:val="32"/>
        </w:rPr>
      </w:pPr>
      <w:bookmarkStart w:id="45" w:name="_Toc25765"/>
      <w:bookmarkStart w:id="46" w:name="_Toc221610672"/>
      <w:bookmarkStart w:id="47" w:name="_Toc7789"/>
      <w:r>
        <w:rPr>
          <w:rFonts w:hint="eastAsia" w:ascii="黑体" w:hAnsi="黑体" w:eastAsia="黑体" w:cs="黑体"/>
          <w:bCs/>
          <w:color w:val="000000"/>
          <w:sz w:val="32"/>
          <w:szCs w:val="32"/>
        </w:rPr>
        <w:t>四、持续加</w:t>
      </w:r>
      <w:r>
        <w:rPr>
          <w:rFonts w:hint="eastAsia" w:ascii="黑体" w:hAnsi="黑体" w:eastAsia="黑体" w:cs="黑体"/>
          <w:bCs/>
          <w:color w:val="000000"/>
          <w:sz w:val="32"/>
          <w:szCs w:val="32"/>
          <w:lang w:val="en-US" w:eastAsia="zh-CN"/>
        </w:rPr>
        <w:t>大</w:t>
      </w:r>
      <w:r>
        <w:rPr>
          <w:rFonts w:hint="eastAsia" w:ascii="黑体" w:hAnsi="黑体" w:eastAsia="黑体" w:cs="黑体"/>
          <w:bCs/>
          <w:color w:val="000000"/>
          <w:sz w:val="32"/>
          <w:szCs w:val="32"/>
        </w:rPr>
        <w:t>违法行为打击力度，切实保障消费安全</w:t>
      </w:r>
      <w:bookmarkEnd w:id="45"/>
      <w:bookmarkEnd w:id="46"/>
      <w:bookmarkEnd w:id="47"/>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政府部门聚焦消费者关注的急难愁盼问题，针对重点领域、重点问题开展专项整治，打击侵害消费者权益的违法行为，全力守护消费安全。</w:t>
      </w:r>
    </w:p>
    <w:p>
      <w:pPr>
        <w:keepNext w:val="0"/>
        <w:keepLines w:val="0"/>
        <w:pageBreakBefore w:val="0"/>
        <w:widowControl w:val="0"/>
        <w:kinsoku/>
        <w:wordWrap/>
        <w:overflowPunct/>
        <w:topLinePunct w:val="0"/>
        <w:autoSpaceDE/>
        <w:autoSpaceDN/>
        <w:bidi w:val="0"/>
        <w:adjustRightInd/>
        <w:snapToGrid/>
        <w:spacing w:line="594" w:lineRule="exact"/>
        <w:ind w:firstLine="643" w:firstLineChars="200"/>
        <w:textAlignment w:val="auto"/>
        <w:outlineLvl w:val="2"/>
        <w:rPr>
          <w:rFonts w:hint="eastAsia" w:ascii="楷体_GB2312" w:hAnsi="楷体_GB2312" w:eastAsia="楷体_GB2312" w:cs="楷体_GB2312"/>
          <w:b/>
          <w:bCs w:val="0"/>
          <w:color w:val="000000"/>
          <w:sz w:val="32"/>
          <w:szCs w:val="32"/>
        </w:rPr>
      </w:pPr>
      <w:r>
        <w:rPr>
          <w:rFonts w:hint="eastAsia" w:ascii="楷体_GB2312" w:hAnsi="楷体_GB2312" w:eastAsia="楷体_GB2312" w:cs="楷体_GB2312"/>
          <w:b/>
          <w:bCs w:val="0"/>
          <w:color w:val="000000"/>
          <w:sz w:val="32"/>
          <w:szCs w:val="32"/>
        </w:rPr>
        <w:t>（一）全面加强重点民生领域安全监管和违法行为惩处</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一是持续加大食品、药品安全监管执法力度。中共中央办公厅、国务院办公厅</w:t>
      </w:r>
      <w:r>
        <w:rPr>
          <w:rFonts w:hint="eastAsia" w:ascii="仿宋_GB2312" w:hAnsi="仿宋_GB2312" w:eastAsia="仿宋_GB2312" w:cs="仿宋_GB2312"/>
          <w:color w:val="auto"/>
          <w:sz w:val="32"/>
          <w:szCs w:val="32"/>
          <w:lang w:val="en-US" w:eastAsia="zh-CN"/>
        </w:rPr>
        <w:t>联合</w:t>
      </w:r>
      <w:r>
        <w:rPr>
          <w:rFonts w:hint="eastAsia" w:ascii="仿宋_GB2312" w:hAnsi="仿宋_GB2312" w:eastAsia="仿宋_GB2312" w:cs="仿宋_GB2312"/>
          <w:color w:val="auto"/>
          <w:sz w:val="32"/>
          <w:szCs w:val="32"/>
        </w:rPr>
        <w:t>印发《关于进一步强化食品安全全链条监管的意见》，进一步理清食品安全监督管理责任，建立健全协同高效的监管机制。国务院食安办等部门印发《关于进一步加强校园食品安全工作的通知》，</w:t>
      </w:r>
      <w:r>
        <w:rPr>
          <w:rFonts w:hint="eastAsia" w:ascii="仿宋_GB2312" w:hAnsi="仿宋_GB2312" w:eastAsia="仿宋_GB2312" w:cs="仿宋_GB2312"/>
          <w:color w:val="auto"/>
          <w:sz w:val="32"/>
          <w:szCs w:val="32"/>
          <w:shd w:val="clear" w:color="auto" w:fill="FFFFFF"/>
        </w:rPr>
        <w:t>着力健全校园食品安全全链条防控风险机制</w:t>
      </w:r>
      <w:r>
        <w:rPr>
          <w:rFonts w:hint="eastAsia" w:ascii="仿宋_GB2312" w:hAnsi="仿宋_GB2312" w:eastAsia="仿宋_GB2312" w:cs="仿宋_GB2312"/>
          <w:color w:val="auto"/>
          <w:sz w:val="32"/>
          <w:szCs w:val="32"/>
        </w:rPr>
        <w:t>；印发《</w:t>
      </w:r>
      <w:bookmarkStart w:id="48" w:name="OLE_LINK73"/>
      <w:r>
        <w:rPr>
          <w:rFonts w:hint="eastAsia" w:ascii="仿宋_GB2312" w:hAnsi="仿宋_GB2312" w:eastAsia="仿宋_GB2312" w:cs="仿宋_GB2312"/>
          <w:color w:val="auto"/>
          <w:sz w:val="32"/>
          <w:szCs w:val="32"/>
        </w:rPr>
        <w:t>食品添加剂滥用问题综合治理方案</w:t>
      </w:r>
      <w:bookmarkEnd w:id="48"/>
      <w:r>
        <w:rPr>
          <w:rFonts w:hint="eastAsia" w:ascii="仿宋_GB2312" w:hAnsi="仿宋_GB2312" w:eastAsia="仿宋_GB2312" w:cs="仿宋_GB2312"/>
          <w:color w:val="auto"/>
          <w:sz w:val="32"/>
          <w:szCs w:val="32"/>
        </w:rPr>
        <w:t>》，全面加强农业、工业、海关源头治理，强化食品添加剂生产经营全过程监管，切实保障人民群众饮食安全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印发</w:t>
      </w:r>
      <w:r>
        <w:rPr>
          <w:rFonts w:hint="eastAsia" w:ascii="仿宋_GB2312" w:hAnsi="仿宋_GB2312" w:eastAsia="仿宋_GB2312" w:cs="仿宋_GB2312"/>
          <w:color w:val="auto"/>
          <w:sz w:val="32"/>
          <w:szCs w:val="32"/>
          <w:lang w:eastAsia="zh-CN"/>
        </w:rPr>
        <w:t>《关于推动建立完善生产经营单位食品安全风险隐患内部报告奖励机制的意见》，深化食品安全风险隐患排查治理，</w:t>
      </w:r>
      <w:r>
        <w:rPr>
          <w:rFonts w:hint="eastAsia" w:ascii="仿宋_GB2312" w:hAnsi="仿宋_GB2312" w:eastAsia="仿宋_GB2312" w:cs="仿宋_GB2312"/>
          <w:color w:val="auto"/>
          <w:sz w:val="32"/>
          <w:szCs w:val="32"/>
          <w:lang w:val="en-US" w:eastAsia="zh-CN"/>
        </w:rPr>
        <w:t>引导</w:t>
      </w:r>
      <w:r>
        <w:rPr>
          <w:rFonts w:hint="eastAsia" w:ascii="仿宋_GB2312" w:hAnsi="仿宋_GB2312" w:eastAsia="仿宋_GB2312" w:cs="仿宋_GB2312"/>
          <w:color w:val="auto"/>
          <w:sz w:val="32"/>
          <w:szCs w:val="32"/>
          <w:lang w:eastAsia="zh-CN"/>
        </w:rPr>
        <w:t>生产经营单位全面落实主体责任，</w:t>
      </w:r>
      <w:r>
        <w:rPr>
          <w:rFonts w:hint="eastAsia" w:ascii="仿宋_GB2312" w:hAnsi="仿宋_GB2312" w:eastAsia="仿宋_GB2312" w:cs="仿宋_GB2312"/>
          <w:color w:val="auto"/>
          <w:sz w:val="32"/>
          <w:szCs w:val="32"/>
          <w:lang w:val="en-US" w:eastAsia="zh-CN"/>
        </w:rPr>
        <w:t>切实</w:t>
      </w:r>
      <w:r>
        <w:rPr>
          <w:rFonts w:hint="eastAsia" w:ascii="仿宋_GB2312" w:hAnsi="仿宋_GB2312" w:eastAsia="仿宋_GB2312" w:cs="仿宋_GB2312"/>
          <w:color w:val="auto"/>
          <w:sz w:val="32"/>
          <w:szCs w:val="32"/>
          <w:lang w:eastAsia="zh-CN"/>
        </w:rPr>
        <w:t>提升食品安全责任意识。</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市场监管总局针对食品安全开展全链条抽检，强化全链条监管，组织开展校园食品安全问题、农村假冒伪劣食品、制售假劣肉制品、食用植物油掺杂掺假、食品添加剂滥用等一系列的专项整治；聚焦重点品种、重点问题、重点区域，对人民群众消费量大的大宗食品开展“周周检”，对社会高度关切的校园食品开展“双周检”，对婴幼儿配方食品开展“月月检”，对舆情反映的热点问题开展“即时检”，取得积极成效；发布《第一批食品安全行政执法指导性案例》，解决各地裁量标准不一、法律适用分歧、类案处理差异等问题；印发《婴幼儿配方乳粉生产企业蜡样芽胞杆菌风险防控指南》《婴幼儿配方乳粉生产企业克罗诺杆菌风险防控指南》，推动婴幼儿配方乳粉生产企业落实食品安全主体责任；上线全国食品安全“你点我检 服务惠民生”民意征集系统，使消费者成为食品安全工作的参与者、见证者和监督者，得到社会广泛响应。2025年，全国米、面、油、肉、蛋、奶等大宗食品监督抽检合格率99.</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%，多批次抽检不合格企业数量同比下降了57%，国家药品抽检合格率保持在99%以上。</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农业农村部办公厅印发《2025年水产养殖过程违规用药治理行动方案》，全面整治水产养殖过程中违规用药问题。教育部会同市场监管总局联合印发《学校食堂大宗食材采购验收工作指引》，进一步规范各级各类学校大宗食材采购验收管理工作，召开全国中小学深化‘校园餐’专项整治和开展利用征订教辅购买校服谋利等问题专项整治推进会，从‘校园餐’这个切口纵深突破，向教辅、校服等领域横向拓展，加强基础教育领域规范管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截至2025年12月，各地累计排查校园餐问题65.3万个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完成整改64.7万个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整改率达99.1%。查实利用校服购买谋利问题1200余个，自查整改教辅相关问题2.5万余个，取得了良好成效。2025年，全国海关系统严格实施进出口食品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化妆品</w:t>
      </w:r>
      <w:r>
        <w:rPr>
          <w:rFonts w:hint="eastAsia" w:ascii="仿宋_GB2312" w:hAnsi="仿宋_GB2312" w:eastAsia="仿宋_GB2312" w:cs="仿宋_GB2312"/>
          <w:color w:val="auto"/>
          <w:sz w:val="32"/>
          <w:szCs w:val="32"/>
        </w:rPr>
        <w:t>监督抽检和风险监测，共检测</w:t>
      </w:r>
      <w:r>
        <w:rPr>
          <w:rFonts w:hint="eastAsia" w:ascii="仿宋_GB2312" w:hAnsi="仿宋_GB2312" w:eastAsia="仿宋_GB2312" w:cs="仿宋_GB2312"/>
          <w:color w:val="auto"/>
          <w:sz w:val="32"/>
          <w:szCs w:val="32"/>
          <w:lang w:val="en-US" w:eastAsia="zh-CN"/>
        </w:rPr>
        <w:t>21.2</w:t>
      </w:r>
      <w:r>
        <w:rPr>
          <w:rFonts w:hint="eastAsia" w:ascii="仿宋_GB2312" w:hAnsi="仿宋_GB2312" w:eastAsia="仿宋_GB2312" w:cs="仿宋_GB2312"/>
          <w:color w:val="auto"/>
          <w:sz w:val="32"/>
          <w:szCs w:val="32"/>
        </w:rPr>
        <w:t>万个样品、</w:t>
      </w:r>
      <w:r>
        <w:rPr>
          <w:rFonts w:hint="eastAsia" w:ascii="仿宋_GB2312" w:hAnsi="仿宋_GB2312" w:eastAsia="仿宋_GB2312" w:cs="仿宋_GB2312"/>
          <w:color w:val="auto"/>
          <w:sz w:val="32"/>
          <w:szCs w:val="32"/>
          <w:lang w:val="en-US" w:eastAsia="zh-CN"/>
        </w:rPr>
        <w:t>93.1</w:t>
      </w:r>
      <w:r>
        <w:rPr>
          <w:rFonts w:hint="eastAsia" w:ascii="仿宋_GB2312" w:hAnsi="仿宋_GB2312" w:eastAsia="仿宋_GB2312" w:cs="仿宋_GB2312"/>
          <w:color w:val="auto"/>
          <w:sz w:val="32"/>
          <w:szCs w:val="32"/>
        </w:rPr>
        <w:t>万项次，累计退运或</w:t>
      </w:r>
      <w:bookmarkStart w:id="49" w:name="OLE_LINK75"/>
      <w:r>
        <w:rPr>
          <w:rFonts w:hint="eastAsia" w:ascii="仿宋_GB2312" w:hAnsi="仿宋_GB2312" w:eastAsia="仿宋_GB2312" w:cs="仿宋_GB2312"/>
          <w:color w:val="auto"/>
          <w:sz w:val="32"/>
          <w:szCs w:val="32"/>
        </w:rPr>
        <w:t>销毁进口不合格食品</w:t>
      </w:r>
      <w:bookmarkEnd w:id="49"/>
      <w:r>
        <w:rPr>
          <w:rFonts w:hint="eastAsia" w:ascii="仿宋_GB2312" w:hAnsi="仿宋_GB2312" w:eastAsia="仿宋_GB2312" w:cs="仿宋_GB2312"/>
          <w:color w:val="auto"/>
          <w:sz w:val="32"/>
          <w:szCs w:val="32"/>
          <w:lang w:val="en-US" w:eastAsia="zh-CN"/>
        </w:rPr>
        <w:t>4889</w:t>
      </w:r>
      <w:r>
        <w:rPr>
          <w:rFonts w:hint="eastAsia" w:ascii="仿宋_GB2312" w:hAnsi="仿宋_GB2312" w:eastAsia="仿宋_GB2312" w:cs="仿宋_GB2312"/>
          <w:color w:val="auto"/>
          <w:sz w:val="32"/>
          <w:szCs w:val="32"/>
        </w:rPr>
        <w:t>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进口不合格化妆品109批；共</w:t>
      </w:r>
      <w:r>
        <w:rPr>
          <w:rFonts w:hint="eastAsia" w:ascii="仿宋_GB2312" w:hAnsi="仿宋_GB2312" w:eastAsia="仿宋_GB2312" w:cs="仿宋_GB2312"/>
          <w:color w:val="auto"/>
          <w:sz w:val="32"/>
          <w:szCs w:val="32"/>
        </w:rPr>
        <w:t>退运或销毁不合格农产品3</w:t>
      </w:r>
      <w:r>
        <w:rPr>
          <w:rFonts w:hint="eastAsia" w:ascii="仿宋_GB2312" w:hAnsi="仿宋_GB2312" w:eastAsia="仿宋_GB2312" w:cs="仿宋_GB2312"/>
          <w:color w:val="auto"/>
          <w:sz w:val="32"/>
          <w:szCs w:val="32"/>
          <w:lang w:val="en-US" w:eastAsia="zh-CN"/>
        </w:rPr>
        <w:t>489</w:t>
      </w:r>
      <w:r>
        <w:rPr>
          <w:rFonts w:hint="eastAsia" w:ascii="仿宋_GB2312" w:hAnsi="仿宋_GB2312" w:eastAsia="仿宋_GB2312" w:cs="仿宋_GB2312"/>
          <w:color w:val="auto"/>
          <w:sz w:val="32"/>
          <w:szCs w:val="32"/>
        </w:rPr>
        <w:t>批，</w:t>
      </w:r>
      <w:r>
        <w:rPr>
          <w:rFonts w:hint="eastAsia" w:ascii="仿宋_GB2312" w:hAnsi="仿宋_GB2312" w:eastAsia="仿宋_GB2312" w:cs="仿宋_GB2312"/>
          <w:color w:val="auto"/>
          <w:sz w:val="32"/>
          <w:szCs w:val="32"/>
          <w:lang w:val="en-US" w:eastAsia="zh-CN"/>
        </w:rPr>
        <w:t>涉及55个国家（地区）；检出进口质量安全不合格消费品3365批，涉及儿童玩具、纺织服装、食品接触产品等；</w:t>
      </w:r>
      <w:r>
        <w:rPr>
          <w:rFonts w:hint="eastAsia" w:ascii="仿宋_GB2312" w:hAnsi="仿宋_GB2312" w:eastAsia="仿宋_GB2312" w:cs="仿宋_GB2312"/>
          <w:color w:val="auto"/>
          <w:sz w:val="32"/>
          <w:szCs w:val="32"/>
        </w:rPr>
        <w:t>及时处置越南、泰国榴莲镉超标以及检出碱性嫩黄、智利樱桃腐烂变质等问题；</w:t>
      </w:r>
      <w:bookmarkStart w:id="50" w:name="OLE_LINK74"/>
      <w:r>
        <w:rPr>
          <w:rFonts w:hint="eastAsia" w:ascii="仿宋_GB2312" w:hAnsi="仿宋_GB2312" w:eastAsia="仿宋_GB2312" w:cs="仿宋_GB2312"/>
          <w:color w:val="auto"/>
          <w:sz w:val="32"/>
          <w:szCs w:val="32"/>
          <w:lang w:val="en-US" w:eastAsia="zh-CN"/>
        </w:rPr>
        <w:t>稽查</w:t>
      </w:r>
      <w:r>
        <w:rPr>
          <w:rFonts w:hint="eastAsia" w:ascii="仿宋_GB2312" w:hAnsi="仿宋_GB2312" w:eastAsia="仿宋_GB2312" w:cs="仿宋_GB2312"/>
          <w:color w:val="auto"/>
          <w:sz w:val="32"/>
          <w:szCs w:val="32"/>
        </w:rPr>
        <w:t>查发涉进出口食品案件</w:t>
      </w:r>
      <w:bookmarkEnd w:id="50"/>
      <w:r>
        <w:rPr>
          <w:rFonts w:hint="eastAsia" w:ascii="仿宋_GB2312" w:hAnsi="仿宋_GB2312" w:eastAsia="仿宋_GB2312" w:cs="仿宋_GB2312"/>
          <w:color w:val="auto"/>
          <w:sz w:val="32"/>
          <w:szCs w:val="32"/>
        </w:rPr>
        <w:t>1</w:t>
      </w:r>
      <w:r>
        <w:rPr>
          <w:rFonts w:hint="eastAsia" w:ascii="仿宋_GB2312" w:hAnsi="仿宋_GB2312" w:eastAsia="仿宋_GB2312" w:cs="仿宋_GB2312"/>
          <w:color w:val="auto"/>
          <w:sz w:val="32"/>
          <w:szCs w:val="32"/>
          <w:lang w:val="en-US" w:eastAsia="zh-CN"/>
        </w:rPr>
        <w:t>89</w:t>
      </w:r>
      <w:r>
        <w:rPr>
          <w:rFonts w:hint="eastAsia" w:ascii="仿宋_GB2312" w:hAnsi="仿宋_GB2312" w:eastAsia="仿宋_GB2312" w:cs="仿宋_GB2312"/>
          <w:color w:val="auto"/>
          <w:sz w:val="32"/>
          <w:szCs w:val="32"/>
        </w:rPr>
        <w:t>起、货值</w:t>
      </w:r>
      <w:r>
        <w:rPr>
          <w:rFonts w:hint="eastAsia" w:ascii="仿宋_GB2312" w:hAnsi="仿宋_GB2312" w:eastAsia="仿宋_GB2312" w:cs="仿宋_GB2312"/>
          <w:color w:val="auto"/>
          <w:sz w:val="32"/>
          <w:szCs w:val="32"/>
          <w:lang w:val="en-US" w:eastAsia="zh-CN"/>
        </w:rPr>
        <w:t>约245</w:t>
      </w:r>
      <w:r>
        <w:rPr>
          <w:rFonts w:hint="eastAsia" w:ascii="仿宋_GB2312" w:hAnsi="仿宋_GB2312" w:eastAsia="仿宋_GB2312" w:cs="仿宋_GB2312"/>
          <w:color w:val="auto"/>
          <w:sz w:val="32"/>
          <w:szCs w:val="32"/>
        </w:rPr>
        <w:t>亿元，</w:t>
      </w:r>
      <w:r>
        <w:rPr>
          <w:rFonts w:hint="eastAsia" w:ascii="仿宋_GB2312" w:hAnsi="仿宋_GB2312" w:eastAsia="仿宋_GB2312" w:cs="仿宋_GB2312"/>
          <w:color w:val="auto"/>
          <w:sz w:val="32"/>
          <w:szCs w:val="32"/>
          <w:lang w:val="en-US" w:eastAsia="zh-CN"/>
        </w:rPr>
        <w:t>核查查发涉进出口食品案件262起、货值2.6亿元，办结</w:t>
      </w:r>
      <w:r>
        <w:rPr>
          <w:rFonts w:hint="eastAsia" w:ascii="仿宋_GB2312" w:hAnsi="仿宋_GB2312" w:eastAsia="仿宋_GB2312" w:cs="仿宋_GB2312"/>
          <w:color w:val="auto"/>
          <w:sz w:val="32"/>
          <w:szCs w:val="32"/>
        </w:rPr>
        <w:t>进出口食品</w:t>
      </w:r>
      <w:r>
        <w:rPr>
          <w:rFonts w:hint="eastAsia" w:ascii="仿宋_GB2312" w:hAnsi="仿宋_GB2312" w:eastAsia="仿宋_GB2312" w:cs="仿宋_GB2312"/>
          <w:color w:val="auto"/>
          <w:sz w:val="32"/>
          <w:szCs w:val="32"/>
          <w:lang w:val="en-US" w:eastAsia="zh-CN"/>
        </w:rPr>
        <w:t>领域</w:t>
      </w:r>
      <w:r>
        <w:rPr>
          <w:rFonts w:hint="eastAsia" w:ascii="仿宋_GB2312" w:hAnsi="仿宋_GB2312" w:eastAsia="仿宋_GB2312" w:cs="仿宋_GB2312"/>
          <w:color w:val="auto"/>
          <w:sz w:val="32"/>
          <w:szCs w:val="32"/>
        </w:rPr>
        <w:t>涉检行政处罚案件</w:t>
      </w:r>
      <w:r>
        <w:rPr>
          <w:rFonts w:hint="eastAsia" w:ascii="仿宋_GB2312" w:hAnsi="仿宋_GB2312" w:eastAsia="仿宋_GB2312" w:cs="仿宋_GB2312"/>
          <w:color w:val="auto"/>
          <w:sz w:val="32"/>
          <w:szCs w:val="32"/>
          <w:lang w:val="en-US" w:eastAsia="zh-CN"/>
        </w:rPr>
        <w:t>31</w:t>
      </w:r>
      <w:r>
        <w:rPr>
          <w:rFonts w:hint="eastAsia" w:ascii="仿宋_GB2312" w:hAnsi="仿宋_GB2312" w:eastAsia="仿宋_GB2312" w:cs="仿宋_GB2312"/>
          <w:color w:val="auto"/>
          <w:sz w:val="32"/>
          <w:szCs w:val="32"/>
        </w:rPr>
        <w:t>1起、案值</w:t>
      </w:r>
      <w:r>
        <w:rPr>
          <w:rFonts w:hint="eastAsia" w:ascii="仿宋_GB2312" w:hAnsi="仿宋_GB2312" w:eastAsia="仿宋_GB2312" w:cs="仿宋_GB2312"/>
          <w:color w:val="auto"/>
          <w:sz w:val="32"/>
          <w:szCs w:val="32"/>
          <w:lang w:val="en-US" w:eastAsia="zh-CN"/>
        </w:rPr>
        <w:t>9.3</w:t>
      </w:r>
      <w:r>
        <w:rPr>
          <w:rFonts w:hint="eastAsia" w:ascii="仿宋_GB2312" w:hAnsi="仿宋_GB2312" w:eastAsia="仿宋_GB2312" w:cs="仿宋_GB2312"/>
          <w:color w:val="auto"/>
          <w:sz w:val="32"/>
          <w:szCs w:val="32"/>
        </w:rPr>
        <w:t>亿元，</w:t>
      </w:r>
      <w:r>
        <w:rPr>
          <w:rFonts w:hint="eastAsia" w:ascii="仿宋_GB2312" w:hAnsi="仿宋_GB2312" w:eastAsia="仿宋_GB2312" w:cs="仿宋_GB2312"/>
          <w:color w:val="auto"/>
          <w:sz w:val="32"/>
          <w:szCs w:val="32"/>
          <w:lang w:val="en-US" w:eastAsia="zh-CN"/>
        </w:rPr>
        <w:t>累计罚没金额621.7万元，</w:t>
      </w:r>
      <w:r>
        <w:rPr>
          <w:rFonts w:hint="eastAsia" w:ascii="仿宋_GB2312" w:hAnsi="仿宋_GB2312" w:eastAsia="仿宋_GB2312" w:cs="仿宋_GB2312"/>
          <w:color w:val="auto"/>
          <w:sz w:val="32"/>
          <w:szCs w:val="32"/>
        </w:rPr>
        <w:t>有效打击</w:t>
      </w:r>
      <w:r>
        <w:rPr>
          <w:rFonts w:hint="eastAsia" w:ascii="仿宋_GB2312" w:hAnsi="仿宋_GB2312" w:eastAsia="仿宋_GB2312" w:cs="仿宋_GB2312"/>
          <w:color w:val="auto"/>
          <w:sz w:val="32"/>
          <w:szCs w:val="32"/>
          <w:lang w:val="en-US" w:eastAsia="zh-CN"/>
        </w:rPr>
        <w:t>进出口食品领域检验检疫违法行为</w:t>
      </w:r>
      <w:r>
        <w:rPr>
          <w:rFonts w:hint="eastAsia" w:ascii="仿宋_GB2312" w:hAnsi="仿宋_GB2312" w:eastAsia="仿宋_GB2312" w:cs="仿宋_GB2312"/>
          <w:color w:val="auto"/>
          <w:sz w:val="32"/>
          <w:szCs w:val="32"/>
        </w:rPr>
        <w:t>。国家药监局全年共查办药品、化妆品和医疗器械案件10.58万件，货值17.23亿元；全国药监部门发现并及时处置网售“两品一械”违法违规线索3.55万条，整改下架违法违规产品链接120万条，关闭违规网店1.66万家，全方位筑牢药品、医疗器械安全底线。</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二是深入开展“守护消费”铁拳行动。2025年，市场监管总局持续部署开展“守护消费”铁拳行动，针对产业链条化、跨区域化的违法行为，推动实现全链条打击；对涉及</w:t>
      </w:r>
      <w:r>
        <w:rPr>
          <w:rFonts w:hint="eastAsia" w:ascii="仿宋_GB2312" w:hAnsi="仿宋_GB2312" w:eastAsia="仿宋_GB2312" w:cs="仿宋_GB2312"/>
          <w:color w:val="auto"/>
          <w:sz w:val="32"/>
          <w:szCs w:val="32"/>
          <w:shd w:val="clear" w:color="auto" w:fill="FFFFFF"/>
        </w:rPr>
        <w:t>人身安全、公共安全的重大违法行为，强化行刑衔接，提升对违法行为的震慑效果，有力守护民生安全；发布两批典型案例，强化精准打击。各地市场监管部门聚焦消费领域人民群众强烈关注和社会危害显著的</w:t>
      </w:r>
      <w:r>
        <w:rPr>
          <w:rFonts w:hint="eastAsia" w:ascii="仿宋_GB2312" w:hAnsi="仿宋_GB2312" w:eastAsia="仿宋_GB2312" w:cs="仿宋_GB2312"/>
          <w:color w:val="auto"/>
          <w:sz w:val="32"/>
          <w:szCs w:val="32"/>
        </w:rPr>
        <w:t>食品非法添加、“幽灵外卖”、非法改装、计量器具作弊、</w:t>
      </w:r>
      <w:r>
        <w:rPr>
          <w:rFonts w:hint="eastAsia" w:ascii="仿宋_GB2312" w:hAnsi="仿宋_GB2312" w:eastAsia="仿宋_GB2312" w:cs="仿宋_GB2312"/>
          <w:color w:val="auto"/>
          <w:kern w:val="0"/>
          <w:sz w:val="32"/>
          <w:szCs w:val="32"/>
        </w:rPr>
        <w:t>羽绒服以次充好、制售伪劣燃器具、</w:t>
      </w:r>
      <w:r>
        <w:rPr>
          <w:rFonts w:hint="eastAsia" w:ascii="仿宋_GB2312" w:hAnsi="仿宋_GB2312" w:eastAsia="仿宋_GB2312" w:cs="仿宋_GB2312"/>
          <w:color w:val="auto"/>
          <w:sz w:val="32"/>
          <w:szCs w:val="32"/>
        </w:rPr>
        <w:t>商标侵权、虚假广告等违法行为等</w:t>
      </w:r>
      <w:r>
        <w:rPr>
          <w:rFonts w:hint="eastAsia" w:ascii="仿宋_GB2312" w:hAnsi="仿宋_GB2312" w:eastAsia="仿宋_GB2312" w:cs="仿宋_GB2312"/>
          <w:color w:val="auto"/>
          <w:sz w:val="32"/>
          <w:szCs w:val="32"/>
          <w:shd w:val="clear" w:color="auto" w:fill="FFFFFF"/>
        </w:rPr>
        <w:t>突出问题</w:t>
      </w:r>
      <w:r>
        <w:rPr>
          <w:rFonts w:hint="eastAsia" w:ascii="仿宋_GB2312" w:hAnsi="仿宋_GB2312" w:eastAsia="仿宋_GB2312" w:cs="仿宋_GB2312"/>
          <w:color w:val="auto"/>
          <w:kern w:val="0"/>
          <w:sz w:val="32"/>
          <w:szCs w:val="32"/>
        </w:rPr>
        <w:t>大力查处，开展集中</w:t>
      </w:r>
      <w:r>
        <w:rPr>
          <w:rFonts w:hint="eastAsia" w:ascii="仿宋_GB2312" w:hAnsi="仿宋_GB2312" w:eastAsia="仿宋_GB2312" w:cs="仿宋_GB2312"/>
          <w:color w:val="auto"/>
          <w:sz w:val="32"/>
          <w:szCs w:val="32"/>
        </w:rPr>
        <w:t>执法行动，全年查处相关案件7.2万件。</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rPr>
        <w:t>三是大力开展特种设备和重点领域工业品安全监管专项行动，加大缺陷产品召回力度。2025年，市场监管部门</w:t>
      </w:r>
      <w:r>
        <w:rPr>
          <w:rFonts w:hint="eastAsia" w:ascii="仿宋_GB2312" w:hAnsi="仿宋_GB2312" w:eastAsia="仿宋_GB2312" w:cs="仿宋_GB2312"/>
          <w:color w:val="auto"/>
          <w:sz w:val="32"/>
          <w:szCs w:val="32"/>
          <w:shd w:val="clear" w:color="auto" w:fill="FFFFFF"/>
        </w:rPr>
        <w:t>持续</w:t>
      </w:r>
      <w:r>
        <w:rPr>
          <w:rFonts w:hint="eastAsia" w:ascii="仿宋_GB2312" w:hAnsi="仿宋_GB2312" w:eastAsia="仿宋_GB2312" w:cs="仿宋_GB2312"/>
          <w:color w:val="auto"/>
          <w:sz w:val="32"/>
          <w:szCs w:val="32"/>
        </w:rPr>
        <w:t>实施</w:t>
      </w:r>
      <w:r>
        <w:rPr>
          <w:rFonts w:hint="eastAsia" w:ascii="仿宋_GB2312" w:hAnsi="仿宋_GB2312" w:eastAsia="仿宋_GB2312" w:cs="仿宋_GB2312"/>
          <w:color w:val="auto"/>
          <w:sz w:val="32"/>
          <w:szCs w:val="32"/>
          <w:shd w:val="clear" w:color="auto" w:fill="FFFFFF"/>
        </w:rPr>
        <w:t>“电梯安全筑底三年行动”，聚焦重点场所，严查违法使用行为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督促召回缺陷电梯5.3万余台；组织开展充电宝质量安全集中整治、重点工业产品质量安全隐患排查治理、儿童和学生用品安全守护等专项行动</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val="en-US" w:eastAsia="zh-CN"/>
        </w:rPr>
        <w:t>生态环境部联合市场监管总局对11家车企47.5万辆机动车开展排放召回。</w:t>
      </w:r>
      <w:r>
        <w:rPr>
          <w:rFonts w:hint="eastAsia" w:ascii="仿宋_GB2312" w:hAnsi="仿宋_GB2312" w:eastAsia="仿宋_GB2312" w:cs="仿宋_GB2312"/>
          <w:color w:val="auto"/>
          <w:sz w:val="32"/>
          <w:szCs w:val="32"/>
          <w:shd w:val="clear" w:color="auto" w:fill="FFFFFF"/>
        </w:rPr>
        <w:t>2025年，</w:t>
      </w:r>
      <w:r>
        <w:rPr>
          <w:rFonts w:hint="eastAsia" w:ascii="仿宋_GB2312" w:hAnsi="仿宋_GB2312" w:eastAsia="仿宋_GB2312" w:cs="仿宋_GB2312"/>
          <w:color w:val="auto"/>
          <w:sz w:val="32"/>
          <w:szCs w:val="32"/>
          <w:shd w:val="clear" w:color="auto" w:fill="FFFFFF"/>
          <w:lang w:val="en-US" w:eastAsia="zh-CN"/>
        </w:rPr>
        <w:t>我国</w:t>
      </w:r>
      <w:r>
        <w:rPr>
          <w:rFonts w:hint="eastAsia" w:ascii="仿宋_GB2312" w:hAnsi="仿宋_GB2312" w:eastAsia="仿宋_GB2312" w:cs="仿宋_GB2312"/>
          <w:color w:val="auto"/>
          <w:sz w:val="32"/>
          <w:szCs w:val="32"/>
          <w:shd w:val="clear" w:color="auto" w:fill="FFFFFF"/>
        </w:rPr>
        <w:t>全年实施消费品召回1081次，较上年下降1.7%，涉及产品823.6万件，较上年增长81.3%；实施汽车召回190次，涉及车辆684.6万辆，分别较上年下降18.5%和39.1%。</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四是进一步优化</w:t>
      </w:r>
      <w:r>
        <w:rPr>
          <w:rFonts w:hint="eastAsia" w:ascii="仿宋_GB2312" w:hAnsi="仿宋_GB2312" w:eastAsia="仿宋_GB2312" w:cs="仿宋_GB2312"/>
          <w:color w:val="auto"/>
          <w:sz w:val="32"/>
          <w:szCs w:val="32"/>
        </w:rPr>
        <w:t>重点领域安全监管机制。国家认监委</w:t>
      </w:r>
      <w:r>
        <w:rPr>
          <w:rFonts w:hint="eastAsia" w:ascii="仿宋_GB2312" w:hAnsi="仿宋_GB2312" w:eastAsia="仿宋_GB2312" w:cs="仿宋_GB2312"/>
          <w:color w:val="auto"/>
          <w:sz w:val="32"/>
          <w:szCs w:val="32"/>
          <w:shd w:val="clear" w:color="auto" w:fill="FFFFFF"/>
        </w:rPr>
        <w:t>发布公告，对充电宝、燃气燃烧器具、电动自行车等高风险产品实施</w:t>
      </w:r>
      <w:bookmarkStart w:id="51" w:name="OLE_LINK3"/>
      <w:r>
        <w:rPr>
          <w:rFonts w:hint="eastAsia" w:ascii="仿宋_GB2312" w:hAnsi="仿宋_GB2312" w:eastAsia="仿宋_GB2312" w:cs="仿宋_GB2312"/>
          <w:color w:val="auto"/>
          <w:sz w:val="32"/>
          <w:szCs w:val="32"/>
          <w:shd w:val="clear" w:color="auto" w:fill="FFFFFF"/>
        </w:rPr>
        <w:t>CCC</w:t>
      </w:r>
      <w:bookmarkEnd w:id="51"/>
      <w:r>
        <w:rPr>
          <w:rFonts w:hint="eastAsia" w:ascii="仿宋_GB2312" w:hAnsi="仿宋_GB2312" w:eastAsia="仿宋_GB2312" w:cs="仿宋_GB2312"/>
          <w:color w:val="auto"/>
          <w:sz w:val="32"/>
          <w:szCs w:val="32"/>
          <w:shd w:val="clear" w:color="auto" w:fill="FFFFFF"/>
        </w:rPr>
        <w:t>认证标志试点改革。中国民用航空局发布通知，自2025年6月28日起禁止旅客携带没有CCC标识、CCC标识不清晰、被召回型号或批次的充电宝乘坐境内航班。国家疾控局发布《关于加强卫生用品监督执法工作的通知》，组织各地加强对卫生用品的监督管理，切实保障消费者的身体健康和合法权益。</w:t>
      </w:r>
      <w:r>
        <w:rPr>
          <w:rFonts w:hint="eastAsia" w:ascii="仿宋_GB2312" w:hAnsi="仿宋_GB2312" w:eastAsia="仿宋_GB2312" w:cs="仿宋_GB2312"/>
          <w:color w:val="auto"/>
          <w:sz w:val="32"/>
          <w:szCs w:val="32"/>
        </w:rPr>
        <w:t>交通运输部从严做好800公里以上长途客运班线安全管理，聚焦四类严重违法违规行为，组织开展全覆盖排查，强化安全运营，维护消费者生命财产安全；联合有关部门开展出租汽车服务质量专项治理行动，多措并举维护出租车、网约车乘客和驾驶员合法权益，持续提升行业服务质量。</w:t>
      </w:r>
    </w:p>
    <w:p>
      <w:pPr>
        <w:keepNext w:val="0"/>
        <w:keepLines w:val="0"/>
        <w:pageBreakBefore w:val="0"/>
        <w:widowControl w:val="0"/>
        <w:kinsoku/>
        <w:wordWrap/>
        <w:overflowPunct/>
        <w:topLinePunct w:val="0"/>
        <w:autoSpaceDE/>
        <w:autoSpaceDN/>
        <w:bidi w:val="0"/>
        <w:adjustRightInd/>
        <w:snapToGrid/>
        <w:spacing w:line="594" w:lineRule="exact"/>
        <w:ind w:firstLine="643" w:firstLineChars="200"/>
        <w:textAlignment w:val="auto"/>
        <w:outlineLvl w:val="2"/>
        <w:rPr>
          <w:rFonts w:hint="eastAsia" w:ascii="楷体_GB2312" w:hAnsi="楷体_GB2312" w:eastAsia="楷体_GB2312" w:cs="楷体_GB2312"/>
          <w:b/>
          <w:bCs w:val="0"/>
          <w:color w:val="000000"/>
          <w:sz w:val="32"/>
          <w:szCs w:val="32"/>
        </w:rPr>
      </w:pPr>
      <w:r>
        <w:rPr>
          <w:rFonts w:hint="eastAsia" w:ascii="楷体_GB2312" w:hAnsi="楷体_GB2312" w:eastAsia="楷体_GB2312" w:cs="楷体_GB2312"/>
          <w:b/>
          <w:bCs w:val="0"/>
          <w:color w:val="000000"/>
          <w:sz w:val="32"/>
          <w:szCs w:val="32"/>
        </w:rPr>
        <w:t>（二）严厉打击生产销售假冒伪劣商品违法行为</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国家质量强国建设协调推进领导小组办公室与市场监管总局联合组织开展2025年侵权假冒伪劣商品全国统一销毁行动，</w:t>
      </w:r>
      <w:r>
        <w:rPr>
          <w:rFonts w:hint="eastAsia" w:ascii="仿宋_GB2312" w:hAnsi="仿宋_GB2312" w:eastAsia="仿宋_GB2312" w:cs="仿宋_GB2312"/>
          <w:color w:val="auto"/>
          <w:sz w:val="32"/>
          <w:szCs w:val="32"/>
          <w:shd w:val="clear" w:color="auto" w:fill="FFFFFF"/>
        </w:rPr>
        <w:t>行动聚焦民生和安全领域，全国共销毁侵权假冒伪劣食品药品、服装鞋帽、烟酒、化妆品、盗版出版物、燃气灶具、消防产品等200多个品种，</w:t>
      </w:r>
      <w:r>
        <w:rPr>
          <w:rFonts w:hint="eastAsia" w:ascii="仿宋_GB2312" w:hAnsi="仿宋_GB2312" w:eastAsia="仿宋_GB2312" w:cs="仿宋_GB2312"/>
          <w:color w:val="auto"/>
          <w:sz w:val="32"/>
          <w:szCs w:val="32"/>
        </w:rPr>
        <w:t>总量达3683吨，货值4.32</w:t>
      </w:r>
      <w:r>
        <w:rPr>
          <w:rFonts w:hint="eastAsia" w:ascii="仿宋_GB2312" w:hAnsi="仿宋_GB2312" w:eastAsia="仿宋_GB2312" w:cs="仿宋_GB2312"/>
          <w:color w:val="auto"/>
          <w:sz w:val="32"/>
          <w:szCs w:val="32"/>
          <w:shd w:val="clear" w:color="auto" w:fill="FFFFFF"/>
        </w:rPr>
        <w:t>亿元。2025年，市场监管部门严厉打击侵权假冒取得</w:t>
      </w:r>
      <w:r>
        <w:rPr>
          <w:rFonts w:hint="eastAsia" w:ascii="仿宋_GB2312" w:hAnsi="仿宋_GB2312" w:eastAsia="仿宋_GB2312" w:cs="仿宋_GB2312"/>
          <w:color w:val="auto"/>
          <w:sz w:val="32"/>
          <w:szCs w:val="32"/>
          <w:shd w:val="clear" w:color="auto" w:fill="FFFFFF"/>
          <w:lang w:val="en-US" w:eastAsia="zh-CN"/>
        </w:rPr>
        <w:t>新</w:t>
      </w:r>
      <w:r>
        <w:rPr>
          <w:rFonts w:hint="eastAsia" w:ascii="仿宋_GB2312" w:hAnsi="仿宋_GB2312" w:eastAsia="仿宋_GB2312" w:cs="仿宋_GB2312"/>
          <w:color w:val="auto"/>
          <w:sz w:val="32"/>
          <w:szCs w:val="32"/>
          <w:shd w:val="clear" w:color="auto" w:fill="FFFFFF"/>
        </w:rPr>
        <w:t>成效，各类专项行动共查处相关案件近58万件，针对侵权假冒高发多发的重点实体市场开展执法行动约7.4万次。农业农村部、最高人民法院、最高人民检察院、市场监管总局等部门联合召开视频会议，发布《2025年全国农资打假和监管工作要点》，切实加强农资监管，严格整治不合格产品，严厉打击假冒伪劣行为，净化农资市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2025年，</w:t>
      </w:r>
      <w:r>
        <w:rPr>
          <w:rFonts w:hint="eastAsia" w:ascii="仿宋_GB2312" w:hAnsi="仿宋_GB2312" w:eastAsia="仿宋_GB2312" w:cs="仿宋_GB2312"/>
          <w:color w:val="auto"/>
          <w:sz w:val="32"/>
          <w:szCs w:val="32"/>
          <w:shd w:val="clear" w:color="auto" w:fill="FFFFFF"/>
          <w:lang w:val="en-US" w:eastAsia="zh-CN"/>
        </w:rPr>
        <w:t>全国</w:t>
      </w:r>
      <w:r>
        <w:rPr>
          <w:rFonts w:hint="eastAsia" w:ascii="仿宋_GB2312" w:hAnsi="仿宋_GB2312" w:eastAsia="仿宋_GB2312" w:cs="仿宋_GB2312"/>
          <w:color w:val="auto"/>
          <w:sz w:val="32"/>
          <w:szCs w:val="32"/>
          <w:shd w:val="clear" w:color="auto" w:fill="FFFFFF"/>
        </w:rPr>
        <w:t>各地农业农村部门累计出动监管人员109万人次，检查农资生产经营主体56万家次，办理制售假劣种子、农药、肥料、兽药、饲料案件2.1万余件</w:t>
      </w:r>
      <w:r>
        <w:rPr>
          <w:rFonts w:hint="eastAsia" w:ascii="仿宋_GB2312" w:hAnsi="仿宋_GB2312" w:eastAsia="仿宋_GB2312" w:cs="仿宋_GB2312"/>
          <w:color w:val="auto"/>
          <w:sz w:val="32"/>
          <w:szCs w:val="32"/>
        </w:rPr>
        <w:t>。海关总署发布《关于明确跨境电商销毁退运有关事项的公告》，进一步规范跨境电子商务网购保税进口库存商品销毁和进出口商品退运监管；2025年，全国海关累计查扣进出口侵权嫌疑货物3.8万批次、7575万件，海关总署审核通过知识产权海关保护备案27559件。国家知识产权局加强知识产权行政保护，依法认定一批商标为驰名商标，印发《关于加强商标使用管理的通知》，首次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富硒</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有机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零添加</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手打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等未注册商标纳入重点规制范围</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2025年，全国各级知识产权管理部门审结专利侵权纠纷行政裁决案件9341件</w:t>
      </w:r>
      <w:r>
        <w:rPr>
          <w:rFonts w:hint="eastAsia" w:ascii="仿宋_GB2312" w:hAnsi="仿宋_GB2312" w:eastAsia="仿宋_GB2312" w:cs="仿宋_GB2312"/>
          <w:color w:val="auto"/>
          <w:sz w:val="32"/>
          <w:szCs w:val="32"/>
          <w:shd w:val="clear" w:color="auto" w:fill="FFFFFF"/>
        </w:rPr>
        <w:t>。</w:t>
      </w:r>
    </w:p>
    <w:p>
      <w:pPr>
        <w:keepNext w:val="0"/>
        <w:keepLines w:val="0"/>
        <w:pageBreakBefore w:val="0"/>
        <w:widowControl w:val="0"/>
        <w:kinsoku/>
        <w:wordWrap/>
        <w:overflowPunct/>
        <w:topLinePunct w:val="0"/>
        <w:autoSpaceDE/>
        <w:autoSpaceDN/>
        <w:bidi w:val="0"/>
        <w:adjustRightInd/>
        <w:snapToGrid/>
        <w:spacing w:line="594" w:lineRule="exact"/>
        <w:ind w:firstLine="643" w:firstLineChars="200"/>
        <w:textAlignment w:val="auto"/>
        <w:outlineLvl w:val="2"/>
        <w:rPr>
          <w:rFonts w:hint="eastAsia" w:ascii="楷体_GB2312" w:hAnsi="楷体_GB2312" w:eastAsia="楷体_GB2312" w:cs="楷体_GB2312"/>
          <w:b/>
          <w:bCs w:val="0"/>
          <w:color w:val="000000"/>
          <w:sz w:val="32"/>
          <w:szCs w:val="32"/>
        </w:rPr>
      </w:pPr>
      <w:r>
        <w:rPr>
          <w:rFonts w:hint="eastAsia" w:ascii="楷体_GB2312" w:hAnsi="楷体_GB2312" w:eastAsia="楷体_GB2312" w:cs="楷体_GB2312"/>
          <w:b/>
          <w:bCs w:val="0"/>
          <w:color w:val="000000"/>
          <w:sz w:val="32"/>
          <w:szCs w:val="32"/>
        </w:rPr>
        <w:t>（三）不断加大虚假宣传和强制消费等违法行为处置力度</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场监管总局印发《关于开展老年人药品、保健品虚假宣传专项整治的通知》，部署开展老年人药品、保健品虚假宣传整治和私域直播虚假宣传违法行为专项整治，有效打击药品、保健品市场“坑老”“骗老”行为。专项整治工作期间，市场监管</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rPr>
        <w:t>共征集群众及经营主体提供的问题线索9268个，查办违法案件6175件，罚没金额1.035亿元，责令4908家主体整改、涉及金额634.77万元，向纪检监察机关移送违规违纪线索134条。此外，针对保健品虚假宣传违法行为向私域直播领域蔓延发展、规避监管的趋势，市场监管部门开展靶向治理，对相关私域直播平台开展起底核查，查处了一批违法违规的私域直播平台、私域直播间、相关产品生产企业、销售企业等违法主体，实现了全链条打击。</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网信办深入组织开展“清朗·整治短视频领域恶意营销乱象”专项行动，并聚焦摆拍、编造、仿冒、低俗、炒作等突出问题，严处一批短视频账号；持续深入整治网上金融信息乱象，会同金融管理部门依法处置一批散布资本市场不实信息、开展非法荐股、炒作虚拟货币交易的账号、网站。</w:t>
      </w:r>
      <w:r>
        <w:rPr>
          <w:rFonts w:hint="eastAsia" w:ascii="仿宋_GB2312" w:hAnsi="仿宋_GB2312" w:eastAsia="仿宋_GB2312" w:cs="仿宋_GB2312"/>
          <w:color w:val="auto"/>
          <w:sz w:val="32"/>
          <w:szCs w:val="32"/>
          <w:lang w:val="en-US" w:eastAsia="zh-CN"/>
        </w:rPr>
        <w:t>生态环境部组织开展机动车排放检验机构专项整治，建立“线索筛选一现场核查一处理整改”闭环执法机制，机动车排放检验机构弄虚作假、重型货车违法比例大幅下降，有力维护公平有序市场环境和人民群众切身利益。</w:t>
      </w:r>
      <w:r>
        <w:rPr>
          <w:rFonts w:hint="eastAsia" w:ascii="仿宋_GB2312" w:hAnsi="仿宋_GB2312" w:eastAsia="仿宋_GB2312" w:cs="仿宋_GB2312"/>
          <w:color w:val="auto"/>
          <w:sz w:val="32"/>
          <w:szCs w:val="32"/>
        </w:rPr>
        <w:t>农业农村部办公厅等部门联合发布《关于加强“云养经济”领域欺诈风险防范和处置工作的通知》，</w:t>
      </w:r>
      <w:r>
        <w:rPr>
          <w:rFonts w:hint="eastAsia" w:ascii="仿宋_GB2312" w:hAnsi="仿宋_GB2312" w:eastAsia="仿宋_GB2312" w:cs="仿宋_GB2312"/>
          <w:color w:val="auto"/>
          <w:sz w:val="32"/>
          <w:szCs w:val="32"/>
          <w:lang w:val="en-US" w:eastAsia="zh-CN"/>
        </w:rPr>
        <w:t>针对</w:t>
      </w:r>
      <w:r>
        <w:rPr>
          <w:rFonts w:hint="eastAsia" w:ascii="仿宋_GB2312" w:hAnsi="仿宋_GB2312" w:eastAsia="仿宋_GB2312" w:cs="仿宋_GB2312"/>
          <w:color w:val="auto"/>
          <w:sz w:val="32"/>
          <w:szCs w:val="32"/>
        </w:rPr>
        <w:t>以“农业+科技”为噱头将农产品种养、销售包装为投融资产品进行宣传兜售的非法行为，开展常态化风险排查，推进系统治理。文化和旅游部开展旅游市场违法整治行动，联合公安部、市场监管总局印发《关于整治强迫购物 促进旅游市场健康发展的通知》，组织</w:t>
      </w:r>
      <w:r>
        <w:rPr>
          <w:rFonts w:hint="eastAsia" w:ascii="仿宋_GB2312" w:hAnsi="仿宋_GB2312" w:eastAsia="仿宋_GB2312" w:cs="仿宋_GB2312"/>
          <w:color w:val="auto"/>
          <w:sz w:val="32"/>
          <w:szCs w:val="32"/>
          <w:lang w:val="en-US" w:eastAsia="zh-CN"/>
        </w:rPr>
        <w:t>开展</w:t>
      </w:r>
      <w:r>
        <w:rPr>
          <w:rFonts w:hint="eastAsia" w:ascii="仿宋_GB2312" w:hAnsi="仿宋_GB2312" w:eastAsia="仿宋_GB2312" w:cs="仿宋_GB2312"/>
          <w:color w:val="auto"/>
          <w:sz w:val="32"/>
          <w:szCs w:val="32"/>
        </w:rPr>
        <w:t>文旅市场暗访抽查，公布旅游市场强制消费、旅游投诉及严重失信行为典型案例。司法部、公安部、市场监管总局联合部署开展规范法律咨询服务机构专项行动，引导法律咨询服务机构依法诚信</w:t>
      </w:r>
      <w:r>
        <w:rPr>
          <w:rFonts w:hint="eastAsia" w:ascii="仿宋_GB2312" w:hAnsi="仿宋_GB2312" w:eastAsia="仿宋_GB2312" w:cs="仿宋_GB2312"/>
          <w:color w:val="auto"/>
          <w:sz w:val="32"/>
          <w:szCs w:val="32"/>
          <w:lang w:val="en-US" w:eastAsia="zh-CN"/>
        </w:rPr>
        <w:t>经营</w:t>
      </w:r>
      <w:r>
        <w:rPr>
          <w:rFonts w:hint="eastAsia" w:ascii="仿宋_GB2312" w:hAnsi="仿宋_GB2312" w:eastAsia="仿宋_GB2312" w:cs="仿宋_GB2312"/>
          <w:color w:val="auto"/>
          <w:sz w:val="32"/>
          <w:szCs w:val="32"/>
        </w:rPr>
        <w:t>。教育部部署开展暑期“监管护苗”专项行动，累计排查机构14.2万家次，查处违规学科类培训机构4537家，有力遏制了隐形培训、违规收费等乱象。国家卫生健康委、公安部等部门联合发布《关于开展非法救护车专项整治工作的通知》，严厉打击“黑救护”等违法违规行为。</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国家广播电视总局持续推进电视“套娃”收费和操作复杂治理工作，在有线电视和IPTV业务中，部署插入式微型机顶盒和单电源键通用遥控器1066万套，实现一个“遥控看电视”“一键看直播频道”</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加快推进电视机机顶盒一体化进程，完成百万级试点应用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累计实现18.6万家酒店一键看直播、开机无广告，拓展治理成果覆盖医院、养老机构、学校、机场和高铁等2万余个公共场所，惠及更多</w:t>
      </w:r>
      <w:r>
        <w:rPr>
          <w:rFonts w:hint="eastAsia" w:ascii="仿宋_GB2312" w:hAnsi="仿宋_GB2312" w:eastAsia="仿宋_GB2312" w:cs="仿宋_GB2312"/>
          <w:color w:val="auto"/>
          <w:sz w:val="32"/>
          <w:szCs w:val="32"/>
          <w:lang w:val="en-US" w:eastAsia="zh-CN"/>
        </w:rPr>
        <w:t>消费者</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优化互联网电视订阅规则，自动续费需要“二次确认”，让</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套娃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彻底解“套”，压减收费包数量、设置免费专区等涉及“套娃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收费的核心指标100%合规</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取消有线电视机和IPTV机顶盒开机广告，在近3亿台智能电视机上实现开机广告“一键关闭”功能，并向用户提供“永久关闭”服务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组织所属单位开展涉企收费梳理评估，形成广电总局及下属单位综合性涉企收费目录清单，明确服务内容、服务标准、收费水平等，并在广电总局官网公示，营造公平有序的营商环境</w:t>
      </w:r>
      <w:r>
        <w:rPr>
          <w:rFonts w:hint="eastAsia" w:ascii="仿宋_GB2312" w:hAnsi="仿宋_GB2312" w:eastAsia="仿宋_GB2312" w:cs="仿宋_GB2312"/>
          <w:color w:val="auto"/>
          <w:sz w:val="32"/>
          <w:szCs w:val="32"/>
          <w:lang w:val="en-US" w:eastAsia="zh-CN"/>
        </w:rPr>
        <w:t>和消费环境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指导广电媒体制作播出专题节目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如，北京卫视《法治进行时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出警110--老人遭遇“银联会议”诈骗》《法治进行时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遭遇诈骗已转账</w:t>
      </w:r>
      <w:r>
        <w:rPr>
          <w:rFonts w:hint="eastAsia" w:ascii="仿宋_GB2312" w:hAnsi="仿宋_GB2312" w:eastAsia="仿宋_GB2312" w:cs="仿宋_GB2312"/>
          <w:color w:val="auto"/>
          <w:sz w:val="32"/>
          <w:szCs w:val="32"/>
          <w:lang w:val="en-US" w:eastAsia="zh-CN"/>
        </w:rPr>
        <w:t xml:space="preserve"> </w:t>
      </w:r>
      <w:r>
        <w:rPr>
          <w:rFonts w:hint="eastAsia" w:ascii="仿宋_GB2312" w:hAnsi="仿宋_GB2312" w:eastAsia="仿宋_GB2312" w:cs="仿宋_GB2312"/>
          <w:color w:val="auto"/>
          <w:sz w:val="32"/>
          <w:szCs w:val="32"/>
        </w:rPr>
        <w:t>民警截住“养老钱</w:t>
      </w:r>
      <w:r>
        <w:rPr>
          <w:rFonts w:hint="eastAsia" w:ascii="仿宋_GB2312" w:hAnsi="仿宋_GB2312" w:eastAsia="仿宋_GB2312" w:cs="仿宋_GB2312"/>
          <w:color w:val="auto"/>
          <w:sz w:val="32"/>
          <w:szCs w:val="32"/>
          <w:lang w:eastAsia="zh-CN"/>
        </w:rPr>
        <w:t>”</w:t>
      </w:r>
      <w:bookmarkStart w:id="52" w:name="OLE_LINK91"/>
      <w:r>
        <w:rPr>
          <w:rFonts w:hint="eastAsia" w:ascii="仿宋_GB2312" w:hAnsi="仿宋_GB2312" w:eastAsia="仿宋_GB2312" w:cs="仿宋_GB2312"/>
          <w:color w:val="auto"/>
          <w:sz w:val="32"/>
          <w:szCs w:val="32"/>
        </w:rPr>
        <w:t>》</w:t>
      </w:r>
      <w:bookmarkEnd w:id="52"/>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河南卫视《消费新观察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市场监管总局和</w:t>
      </w:r>
      <w:r>
        <w:rPr>
          <w:rFonts w:hint="eastAsia" w:ascii="仿宋_GB2312" w:hAnsi="仿宋_GB2312" w:eastAsia="仿宋_GB2312" w:cs="仿宋_GB2312"/>
          <w:color w:val="auto"/>
          <w:sz w:val="32"/>
          <w:szCs w:val="32"/>
          <w:lang w:val="en-US" w:eastAsia="zh-CN"/>
        </w:rPr>
        <w:t>中消协</w:t>
      </w:r>
      <w:r>
        <w:rPr>
          <w:rFonts w:hint="eastAsia" w:ascii="仿宋_GB2312" w:hAnsi="仿宋_GB2312" w:eastAsia="仿宋_GB2312" w:cs="仿宋_GB2312"/>
          <w:color w:val="auto"/>
          <w:sz w:val="32"/>
          <w:szCs w:val="32"/>
        </w:rPr>
        <w:t>联合发布防范“保健品”诈骗消费提示》等，用具体、鲜活的案例，提升</w:t>
      </w:r>
      <w:r>
        <w:rPr>
          <w:rFonts w:hint="eastAsia" w:ascii="仿宋_GB2312" w:hAnsi="仿宋_GB2312" w:eastAsia="仿宋_GB2312" w:cs="仿宋_GB2312"/>
          <w:color w:val="auto"/>
          <w:sz w:val="32"/>
          <w:szCs w:val="32"/>
          <w:lang w:val="en-US" w:eastAsia="zh-CN"/>
        </w:rPr>
        <w:t>广大消费者风险防范能力</w:t>
      </w:r>
      <w:r>
        <w:rPr>
          <w:rFonts w:hint="eastAsia" w:ascii="仿宋_GB2312" w:hAnsi="仿宋_GB2312" w:eastAsia="仿宋_GB2312" w:cs="仿宋_GB2312"/>
          <w:color w:val="auto"/>
          <w:sz w:val="32"/>
          <w:szCs w:val="32"/>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地方各级监管部门</w:t>
      </w:r>
      <w:r>
        <w:rPr>
          <w:rFonts w:hint="eastAsia" w:ascii="仿宋_GB2312" w:hAnsi="仿宋_GB2312" w:eastAsia="仿宋_GB2312" w:cs="仿宋_GB2312"/>
          <w:color w:val="auto"/>
          <w:sz w:val="32"/>
          <w:szCs w:val="32"/>
          <w:lang w:val="en-US" w:eastAsia="zh-CN"/>
        </w:rPr>
        <w:t>积极作为，依法</w:t>
      </w:r>
      <w:r>
        <w:rPr>
          <w:rFonts w:hint="eastAsia" w:ascii="仿宋_GB2312" w:hAnsi="仿宋_GB2312" w:eastAsia="仿宋_GB2312" w:cs="仿宋_GB2312"/>
          <w:color w:val="auto"/>
          <w:sz w:val="32"/>
          <w:szCs w:val="32"/>
        </w:rPr>
        <w:t>查处大量虚假宣传案件，如北京市市场监管局查办“职业弹幕人”首案；长沙市场监管部门会同公安机关查处企业员工虚构“大型科技公司前首席女技术黑客”身份发布虚假广告案；上海市市场监管局查处俏聘网络信息公司帮助虚假宣传案等。</w:t>
      </w:r>
    </w:p>
    <w:p>
      <w:pPr>
        <w:keepNext w:val="0"/>
        <w:keepLines w:val="0"/>
        <w:pageBreakBefore w:val="0"/>
        <w:widowControl w:val="0"/>
        <w:kinsoku/>
        <w:wordWrap/>
        <w:overflowPunct/>
        <w:topLinePunct w:val="0"/>
        <w:autoSpaceDE/>
        <w:autoSpaceDN/>
        <w:bidi w:val="0"/>
        <w:adjustRightInd/>
        <w:snapToGrid/>
        <w:spacing w:line="594" w:lineRule="exact"/>
        <w:ind w:firstLine="643" w:firstLineChars="200"/>
        <w:textAlignment w:val="auto"/>
        <w:outlineLvl w:val="2"/>
        <w:rPr>
          <w:rFonts w:hint="eastAsia" w:ascii="楷体_GB2312" w:hAnsi="楷体_GB2312" w:eastAsia="楷体_GB2312" w:cs="楷体_GB2312"/>
          <w:b/>
          <w:bCs w:val="0"/>
          <w:color w:val="000000"/>
          <w:sz w:val="32"/>
          <w:szCs w:val="32"/>
        </w:rPr>
      </w:pPr>
      <w:r>
        <w:rPr>
          <w:rFonts w:hint="eastAsia" w:ascii="楷体_GB2312" w:hAnsi="楷体_GB2312" w:eastAsia="楷体_GB2312" w:cs="楷体_GB2312"/>
          <w:b/>
          <w:bCs w:val="0"/>
          <w:color w:val="000000"/>
          <w:sz w:val="32"/>
          <w:szCs w:val="32"/>
        </w:rPr>
        <w:t>（四）持续查处消费领域侵害个人信息的违法行为</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中央网信办与相关部门组织开展2025年个人信息保护系列专项行动，深入治理违法违规收集使用个人信息典型问题，依法集中查处一批侵害个人信息权益的违法违规App，持续整治利用未成年人形象不当牟利、利用AI仿冒公众人物开展直播营销乱象等问题。工业和信息化部陆续发布八批共307款侵害用户权益行为的APP（SDK）通报，有效</w:t>
      </w:r>
      <w:r>
        <w:rPr>
          <w:rFonts w:hint="eastAsia" w:ascii="仿宋_GB2312" w:hAnsi="仿宋_GB2312" w:eastAsia="仿宋_GB2312" w:cs="仿宋_GB2312"/>
          <w:color w:val="auto"/>
          <w:sz w:val="32"/>
          <w:szCs w:val="32"/>
          <w:lang w:val="en-US" w:eastAsia="zh-CN"/>
        </w:rPr>
        <w:t>遏制</w:t>
      </w:r>
      <w:r>
        <w:rPr>
          <w:rFonts w:hint="eastAsia" w:ascii="仿宋_GB2312" w:hAnsi="仿宋_GB2312" w:eastAsia="仿宋_GB2312" w:cs="仿宋_GB2312"/>
          <w:color w:val="auto"/>
          <w:sz w:val="32"/>
          <w:szCs w:val="32"/>
        </w:rPr>
        <w:t>侵害个人信息乱象。公安部部署开展2025</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净网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“护网”专项工作，持续依法严打侵犯公民个人信息等突出网络违法犯罪；公布不履行网络安全、数据安全、个人信息保护义务的行政执法典型案例，守护网络空间</w:t>
      </w:r>
      <w:r>
        <w:rPr>
          <w:rFonts w:hint="eastAsia" w:ascii="仿宋_GB2312" w:hAnsi="仿宋_GB2312" w:eastAsia="仿宋_GB2312" w:cs="仿宋_GB2312"/>
          <w:color w:val="auto"/>
          <w:sz w:val="32"/>
          <w:szCs w:val="32"/>
          <w:lang w:val="en-US" w:eastAsia="zh-CN"/>
        </w:rPr>
        <w:t>信息</w:t>
      </w:r>
      <w:r>
        <w:rPr>
          <w:rFonts w:hint="eastAsia" w:ascii="仿宋_GB2312" w:hAnsi="仿宋_GB2312" w:eastAsia="仿宋_GB2312" w:cs="仿宋_GB2312"/>
          <w:color w:val="auto"/>
          <w:sz w:val="32"/>
          <w:szCs w:val="32"/>
        </w:rPr>
        <w:t>安全。</w:t>
      </w:r>
    </w:p>
    <w:p>
      <w:pPr>
        <w:keepNext w:val="0"/>
        <w:keepLines w:val="0"/>
        <w:pageBreakBefore w:val="0"/>
        <w:widowControl w:val="0"/>
        <w:kinsoku/>
        <w:wordWrap/>
        <w:overflowPunct/>
        <w:topLinePunct w:val="0"/>
        <w:autoSpaceDE/>
        <w:autoSpaceDN/>
        <w:bidi w:val="0"/>
        <w:adjustRightInd/>
        <w:snapToGrid/>
        <w:spacing w:line="594" w:lineRule="exact"/>
        <w:ind w:firstLine="643" w:firstLineChars="200"/>
        <w:textAlignment w:val="auto"/>
        <w:outlineLvl w:val="2"/>
        <w:rPr>
          <w:rFonts w:hint="eastAsia" w:ascii="楷体_GB2312" w:hAnsi="楷体_GB2312" w:eastAsia="楷体_GB2312" w:cs="楷体_GB2312"/>
          <w:b/>
          <w:bCs w:val="0"/>
          <w:color w:val="000000"/>
          <w:sz w:val="32"/>
          <w:szCs w:val="32"/>
        </w:rPr>
      </w:pPr>
      <w:bookmarkStart w:id="53" w:name="_Toc221610673"/>
      <w:r>
        <w:rPr>
          <w:rFonts w:hint="eastAsia" w:ascii="楷体_GB2312" w:hAnsi="楷体_GB2312" w:eastAsia="楷体_GB2312" w:cs="楷体_GB2312"/>
          <w:b/>
          <w:bCs w:val="0"/>
          <w:color w:val="000000"/>
          <w:sz w:val="32"/>
          <w:szCs w:val="32"/>
        </w:rPr>
        <w:t>（五）大力整治网络交易市场违法行为</w:t>
      </w:r>
      <w:bookmarkEnd w:id="53"/>
    </w:p>
    <w:p>
      <w:pPr>
        <w:keepNext w:val="0"/>
        <w:keepLines w:val="0"/>
        <w:pageBreakBefore w:val="0"/>
        <w:widowControl/>
        <w:shd w:val="clear" w:color="auto" w:fill="auto"/>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场监管总局发布《市场监管总局关于推动网络交易平台企业落实合规管理主体责任的指导意见》，引导网络交易平台企业加强合规管理，提升依法依规经营管理水平，促进行业良性发展；部署开展2025年整治网络不正</w:t>
      </w:r>
      <w:r>
        <w:rPr>
          <w:rFonts w:hint="eastAsia" w:ascii="仿宋_GB2312" w:hAnsi="仿宋_GB2312" w:eastAsia="仿宋_GB2312" w:cs="仿宋_GB2312"/>
          <w:color w:val="auto"/>
          <w:sz w:val="32"/>
          <w:szCs w:val="32"/>
          <w:shd w:val="clear" w:color="auto" w:fill="FFFFFF"/>
        </w:rPr>
        <w:t>当竞争行为专项行动，聚焦违法行为高发领域，加大对各类违法行为的查处力度，全国共查办各类网络不正当竞争案件1932件，罚没金额7152.94万元；</w:t>
      </w:r>
      <w:r>
        <w:rPr>
          <w:rFonts w:hint="eastAsia" w:ascii="仿宋_GB2312" w:hAnsi="仿宋_GB2312" w:eastAsia="仿宋_GB2312" w:cs="仿宋_GB2312"/>
          <w:color w:val="auto"/>
          <w:sz w:val="32"/>
          <w:szCs w:val="32"/>
        </w:rPr>
        <w:t>约谈外卖平台、货拉拉平台</w:t>
      </w:r>
      <w:r>
        <w:rPr>
          <w:rFonts w:hint="eastAsia" w:ascii="仿宋_GB2312" w:hAnsi="仿宋_GB2312" w:eastAsia="仿宋_GB2312" w:cs="仿宋_GB2312"/>
          <w:color w:val="auto"/>
          <w:sz w:val="32"/>
          <w:szCs w:val="32"/>
          <w:lang w:val="en-US" w:eastAsia="zh-CN"/>
        </w:rPr>
        <w:t>等企业</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kern w:val="0"/>
          <w:sz w:val="32"/>
          <w:szCs w:val="32"/>
        </w:rPr>
        <w:t>要求</w:t>
      </w:r>
      <w:r>
        <w:rPr>
          <w:rFonts w:hint="eastAsia" w:ascii="仿宋_GB2312" w:hAnsi="仿宋_GB2312" w:eastAsia="仿宋_GB2312" w:cs="仿宋_GB2312"/>
          <w:color w:val="auto"/>
          <w:kern w:val="0"/>
          <w:sz w:val="32"/>
          <w:szCs w:val="32"/>
          <w:lang w:val="en-US" w:eastAsia="zh-CN"/>
        </w:rPr>
        <w:t>其</w:t>
      </w:r>
      <w:r>
        <w:rPr>
          <w:rFonts w:hint="eastAsia" w:ascii="仿宋_GB2312" w:hAnsi="仿宋_GB2312" w:eastAsia="仿宋_GB2312" w:cs="仿宋_GB2312"/>
          <w:color w:val="auto"/>
          <w:kern w:val="0"/>
          <w:sz w:val="32"/>
          <w:szCs w:val="32"/>
        </w:rPr>
        <w:t>严格落实主体责任，主动履行社会责任，</w:t>
      </w:r>
      <w:bookmarkStart w:id="54" w:name="_Toc214781798"/>
      <w:r>
        <w:rPr>
          <w:rFonts w:hint="eastAsia" w:ascii="仿宋_GB2312" w:hAnsi="仿宋_GB2312" w:eastAsia="仿宋_GB2312" w:cs="仿宋_GB2312"/>
          <w:color w:val="auto"/>
          <w:kern w:val="0"/>
          <w:sz w:val="32"/>
          <w:szCs w:val="32"/>
        </w:rPr>
        <w:t>进行</w:t>
      </w:r>
      <w:r>
        <w:rPr>
          <w:rFonts w:hint="eastAsia" w:ascii="仿宋_GB2312" w:hAnsi="仿宋_GB2312" w:eastAsia="仿宋_GB2312" w:cs="仿宋_GB2312"/>
          <w:color w:val="auto"/>
          <w:sz w:val="32"/>
          <w:szCs w:val="32"/>
        </w:rPr>
        <w:t>理性竞争，</w:t>
      </w:r>
      <w:r>
        <w:rPr>
          <w:rFonts w:hint="eastAsia" w:ascii="仿宋_GB2312" w:hAnsi="仿宋_GB2312" w:eastAsia="仿宋_GB2312" w:cs="仿宋_GB2312"/>
          <w:color w:val="auto"/>
          <w:kern w:val="0"/>
          <w:sz w:val="32"/>
          <w:szCs w:val="32"/>
        </w:rPr>
        <w:t>切实维护消费者、平台内经营者和外卖骑手的合法权益；</w:t>
      </w:r>
      <w:r>
        <w:rPr>
          <w:rFonts w:hint="eastAsia" w:ascii="仿宋_GB2312" w:hAnsi="仿宋_GB2312" w:eastAsia="仿宋_GB2312" w:cs="仿宋_GB2312"/>
          <w:color w:val="auto"/>
          <w:sz w:val="32"/>
          <w:szCs w:val="32"/>
        </w:rPr>
        <w:t>发布合规提示，规范“6·18”</w:t>
      </w:r>
      <w:bookmarkEnd w:id="54"/>
      <w:r>
        <w:rPr>
          <w:rFonts w:hint="eastAsia" w:ascii="仿宋_GB2312" w:hAnsi="仿宋_GB2312" w:eastAsia="仿宋_GB2312" w:cs="仿宋_GB2312"/>
          <w:color w:val="auto"/>
          <w:sz w:val="32"/>
          <w:szCs w:val="32"/>
        </w:rPr>
        <w:t>“双11”等网络集中促销经营活动；开展直播电商突出问题专项整治工作，</w:t>
      </w:r>
      <w:r>
        <w:rPr>
          <w:rFonts w:hint="eastAsia" w:ascii="仿宋_GB2312" w:hAnsi="仿宋_GB2312" w:eastAsia="仿宋_GB2312" w:cs="仿宋_GB2312"/>
          <w:color w:val="auto"/>
          <w:kern w:val="0"/>
          <w:sz w:val="32"/>
          <w:szCs w:val="32"/>
        </w:rPr>
        <w:t>依</w:t>
      </w:r>
      <w:r>
        <w:rPr>
          <w:rFonts w:hint="eastAsia" w:ascii="仿宋_GB2312" w:hAnsi="仿宋_GB2312" w:eastAsia="仿宋_GB2312" w:cs="仿宋_GB2312"/>
          <w:color w:val="auto"/>
          <w:sz w:val="32"/>
          <w:szCs w:val="32"/>
        </w:rPr>
        <w:t>法查处成都快购科技有限公司违法案件，</w:t>
      </w:r>
      <w:r>
        <w:rPr>
          <w:rFonts w:hint="eastAsia" w:ascii="仿宋_GB2312" w:hAnsi="仿宋_GB2312" w:eastAsia="仿宋_GB2312" w:cs="仿宋_GB2312"/>
          <w:color w:val="auto"/>
          <w:kern w:val="0"/>
          <w:sz w:val="32"/>
          <w:szCs w:val="32"/>
        </w:rPr>
        <w:t>指导地方依法查处“太原老葛”“大LOGO”等头部主播虚假宣传的典型案件，集中发布四批30件直播电商领域的典型案例，重拳打击直播电商乱象；</w:t>
      </w:r>
      <w:r>
        <w:rPr>
          <w:rFonts w:hint="eastAsia" w:ascii="仿宋_GB2312" w:hAnsi="仿宋_GB2312" w:eastAsia="仿宋_GB2312" w:cs="仿宋_GB2312"/>
          <w:bCs/>
          <w:color w:val="auto"/>
          <w:sz w:val="32"/>
          <w:szCs w:val="32"/>
        </w:rPr>
        <w:t>召开2025年直播带货食品安全行政指导会，切实保障</w:t>
      </w:r>
      <w:r>
        <w:rPr>
          <w:rFonts w:hint="eastAsia" w:ascii="仿宋_GB2312" w:hAnsi="仿宋_GB2312" w:eastAsia="仿宋_GB2312" w:cs="仿宋_GB2312"/>
          <w:bCs/>
          <w:color w:val="auto"/>
          <w:sz w:val="32"/>
          <w:szCs w:val="32"/>
          <w:lang w:val="en-US" w:eastAsia="zh-CN"/>
        </w:rPr>
        <w:t>消费</w:t>
      </w:r>
      <w:r>
        <w:rPr>
          <w:rFonts w:hint="eastAsia" w:ascii="仿宋_GB2312" w:hAnsi="仿宋_GB2312" w:eastAsia="仿宋_GB2312" w:cs="仿宋_GB2312"/>
          <w:bCs/>
          <w:color w:val="auto"/>
          <w:sz w:val="32"/>
          <w:szCs w:val="32"/>
        </w:rPr>
        <w:t>新业态新模式</w:t>
      </w:r>
      <w:r>
        <w:rPr>
          <w:rFonts w:hint="eastAsia" w:ascii="仿宋_GB2312" w:hAnsi="仿宋_GB2312" w:eastAsia="仿宋_GB2312" w:cs="仿宋_GB2312"/>
          <w:bCs/>
          <w:color w:val="auto"/>
          <w:sz w:val="32"/>
          <w:szCs w:val="32"/>
          <w:lang w:val="en-US" w:eastAsia="zh-CN"/>
        </w:rPr>
        <w:t>中的</w:t>
      </w:r>
      <w:r>
        <w:rPr>
          <w:rFonts w:hint="eastAsia" w:ascii="仿宋_GB2312" w:hAnsi="仿宋_GB2312" w:eastAsia="仿宋_GB2312" w:cs="仿宋_GB2312"/>
          <w:bCs/>
          <w:color w:val="auto"/>
          <w:sz w:val="32"/>
          <w:szCs w:val="32"/>
        </w:rPr>
        <w:t>食品安全</w:t>
      </w:r>
      <w:r>
        <w:rPr>
          <w:rFonts w:hint="eastAsia" w:ascii="仿宋_GB2312" w:hAnsi="仿宋_GB2312" w:eastAsia="仿宋_GB2312" w:cs="仿宋_GB2312"/>
          <w:color w:val="auto"/>
          <w:sz w:val="32"/>
          <w:szCs w:val="32"/>
        </w:rPr>
        <w:t>。工业和信息化部等六部门联合部署开展汽车行业网络乱象专项整治行动，集中整治非法牟利、虚假宣传、恶意诋毁攻击等网络乱象。</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55" w:name="_Toc29963"/>
      <w:bookmarkStart w:id="56" w:name="_Toc16876"/>
      <w:bookmarkStart w:id="57" w:name="_Toc221610674"/>
      <w:r>
        <w:rPr>
          <w:rFonts w:hint="eastAsia" w:ascii="黑体" w:hAnsi="黑体" w:eastAsia="黑体" w:cs="黑体"/>
          <w:bCs/>
          <w:color w:val="000000"/>
          <w:sz w:val="32"/>
          <w:szCs w:val="32"/>
        </w:rPr>
        <w:t>五、提升质量</w:t>
      </w:r>
      <w:r>
        <w:rPr>
          <w:rFonts w:hint="eastAsia" w:ascii="黑体" w:hAnsi="黑体" w:eastAsia="黑体" w:cs="黑体"/>
          <w:bCs/>
          <w:color w:val="000000"/>
          <w:sz w:val="32"/>
          <w:szCs w:val="32"/>
          <w:lang w:val="en-US" w:eastAsia="zh-CN"/>
        </w:rPr>
        <w:t>水平</w:t>
      </w:r>
      <w:r>
        <w:rPr>
          <w:rFonts w:hint="eastAsia" w:ascii="黑体" w:hAnsi="黑体" w:eastAsia="黑体" w:cs="黑体"/>
          <w:bCs/>
          <w:color w:val="000000"/>
          <w:sz w:val="32"/>
          <w:szCs w:val="32"/>
        </w:rPr>
        <w:t>，推</w:t>
      </w:r>
      <w:r>
        <w:rPr>
          <w:rFonts w:hint="eastAsia" w:ascii="黑体" w:hAnsi="黑体" w:eastAsia="黑体" w:cs="黑体"/>
          <w:bCs/>
          <w:color w:val="000000"/>
          <w:sz w:val="32"/>
          <w:szCs w:val="32"/>
          <w:lang w:val="en-US" w:eastAsia="zh-CN"/>
        </w:rPr>
        <w:t>动</w:t>
      </w:r>
      <w:r>
        <w:rPr>
          <w:rFonts w:hint="eastAsia" w:ascii="黑体" w:hAnsi="黑体" w:eastAsia="黑体" w:cs="黑体"/>
          <w:bCs/>
          <w:color w:val="000000"/>
          <w:sz w:val="32"/>
          <w:szCs w:val="32"/>
        </w:rPr>
        <w:t>高质量发展</w:t>
      </w:r>
      <w:bookmarkEnd w:id="55"/>
      <w:bookmarkEnd w:id="56"/>
      <w:bookmarkEnd w:id="57"/>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相关</w:t>
      </w:r>
      <w:r>
        <w:rPr>
          <w:rFonts w:hint="eastAsia" w:ascii="仿宋_GB2312" w:hAnsi="仿宋_GB2312" w:eastAsia="仿宋_GB2312" w:cs="仿宋_GB2312"/>
          <w:color w:val="auto"/>
          <w:sz w:val="32"/>
          <w:szCs w:val="32"/>
        </w:rPr>
        <w:t>政府部门协同发力，严把质量关口，筑牢安全底线，向高质量发展迈出坚实步伐。国务院办公厅印发《关于推动成品油流通高质量发展的意见》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完善成品油零售管理制度。国家发展改革委等八部门</w:t>
      </w:r>
      <w:r>
        <w:rPr>
          <w:rFonts w:hint="eastAsia" w:ascii="仿宋_GB2312" w:hAnsi="仿宋_GB2312" w:eastAsia="仿宋_GB2312" w:cs="仿宋_GB2312"/>
          <w:color w:val="auto"/>
          <w:sz w:val="32"/>
          <w:szCs w:val="32"/>
          <w:lang w:val="en-US" w:eastAsia="zh-CN"/>
        </w:rPr>
        <w:t>联合</w:t>
      </w:r>
      <w:r>
        <w:rPr>
          <w:rFonts w:hint="eastAsia" w:ascii="仿宋_GB2312" w:hAnsi="仿宋_GB2312" w:eastAsia="仿宋_GB2312" w:cs="仿宋_GB2312"/>
          <w:color w:val="auto"/>
          <w:sz w:val="32"/>
          <w:szCs w:val="32"/>
        </w:rPr>
        <w:t>印发《促进普惠养老服务高质量发展的若干措施》，大力发展价格可负担、质量有保障、运营可持续的普惠养老服务。工业和信息化部实施制造业卓越质量工程，推进“中国制造”品牌建设，持续关注消费品领域热点问题，及时堵住“捏捏乐”“水晶泥”等网红玩具质量安全漏洞；发布首批中国消费名品名单，打造中国消费名品方阵；组织开展“民有所呼、我必有应”活动，推动基础电信企业制定“总经理办实事”清单，公布超2000项改进措施，并逐项扎实推进落实，提升电信服务水平。交通运输部着力提升小微型客车租赁和水路旅游客运服务质量，指导地方做好国内水路旅游客运精品航线相关典型案例的宣传推广，全面提升水路旅游客运服务质量和水平。</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市场监管总局联合中宣部、最高人民法院、最高人民检察院、国家发展改革委等</w:t>
      </w:r>
      <w:r>
        <w:rPr>
          <w:rFonts w:hint="eastAsia" w:ascii="仿宋_GB2312" w:hAnsi="仿宋_GB2312" w:eastAsia="仿宋_GB2312" w:cs="仿宋_GB2312"/>
          <w:color w:val="auto"/>
          <w:sz w:val="32"/>
          <w:szCs w:val="32"/>
          <w:lang w:val="en-US" w:eastAsia="zh-CN"/>
        </w:rPr>
        <w:t>26</w:t>
      </w:r>
      <w:r>
        <w:rPr>
          <w:rFonts w:hint="eastAsia" w:ascii="仿宋_GB2312" w:hAnsi="仿宋_GB2312" w:eastAsia="仿宋_GB2312" w:cs="仿宋_GB2312"/>
          <w:color w:val="auto"/>
          <w:sz w:val="32"/>
          <w:szCs w:val="32"/>
        </w:rPr>
        <w:t>个部门共同部署2025年全国“质量月”活动，</w:t>
      </w:r>
      <w:r>
        <w:rPr>
          <w:rFonts w:hint="eastAsia" w:ascii="仿宋_GB2312" w:hAnsi="仿宋_GB2312" w:eastAsia="仿宋_GB2312" w:cs="仿宋_GB2312"/>
          <w:color w:val="auto"/>
          <w:kern w:val="0"/>
          <w:sz w:val="32"/>
          <w:szCs w:val="32"/>
        </w:rPr>
        <w:t>各单位围绕</w:t>
      </w:r>
      <w:r>
        <w:rPr>
          <w:rFonts w:hint="eastAsia" w:ascii="仿宋_GB2312" w:hAnsi="仿宋_GB2312" w:eastAsia="仿宋_GB2312" w:cs="仿宋_GB2312"/>
          <w:color w:val="auto"/>
          <w:sz w:val="32"/>
          <w:szCs w:val="32"/>
        </w:rPr>
        <w:t>“加强全面质量管理 促进质量强国建设”主题，组织</w:t>
      </w:r>
      <w:r>
        <w:rPr>
          <w:rFonts w:hint="eastAsia" w:ascii="仿宋_GB2312" w:hAnsi="仿宋_GB2312" w:eastAsia="仿宋_GB2312" w:cs="仿宋_GB2312"/>
          <w:color w:val="auto"/>
          <w:kern w:val="0"/>
          <w:sz w:val="32"/>
          <w:szCs w:val="32"/>
        </w:rPr>
        <w:t>开展百城质量提升活动、跨区域质量强链联动项目、中小企业质量管理公益推广活动、“好房子”建设行动、文化和旅游服务质量提升主题活动、“金融标准 为民利企”活动、知识产权公共服务惠企行动等200多项质量主题活动；</w:t>
      </w:r>
      <w:r>
        <w:rPr>
          <w:rFonts w:hint="eastAsia" w:ascii="仿宋_GB2312" w:hAnsi="仿宋_GB2312" w:eastAsia="仿宋_GB2312" w:cs="仿宋_GB2312"/>
          <w:color w:val="auto"/>
          <w:sz w:val="32"/>
          <w:szCs w:val="32"/>
        </w:rPr>
        <w:t>联合江苏省人民政府主办中国质量（南京）大会，围绕党中央、国务院对高质量发展的决策部署，以“质量：赋能新质生产力”为主题，共同探讨新形势下的热点质量话题和质量管理前沿内容，凝聚质量共识，促进质量合作，加快质量变革，推动全球经济高质量发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联合中央网信办</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国家发展改革委等十部</w:t>
      </w:r>
      <w:r>
        <w:rPr>
          <w:rFonts w:hint="eastAsia" w:ascii="仿宋_GB2312" w:hAnsi="仿宋_GB2312" w:eastAsia="仿宋_GB2312" w:cs="仿宋_GB2312"/>
          <w:color w:val="auto"/>
          <w:sz w:val="32"/>
          <w:szCs w:val="32"/>
          <w:lang w:val="en-US" w:eastAsia="zh-CN"/>
        </w:rPr>
        <w:t>门</w:t>
      </w:r>
      <w:r>
        <w:rPr>
          <w:rFonts w:hint="eastAsia" w:ascii="仿宋_GB2312" w:hAnsi="仿宋_GB2312" w:eastAsia="仿宋_GB2312" w:cs="仿宋_GB2312"/>
          <w:color w:val="auto"/>
          <w:sz w:val="32"/>
          <w:szCs w:val="32"/>
        </w:rPr>
        <w:t>印发《</w:t>
      </w:r>
      <w:bookmarkStart w:id="58" w:name="OLE_LINK76"/>
      <w:r>
        <w:rPr>
          <w:rFonts w:hint="eastAsia" w:ascii="仿宋_GB2312" w:hAnsi="仿宋_GB2312" w:eastAsia="仿宋_GB2312" w:cs="仿宋_GB2312"/>
          <w:color w:val="auto"/>
          <w:sz w:val="32"/>
          <w:szCs w:val="32"/>
        </w:rPr>
        <w:t>关于提升网络交易平台产品和服务质量的指导意见</w:t>
      </w:r>
      <w:bookmarkEnd w:id="58"/>
      <w:r>
        <w:rPr>
          <w:rFonts w:hint="eastAsia" w:ascii="仿宋_GB2312" w:hAnsi="仿宋_GB2312" w:eastAsia="仿宋_GB2312" w:cs="仿宋_GB2312"/>
          <w:color w:val="auto"/>
          <w:sz w:val="32"/>
          <w:szCs w:val="32"/>
        </w:rPr>
        <w:t>》，提出</w:t>
      </w:r>
      <w:r>
        <w:rPr>
          <w:rFonts w:hint="eastAsia" w:ascii="仿宋_GB2312" w:hAnsi="仿宋_GB2312" w:eastAsia="仿宋_GB2312" w:cs="仿宋_GB2312"/>
          <w:color w:val="auto"/>
          <w:sz w:val="32"/>
          <w:szCs w:val="32"/>
          <w:lang w:val="en-US" w:eastAsia="zh-CN"/>
        </w:rPr>
        <w:t>15</w:t>
      </w:r>
      <w:r>
        <w:rPr>
          <w:rFonts w:hint="eastAsia" w:ascii="仿宋_GB2312" w:hAnsi="仿宋_GB2312" w:eastAsia="仿宋_GB2312" w:cs="仿宋_GB2312"/>
          <w:color w:val="auto"/>
          <w:sz w:val="32"/>
          <w:szCs w:val="32"/>
        </w:rPr>
        <w:t>个方面的意见和要求，推动平台经济从规模扩张向质量提升转型；联合工业和信息化部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公安部</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十三部委印发《</w:t>
      </w:r>
      <w:bookmarkStart w:id="59" w:name="OLE_LINK77"/>
      <w:r>
        <w:rPr>
          <w:rFonts w:hint="eastAsia" w:ascii="仿宋_GB2312" w:hAnsi="仿宋_GB2312" w:eastAsia="仿宋_GB2312" w:cs="仿宋_GB2312"/>
          <w:color w:val="auto"/>
          <w:sz w:val="32"/>
          <w:szCs w:val="32"/>
        </w:rPr>
        <w:t>网售工业产品质量安全专项治理行动方案（2025—2027年）</w:t>
      </w:r>
      <w:bookmarkEnd w:id="59"/>
      <w:r>
        <w:rPr>
          <w:rFonts w:hint="eastAsia" w:ascii="仿宋_GB2312" w:hAnsi="仿宋_GB2312" w:eastAsia="仿宋_GB2312" w:cs="仿宋_GB2312"/>
          <w:color w:val="auto"/>
          <w:sz w:val="32"/>
          <w:szCs w:val="32"/>
        </w:rPr>
        <w:t>》，部署开展网售工业产品质量安全专项治理行动，明确多项治理措施，全面提升网售工业产品质量安全水平。</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60" w:name="_Toc221610676"/>
      <w:bookmarkStart w:id="61" w:name="_Toc12841"/>
      <w:bookmarkStart w:id="62" w:name="_Toc26713"/>
      <w:r>
        <w:rPr>
          <w:rFonts w:hint="eastAsia" w:ascii="黑体" w:hAnsi="黑体" w:eastAsia="黑体" w:cs="黑体"/>
          <w:bCs/>
          <w:color w:val="000000"/>
          <w:sz w:val="32"/>
          <w:szCs w:val="32"/>
          <w:lang w:val="en-US" w:eastAsia="zh-CN"/>
        </w:rPr>
        <w:t>六</w:t>
      </w:r>
      <w:r>
        <w:rPr>
          <w:rFonts w:hint="eastAsia" w:ascii="黑体" w:hAnsi="黑体" w:eastAsia="黑体" w:cs="黑体"/>
          <w:bCs/>
          <w:color w:val="000000"/>
          <w:sz w:val="32"/>
          <w:szCs w:val="32"/>
        </w:rPr>
        <w:t>、深入推进绿色消费，</w:t>
      </w:r>
      <w:r>
        <w:rPr>
          <w:rFonts w:hint="eastAsia" w:ascii="黑体" w:hAnsi="黑体" w:eastAsia="黑体" w:cs="黑体"/>
          <w:bCs/>
          <w:color w:val="000000"/>
          <w:sz w:val="32"/>
          <w:szCs w:val="32"/>
          <w:lang w:val="en-US" w:eastAsia="zh-CN"/>
        </w:rPr>
        <w:t>助力</w:t>
      </w:r>
      <w:r>
        <w:rPr>
          <w:rFonts w:hint="eastAsia" w:ascii="黑体" w:hAnsi="黑体" w:eastAsia="黑体" w:cs="黑体"/>
          <w:bCs/>
          <w:color w:val="000000"/>
          <w:sz w:val="32"/>
          <w:szCs w:val="32"/>
        </w:rPr>
        <w:t>绿色发展</w:t>
      </w:r>
      <w:bookmarkEnd w:id="60"/>
      <w:bookmarkEnd w:id="61"/>
      <w:bookmarkEnd w:id="62"/>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2025年，</w:t>
      </w:r>
      <w:bookmarkStart w:id="63" w:name="OLE_LINK78"/>
      <w:r>
        <w:rPr>
          <w:rFonts w:hint="eastAsia" w:ascii="仿宋_GB2312" w:hAnsi="仿宋_GB2312" w:eastAsia="仿宋_GB2312" w:cs="仿宋_GB2312"/>
          <w:color w:val="auto"/>
          <w:sz w:val="32"/>
          <w:szCs w:val="32"/>
          <w:lang w:val="en-US" w:eastAsia="zh-CN"/>
        </w:rPr>
        <w:t>党中央、国务院对推进绿色发展作出重要部署</w:t>
      </w:r>
      <w:bookmarkEnd w:id="63"/>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政府</w:t>
      </w:r>
      <w:r>
        <w:rPr>
          <w:rFonts w:hint="eastAsia" w:ascii="仿宋_GB2312" w:hAnsi="仿宋_GB2312" w:eastAsia="仿宋_GB2312" w:cs="仿宋_GB2312"/>
          <w:color w:val="auto"/>
          <w:sz w:val="32"/>
          <w:szCs w:val="32"/>
          <w:lang w:val="en-US" w:eastAsia="zh-CN"/>
        </w:rPr>
        <w:t>各</w:t>
      </w:r>
      <w:r>
        <w:rPr>
          <w:rFonts w:hint="eastAsia" w:ascii="仿宋_GB2312" w:hAnsi="仿宋_GB2312" w:eastAsia="仿宋_GB2312" w:cs="仿宋_GB2312"/>
          <w:color w:val="auto"/>
          <w:sz w:val="32"/>
          <w:szCs w:val="32"/>
        </w:rPr>
        <w:t>部门</w:t>
      </w:r>
      <w:r>
        <w:rPr>
          <w:rFonts w:hint="eastAsia" w:ascii="仿宋_GB2312" w:hAnsi="仿宋_GB2312" w:eastAsia="仿宋_GB2312" w:cs="仿宋_GB2312"/>
          <w:color w:val="auto"/>
          <w:sz w:val="32"/>
          <w:szCs w:val="32"/>
          <w:lang w:val="en-US" w:eastAsia="zh-CN"/>
        </w:rPr>
        <w:t>积极践行绿色低碳发展理念，</w:t>
      </w:r>
      <w:r>
        <w:rPr>
          <w:rFonts w:hint="eastAsia" w:ascii="仿宋_GB2312" w:hAnsi="仿宋_GB2312" w:eastAsia="仿宋_GB2312" w:cs="仿宋_GB2312"/>
          <w:color w:val="auto"/>
          <w:sz w:val="32"/>
          <w:szCs w:val="32"/>
        </w:rPr>
        <w:t>在推动绿色消费促进绿色发展方面持续发挥关键引领作用。党的二十届四中全会强调，健全绿色消费激励机制，推广绿色低碳生活方式。</w:t>
      </w:r>
      <w:r>
        <w:rPr>
          <w:rFonts w:hint="eastAsia" w:ascii="仿宋_GB2312" w:hAnsi="仿宋_GB2312" w:eastAsia="仿宋_GB2312" w:cs="仿宋_GB2312"/>
          <w:color w:val="auto"/>
          <w:sz w:val="32"/>
          <w:szCs w:val="32"/>
          <w:lang w:val="en-US" w:eastAsia="zh-CN"/>
        </w:rPr>
        <w:t>国务院</w:t>
      </w:r>
      <w:r>
        <w:rPr>
          <w:rFonts w:hint="eastAsia" w:ascii="仿宋_GB2312" w:hAnsi="仿宋_GB2312" w:eastAsia="仿宋_GB2312" w:cs="仿宋_GB2312"/>
          <w:sz w:val="32"/>
          <w:szCs w:val="32"/>
        </w:rPr>
        <w:t>的《政府工作报告》</w:t>
      </w:r>
      <w:r>
        <w:rPr>
          <w:rFonts w:hint="eastAsia" w:ascii="仿宋_GB2312" w:hAnsi="仿宋_GB2312" w:eastAsia="仿宋_GB2312" w:cs="仿宋_GB2312"/>
          <w:color w:val="auto"/>
          <w:sz w:val="32"/>
          <w:szCs w:val="32"/>
          <w:lang w:val="en-US" w:eastAsia="zh-CN"/>
        </w:rPr>
        <w:t>提出，“健全绿色消费激励机制，推动形成绿色低碳的生产方式和生活方式。”</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
          <w:bCs/>
          <w:color w:val="auto"/>
          <w:sz w:val="32"/>
          <w:szCs w:val="32"/>
          <w:shd w:val="clear" w:color="auto" w:fill="FFFFFF"/>
        </w:rPr>
      </w:pPr>
      <w:r>
        <w:rPr>
          <w:rFonts w:hint="eastAsia" w:ascii="仿宋_GB2312" w:hAnsi="仿宋_GB2312" w:eastAsia="仿宋_GB2312" w:cs="仿宋_GB2312"/>
          <w:color w:val="auto"/>
          <w:sz w:val="32"/>
          <w:szCs w:val="32"/>
          <w:lang w:val="en-US" w:eastAsia="zh-CN"/>
        </w:rPr>
        <w:t>国务院公布《关于修改〈快递暂行条例〉的决定》，将绿色节能作为构建快递服务体系的重要内容，增设“快递包装”专章，为推动快递行业绿色发展提供重要保障。</w:t>
      </w:r>
      <w:r>
        <w:rPr>
          <w:rStyle w:val="20"/>
          <w:rFonts w:hint="eastAsia" w:ascii="仿宋_GB2312" w:hAnsi="仿宋_GB2312" w:eastAsia="仿宋_GB2312" w:cs="仿宋_GB2312"/>
          <w:b w:val="0"/>
          <w:color w:val="auto"/>
          <w:sz w:val="32"/>
          <w:szCs w:val="32"/>
          <w:shd w:val="clear" w:color="auto" w:fill="FFFFFF"/>
        </w:rPr>
        <w:t>国家发展改革委</w:t>
      </w:r>
      <w:r>
        <w:rPr>
          <w:rFonts w:hint="eastAsia" w:ascii="仿宋_GB2312" w:hAnsi="仿宋_GB2312" w:eastAsia="仿宋_GB2312" w:cs="仿宋_GB2312"/>
          <w:color w:val="auto"/>
          <w:sz w:val="32"/>
          <w:szCs w:val="32"/>
          <w:shd w:val="clear" w:color="auto" w:fill="FFFFFF"/>
        </w:rPr>
        <w:t>会同商务部等七部门印发</w:t>
      </w:r>
      <w:r>
        <w:rPr>
          <w:rStyle w:val="20"/>
          <w:rFonts w:hint="eastAsia" w:ascii="仿宋_GB2312" w:hAnsi="仿宋_GB2312" w:eastAsia="仿宋_GB2312" w:cs="仿宋_GB2312"/>
          <w:b w:val="0"/>
          <w:color w:val="auto"/>
          <w:sz w:val="32"/>
          <w:szCs w:val="32"/>
          <w:shd w:val="clear" w:color="auto" w:fill="FFFFFF"/>
        </w:rPr>
        <w:t>《再生材料应用推广行动方案》</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支持纸箱、收缩膜、包装袋、泡沫填充材料等非食品接触典型包装物生产企业加强产品绿色设计，提高再生纸、再生塑料等再生材料应用比例，强化再生材料的产品质量</w:t>
      </w:r>
      <w:r>
        <w:rPr>
          <w:rFonts w:hint="eastAsia" w:ascii="仿宋_GB2312" w:hAnsi="仿宋_GB2312" w:eastAsia="仿宋_GB2312" w:cs="仿宋_GB2312"/>
          <w:color w:val="auto"/>
          <w:sz w:val="32"/>
          <w:szCs w:val="32"/>
          <w:lang w:val="en-US" w:eastAsia="zh-CN"/>
        </w:rPr>
        <w:t>以及</w:t>
      </w:r>
      <w:r>
        <w:rPr>
          <w:rFonts w:hint="eastAsia" w:ascii="仿宋_GB2312" w:hAnsi="仿宋_GB2312" w:eastAsia="仿宋_GB2312" w:cs="仿宋_GB2312"/>
          <w:color w:val="auto"/>
          <w:sz w:val="32"/>
          <w:szCs w:val="32"/>
        </w:rPr>
        <w:t>人体健康和安全环保要求；联合国家能源局</w:t>
      </w:r>
      <w:r>
        <w:rPr>
          <w:rStyle w:val="20"/>
          <w:rFonts w:hint="eastAsia" w:ascii="仿宋_GB2312" w:hAnsi="仿宋_GB2312" w:eastAsia="仿宋_GB2312" w:cs="仿宋_GB2312"/>
          <w:b w:val="0"/>
          <w:color w:val="auto"/>
          <w:sz w:val="32"/>
          <w:szCs w:val="32"/>
          <w:shd w:val="clear" w:color="auto" w:fill="FFFFFF"/>
        </w:rPr>
        <w:t>等五部门印发《关于促进可再生能源绿色电力证书市场高质量发展的意见》，</w:t>
      </w:r>
      <w:r>
        <w:rPr>
          <w:rFonts w:hint="eastAsia" w:ascii="仿宋_GB2312" w:hAnsi="仿宋_GB2312" w:eastAsia="仿宋_GB2312" w:cs="仿宋_GB2312"/>
          <w:color w:val="auto"/>
          <w:sz w:val="32"/>
          <w:szCs w:val="32"/>
          <w:shd w:val="clear" w:color="auto" w:fill="FFFFFF"/>
        </w:rPr>
        <w:t>加快建立绿色能源消费促进机制，推动绿证市场高质量发展，进一步提升全社会绿色电力消费水平</w:t>
      </w:r>
      <w:r>
        <w:rPr>
          <w:rStyle w:val="20"/>
          <w:rFonts w:hint="eastAsia" w:ascii="仿宋_GB2312" w:hAnsi="仿宋_GB2312" w:eastAsia="仿宋_GB2312" w:cs="仿宋_GB2312"/>
          <w:b w:val="0"/>
          <w:color w:val="auto"/>
          <w:sz w:val="32"/>
          <w:szCs w:val="32"/>
          <w:shd w:val="clear" w:color="auto" w:fill="FFFFFF"/>
        </w:rPr>
        <w:t>；</w:t>
      </w:r>
      <w:r>
        <w:rPr>
          <w:rFonts w:hint="eastAsia" w:ascii="仿宋_GB2312" w:hAnsi="仿宋_GB2312" w:eastAsia="仿宋_GB2312" w:cs="仿宋_GB2312"/>
          <w:color w:val="auto"/>
          <w:sz w:val="32"/>
          <w:szCs w:val="32"/>
          <w:shd w:val="clear" w:color="auto" w:fill="FFFFFF"/>
        </w:rPr>
        <w:t>联合水利部、市场监管总局发布《中华人民共和国实行水效标识的产品目录（2025年版）》及相关实施规则，推广高效节水产品设备，大力促进绿色消费。</w:t>
      </w:r>
      <w:r>
        <w:rPr>
          <w:rFonts w:hint="eastAsia" w:ascii="仿宋_GB2312" w:hAnsi="仿宋_GB2312" w:eastAsia="仿宋_GB2312" w:cs="仿宋_GB2312"/>
          <w:color w:val="auto"/>
          <w:sz w:val="32"/>
          <w:szCs w:val="32"/>
          <w:shd w:val="clear" w:color="auto" w:fill="FFFFFF"/>
          <w:lang w:val="en-US" w:eastAsia="zh-CN"/>
        </w:rPr>
        <w:t>生态环境部持续推进老旧高排放汽车和非道路移动机械以旧换新，推广使用新能源重卡，新能源汽车市场渗透率超过50%，新能源重卡销量19.8万辆，同比增长173%；联合相关部门举办2025年六五环境日主场活动和美丽中国宣传周，并与浙江省人民政府共同举办“全国低碳日”主场活动，积极引导社会各界践行简约适度、绿色低碳、文明健康的生活理念和消费方式；依据《环境标志产品保障措施指南》，对企业建立的产品消费者投诉管理及流程要求进行重点检查，共对6237 家企业的消费者投诉情况进行了检查，累计处理消费者问询信息 320 余条，为消费者保驾护航。</w:t>
      </w:r>
      <w:r>
        <w:rPr>
          <w:rStyle w:val="20"/>
          <w:rFonts w:hint="eastAsia" w:ascii="仿宋_GB2312" w:hAnsi="仿宋_GB2312" w:eastAsia="仿宋_GB2312" w:cs="仿宋_GB2312"/>
          <w:b w:val="0"/>
          <w:color w:val="auto"/>
          <w:sz w:val="32"/>
          <w:szCs w:val="32"/>
          <w:shd w:val="clear" w:color="auto" w:fill="FFFFFF"/>
        </w:rPr>
        <w:t>金融监管总局联合中国人民银行印发《银行业保险业绿色金融高质量发展实施方案》</w:t>
      </w:r>
      <w:r>
        <w:rPr>
          <w:rStyle w:val="20"/>
          <w:rFonts w:hint="eastAsia" w:ascii="仿宋_GB2312" w:hAnsi="仿宋_GB2312" w:eastAsia="仿宋_GB2312" w:cs="仿宋_GB2312"/>
          <w:b w:val="0"/>
          <w:color w:val="auto"/>
          <w:sz w:val="32"/>
          <w:szCs w:val="32"/>
          <w:shd w:val="clear" w:color="auto" w:fill="FFFFFF"/>
          <w:lang w:eastAsia="zh-CN"/>
        </w:rPr>
        <w:t>，</w:t>
      </w:r>
      <w:r>
        <w:rPr>
          <w:rFonts w:hint="eastAsia" w:ascii="仿宋_GB2312" w:hAnsi="仿宋_GB2312" w:eastAsia="仿宋_GB2312" w:cs="仿宋_GB2312"/>
          <w:color w:val="auto"/>
          <w:kern w:val="0"/>
          <w:sz w:val="32"/>
          <w:szCs w:val="32"/>
        </w:rPr>
        <w:t>引导银行业保险业发展绿色金融。</w:t>
      </w:r>
      <w:r>
        <w:rPr>
          <w:rFonts w:hint="eastAsia" w:ascii="仿宋_GB2312" w:hAnsi="仿宋_GB2312" w:eastAsia="仿宋_GB2312" w:cs="仿宋_GB2312"/>
          <w:color w:val="auto"/>
          <w:sz w:val="32"/>
          <w:szCs w:val="32"/>
          <w:shd w:val="clear" w:color="auto" w:fill="FFFFFF"/>
        </w:rPr>
        <w:t>市场监管总局主办2025年全国“绿色产品认证与标识宣传周”，提升绿色产品认证以及产品碳足迹标识认证的知晓度和美誉度，扩大了绿色产品认证影响力；联合山东省人民政府</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val="en-US" w:eastAsia="zh-CN"/>
        </w:rPr>
        <w:t>青岛市人民政府</w:t>
      </w:r>
      <w:r>
        <w:rPr>
          <w:rFonts w:hint="eastAsia" w:ascii="仿宋_GB2312" w:hAnsi="仿宋_GB2312" w:eastAsia="仿宋_GB2312" w:cs="仿宋_GB2312"/>
          <w:color w:val="auto"/>
          <w:sz w:val="32"/>
          <w:szCs w:val="32"/>
          <w:shd w:val="clear" w:color="auto" w:fill="FFFFFF"/>
        </w:rPr>
        <w:t>举办2025年全国节能宣传周</w:t>
      </w:r>
      <w:r>
        <w:rPr>
          <w:rFonts w:hint="eastAsia" w:ascii="仿宋_GB2312" w:hAnsi="仿宋_GB2312" w:eastAsia="仿宋_GB2312" w:cs="仿宋_GB2312"/>
          <w:color w:val="auto"/>
          <w:sz w:val="32"/>
          <w:szCs w:val="32"/>
          <w:shd w:val="clear" w:color="auto" w:fill="FFFFFF"/>
          <w:lang w:val="en-US" w:eastAsia="zh-CN"/>
        </w:rPr>
        <w:t>启动仪式</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bCs/>
          <w:color w:val="auto"/>
          <w:sz w:val="32"/>
          <w:szCs w:val="32"/>
        </w:rPr>
        <w:t>开展“绿色消费、焕新引领”活动</w:t>
      </w:r>
      <w:r>
        <w:rPr>
          <w:rFonts w:hint="eastAsia" w:ascii="仿宋_GB2312" w:hAnsi="仿宋_GB2312" w:eastAsia="仿宋_GB2312" w:cs="仿宋_GB2312"/>
          <w:color w:val="auto"/>
          <w:sz w:val="32"/>
          <w:szCs w:val="32"/>
        </w:rPr>
        <w:t>，推动提升用能产品设备能效水平。</w:t>
      </w:r>
      <w:r>
        <w:rPr>
          <w:rFonts w:hint="eastAsia" w:ascii="仿宋_GB2312" w:hAnsi="仿宋_GB2312" w:eastAsia="仿宋_GB2312" w:cs="仿宋_GB2312"/>
          <w:color w:val="auto"/>
          <w:sz w:val="32"/>
          <w:szCs w:val="32"/>
          <w:shd w:val="clear" w:color="auto" w:fill="FFFFFF"/>
        </w:rPr>
        <w:t>各项政策协同发力，推动了经济发展和消费市场加快绿色转型</w:t>
      </w:r>
      <w:r>
        <w:rPr>
          <w:rFonts w:hint="eastAsia" w:ascii="仿宋_GB2312" w:hAnsi="仿宋_GB2312" w:eastAsia="仿宋_GB2312" w:cs="仿宋_GB2312"/>
          <w:color w:val="auto"/>
          <w:kern w:val="0"/>
          <w:sz w:val="32"/>
          <w:szCs w:val="32"/>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64" w:name="_Toc20194"/>
      <w:bookmarkStart w:id="65" w:name="_Toc221610677"/>
      <w:bookmarkStart w:id="66" w:name="_Toc17819"/>
      <w:r>
        <w:rPr>
          <w:rFonts w:hint="eastAsia" w:ascii="黑体" w:hAnsi="黑体" w:eastAsia="黑体" w:cs="黑体"/>
          <w:bCs/>
          <w:color w:val="000000"/>
          <w:sz w:val="32"/>
          <w:szCs w:val="32"/>
          <w:lang w:val="en-US" w:eastAsia="zh-CN"/>
        </w:rPr>
        <w:t>七</w:t>
      </w:r>
      <w:r>
        <w:rPr>
          <w:rFonts w:hint="eastAsia" w:ascii="黑体" w:hAnsi="黑体" w:eastAsia="黑体" w:cs="黑体"/>
          <w:bCs/>
          <w:color w:val="000000"/>
          <w:sz w:val="32"/>
          <w:szCs w:val="32"/>
        </w:rPr>
        <w:t>、积极开展消费教育宣传</w:t>
      </w:r>
      <w:r>
        <w:rPr>
          <w:rFonts w:hint="eastAsia" w:ascii="黑体" w:hAnsi="黑体" w:eastAsia="黑体" w:cs="黑体"/>
          <w:bCs/>
          <w:color w:val="000000"/>
          <w:sz w:val="32"/>
          <w:szCs w:val="32"/>
          <w:lang w:eastAsia="zh-CN"/>
        </w:rPr>
        <w:t>，</w:t>
      </w:r>
      <w:r>
        <w:rPr>
          <w:rFonts w:hint="eastAsia" w:ascii="黑体" w:hAnsi="黑体" w:eastAsia="黑体" w:cs="黑体"/>
          <w:bCs/>
          <w:color w:val="000000"/>
          <w:sz w:val="32"/>
          <w:szCs w:val="32"/>
        </w:rPr>
        <w:t>增强消费者防范风险能力</w:t>
      </w:r>
      <w:bookmarkEnd w:id="64"/>
      <w:bookmarkEnd w:id="65"/>
      <w:bookmarkEnd w:id="66"/>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国务院食安办以“尚德守法 共享食安”为主题，联合二十七家单位开展2025年全国食品安全宣传周活动。</w:t>
      </w:r>
      <w:r>
        <w:rPr>
          <w:rFonts w:hint="eastAsia" w:ascii="仿宋_GB2312" w:hAnsi="仿宋_GB2312" w:eastAsia="仿宋_GB2312" w:cs="仿宋_GB2312"/>
          <w:color w:val="auto"/>
          <w:kern w:val="1"/>
          <w:sz w:val="32"/>
          <w:szCs w:val="32"/>
        </w:rPr>
        <w:t>司法部会同中央宣传部在全国开展“民法典宣传月”，提升消费者依法维护自身合法权益的意识和能力。</w:t>
      </w:r>
      <w:r>
        <w:rPr>
          <w:rFonts w:hint="eastAsia" w:ascii="仿宋_GB2312" w:hAnsi="仿宋_GB2312" w:eastAsia="仿宋_GB2312" w:cs="仿宋_GB2312"/>
          <w:color w:val="auto"/>
          <w:sz w:val="32"/>
          <w:szCs w:val="32"/>
        </w:rPr>
        <w:t>市场监管总局发布珠宝贵金属首饰、燃气采暖热水炉、儿童自行车、学生文具、老年人保健品等多类商品消费提示，提醒消费者防范消费陷阱，注意消费安全。公安部刑侦局、国家反诈中心联合发布《2025版防范电信网络诈骗宣传手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围绕网络消费等领域，</w:t>
      </w:r>
      <w:r>
        <w:rPr>
          <w:rFonts w:hint="eastAsia" w:ascii="仿宋_GB2312" w:hAnsi="仿宋_GB2312" w:eastAsia="仿宋_GB2312" w:cs="仿宋_GB2312"/>
          <w:color w:val="auto"/>
          <w:sz w:val="32"/>
          <w:szCs w:val="32"/>
          <w:lang w:eastAsia="zh-CN"/>
        </w:rPr>
        <w:t>通过真实案例剖析、诈骗套路拆解和核心防范提示，构建防诈知识网络</w:t>
      </w:r>
      <w:r>
        <w:rPr>
          <w:rFonts w:hint="eastAsia" w:ascii="仿宋_GB2312" w:hAnsi="仿宋_GB2312" w:eastAsia="仿宋_GB2312" w:cs="仿宋_GB2312"/>
          <w:color w:val="auto"/>
          <w:sz w:val="32"/>
          <w:szCs w:val="32"/>
        </w:rPr>
        <w:t>。文化和旅游部发布《旅游避‘坑’指南》，对群众在旅游消费中遇到的常见问题进行梳理并搭配典型案例，提高旅游消费者的风险识别能力。金融监管总局发布防范虚假宣传诱导网络贷款、警惕“职业背债”陷阱的风险提示，提醒广大群众</w:t>
      </w:r>
      <w:r>
        <w:rPr>
          <w:rFonts w:hint="eastAsia" w:ascii="仿宋_GB2312" w:hAnsi="仿宋_GB2312" w:eastAsia="仿宋_GB2312" w:cs="仿宋_GB2312"/>
          <w:color w:val="auto"/>
          <w:sz w:val="32"/>
          <w:szCs w:val="32"/>
          <w:lang w:val="en-US" w:eastAsia="zh-CN"/>
        </w:rPr>
        <w:t>增强</w:t>
      </w:r>
      <w:r>
        <w:rPr>
          <w:rFonts w:hint="eastAsia" w:ascii="仿宋_GB2312" w:hAnsi="仿宋_GB2312" w:eastAsia="仿宋_GB2312" w:cs="仿宋_GB2312"/>
          <w:color w:val="auto"/>
          <w:sz w:val="32"/>
          <w:szCs w:val="32"/>
        </w:rPr>
        <w:t>风险防范意识；联合中国人民银行、中国证监会启动2025年金融教育宣传周活动，开展多渠道、多形式、分人群、有侧重的金融教育宣传。教育部加强消费者权益保护领域相关专业布点、强化消费者保护优质职业教育资源建设，组织建设了《食品理化检验技术》《质量法律法规》等一批国家级在线精品课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在国家职业教育智慧平台开放共享。</w:t>
      </w:r>
      <w:r>
        <w:rPr>
          <w:rFonts w:hint="eastAsia" w:ascii="仿宋_GB2312" w:hAnsi="仿宋_GB2312" w:eastAsia="仿宋_GB2312" w:cs="仿宋_GB2312"/>
          <w:color w:val="auto"/>
          <w:sz w:val="32"/>
          <w:szCs w:val="32"/>
          <w:lang w:val="en-US" w:eastAsia="zh-CN"/>
        </w:rPr>
        <w:t>国家体育总局组织各省、自治区、直辖市、新疆生产建设兵团体育行政部门相关负责同志，开展经营高危险性体育项目和举办高危险性体育赛事活动行政许可培训，切实提高地方体育行政部门行政执法能力，提升高危险性体育赛事活动行政执法水平，更好维护消费者合法权益；启动修订《经营高危险性体育项目许可管理办法》，规定了经营者对消费者的告知事项、经营者应购买保险等相关义务条款；起草统筹做好高危险性体育赛事活动发展和安全的意见，提出在高危赛事活动中运用卫星互联网、北斗导航等前沿技术，提供定位通信服务，保障参赛人员安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sz w:val="32"/>
          <w:szCs w:val="32"/>
        </w:rPr>
        <w:t>地方政府有关部门</w:t>
      </w:r>
      <w:r>
        <w:rPr>
          <w:rFonts w:hint="eastAsia" w:ascii="仿宋_GB2312" w:hAnsi="仿宋_GB2312" w:eastAsia="仿宋_GB2312" w:cs="仿宋_GB2312"/>
          <w:color w:val="auto"/>
          <w:sz w:val="32"/>
          <w:szCs w:val="32"/>
          <w:lang w:val="en-US" w:eastAsia="zh-CN"/>
        </w:rPr>
        <w:t>组织</w:t>
      </w:r>
      <w:r>
        <w:rPr>
          <w:rFonts w:hint="eastAsia" w:ascii="仿宋_GB2312" w:hAnsi="仿宋_GB2312" w:eastAsia="仿宋_GB2312" w:cs="仿宋_GB2312"/>
          <w:color w:val="auto"/>
          <w:sz w:val="32"/>
          <w:szCs w:val="32"/>
        </w:rPr>
        <w:t>开展多种形式的消费教育活动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如</w:t>
      </w:r>
      <w:r>
        <w:rPr>
          <w:rFonts w:hint="eastAsia" w:ascii="仿宋_GB2312" w:hAnsi="仿宋_GB2312" w:eastAsia="仿宋_GB2312" w:cs="仿宋_GB2312"/>
          <w:color w:val="auto"/>
          <w:sz w:val="32"/>
          <w:szCs w:val="32"/>
        </w:rPr>
        <w:t>河北省市场监管局在全省范围内组织开展消费品质量安全“进</w:t>
      </w:r>
      <w:r>
        <w:rPr>
          <w:rFonts w:hint="eastAsia" w:ascii="仿宋_GB2312" w:hAnsi="仿宋_GB2312" w:eastAsia="仿宋_GB2312" w:cs="仿宋_GB2312"/>
          <w:color w:val="auto"/>
          <w:sz w:val="32"/>
          <w:szCs w:val="32"/>
          <w:shd w:val="clear" w:color="auto" w:fill="FFFFFF"/>
        </w:rPr>
        <w:t>社区、进校园、进乡镇”消费者教育活动</w:t>
      </w:r>
      <w:r>
        <w:rPr>
          <w:rFonts w:hint="eastAsia" w:ascii="仿宋_GB2312" w:hAnsi="仿宋_GB2312" w:eastAsia="仿宋_GB2312" w:cs="仿宋_GB2312"/>
          <w:color w:val="auto"/>
          <w:sz w:val="32"/>
          <w:szCs w:val="32"/>
          <w:shd w:val="clear" w:color="auto" w:fill="FFFFFF"/>
          <w:lang w:eastAsia="zh-CN"/>
        </w:rPr>
        <w:t>，普及消费品质量安全知识，引导科学消费、理性消费、绿色消费，促进消费品质量安全社会共治；</w:t>
      </w:r>
      <w:r>
        <w:rPr>
          <w:rFonts w:hint="eastAsia" w:ascii="仿宋_GB2312" w:hAnsi="仿宋_GB2312" w:eastAsia="仿宋_GB2312" w:cs="仿宋_GB2312"/>
          <w:color w:val="auto"/>
          <w:sz w:val="32"/>
          <w:szCs w:val="32"/>
          <w:shd w:val="clear" w:color="auto" w:fill="FFFFFF"/>
        </w:rPr>
        <w:t>深圳市金融监管局聚焦“维护权益”主题主线，全面展开2025年“3·15”金融教育宣传活动，帮助</w:t>
      </w:r>
      <w:r>
        <w:rPr>
          <w:rFonts w:hint="eastAsia" w:ascii="仿宋_GB2312" w:hAnsi="仿宋_GB2312" w:eastAsia="仿宋_GB2312" w:cs="仿宋_GB2312"/>
          <w:color w:val="auto"/>
          <w:sz w:val="32"/>
          <w:szCs w:val="32"/>
          <w:shd w:val="clear" w:color="auto" w:fill="FFFFFF"/>
          <w:lang w:val="en-US" w:eastAsia="zh-CN"/>
        </w:rPr>
        <w:t>广大消费者</w:t>
      </w:r>
      <w:r>
        <w:rPr>
          <w:rFonts w:hint="eastAsia" w:ascii="仿宋_GB2312" w:hAnsi="仿宋_GB2312" w:eastAsia="仿宋_GB2312" w:cs="仿宋_GB2312"/>
          <w:color w:val="auto"/>
          <w:sz w:val="32"/>
          <w:szCs w:val="32"/>
          <w:shd w:val="clear" w:color="auto" w:fill="FFFFFF"/>
        </w:rPr>
        <w:t>“知金融理，做明白人”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rPr>
        <w:t>北京市海淀区市场监管局走进学生用品销售门店和校园食堂，通过“沉浸式”执法体验与科普实践，为学生筑牢消费安全与食品安全防线。</w:t>
      </w:r>
    </w:p>
    <w:p>
      <w:pPr>
        <w:rPr>
          <w:rFonts w:hint="eastAsia" w:ascii="黑体" w:hAnsi="黑体" w:eastAsia="黑体" w:cs="宋体"/>
          <w:b w:val="0"/>
          <w:bCs/>
          <w:color w:val="000000"/>
          <w:w w:val="95"/>
          <w:sz w:val="36"/>
          <w:szCs w:val="36"/>
        </w:rPr>
      </w:pPr>
      <w:bookmarkStart w:id="67" w:name="_Toc13816"/>
      <w:bookmarkStart w:id="68" w:name="_Toc221610678"/>
      <w:r>
        <w:rPr>
          <w:rFonts w:hint="eastAsia" w:ascii="黑体" w:hAnsi="黑体" w:eastAsia="黑体" w:cs="宋体"/>
          <w:b w:val="0"/>
          <w:bCs/>
          <w:color w:val="000000"/>
          <w:w w:val="95"/>
          <w:sz w:val="36"/>
          <w:szCs w:val="36"/>
        </w:rPr>
        <w:br w:type="page"/>
      </w:r>
    </w:p>
    <w:p>
      <w:pPr>
        <w:widowControl w:val="0"/>
        <w:wordWrap/>
        <w:adjustRightInd/>
        <w:snapToGrid/>
        <w:spacing w:before="295" w:beforeLines="50" w:after="295" w:afterLines="50" w:line="560" w:lineRule="exact"/>
        <w:ind w:left="0"/>
        <w:jc w:val="center"/>
        <w:textAlignment w:val="auto"/>
        <w:outlineLvl w:val="0"/>
        <w:rPr>
          <w:rFonts w:hint="eastAsia" w:ascii="黑体" w:hAnsi="黑体" w:eastAsia="黑体" w:cs="宋体"/>
          <w:b w:val="0"/>
          <w:bCs/>
          <w:color w:val="000000"/>
          <w:w w:val="95"/>
          <w:sz w:val="36"/>
          <w:szCs w:val="36"/>
        </w:rPr>
      </w:pPr>
      <w:bookmarkStart w:id="69" w:name="_Toc23107"/>
      <w:r>
        <w:rPr>
          <w:rFonts w:hint="eastAsia" w:ascii="黑体" w:hAnsi="黑体" w:eastAsia="黑体" w:cs="宋体"/>
          <w:b w:val="0"/>
          <w:bCs/>
          <w:color w:val="000000"/>
          <w:w w:val="95"/>
          <w:sz w:val="36"/>
          <w:szCs w:val="36"/>
        </w:rPr>
        <w:t xml:space="preserve">第三节 </w:t>
      </w:r>
      <w:r>
        <w:rPr>
          <w:rFonts w:hint="eastAsia" w:ascii="黑体" w:hAnsi="黑体" w:eastAsia="黑体" w:cs="宋体"/>
          <w:b w:val="0"/>
          <w:bCs/>
          <w:color w:val="000000"/>
          <w:w w:val="95"/>
          <w:sz w:val="36"/>
          <w:szCs w:val="36"/>
          <w:lang w:val="en-US" w:eastAsia="zh-CN"/>
        </w:rPr>
        <w:t xml:space="preserve"> </w:t>
      </w:r>
      <w:r>
        <w:rPr>
          <w:rFonts w:hint="eastAsia" w:ascii="黑体" w:hAnsi="黑体" w:eastAsia="黑体" w:cs="宋体"/>
          <w:b w:val="0"/>
          <w:bCs/>
          <w:color w:val="000000"/>
          <w:w w:val="95"/>
          <w:sz w:val="36"/>
          <w:szCs w:val="36"/>
        </w:rPr>
        <w:t>司法保护</w:t>
      </w:r>
      <w:bookmarkEnd w:id="67"/>
      <w:bookmarkEnd w:id="68"/>
      <w:bookmarkEnd w:id="69"/>
    </w:p>
    <w:p>
      <w:pPr>
        <w:pStyle w:val="23"/>
        <w:keepNext w:val="0"/>
        <w:keepLines w:val="0"/>
        <w:pageBreakBefore w:val="0"/>
        <w:widowControl w:val="0"/>
        <w:kinsoku/>
        <w:wordWrap/>
        <w:overflowPunct/>
        <w:topLinePunct w:val="0"/>
        <w:autoSpaceDE/>
        <w:autoSpaceDN/>
        <w:bidi w:val="0"/>
        <w:adjustRightInd/>
        <w:snapToGrid/>
        <w:spacing w:line="594" w:lineRule="exact"/>
        <w:ind w:firstLine="600" w:firstLineChars="200"/>
        <w:jc w:val="both"/>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2025年，司法机关主动适应消费者权益保护的新形势新要求，</w:t>
      </w:r>
      <w:r>
        <w:rPr>
          <w:rFonts w:hint="eastAsia" w:ascii="仿宋_GB2312" w:hAnsi="仿宋_GB2312" w:eastAsia="仿宋_GB2312" w:cs="仿宋_GB2312"/>
          <w:color w:val="auto"/>
          <w:sz w:val="30"/>
          <w:szCs w:val="30"/>
          <w:lang w:val="en-US" w:eastAsia="zh-CN"/>
        </w:rPr>
        <w:t>全面</w:t>
      </w:r>
      <w:r>
        <w:rPr>
          <w:rFonts w:hint="eastAsia" w:ascii="仿宋_GB2312" w:hAnsi="仿宋_GB2312" w:eastAsia="仿宋_GB2312" w:cs="仿宋_GB2312"/>
          <w:color w:val="auto"/>
          <w:sz w:val="30"/>
          <w:szCs w:val="30"/>
        </w:rPr>
        <w:t xml:space="preserve">贯彻落实中共中央《关于加强新时代审判工作的意见》，服务社会经济发展大局，依法审理消费纠纷案件、打击涉消费领域违法犯罪行为、制定司法文件、发布典型案例、推进矛盾纠纷化解，打通消费堵点，加强消费者权益保护，取得明显成效。 </w:t>
      </w:r>
    </w:p>
    <w:p>
      <w:pPr>
        <w:keepNext w:val="0"/>
        <w:keepLines w:val="0"/>
        <w:pageBreakBefore w:val="0"/>
        <w:widowControl w:val="0"/>
        <w:kinsoku/>
        <w:wordWrap/>
        <w:overflowPunct/>
        <w:topLinePunct w:val="0"/>
        <w:autoSpaceDE/>
        <w:autoSpaceDN/>
        <w:bidi w:val="0"/>
        <w:adjustRightInd/>
        <w:snapToGrid/>
        <w:spacing w:line="594" w:lineRule="exact"/>
        <w:ind w:firstLine="600" w:firstLineChars="200"/>
        <w:textAlignment w:val="auto"/>
        <w:outlineLvl w:val="2"/>
        <w:rPr>
          <w:rFonts w:hint="eastAsia" w:ascii="黑体" w:hAnsi="黑体" w:eastAsia="黑体" w:cs="黑体"/>
          <w:bCs/>
          <w:color w:val="000000"/>
          <w:sz w:val="32"/>
          <w:szCs w:val="32"/>
        </w:rPr>
      </w:pPr>
      <w:bookmarkStart w:id="70" w:name="_Toc24885"/>
      <w:bookmarkStart w:id="71" w:name="_Toc221610679"/>
      <w:bookmarkStart w:id="72" w:name="_Toc9318"/>
      <w:r>
        <w:rPr>
          <w:rFonts w:hint="eastAsia" w:ascii="黑体" w:hAnsi="黑体" w:eastAsia="黑体" w:cs="黑体"/>
          <w:bCs/>
          <w:color w:val="000000"/>
          <w:sz w:val="30"/>
          <w:szCs w:val="30"/>
        </w:rPr>
        <w:t>一、依法审理大量消费纠纷案件，筑牢</w:t>
      </w:r>
      <w:r>
        <w:rPr>
          <w:rFonts w:hint="eastAsia" w:ascii="黑体" w:hAnsi="黑体" w:eastAsia="黑体" w:cs="黑体"/>
          <w:bCs/>
          <w:color w:val="000000"/>
          <w:sz w:val="32"/>
          <w:szCs w:val="32"/>
        </w:rPr>
        <w:t>消费者权益司法保护防线</w:t>
      </w:r>
      <w:bookmarkEnd w:id="70"/>
      <w:bookmarkEnd w:id="71"/>
      <w:bookmarkEnd w:id="72"/>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sz w:val="32"/>
          <w:szCs w:val="32"/>
        </w:rPr>
        <w:t>全国各级法院依法妥善审理各类消费者权益保护纠纷案件，切实以高质量司法维护消费者合法权益，引导经营者诚信守法，不断提升人民群众的获得感、幸福感、安全感。</w:t>
      </w:r>
      <w:r>
        <w:rPr>
          <w:rFonts w:hint="eastAsia" w:ascii="仿宋_GB2312" w:hAnsi="仿宋_GB2312" w:eastAsia="仿宋_GB2312" w:cs="仿宋_GB2312"/>
          <w:color w:val="auto"/>
          <w:sz w:val="32"/>
          <w:szCs w:val="32"/>
          <w:lang w:val="en-US" w:eastAsia="zh-CN"/>
        </w:rPr>
        <w:t>2025年</w:t>
      </w:r>
      <w:r>
        <w:rPr>
          <w:rFonts w:hint="eastAsia" w:ascii="仿宋_GB2312" w:hAnsi="仿宋_GB2312" w:eastAsia="仿宋_GB2312" w:cs="仿宋_GB2312"/>
          <w:color w:val="auto"/>
          <w:sz w:val="32"/>
          <w:szCs w:val="32"/>
        </w:rPr>
        <w:t>，</w:t>
      </w:r>
      <w:bookmarkStart w:id="73" w:name="OLE_LINK88"/>
      <w:r>
        <w:rPr>
          <w:rFonts w:hint="eastAsia" w:ascii="仿宋_GB2312" w:hAnsi="仿宋_GB2312" w:eastAsia="仿宋_GB2312" w:cs="仿宋_GB2312"/>
          <w:color w:val="auto"/>
          <w:sz w:val="32"/>
          <w:szCs w:val="32"/>
        </w:rPr>
        <w:t>全国法院一审受理</w:t>
      </w:r>
      <w:bookmarkEnd w:id="73"/>
      <w:r>
        <w:rPr>
          <w:rFonts w:hint="eastAsia" w:ascii="仿宋_GB2312" w:hAnsi="仿宋_GB2312" w:eastAsia="仿宋_GB2312" w:cs="仿宋_GB2312"/>
          <w:color w:val="auto"/>
          <w:sz w:val="32"/>
          <w:szCs w:val="32"/>
        </w:rPr>
        <w:t>网络购物合同纠纷案件4.</w:t>
      </w:r>
      <w:r>
        <w:rPr>
          <w:rFonts w:hint="eastAsia" w:ascii="仿宋_GB2312" w:hAnsi="仿宋_GB2312" w:eastAsia="仿宋_GB2312" w:cs="仿宋_GB2312"/>
          <w:color w:val="auto"/>
          <w:sz w:val="32"/>
          <w:szCs w:val="32"/>
          <w:lang w:val="en-US" w:eastAsia="zh-CN"/>
        </w:rPr>
        <w:t>93</w:t>
      </w:r>
      <w:r>
        <w:rPr>
          <w:rFonts w:hint="eastAsia" w:ascii="仿宋_GB2312" w:hAnsi="仿宋_GB2312" w:eastAsia="仿宋_GB2312" w:cs="仿宋_GB2312"/>
          <w:color w:val="auto"/>
          <w:sz w:val="32"/>
          <w:szCs w:val="32"/>
        </w:rPr>
        <w:t>万件，同比增长</w:t>
      </w:r>
      <w:r>
        <w:rPr>
          <w:rFonts w:hint="eastAsia" w:ascii="仿宋_GB2312" w:hAnsi="仿宋_GB2312" w:eastAsia="仿宋_GB2312" w:cs="仿宋_GB2312"/>
          <w:color w:val="auto"/>
          <w:sz w:val="32"/>
          <w:szCs w:val="32"/>
          <w:lang w:val="en-US" w:eastAsia="zh-CN"/>
        </w:rPr>
        <w:t>6.99</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网络服务合同纠纷7</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万件，同比增长</w:t>
      </w:r>
      <w:r>
        <w:rPr>
          <w:rFonts w:hint="eastAsia" w:ascii="仿宋_GB2312" w:hAnsi="仿宋_GB2312" w:eastAsia="仿宋_GB2312" w:cs="仿宋_GB2312"/>
          <w:color w:val="auto"/>
          <w:sz w:val="32"/>
          <w:szCs w:val="32"/>
          <w:lang w:val="en-US" w:eastAsia="zh-CN"/>
        </w:rPr>
        <w:t>175.99</w:t>
      </w:r>
      <w:r>
        <w:rPr>
          <w:rFonts w:hint="eastAsia" w:ascii="仿宋_GB2312" w:hAnsi="仿宋_GB2312" w:eastAsia="仿宋_GB2312" w:cs="仿宋_GB2312"/>
          <w:color w:val="auto"/>
          <w:sz w:val="32"/>
          <w:szCs w:val="32"/>
        </w:rPr>
        <w:t>%；产品</w:t>
      </w:r>
      <w:r>
        <w:rPr>
          <w:rFonts w:hint="eastAsia" w:ascii="仿宋_GB2312" w:hAnsi="仿宋_GB2312" w:eastAsia="仿宋_GB2312" w:cs="仿宋_GB2312"/>
          <w:color w:val="auto"/>
          <w:sz w:val="32"/>
          <w:szCs w:val="32"/>
          <w:lang w:val="en-US" w:eastAsia="zh-CN"/>
        </w:rPr>
        <w:t>责任</w:t>
      </w:r>
      <w:r>
        <w:rPr>
          <w:rFonts w:hint="eastAsia" w:ascii="仿宋_GB2312" w:hAnsi="仿宋_GB2312" w:eastAsia="仿宋_GB2312" w:cs="仿宋_GB2312"/>
          <w:color w:val="auto"/>
          <w:sz w:val="32"/>
          <w:szCs w:val="32"/>
        </w:rPr>
        <w:t>纠纷案件</w:t>
      </w:r>
      <w:r>
        <w:rPr>
          <w:rFonts w:hint="eastAsia" w:ascii="仿宋_GB2312" w:hAnsi="仿宋_GB2312" w:eastAsia="仿宋_GB2312" w:cs="仿宋_GB2312"/>
          <w:color w:val="auto"/>
          <w:sz w:val="32"/>
          <w:szCs w:val="32"/>
          <w:lang w:val="en-US" w:eastAsia="zh-CN"/>
        </w:rPr>
        <w:t>4.98</w:t>
      </w:r>
      <w:r>
        <w:rPr>
          <w:rFonts w:hint="eastAsia" w:ascii="仿宋_GB2312" w:hAnsi="仿宋_GB2312" w:eastAsia="仿宋_GB2312" w:cs="仿宋_GB2312"/>
          <w:color w:val="auto"/>
          <w:sz w:val="32"/>
          <w:szCs w:val="32"/>
        </w:rPr>
        <w:t>万件，同比增长</w:t>
      </w:r>
      <w:r>
        <w:rPr>
          <w:rFonts w:hint="eastAsia" w:ascii="仿宋_GB2312" w:hAnsi="仿宋_GB2312" w:eastAsia="仿宋_GB2312" w:cs="仿宋_GB2312"/>
          <w:color w:val="auto"/>
          <w:sz w:val="32"/>
          <w:szCs w:val="32"/>
          <w:lang w:val="en-US" w:eastAsia="zh-CN"/>
        </w:rPr>
        <w:t>104.2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；受理保险纠纷39.2万件，同比增长21.3%，审结37.1万件，同比增长17.4%，依法保护</w:t>
      </w:r>
      <w:r>
        <w:rPr>
          <w:rFonts w:hint="eastAsia" w:ascii="仿宋_GB2312" w:hAnsi="仿宋_GB2312" w:eastAsia="仿宋_GB2312" w:cs="仿宋_GB2312"/>
          <w:color w:val="auto"/>
          <w:sz w:val="32"/>
          <w:szCs w:val="32"/>
          <w:lang w:val="en-US" w:eastAsia="zh-CN"/>
        </w:rPr>
        <w:t>各类</w:t>
      </w:r>
      <w:r>
        <w:rPr>
          <w:rFonts w:hint="eastAsia" w:ascii="仿宋_GB2312" w:hAnsi="仿宋_GB2312" w:eastAsia="仿宋_GB2312" w:cs="仿宋_GB2312"/>
          <w:color w:val="auto"/>
          <w:sz w:val="32"/>
          <w:szCs w:val="32"/>
          <w:lang w:eastAsia="zh-CN"/>
        </w:rPr>
        <w:t>消费者合法权益</w:t>
      </w:r>
      <w:r>
        <w:rPr>
          <w:rFonts w:hint="eastAsia" w:ascii="仿宋_GB2312" w:hAnsi="仿宋_GB2312" w:eastAsia="仿宋_GB2312" w:cs="仿宋_GB2312"/>
          <w:color w:val="auto"/>
          <w:sz w:val="32"/>
          <w:szCs w:val="32"/>
        </w:rPr>
        <w:t>。</w:t>
      </w:r>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各地人民法院积极办理</w:t>
      </w:r>
      <w:r>
        <w:rPr>
          <w:rFonts w:hint="eastAsia" w:ascii="仿宋_GB2312" w:hAnsi="仿宋_GB2312" w:eastAsia="仿宋_GB2312" w:cs="仿宋_GB2312"/>
          <w:color w:val="auto"/>
          <w:sz w:val="32"/>
          <w:szCs w:val="32"/>
        </w:rPr>
        <w:t>与老百姓切身利益相关的民生案件</w:t>
      </w:r>
      <w:r>
        <w:rPr>
          <w:rFonts w:hint="eastAsia" w:ascii="仿宋_GB2312" w:hAnsi="仿宋_GB2312" w:eastAsia="仿宋_GB2312" w:cs="仿宋_GB2312"/>
          <w:color w:val="auto"/>
          <w:sz w:val="32"/>
          <w:szCs w:val="32"/>
          <w:lang w:val="en-US" w:eastAsia="zh-CN"/>
        </w:rPr>
        <w:t>，推动纠纷化解。如</w:t>
      </w:r>
      <w:bookmarkStart w:id="74" w:name="OLE_LINK89"/>
      <w:r>
        <w:rPr>
          <w:rFonts w:hint="eastAsia" w:ascii="仿宋_GB2312" w:hAnsi="仿宋_GB2312" w:eastAsia="仿宋_GB2312" w:cs="仿宋_GB2312"/>
          <w:color w:val="auto"/>
          <w:sz w:val="32"/>
          <w:szCs w:val="32"/>
        </w:rPr>
        <w:t>河南省法院</w:t>
      </w:r>
      <w:bookmarkEnd w:id="74"/>
      <w:r>
        <w:rPr>
          <w:rFonts w:hint="eastAsia" w:ascii="仿宋_GB2312" w:hAnsi="仿宋_GB2312" w:eastAsia="仿宋_GB2312" w:cs="仿宋_GB2312"/>
          <w:color w:val="auto"/>
          <w:sz w:val="32"/>
          <w:szCs w:val="32"/>
        </w:rPr>
        <w:t>审结涉教育、就业、医疗、消费领域案件24.4万件，调撤率54.7%</w:t>
      </w:r>
      <w:r>
        <w:rPr>
          <w:rFonts w:hint="eastAsia" w:ascii="仿宋_GB2312" w:hAnsi="仿宋_GB2312" w:eastAsia="仿宋_GB2312" w:cs="仿宋_GB2312"/>
          <w:color w:val="auto"/>
          <w:sz w:val="32"/>
          <w:szCs w:val="32"/>
          <w:lang w:eastAsia="zh-CN"/>
        </w:rPr>
        <w:t>；上海金融法院积极回应在线金融交易发展司法需求，与中国银联、中金金融认证中心签订关于办理电子证据核验司法协助事宜的备忘录，破解电子证据效力认证难题，保护金融消费者合法权益；重庆破产法庭审结全国首例大型房地产上市公司重整案件，依法化解金科系企业债务1470亿元，有效维护31.6万户购房人的合法权益；四川法院创新“容缺办证+证缴分离”机制，推出“资产整体拍卖+保交楼承诺”处置模式，破解项目续建资金瓶颈，切实以破产审判之策，解保交楼之困；</w:t>
      </w:r>
      <w:r>
        <w:rPr>
          <w:rFonts w:hint="eastAsia" w:ascii="仿宋_GB2312" w:hAnsi="仿宋_GB2312" w:eastAsia="仿宋_GB2312" w:cs="仿宋_GB2312"/>
          <w:color w:val="auto"/>
          <w:sz w:val="32"/>
          <w:szCs w:val="32"/>
        </w:rPr>
        <w:t>浙江慈溪法院通过“示范调解”一揽子化解600余起纠纷，实现购房者权益保障与企业正常经营双赢效果。大量消费纠纷案件的依法审理，充分发挥了消费者权益司法救济的兜底</w:t>
      </w:r>
      <w:r>
        <w:rPr>
          <w:rFonts w:hint="eastAsia" w:ascii="仿宋_GB2312" w:hAnsi="仿宋_GB2312" w:eastAsia="仿宋_GB2312" w:cs="仿宋_GB2312"/>
          <w:color w:val="auto"/>
          <w:sz w:val="32"/>
          <w:szCs w:val="32"/>
          <w:lang w:val="en-US" w:eastAsia="zh-CN"/>
        </w:rPr>
        <w:t>保障</w:t>
      </w:r>
      <w:r>
        <w:rPr>
          <w:rFonts w:hint="eastAsia" w:ascii="仿宋_GB2312" w:hAnsi="仿宋_GB2312" w:eastAsia="仿宋_GB2312" w:cs="仿宋_GB2312"/>
          <w:color w:val="auto"/>
          <w:sz w:val="32"/>
          <w:szCs w:val="32"/>
        </w:rPr>
        <w:t>功能，使司法为民的理念落地落实，有效维护了消费者人身财产权益，为提振消费和扩大内需营造了良好法治环境。</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75" w:name="_Toc221610680"/>
      <w:bookmarkStart w:id="76" w:name="_Toc7101"/>
      <w:bookmarkStart w:id="77" w:name="_Toc24336"/>
      <w:r>
        <w:rPr>
          <w:rFonts w:hint="eastAsia" w:ascii="黑体" w:hAnsi="黑体" w:eastAsia="黑体" w:cs="黑体"/>
          <w:bCs/>
          <w:color w:val="000000"/>
          <w:sz w:val="32"/>
          <w:szCs w:val="32"/>
        </w:rPr>
        <w:t>二、发布消费领域司法文件和典型案例，确立处理新型疑难问题的裁判规则</w:t>
      </w:r>
      <w:bookmarkEnd w:id="75"/>
      <w:bookmarkEnd w:id="76"/>
      <w:bookmarkEnd w:id="77"/>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是出台相关司法解释，明确消费维权难点问题的法律适用规则。针对预付式消费领域纠纷，最高人民法院发布《关于审理预付式消费民事纠纷案件适用法律若干问题的解释》，明确预付式消费交易模式下的责任主体、合同解释、效力和解除、证据提供、预付款返还和赔偿责任等内容；确认收款不退、丢卡不补、限制转卡等条款应依法认定无效，打击遏制“卷款跑路”行为；对消费者普遍关切的“职业闭店</w:t>
      </w:r>
      <w:r>
        <w:rPr>
          <w:rFonts w:hint="eastAsia" w:ascii="仿宋_GB2312" w:hAnsi="仿宋_GB2312" w:eastAsia="仿宋_GB2312" w:cs="仿宋_GB2312"/>
          <w:color w:val="auto"/>
          <w:sz w:val="32"/>
          <w:szCs w:val="32"/>
          <w:lang w:val="en-US" w:eastAsia="zh-CN"/>
        </w:rPr>
        <w:t>人</w:t>
      </w:r>
      <w:r>
        <w:rPr>
          <w:rFonts w:hint="eastAsia" w:ascii="仿宋_GB2312" w:hAnsi="仿宋_GB2312" w:eastAsia="仿宋_GB2312" w:cs="仿宋_GB2312"/>
          <w:color w:val="auto"/>
          <w:sz w:val="32"/>
          <w:szCs w:val="32"/>
        </w:rPr>
        <w:t>”责任承担等问题作出回应，解决人民群众反映集中的“卷款跑路”“霸王条款”等问题。</w:t>
      </w:r>
      <w:r>
        <w:rPr>
          <w:rFonts w:hint="eastAsia" w:ascii="仿宋_GB2312" w:hAnsi="仿宋_GB2312" w:eastAsia="仿宋_GB2312" w:cs="仿宋_GB2312"/>
          <w:color w:val="auto"/>
          <w:sz w:val="32"/>
          <w:szCs w:val="32"/>
          <w:lang w:val="en-US" w:eastAsia="zh-CN"/>
        </w:rPr>
        <w:t>为依法规范执行异议之诉案件审理，促进矛盾纠纷一揽子实质化解，最高人民法院发布《关于审理执行异议之诉案件适用法律问题的解释》，其中对于商品房消费者权益保护作出了细化、具体的规定，明确了请求办理所有权转移登记手续、合同解除后已付购房款处理等的条件，使商品房消费者权益保护在实践中更具可操作性。</w:t>
      </w:r>
      <w:r>
        <w:rPr>
          <w:rFonts w:hint="eastAsia" w:ascii="仿宋_GB2312" w:hAnsi="仿宋_GB2312" w:eastAsia="仿宋_GB2312" w:cs="仿宋_GB2312"/>
          <w:color w:val="auto"/>
          <w:sz w:val="32"/>
          <w:szCs w:val="32"/>
        </w:rPr>
        <w:t>为</w:t>
      </w:r>
      <w:r>
        <w:rPr>
          <w:rStyle w:val="20"/>
          <w:rFonts w:hint="eastAsia" w:ascii="仿宋_GB2312" w:hAnsi="仿宋_GB2312" w:eastAsia="仿宋_GB2312" w:cs="仿宋_GB2312"/>
          <w:b w:val="0"/>
          <w:color w:val="auto"/>
          <w:sz w:val="32"/>
          <w:szCs w:val="32"/>
        </w:rPr>
        <w:t>统筹兼顾促进民营经济健康发展和加强消费者权益保护，《最高人民法院关于贯彻落实&lt;中华人民共和国民营经济促进法&gt;的指导意见》中提出</w:t>
      </w:r>
      <w:r>
        <w:rPr>
          <w:rStyle w:val="20"/>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rPr>
        <w:t>依法审理涉消费纠纷案件，引导经营主体规范经营。</w:t>
      </w:r>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是发布涉消费争议的指导性案例和典型案例，发挥示范指引效应，统一裁判尺度。2025年，最高人民法院发布多个领域涉消费者权益保护的民事、行政典型案例共51件，充分发挥司法裁判的示范和引领作用。其中预付式消费典型案例，对当前引起社会关注的“背债人”帮助逃债、“职业闭店人”等问题</w:t>
      </w:r>
      <w:r>
        <w:rPr>
          <w:rFonts w:hint="eastAsia" w:ascii="仿宋_GB2312" w:hAnsi="仿宋_GB2312" w:eastAsia="仿宋_GB2312" w:cs="仿宋_GB2312"/>
          <w:color w:val="auto"/>
          <w:sz w:val="32"/>
          <w:szCs w:val="32"/>
          <w:lang w:val="en-US" w:eastAsia="zh-CN"/>
        </w:rPr>
        <w:t>发挥了指引作用</w:t>
      </w:r>
      <w:r>
        <w:rPr>
          <w:rFonts w:hint="eastAsia" w:ascii="仿宋_GB2312" w:hAnsi="仿宋_GB2312" w:eastAsia="仿宋_GB2312" w:cs="仿宋_GB2312"/>
          <w:color w:val="auto"/>
          <w:sz w:val="32"/>
          <w:szCs w:val="32"/>
        </w:rPr>
        <w:t>，体现了相关司法解释的理念和裁判规则；网络消费纠纷典型案例聚焦网络消费领域的新情况、新问题，在个案中树立正确导向，做好消费者权益兜底保障；老年人权益保护典型案例着力提升涉老案件审判与司法服务水平，解决老年人权益保护中的法律适用难题。物业服务合同纠纷典型案例，以清晰的裁判规则厘清权责边界，用司法智慧化解行业痛点；反不正当竞争典型案例涉及电商平台、养车服务等线上线下产业领域，以及人工智能、直播平台等新技术新业态，坚决惩治“傍名牌”等不正当竞争行为，引导新业态规范发展；反垄断典型案例关切民生领域，保障基本民生，为规范市场竞争行为提供清晰指引。此外，最高人民法院首次发布数据权益司法保护专题六件指导性案例，积极回应数据权属认定、数据产品利用、个人信息保护、网络平台账号交付等社会高度关注的问题。</w:t>
      </w:r>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地方各级人民法院发布大量消费领域典型案例，如天津、四川、重庆、北京、广东、山西、吉林等地高级人民法院分别发布医疗美容、涉老、物业、文旅等领域的涉消费纠纷典型案例。</w:t>
      </w:r>
    </w:p>
    <w:p>
      <w:pPr>
        <w:pStyle w:val="23"/>
        <w:keepNext w:val="0"/>
        <w:keepLines w:val="0"/>
        <w:pageBreakBefore w:val="0"/>
        <w:widowControl w:val="0"/>
        <w:kinsoku/>
        <w:wordWrap/>
        <w:overflowPunct/>
        <w:topLinePunct w:val="0"/>
        <w:autoSpaceDE/>
        <w:autoSpaceDN/>
        <w:bidi w:val="0"/>
        <w:adjustRightInd/>
        <w:snapToGrid/>
        <w:spacing w:before="157" w:beforeLines="50"/>
        <w:ind w:left="0" w:leftChars="0" w:firstLine="0" w:firstLineChars="0"/>
        <w:jc w:val="center"/>
        <w:textAlignment w:val="auto"/>
        <w:rPr>
          <w:rFonts w:hint="eastAsia" w:ascii="黑体" w:hAnsi="黑体" w:eastAsia="黑体" w:cs="黑体"/>
          <w:color w:val="auto"/>
          <w:sz w:val="28"/>
          <w:szCs w:val="28"/>
        </w:rPr>
      </w:pPr>
      <w:r>
        <w:rPr>
          <w:rFonts w:hint="eastAsia" w:ascii="黑体" w:hAnsi="黑体" w:eastAsia="黑体" w:cs="黑体"/>
          <w:color w:val="auto"/>
          <w:sz w:val="28"/>
          <w:szCs w:val="28"/>
        </w:rPr>
        <w:t>表3:2025年最高人民法院发布的涉消费纠纷典型案例</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17"/>
        <w:gridCol w:w="2535"/>
        <w:gridCol w:w="234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jc w:val="center"/>
        </w:trPr>
        <w:tc>
          <w:tcPr>
            <w:tcW w:w="3417"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黑体" w:hAnsi="黑体" w:eastAsia="黑体" w:cs="黑体"/>
                <w:color w:val="auto"/>
                <w:sz w:val="21"/>
                <w:szCs w:val="21"/>
              </w:rPr>
            </w:pPr>
            <w:r>
              <w:rPr>
                <w:rFonts w:hint="eastAsia" w:ascii="黑体" w:hAnsi="黑体" w:eastAsia="黑体" w:cs="黑体"/>
                <w:color w:val="auto"/>
                <w:sz w:val="21"/>
                <w:szCs w:val="21"/>
              </w:rPr>
              <w:t>类型</w:t>
            </w:r>
          </w:p>
        </w:tc>
        <w:tc>
          <w:tcPr>
            <w:tcW w:w="2535"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黑体" w:hAnsi="黑体" w:eastAsia="黑体" w:cs="黑体"/>
                <w:color w:val="auto"/>
                <w:sz w:val="21"/>
                <w:szCs w:val="21"/>
              </w:rPr>
            </w:pPr>
            <w:r>
              <w:rPr>
                <w:rFonts w:hint="eastAsia" w:ascii="黑体" w:hAnsi="黑体" w:eastAsia="黑体" w:cs="黑体"/>
                <w:color w:val="auto"/>
                <w:sz w:val="21"/>
                <w:szCs w:val="21"/>
              </w:rPr>
              <w:t>件数</w:t>
            </w:r>
          </w:p>
        </w:tc>
        <w:tc>
          <w:tcPr>
            <w:tcW w:w="2344"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黑体" w:hAnsi="黑体" w:eastAsia="黑体" w:cs="黑体"/>
                <w:color w:val="auto"/>
                <w:sz w:val="21"/>
                <w:szCs w:val="21"/>
              </w:rPr>
            </w:pPr>
            <w:r>
              <w:rPr>
                <w:rFonts w:hint="eastAsia" w:ascii="黑体" w:hAnsi="黑体" w:eastAsia="黑体" w:cs="黑体"/>
                <w:color w:val="auto"/>
                <w:sz w:val="21"/>
                <w:szCs w:val="21"/>
              </w:rPr>
              <w:t>发布日期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3417"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s="Arial"/>
                <w:color w:val="auto"/>
                <w:szCs w:val="22"/>
              </w:rPr>
            </w:pPr>
            <w:r>
              <w:rPr>
                <w:rFonts w:ascii="宋体" w:hAnsi="宋体" w:eastAsia="宋体" w:cs="Arial"/>
                <w:color w:val="auto"/>
                <w:szCs w:val="22"/>
              </w:rPr>
              <w:t>残疾人诉讼服务和多元解纷</w:t>
            </w:r>
          </w:p>
        </w:tc>
        <w:tc>
          <w:tcPr>
            <w:tcW w:w="2535"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hint="eastAsia" w:ascii="宋体" w:hAnsi="宋体" w:eastAsia="宋体"/>
                <w:color w:val="auto"/>
                <w:szCs w:val="22"/>
              </w:rPr>
              <w:t>6</w:t>
            </w:r>
          </w:p>
        </w:tc>
        <w:tc>
          <w:tcPr>
            <w:tcW w:w="2344"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宋体" w:hAnsi="宋体" w:eastAsia="宋体"/>
                <w:color w:val="auto"/>
                <w:szCs w:val="22"/>
              </w:rPr>
            </w:pPr>
            <w:r>
              <w:rPr>
                <w:rFonts w:hint="eastAsia" w:ascii="宋体" w:hAnsi="宋体" w:eastAsia="宋体"/>
                <w:color w:val="auto"/>
                <w:szCs w:val="22"/>
              </w:rPr>
              <w:t>3月</w:t>
            </w:r>
            <w:r>
              <w:rPr>
                <w:rFonts w:ascii="宋体" w:hAnsi="宋体" w:eastAsia="宋体"/>
                <w:color w:val="auto"/>
                <w:szCs w:val="22"/>
              </w:rPr>
              <w:t>7</w:t>
            </w:r>
            <w:r>
              <w:rPr>
                <w:rFonts w:hint="eastAsia" w:ascii="宋体" w:hAnsi="宋体" w:eastAsia="宋体"/>
                <w:color w:val="auto"/>
                <w:szCs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417"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hint="eastAsia" w:ascii="宋体" w:hAnsi="宋体" w:eastAsia="宋体"/>
                <w:color w:val="auto"/>
                <w:szCs w:val="22"/>
              </w:rPr>
              <w:t>预付式消费</w:t>
            </w:r>
          </w:p>
        </w:tc>
        <w:tc>
          <w:tcPr>
            <w:tcW w:w="2535"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hint="eastAsia" w:ascii="宋体" w:hAnsi="宋体" w:eastAsia="宋体"/>
                <w:color w:val="auto"/>
                <w:szCs w:val="22"/>
              </w:rPr>
              <w:t>6</w:t>
            </w:r>
          </w:p>
        </w:tc>
        <w:tc>
          <w:tcPr>
            <w:tcW w:w="2344"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宋体" w:hAnsi="宋体" w:eastAsia="宋体"/>
                <w:color w:val="auto"/>
                <w:szCs w:val="22"/>
              </w:rPr>
            </w:pPr>
            <w:r>
              <w:rPr>
                <w:rFonts w:hint="eastAsia" w:ascii="宋体" w:hAnsi="宋体" w:eastAsia="宋体"/>
                <w:color w:val="auto"/>
                <w:szCs w:val="22"/>
              </w:rPr>
              <w:t>3月</w:t>
            </w:r>
            <w:r>
              <w:rPr>
                <w:rFonts w:ascii="宋体" w:hAnsi="宋体" w:eastAsia="宋体"/>
                <w:color w:val="auto"/>
                <w:szCs w:val="22"/>
              </w:rPr>
              <w:t>14</w:t>
            </w:r>
            <w:r>
              <w:rPr>
                <w:rFonts w:hint="eastAsia" w:ascii="宋体" w:hAnsi="宋体" w:eastAsia="宋体"/>
                <w:color w:val="auto"/>
                <w:szCs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17"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hint="eastAsia" w:ascii="宋体" w:hAnsi="宋体" w:eastAsia="宋体"/>
                <w:color w:val="auto"/>
                <w:szCs w:val="22"/>
              </w:rPr>
              <w:t>网络消费</w:t>
            </w:r>
          </w:p>
        </w:tc>
        <w:tc>
          <w:tcPr>
            <w:tcW w:w="2535"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hint="eastAsia" w:ascii="宋体" w:hAnsi="宋体" w:eastAsia="宋体"/>
                <w:color w:val="auto"/>
                <w:szCs w:val="22"/>
              </w:rPr>
              <w:t>5</w:t>
            </w:r>
          </w:p>
        </w:tc>
        <w:tc>
          <w:tcPr>
            <w:tcW w:w="2344"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宋体" w:hAnsi="宋体" w:eastAsia="宋体"/>
                <w:color w:val="auto"/>
                <w:szCs w:val="22"/>
              </w:rPr>
            </w:pPr>
            <w:r>
              <w:rPr>
                <w:rFonts w:hint="eastAsia" w:ascii="宋体" w:hAnsi="宋体" w:eastAsia="宋体"/>
                <w:color w:val="auto"/>
                <w:szCs w:val="22"/>
              </w:rPr>
              <w:t>6月</w:t>
            </w:r>
            <w:r>
              <w:rPr>
                <w:rFonts w:ascii="宋体" w:hAnsi="宋体" w:eastAsia="宋体"/>
                <w:color w:val="auto"/>
                <w:szCs w:val="22"/>
              </w:rPr>
              <w:t>16</w:t>
            </w:r>
            <w:r>
              <w:rPr>
                <w:rFonts w:hint="eastAsia" w:ascii="宋体" w:hAnsi="宋体" w:eastAsia="宋体"/>
                <w:color w:val="auto"/>
                <w:szCs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17"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ascii="宋体" w:hAnsi="宋体" w:eastAsia="宋体" w:cs="Arial"/>
                <w:color w:val="auto"/>
                <w:szCs w:val="22"/>
              </w:rPr>
              <w:t>反不正当竞争典型</w:t>
            </w:r>
          </w:p>
        </w:tc>
        <w:tc>
          <w:tcPr>
            <w:tcW w:w="2535"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hint="eastAsia" w:ascii="宋体" w:hAnsi="宋体" w:eastAsia="宋体"/>
                <w:color w:val="auto"/>
                <w:szCs w:val="22"/>
              </w:rPr>
              <w:t>8</w:t>
            </w:r>
          </w:p>
        </w:tc>
        <w:tc>
          <w:tcPr>
            <w:tcW w:w="2344"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宋体" w:hAnsi="宋体" w:eastAsia="宋体"/>
                <w:color w:val="auto"/>
                <w:szCs w:val="22"/>
              </w:rPr>
            </w:pPr>
            <w:r>
              <w:rPr>
                <w:rFonts w:hint="eastAsia" w:ascii="宋体" w:hAnsi="宋体" w:eastAsia="宋体"/>
                <w:color w:val="auto"/>
                <w:szCs w:val="22"/>
              </w:rPr>
              <w:t>9月</w:t>
            </w:r>
            <w:r>
              <w:rPr>
                <w:rFonts w:ascii="宋体" w:hAnsi="宋体" w:eastAsia="宋体"/>
                <w:color w:val="auto"/>
                <w:szCs w:val="22"/>
              </w:rPr>
              <w:t>8</w:t>
            </w:r>
            <w:r>
              <w:rPr>
                <w:rFonts w:hint="eastAsia" w:ascii="宋体" w:hAnsi="宋体" w:eastAsia="宋体"/>
                <w:color w:val="auto"/>
                <w:szCs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17"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hint="eastAsia" w:ascii="宋体" w:hAnsi="宋体" w:eastAsia="宋体"/>
                <w:color w:val="auto"/>
                <w:szCs w:val="22"/>
              </w:rPr>
              <w:t>反垄断</w:t>
            </w:r>
          </w:p>
        </w:tc>
        <w:tc>
          <w:tcPr>
            <w:tcW w:w="2535"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hint="eastAsia" w:ascii="宋体" w:hAnsi="宋体" w:eastAsia="宋体"/>
                <w:color w:val="auto"/>
                <w:szCs w:val="22"/>
              </w:rPr>
              <w:t>5</w:t>
            </w:r>
          </w:p>
        </w:tc>
        <w:tc>
          <w:tcPr>
            <w:tcW w:w="2344"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宋体" w:hAnsi="宋体" w:eastAsia="宋体"/>
                <w:color w:val="auto"/>
                <w:szCs w:val="22"/>
              </w:rPr>
            </w:pPr>
            <w:r>
              <w:rPr>
                <w:rFonts w:hint="eastAsia" w:ascii="宋体" w:hAnsi="宋体" w:eastAsia="宋体"/>
                <w:color w:val="auto"/>
                <w:szCs w:val="22"/>
              </w:rPr>
              <w:t>9月</w:t>
            </w:r>
            <w:r>
              <w:rPr>
                <w:rFonts w:ascii="宋体" w:hAnsi="宋体" w:eastAsia="宋体"/>
                <w:color w:val="auto"/>
                <w:szCs w:val="22"/>
              </w:rPr>
              <w:t>10</w:t>
            </w:r>
            <w:r>
              <w:rPr>
                <w:rFonts w:hint="eastAsia" w:ascii="宋体" w:hAnsi="宋体" w:eastAsia="宋体"/>
                <w:color w:val="auto"/>
                <w:szCs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3417"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ascii="宋体" w:hAnsi="宋体" w:eastAsia="宋体" w:cs="Arial"/>
                <w:color w:val="auto"/>
                <w:szCs w:val="22"/>
              </w:rPr>
              <w:t>食品安全</w:t>
            </w:r>
          </w:p>
        </w:tc>
        <w:tc>
          <w:tcPr>
            <w:tcW w:w="2535"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ascii="宋体" w:hAnsi="宋体" w:eastAsia="宋体"/>
                <w:color w:val="auto"/>
                <w:szCs w:val="22"/>
              </w:rPr>
              <w:t>5</w:t>
            </w:r>
            <w:r>
              <w:rPr>
                <w:rFonts w:hint="eastAsia" w:ascii="宋体" w:hAnsi="宋体" w:eastAsia="宋体"/>
                <w:color w:val="auto"/>
                <w:szCs w:val="22"/>
              </w:rPr>
              <w:t>（民事2、行政3）</w:t>
            </w:r>
          </w:p>
        </w:tc>
        <w:tc>
          <w:tcPr>
            <w:tcW w:w="2344"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宋体" w:hAnsi="宋体" w:eastAsia="宋体"/>
                <w:color w:val="auto"/>
                <w:szCs w:val="22"/>
              </w:rPr>
            </w:pPr>
            <w:r>
              <w:rPr>
                <w:rFonts w:hint="eastAsia" w:ascii="宋体" w:hAnsi="宋体" w:eastAsia="宋体"/>
                <w:color w:val="auto"/>
                <w:szCs w:val="22"/>
              </w:rPr>
              <w:t>9月</w:t>
            </w:r>
            <w:r>
              <w:rPr>
                <w:rFonts w:ascii="宋体" w:hAnsi="宋体" w:eastAsia="宋体"/>
                <w:color w:val="auto"/>
                <w:szCs w:val="22"/>
              </w:rPr>
              <w:t>11</w:t>
            </w:r>
            <w:r>
              <w:rPr>
                <w:rFonts w:hint="eastAsia" w:ascii="宋体" w:hAnsi="宋体" w:eastAsia="宋体"/>
                <w:color w:val="auto"/>
                <w:szCs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3417"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s="Arial"/>
                <w:color w:val="auto"/>
                <w:szCs w:val="22"/>
              </w:rPr>
            </w:pPr>
            <w:r>
              <w:rPr>
                <w:rFonts w:ascii="宋体" w:hAnsi="宋体" w:eastAsia="宋体" w:cs="Arial"/>
                <w:color w:val="auto"/>
                <w:szCs w:val="22"/>
              </w:rPr>
              <w:t>老年人权益保护</w:t>
            </w:r>
          </w:p>
        </w:tc>
        <w:tc>
          <w:tcPr>
            <w:tcW w:w="2535"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ascii="宋体" w:hAnsi="宋体" w:eastAsia="宋体"/>
                <w:color w:val="auto"/>
                <w:szCs w:val="22"/>
              </w:rPr>
              <w:t>5</w:t>
            </w:r>
          </w:p>
        </w:tc>
        <w:tc>
          <w:tcPr>
            <w:tcW w:w="2344"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宋体" w:hAnsi="宋体" w:eastAsia="宋体"/>
                <w:color w:val="auto"/>
                <w:szCs w:val="22"/>
              </w:rPr>
            </w:pPr>
            <w:r>
              <w:rPr>
                <w:rFonts w:ascii="宋体" w:hAnsi="宋体" w:eastAsia="宋体"/>
                <w:color w:val="auto"/>
                <w:szCs w:val="22"/>
              </w:rPr>
              <w:t>10</w:t>
            </w:r>
            <w:r>
              <w:rPr>
                <w:rFonts w:hint="eastAsia" w:ascii="宋体" w:hAnsi="宋体" w:eastAsia="宋体"/>
                <w:color w:val="auto"/>
                <w:szCs w:val="22"/>
              </w:rPr>
              <w:t>月</w:t>
            </w:r>
            <w:r>
              <w:rPr>
                <w:rFonts w:ascii="宋体" w:hAnsi="宋体" w:eastAsia="宋体"/>
                <w:color w:val="auto"/>
                <w:szCs w:val="22"/>
              </w:rPr>
              <w:t>29</w:t>
            </w:r>
            <w:r>
              <w:rPr>
                <w:rFonts w:hint="eastAsia" w:ascii="宋体" w:hAnsi="宋体" w:eastAsia="宋体"/>
                <w:color w:val="auto"/>
                <w:szCs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3417"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s="Arial"/>
                <w:color w:val="auto"/>
                <w:szCs w:val="22"/>
              </w:rPr>
            </w:pPr>
            <w:r>
              <w:rPr>
                <w:rFonts w:ascii="宋体" w:hAnsi="宋体" w:eastAsia="宋体" w:cs="Arial"/>
                <w:color w:val="auto"/>
                <w:szCs w:val="22"/>
              </w:rPr>
              <w:t>物业服务合同纠纷</w:t>
            </w:r>
          </w:p>
        </w:tc>
        <w:tc>
          <w:tcPr>
            <w:tcW w:w="2535"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hint="eastAsia" w:ascii="宋体" w:hAnsi="宋体" w:eastAsia="宋体"/>
                <w:color w:val="auto"/>
                <w:szCs w:val="22"/>
              </w:rPr>
              <w:t>5</w:t>
            </w:r>
          </w:p>
        </w:tc>
        <w:tc>
          <w:tcPr>
            <w:tcW w:w="2344"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宋体" w:hAnsi="宋体" w:eastAsia="宋体"/>
                <w:color w:val="auto"/>
                <w:szCs w:val="22"/>
              </w:rPr>
            </w:pPr>
            <w:r>
              <w:rPr>
                <w:rFonts w:hint="eastAsia" w:ascii="宋体" w:hAnsi="宋体" w:eastAsia="宋体"/>
                <w:color w:val="auto"/>
                <w:szCs w:val="22"/>
              </w:rPr>
              <w:t>1</w:t>
            </w:r>
            <w:r>
              <w:rPr>
                <w:rFonts w:ascii="宋体" w:hAnsi="宋体" w:eastAsia="宋体"/>
                <w:color w:val="auto"/>
                <w:szCs w:val="22"/>
              </w:rPr>
              <w:t>2</w:t>
            </w:r>
            <w:r>
              <w:rPr>
                <w:rFonts w:hint="eastAsia" w:ascii="宋体" w:hAnsi="宋体" w:eastAsia="宋体"/>
                <w:color w:val="auto"/>
                <w:szCs w:val="22"/>
              </w:rPr>
              <w:t>月</w:t>
            </w:r>
            <w:r>
              <w:rPr>
                <w:rFonts w:ascii="宋体" w:hAnsi="宋体" w:eastAsia="宋体"/>
                <w:color w:val="auto"/>
                <w:szCs w:val="22"/>
              </w:rPr>
              <w:t>8</w:t>
            </w:r>
            <w:r>
              <w:rPr>
                <w:rFonts w:hint="eastAsia" w:ascii="宋体" w:hAnsi="宋体" w:eastAsia="宋体"/>
                <w:color w:val="auto"/>
                <w:szCs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3417"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ascii="宋体" w:hAnsi="宋体" w:eastAsia="宋体" w:cs="Arial"/>
                <w:color w:val="auto"/>
                <w:szCs w:val="22"/>
              </w:rPr>
              <w:t>金融领域纠纷多元化解</w:t>
            </w:r>
          </w:p>
        </w:tc>
        <w:tc>
          <w:tcPr>
            <w:tcW w:w="2535"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hint="eastAsia" w:ascii="宋体" w:hAnsi="宋体" w:eastAsia="宋体"/>
                <w:color w:val="auto"/>
                <w:szCs w:val="22"/>
              </w:rPr>
              <w:t>6</w:t>
            </w:r>
          </w:p>
        </w:tc>
        <w:tc>
          <w:tcPr>
            <w:tcW w:w="2344"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hint="eastAsia" w:ascii="宋体" w:hAnsi="宋体" w:eastAsia="宋体"/>
                <w:color w:val="auto"/>
                <w:szCs w:val="22"/>
              </w:rPr>
            </w:pPr>
            <w:r>
              <w:rPr>
                <w:rFonts w:hint="eastAsia" w:ascii="宋体" w:hAnsi="宋体" w:eastAsia="宋体"/>
                <w:color w:val="auto"/>
                <w:szCs w:val="22"/>
              </w:rPr>
              <w:t>1</w:t>
            </w:r>
            <w:r>
              <w:rPr>
                <w:rFonts w:ascii="宋体" w:hAnsi="宋体" w:eastAsia="宋体"/>
                <w:color w:val="auto"/>
                <w:szCs w:val="22"/>
              </w:rPr>
              <w:t>2</w:t>
            </w:r>
            <w:r>
              <w:rPr>
                <w:rFonts w:hint="eastAsia" w:ascii="宋体" w:hAnsi="宋体" w:eastAsia="宋体"/>
                <w:color w:val="auto"/>
                <w:szCs w:val="22"/>
              </w:rPr>
              <w:t>月</w:t>
            </w:r>
            <w:r>
              <w:rPr>
                <w:rFonts w:ascii="宋体" w:hAnsi="宋体" w:eastAsia="宋体"/>
                <w:color w:val="auto"/>
                <w:szCs w:val="22"/>
              </w:rPr>
              <w:t>19</w:t>
            </w:r>
            <w:r>
              <w:rPr>
                <w:rFonts w:hint="eastAsia" w:ascii="宋体" w:hAnsi="宋体" w:eastAsia="宋体"/>
                <w:color w:val="auto"/>
                <w:szCs w:val="22"/>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jc w:val="center"/>
        </w:trPr>
        <w:tc>
          <w:tcPr>
            <w:tcW w:w="3417" w:type="dxa"/>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s="Arial"/>
                <w:color w:val="auto"/>
                <w:szCs w:val="22"/>
              </w:rPr>
            </w:pPr>
            <w:r>
              <w:rPr>
                <w:rFonts w:hint="eastAsia" w:ascii="宋体" w:hAnsi="宋体" w:eastAsia="宋体" w:cs="Arial"/>
                <w:color w:val="auto"/>
                <w:szCs w:val="22"/>
              </w:rPr>
              <w:t>合计</w:t>
            </w:r>
          </w:p>
        </w:tc>
        <w:tc>
          <w:tcPr>
            <w:tcW w:w="4879" w:type="dxa"/>
            <w:gridSpan w:val="2"/>
            <w:tcBorders>
              <w:top w:val="single" w:color="auto" w:sz="4" w:space="0"/>
              <w:left w:val="single" w:color="auto" w:sz="4" w:space="0"/>
              <w:bottom w:val="single" w:color="auto" w:sz="4" w:space="0"/>
              <w:right w:val="single" w:color="auto" w:sz="4" w:space="0"/>
            </w:tcBorders>
            <w:noWrap w:val="0"/>
            <w:vAlign w:val="center"/>
          </w:tcPr>
          <w:p>
            <w:pPr>
              <w:pStyle w:val="23"/>
              <w:jc w:val="center"/>
              <w:rPr>
                <w:rFonts w:ascii="宋体" w:hAnsi="宋体" w:eastAsia="宋体"/>
                <w:color w:val="auto"/>
                <w:szCs w:val="22"/>
              </w:rPr>
            </w:pPr>
            <w:r>
              <w:rPr>
                <w:rFonts w:hint="eastAsia" w:ascii="宋体" w:hAnsi="宋体" w:eastAsia="宋体"/>
                <w:color w:val="auto"/>
                <w:szCs w:val="22"/>
              </w:rPr>
              <w:t>5</w:t>
            </w:r>
            <w:r>
              <w:rPr>
                <w:rFonts w:ascii="宋体" w:hAnsi="宋体" w:eastAsia="宋体"/>
                <w:color w:val="auto"/>
                <w:szCs w:val="22"/>
              </w:rPr>
              <w:t>1</w:t>
            </w:r>
          </w:p>
        </w:tc>
      </w:tr>
    </w:tbl>
    <w:p>
      <w:pPr>
        <w:pStyle w:val="23"/>
        <w:ind w:firstLine="480" w:firstLineChars="200"/>
        <w:jc w:val="both"/>
        <w:rPr>
          <w:rFonts w:ascii="宋体" w:hAnsi="宋体"/>
          <w:color w:val="auto"/>
          <w:sz w:val="24"/>
        </w:rPr>
      </w:pPr>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三是在消费纠纷新型疑难案件中，推动建立裁判规则。</w:t>
      </w:r>
      <w:r>
        <w:rPr>
          <w:rFonts w:hint="eastAsia" w:ascii="仿宋_GB2312" w:hAnsi="仿宋_GB2312" w:eastAsia="仿宋_GB2312" w:cs="仿宋_GB2312"/>
          <w:color w:val="auto"/>
          <w:sz w:val="32"/>
          <w:szCs w:val="32"/>
          <w:shd w:val="clear" w:color="auto" w:fill="FFFFFF"/>
        </w:rPr>
        <w:t>最高人民法院就消费者李震诉阿里巴巴、支付宝等主体滥用市场支配地位垄断案作出终审判决，判定阿里巴巴等滥用市场支配地位行为成立。</w:t>
      </w:r>
      <w:r>
        <w:rPr>
          <w:rFonts w:hint="eastAsia" w:ascii="仿宋_GB2312" w:hAnsi="仿宋_GB2312" w:eastAsia="仿宋_GB2312" w:cs="仿宋_GB2312"/>
          <w:color w:val="auto"/>
          <w:sz w:val="32"/>
          <w:szCs w:val="32"/>
        </w:rPr>
        <w:t>海口市美兰区人民法院对全国首例汽车公司“未交车催收尾款”案件作出一审判决，认定“未验车即需7日内付尾款，否则没收定金”的格式条款无效，判令汽车销售商向消费者双倍返还购车定金。北京互联网法院审理认定某商家在直播间宣称前两名顾客“限量免单”，而后通过虚构订单拒绝履行免单承诺构成欺诈，</w:t>
      </w:r>
      <w:r>
        <w:rPr>
          <w:rFonts w:hint="eastAsia" w:ascii="仿宋_GB2312" w:hAnsi="仿宋_GB2312" w:eastAsia="仿宋_GB2312" w:cs="仿宋_GB2312"/>
          <w:color w:val="auto"/>
          <w:sz w:val="32"/>
          <w:szCs w:val="32"/>
          <w:lang w:val="en-US" w:eastAsia="zh-CN"/>
        </w:rPr>
        <w:t>法院</w:t>
      </w:r>
      <w:r>
        <w:rPr>
          <w:rFonts w:hint="eastAsia" w:ascii="仿宋_GB2312" w:hAnsi="仿宋_GB2312" w:eastAsia="仿宋_GB2312" w:cs="仿宋_GB2312"/>
          <w:color w:val="auto"/>
          <w:sz w:val="32"/>
          <w:szCs w:val="32"/>
        </w:rPr>
        <w:t>判决其承担三倍赔偿责任。各级人民法院依法履行审判职能，探索树立消费者权益司法保护的新理念、新规则，对完善消费者权益保护的法律适用和裁判规则体系具有</w:t>
      </w:r>
      <w:r>
        <w:rPr>
          <w:rFonts w:hint="eastAsia" w:ascii="仿宋_GB2312" w:hAnsi="仿宋_GB2312" w:eastAsia="仿宋_GB2312" w:cs="仿宋_GB2312"/>
          <w:color w:val="auto"/>
          <w:sz w:val="32"/>
          <w:szCs w:val="32"/>
          <w:lang w:val="en-US" w:eastAsia="zh-CN"/>
        </w:rPr>
        <w:t>重要</w:t>
      </w:r>
      <w:r>
        <w:rPr>
          <w:rFonts w:hint="eastAsia" w:ascii="仿宋_GB2312" w:hAnsi="仿宋_GB2312" w:eastAsia="仿宋_GB2312" w:cs="仿宋_GB2312"/>
          <w:color w:val="auto"/>
          <w:sz w:val="32"/>
          <w:szCs w:val="32"/>
        </w:rPr>
        <w:t>的参考价值。</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78" w:name="_Toc221610681"/>
      <w:bookmarkStart w:id="79" w:name="_Toc18711"/>
      <w:bookmarkStart w:id="80" w:name="_Toc9412"/>
      <w:r>
        <w:rPr>
          <w:rFonts w:hint="eastAsia" w:ascii="黑体" w:hAnsi="黑体" w:eastAsia="黑体" w:cs="黑体"/>
          <w:bCs/>
          <w:color w:val="000000"/>
          <w:sz w:val="32"/>
          <w:szCs w:val="32"/>
        </w:rPr>
        <w:t>三、严厉打击消费领域违法犯罪行为，保障消费者人身财产安全</w:t>
      </w:r>
      <w:bookmarkEnd w:id="78"/>
      <w:bookmarkEnd w:id="79"/>
      <w:bookmarkEnd w:id="80"/>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是持续加大对生产销售假冒伪劣商品犯罪行为的打击力度。最高人民法院、最高人民检察院发布《关于办理侵犯知识产权刑事案件适用法律若干问题的解释》，明确销售假冒注册商标的商品、伪造和销售他人注册商标标识的明知及情节严重的认定标准，确保法律适用标准统一。</w:t>
      </w:r>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公安部印发《关于依法打击知识产权犯罪服务高质量发展的意见》，部署全国公安机关聚焦创新驱动发展、优化营商环境、促进文化繁荣、保障民生安全，强化知识产权刑事保护，依法维护公平竞争市场秩序和消费者合法权益，为高质量发展提供坚强法治保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聚焦重点领域精准施策，深入推进“昆仑-2025”等专项工作，联合相关部门构建协同打击机制，对侵权假冒等消费领域违法犯罪实施精准打击，共立案侦办侵犯知识产权和制售伪劣商品刑事案件2.6万起，抓获犯罪嫌疑人4.4万名</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成功侦破广东东莞吕某武等人制售假冒品牌手表案，查获假冒品牌手表4.4万只、配件66.9万件，涉案金额1.4亿元，维护了消费者和企业合法权益。</w:t>
      </w:r>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检察机关持续加大对假冒伪劣商品犯罪的惩治力度，完善知识产权检察“一案四查”工作模式，推动工作从个案办理向行业治理、源头防控延伸，发布依法惩治制售伪劣商品犯罪典型案例，对央视“3·15”晚会曝光的山东省济宁市梁山县希希纸制品有限公司生产、销售伪劣卫生巾及婴儿纸尿裤案等案件挂牌督办。2025年</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color w:val="auto"/>
          <w:sz w:val="32"/>
          <w:szCs w:val="32"/>
        </w:rPr>
        <w:t>全国检察机关共受理审查起诉生产、销售伪劣商品犯罪</w:t>
      </w:r>
      <w:r>
        <w:rPr>
          <w:rFonts w:hint="eastAsia" w:ascii="仿宋_GB2312" w:hAnsi="仿宋_GB2312" w:eastAsia="仿宋_GB2312" w:cs="仿宋_GB2312"/>
          <w:color w:val="auto"/>
          <w:sz w:val="32"/>
          <w:szCs w:val="32"/>
          <w:lang w:val="en-US" w:eastAsia="zh-CN"/>
        </w:rPr>
        <w:t>1.2万</w:t>
      </w:r>
      <w:r>
        <w:rPr>
          <w:rFonts w:hint="eastAsia" w:ascii="仿宋_GB2312" w:hAnsi="仿宋_GB2312" w:eastAsia="仿宋_GB2312" w:cs="仿宋_GB2312"/>
          <w:color w:val="auto"/>
          <w:sz w:val="32"/>
          <w:szCs w:val="32"/>
        </w:rPr>
        <w:t>余件</w:t>
      </w:r>
      <w:r>
        <w:rPr>
          <w:rFonts w:hint="eastAsia" w:ascii="仿宋_GB2312" w:hAnsi="仿宋_GB2312" w:eastAsia="仿宋_GB2312" w:cs="仿宋_GB2312"/>
          <w:color w:val="auto"/>
          <w:sz w:val="32"/>
          <w:szCs w:val="32"/>
          <w:lang w:val="en-US" w:eastAsia="zh-CN"/>
        </w:rPr>
        <w:t>2.4</w:t>
      </w:r>
      <w:r>
        <w:rPr>
          <w:rFonts w:hint="eastAsia" w:ascii="仿宋_GB2312" w:hAnsi="仿宋_GB2312" w:eastAsia="仿宋_GB2312" w:cs="仿宋_GB2312"/>
          <w:color w:val="auto"/>
          <w:sz w:val="32"/>
          <w:szCs w:val="32"/>
        </w:rPr>
        <w:t>万余人，提起公诉</w:t>
      </w:r>
      <w:r>
        <w:rPr>
          <w:rFonts w:hint="eastAsia" w:ascii="仿宋_GB2312" w:hAnsi="仿宋_GB2312" w:eastAsia="仿宋_GB2312" w:cs="仿宋_GB2312"/>
          <w:color w:val="auto"/>
          <w:sz w:val="32"/>
          <w:szCs w:val="32"/>
          <w:lang w:val="en-US" w:eastAsia="zh-CN"/>
        </w:rPr>
        <w:t>0.9</w:t>
      </w:r>
      <w:r>
        <w:rPr>
          <w:rFonts w:hint="eastAsia" w:ascii="仿宋_GB2312" w:hAnsi="仿宋_GB2312" w:eastAsia="仿宋_GB2312" w:cs="仿宋_GB2312"/>
          <w:color w:val="auto"/>
          <w:sz w:val="32"/>
          <w:szCs w:val="32"/>
        </w:rPr>
        <w:t>余件1.</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万余人；受理审查起诉侵犯知识产权犯罪</w:t>
      </w:r>
      <w:r>
        <w:rPr>
          <w:rFonts w:hint="eastAsia" w:ascii="仿宋_GB2312" w:hAnsi="仿宋_GB2312" w:eastAsia="仿宋_GB2312" w:cs="仿宋_GB2312"/>
          <w:color w:val="auto"/>
          <w:sz w:val="32"/>
          <w:szCs w:val="32"/>
          <w:lang w:val="en-US" w:eastAsia="zh-CN"/>
        </w:rPr>
        <w:t>1.0万</w:t>
      </w:r>
      <w:r>
        <w:rPr>
          <w:rFonts w:hint="eastAsia" w:ascii="仿宋_GB2312" w:hAnsi="仿宋_GB2312" w:eastAsia="仿宋_GB2312" w:cs="仿宋_GB2312"/>
          <w:color w:val="auto"/>
          <w:sz w:val="32"/>
          <w:szCs w:val="32"/>
        </w:rPr>
        <w:t>余件</w:t>
      </w:r>
      <w:r>
        <w:rPr>
          <w:rFonts w:hint="eastAsia" w:ascii="仿宋_GB2312" w:hAnsi="仿宋_GB2312" w:eastAsia="仿宋_GB2312" w:cs="仿宋_GB2312"/>
          <w:color w:val="auto"/>
          <w:sz w:val="32"/>
          <w:szCs w:val="32"/>
          <w:lang w:val="en-US" w:eastAsia="zh-CN"/>
        </w:rPr>
        <w:t>2</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3</w:t>
      </w:r>
      <w:r>
        <w:rPr>
          <w:rFonts w:hint="eastAsia" w:ascii="仿宋_GB2312" w:hAnsi="仿宋_GB2312" w:eastAsia="仿宋_GB2312" w:cs="仿宋_GB2312"/>
          <w:color w:val="auto"/>
          <w:sz w:val="32"/>
          <w:szCs w:val="32"/>
        </w:rPr>
        <w:t>万余人，提起公诉</w:t>
      </w:r>
      <w:r>
        <w:rPr>
          <w:rFonts w:hint="eastAsia" w:ascii="仿宋_GB2312" w:hAnsi="仿宋_GB2312" w:eastAsia="仿宋_GB2312" w:cs="仿宋_GB2312"/>
          <w:color w:val="auto"/>
          <w:sz w:val="32"/>
          <w:szCs w:val="32"/>
          <w:lang w:val="en-US" w:eastAsia="zh-CN"/>
        </w:rPr>
        <w:t>0.8万</w:t>
      </w:r>
      <w:r>
        <w:rPr>
          <w:rFonts w:hint="eastAsia" w:ascii="仿宋_GB2312" w:hAnsi="仿宋_GB2312" w:eastAsia="仿宋_GB2312" w:cs="仿宋_GB2312"/>
          <w:color w:val="auto"/>
          <w:sz w:val="32"/>
          <w:szCs w:val="32"/>
        </w:rPr>
        <w:t>余件1.</w:t>
      </w:r>
      <w:r>
        <w:rPr>
          <w:rFonts w:hint="eastAsia" w:ascii="仿宋_GB2312" w:hAnsi="仿宋_GB2312" w:eastAsia="仿宋_GB2312" w:cs="仿宋_GB2312"/>
          <w:color w:val="auto"/>
          <w:sz w:val="32"/>
          <w:szCs w:val="32"/>
          <w:lang w:val="en-US" w:eastAsia="zh-CN"/>
        </w:rPr>
        <w:t>8</w:t>
      </w:r>
      <w:r>
        <w:rPr>
          <w:rFonts w:hint="eastAsia" w:ascii="仿宋_GB2312" w:hAnsi="仿宋_GB2312" w:eastAsia="仿宋_GB2312" w:cs="仿宋_GB2312"/>
          <w:color w:val="auto"/>
          <w:sz w:val="32"/>
          <w:szCs w:val="32"/>
        </w:rPr>
        <w:t>万余人。</w:t>
      </w:r>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是依法从严惩处危害食品药品安全犯罪，切实守护人民群众生命健康安全。公安机关围绕食品安全这一民生核心问题，聚焦特供酒、肉制品、食用油等重点品类，持续保持严打震慑态势，组织开展网络销售有毒有害食品、假冒</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保健品、开设</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幽灵店铺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等涉网食品犯罪专案打击，共立案侦办刑事案件1.4万起，抓获犯罪嫌疑人2.9万名，向相关部门及平台企业责任主体发送提示函2700余份，守护群众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舌尖上的安全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；上线“全国环境资源和食品药品犯罪线索举报平台”，畅通线索归集渠道，提升打击精准性</w:t>
      </w:r>
      <w:r>
        <w:rPr>
          <w:rFonts w:hint="eastAsia" w:ascii="仿宋_GB2312" w:hAnsi="仿宋_GB2312" w:eastAsia="仿宋_GB2312" w:cs="仿宋_GB2312"/>
          <w:color w:val="auto"/>
          <w:sz w:val="32"/>
          <w:szCs w:val="32"/>
          <w:lang w:eastAsia="zh-CN"/>
        </w:rPr>
        <w:t>；指导各地公安机关聚焦药品生产、流通、使用全链条，严打各类危害药品安全犯罪，共立案侦办相关刑事案件2691起，抓获犯罪嫌疑人3712名。</w:t>
      </w:r>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检察机关高度重视办理与民生密切相关的重大案件，依法严厉打击食品药品犯罪，筑牢消费者权益司法保护底线。2025年，全国检察机关起诉食品犯罪案件</w:t>
      </w:r>
      <w:r>
        <w:rPr>
          <w:rFonts w:hint="eastAsia" w:ascii="仿宋_GB2312" w:hAnsi="仿宋_GB2312" w:eastAsia="仿宋_GB2312" w:cs="仿宋_GB2312"/>
          <w:color w:val="auto"/>
          <w:sz w:val="32"/>
          <w:szCs w:val="32"/>
          <w:lang w:val="en-US" w:eastAsia="zh-CN"/>
        </w:rPr>
        <w:t>5000余</w:t>
      </w:r>
      <w:r>
        <w:rPr>
          <w:rFonts w:hint="eastAsia" w:ascii="仿宋_GB2312" w:hAnsi="仿宋_GB2312" w:eastAsia="仿宋_GB2312" w:cs="仿宋_GB2312"/>
          <w:color w:val="auto"/>
          <w:sz w:val="32"/>
          <w:szCs w:val="32"/>
        </w:rPr>
        <w:t>件</w:t>
      </w:r>
      <w:r>
        <w:rPr>
          <w:rFonts w:hint="eastAsia" w:ascii="仿宋_GB2312" w:hAnsi="仿宋_GB2312" w:eastAsia="仿宋_GB2312" w:cs="仿宋_GB2312"/>
          <w:color w:val="auto"/>
          <w:sz w:val="32"/>
          <w:szCs w:val="32"/>
          <w:lang w:val="en-US" w:eastAsia="zh-CN"/>
        </w:rPr>
        <w:t>9500余</w:t>
      </w:r>
      <w:r>
        <w:rPr>
          <w:rFonts w:hint="eastAsia" w:ascii="仿宋_GB2312" w:hAnsi="仿宋_GB2312" w:eastAsia="仿宋_GB2312" w:cs="仿宋_GB2312"/>
          <w:color w:val="auto"/>
          <w:sz w:val="32"/>
          <w:szCs w:val="32"/>
        </w:rPr>
        <w:t>人，起诉药品犯罪案件</w:t>
      </w:r>
      <w:r>
        <w:rPr>
          <w:rFonts w:hint="eastAsia" w:ascii="仿宋_GB2312" w:hAnsi="仿宋_GB2312" w:eastAsia="仿宋_GB2312" w:cs="仿宋_GB2312"/>
          <w:color w:val="auto"/>
          <w:sz w:val="32"/>
          <w:szCs w:val="32"/>
          <w:lang w:val="en-US" w:eastAsia="zh-CN"/>
        </w:rPr>
        <w:t>2100余</w:t>
      </w:r>
      <w:r>
        <w:rPr>
          <w:rFonts w:hint="eastAsia" w:ascii="仿宋_GB2312" w:hAnsi="仿宋_GB2312" w:eastAsia="仿宋_GB2312" w:cs="仿宋_GB2312"/>
          <w:color w:val="auto"/>
          <w:sz w:val="32"/>
          <w:szCs w:val="32"/>
        </w:rPr>
        <w:t>件</w:t>
      </w:r>
      <w:r>
        <w:rPr>
          <w:rFonts w:hint="eastAsia" w:ascii="仿宋_GB2312" w:hAnsi="仿宋_GB2312" w:eastAsia="仿宋_GB2312" w:cs="仿宋_GB2312"/>
          <w:color w:val="auto"/>
          <w:sz w:val="32"/>
          <w:szCs w:val="32"/>
          <w:lang w:val="en-US" w:eastAsia="zh-CN"/>
        </w:rPr>
        <w:t>4000余</w:t>
      </w:r>
      <w:r>
        <w:rPr>
          <w:rFonts w:hint="eastAsia" w:ascii="仿宋_GB2312" w:hAnsi="仿宋_GB2312" w:eastAsia="仿宋_GB2312" w:cs="仿宋_GB2312"/>
          <w:color w:val="auto"/>
          <w:sz w:val="32"/>
          <w:szCs w:val="32"/>
        </w:rPr>
        <w:t>人。</w:t>
      </w:r>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是持续加强对侵犯公民个人信息、网络电信诈骗等涉网犯罪行为的打击制裁。最高人民法院、最高人民检察院、公安部联合发布《关于办理帮助信息网络犯罪活动等刑事案件有关问题的意见》，系统性整合涉“两卡”（电话卡、银行卡）帮信犯罪办案规则，对帮信等犯罪的司法适用提出更为明确具体的定罪量刑标准和政策指引规则。公安机关开展“断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拔钉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斩链”等专项行动，依法严厉打击电信网络诈骗犯罪，全年共侦破有关案件25.8万起，抓获诈骗集团幕后金主、头目和骨干542名，会同相关部门拦截诈骗电话36亿次、短信33亿条，紧急止付涉诈资金2170.7亿元，各地公安机关累计见面劝阻674.7万人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加快推进国际打击电信网络诈骗联盟建设，推动构建全球打击治理电信网络诈骗犯罪新格局，特别是与缅甸、泰国建立三方协调机制，从妙瓦底地区押解回国中国籍涉电诈犯罪嫌疑人9144余名。</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81" w:name="_Toc19759"/>
      <w:bookmarkStart w:id="82" w:name="_Toc221610682"/>
      <w:bookmarkStart w:id="83" w:name="_Toc22456"/>
      <w:r>
        <w:rPr>
          <w:rFonts w:hint="eastAsia" w:ascii="黑体" w:hAnsi="黑体" w:eastAsia="黑体" w:cs="黑体"/>
          <w:bCs/>
          <w:color w:val="000000"/>
          <w:sz w:val="32"/>
          <w:szCs w:val="32"/>
          <w:lang w:val="en-US" w:eastAsia="zh-CN"/>
        </w:rPr>
        <w:t>四、依法开展公益诉讼与集体诉讼，维护广大消费者的</w:t>
      </w:r>
      <w:r>
        <w:rPr>
          <w:rFonts w:hint="eastAsia" w:ascii="黑体" w:hAnsi="黑体" w:eastAsia="黑体" w:cs="黑体"/>
          <w:bCs/>
          <w:color w:val="000000"/>
          <w:sz w:val="32"/>
          <w:szCs w:val="32"/>
        </w:rPr>
        <w:t>共同利益</w:t>
      </w:r>
      <w:bookmarkEnd w:id="81"/>
      <w:bookmarkEnd w:id="82"/>
      <w:bookmarkEnd w:id="83"/>
    </w:p>
    <w:p>
      <w:pPr>
        <w:pStyle w:val="23"/>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rPr>
        <w:t>2025年，最高人民检察院深入推进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食药安全益路行</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检察公益诉讼监督活动，全国检察机关共立案办理食药安全公益诉讼案件</w:t>
      </w:r>
      <w:r>
        <w:rPr>
          <w:rFonts w:hint="eastAsia" w:ascii="仿宋_GB2312" w:hAnsi="仿宋_GB2312" w:eastAsia="仿宋_GB2312" w:cs="仿宋_GB2312"/>
          <w:color w:val="auto"/>
          <w:sz w:val="32"/>
          <w:szCs w:val="32"/>
          <w:lang w:val="en-US" w:eastAsia="zh-CN"/>
        </w:rPr>
        <w:t>2.6万余</w:t>
      </w:r>
      <w:r>
        <w:rPr>
          <w:rFonts w:hint="eastAsia" w:ascii="仿宋_GB2312" w:hAnsi="仿宋_GB2312" w:eastAsia="仿宋_GB2312" w:cs="仿宋_GB2312"/>
          <w:color w:val="auto"/>
          <w:sz w:val="32"/>
          <w:szCs w:val="32"/>
        </w:rPr>
        <w:t>件，推动食品药品安全领域突出问题整改；指导湖南、江苏、浙江、北京等地检察机关先后对相关平台违法行为以民事公益诉讼立案93起，</w:t>
      </w:r>
      <w:r>
        <w:rPr>
          <w:rFonts w:hint="eastAsia" w:ascii="仿宋_GB2312" w:hAnsi="仿宋_GB2312" w:eastAsia="仿宋_GB2312" w:cs="仿宋_GB2312"/>
          <w:color w:val="auto"/>
          <w:sz w:val="32"/>
          <w:szCs w:val="32"/>
          <w:lang w:val="en-US" w:eastAsia="zh-CN"/>
        </w:rPr>
        <w:t>切实</w:t>
      </w:r>
      <w:r>
        <w:rPr>
          <w:rFonts w:hint="eastAsia" w:ascii="仿宋_GB2312" w:hAnsi="仿宋_GB2312" w:eastAsia="仿宋_GB2312" w:cs="仿宋_GB2312"/>
          <w:color w:val="auto"/>
          <w:sz w:val="32"/>
          <w:szCs w:val="32"/>
        </w:rPr>
        <w:t>维护消费者合法权益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lang w:eastAsia="zh-CN"/>
        </w:rPr>
        <w:t>为平台消费秩序的规范化、法治化提供了成功的实践样本</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val="en-US" w:eastAsia="zh-CN"/>
        </w:rPr>
        <w:t>中消协</w:t>
      </w:r>
      <w:r>
        <w:rPr>
          <w:rFonts w:hint="eastAsia" w:ascii="仿宋_GB2312" w:hAnsi="仿宋_GB2312" w:eastAsia="仿宋_GB2312" w:cs="仿宋_GB2312"/>
          <w:color w:val="auto"/>
          <w:sz w:val="32"/>
          <w:szCs w:val="32"/>
        </w:rPr>
        <w:t>首次联合发布10件消费者权益保护检察公益诉讼典型案例，涉及案件领域包括食品药品安全、个人信息保护、反电信网络诈骗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“单用途预付卡”消费等，强化示范引领，凝聚公益保护合力；发布未成年人保护、</w:t>
      </w:r>
      <w:r>
        <w:rPr>
          <w:rFonts w:hint="eastAsia" w:ascii="仿宋_GB2312" w:hAnsi="仿宋_GB2312" w:eastAsia="仿宋_GB2312" w:cs="仿宋_GB2312"/>
          <w:color w:val="auto"/>
          <w:sz w:val="32"/>
          <w:szCs w:val="32"/>
          <w:shd w:val="clear" w:color="auto" w:fill="FFFFFF"/>
        </w:rPr>
        <w:t>特种设备安全生产、无障碍和适老化等检察公益诉讼案</w:t>
      </w:r>
      <w:r>
        <w:rPr>
          <w:rFonts w:hint="eastAsia" w:ascii="仿宋_GB2312" w:hAnsi="仿宋_GB2312" w:eastAsia="仿宋_GB2312" w:cs="仿宋_GB2312"/>
          <w:color w:val="auto"/>
          <w:sz w:val="32"/>
          <w:szCs w:val="32"/>
          <w:shd w:val="clear" w:color="auto" w:fill="FFFFFF"/>
          <w:lang w:val="en-US" w:eastAsia="zh-CN"/>
        </w:rPr>
        <w:t>件</w:t>
      </w:r>
      <w:r>
        <w:rPr>
          <w:rFonts w:hint="eastAsia" w:ascii="仿宋_GB2312" w:hAnsi="仿宋_GB2312" w:eastAsia="仿宋_GB2312" w:cs="仿宋_GB2312"/>
          <w:color w:val="auto"/>
          <w:sz w:val="32"/>
          <w:szCs w:val="32"/>
          <w:shd w:val="clear" w:color="auto" w:fill="FFFFFF"/>
        </w:rPr>
        <w:t>和《人民检察院办理未成年人保护公益诉讼案件工作指引》</w:t>
      </w:r>
      <w:r>
        <w:rPr>
          <w:rFonts w:hint="eastAsia" w:ascii="仿宋_GB2312" w:hAnsi="仿宋_GB2312" w:eastAsia="仿宋_GB2312" w:cs="仿宋_GB2312"/>
          <w:color w:val="auto"/>
          <w:sz w:val="32"/>
          <w:szCs w:val="32"/>
        </w:rPr>
        <w:t>，为各地检察机关办理类似案件提供具体示范，</w:t>
      </w:r>
      <w:r>
        <w:rPr>
          <w:rFonts w:hint="eastAsia" w:ascii="仿宋_GB2312" w:hAnsi="仿宋_GB2312" w:eastAsia="仿宋_GB2312" w:cs="仿宋_GB2312"/>
          <w:color w:val="auto"/>
          <w:sz w:val="32"/>
          <w:szCs w:val="32"/>
          <w:shd w:val="clear" w:color="auto" w:fill="FFFFFF"/>
        </w:rPr>
        <w:t>促进协同共治，加强民生保护。</w:t>
      </w:r>
    </w:p>
    <w:p>
      <w:pPr>
        <w:keepNext w:val="0"/>
        <w:keepLines w:val="0"/>
        <w:pageBreakBefore w:val="0"/>
        <w:widowControl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全国多地人民法院积极推进消费民事公益诉讼案件审理，创新集体诉讼与纠纷化解机制，精准破解特定领域消费维权难题。如安徽省高级人民法院就一起宠物免费领养虚假宣传民事公益诉讼案件作出终审判决，确认相关合同条款无效，判令被告停止“免费领养”相关广告宣传，向社会公众公开道歉；湖南省益阳市中级人民法院、安徽省淮南市中级人民法院分别审理被告销售假冒伪劣商品消费公益诉讼案，判决经营者承担惩罚性赔偿责任；贵州省铜仁市中级人民法院对火锅店回收“口水油”制作火锅底料民事公益诉讼案作出判决，认定经营者构成生产、销售有毒有害食品，承担惩罚性赔偿责任；江苏省无锡市法院系统探索运用集体诉讼机制，有效破解预付式消费纠纷处置周期长、维权成本高、个体维权难度大等突出问题。</w:t>
      </w:r>
    </w:p>
    <w:p>
      <w:pPr>
        <w:widowControl w:val="0"/>
        <w:wordWrap/>
        <w:adjustRightInd/>
        <w:snapToGrid/>
        <w:spacing w:before="295" w:beforeLines="50" w:after="295" w:afterLines="50" w:line="560" w:lineRule="exact"/>
        <w:ind w:left="0"/>
        <w:jc w:val="center"/>
        <w:textAlignment w:val="auto"/>
        <w:outlineLvl w:val="0"/>
        <w:rPr>
          <w:rFonts w:hint="eastAsia" w:ascii="黑体" w:hAnsi="黑体" w:eastAsia="黑体" w:cs="宋体"/>
          <w:b w:val="0"/>
          <w:bCs/>
          <w:color w:val="000000"/>
          <w:w w:val="95"/>
          <w:sz w:val="36"/>
          <w:szCs w:val="36"/>
        </w:rPr>
      </w:pPr>
      <w:bookmarkStart w:id="84" w:name="_Toc17201"/>
      <w:bookmarkStart w:id="85" w:name="_Toc221610684"/>
      <w:bookmarkStart w:id="86" w:name="_Toc29584"/>
      <w:r>
        <w:rPr>
          <w:rFonts w:hint="eastAsia" w:ascii="黑体" w:hAnsi="黑体" w:eastAsia="黑体" w:cs="宋体"/>
          <w:b w:val="0"/>
          <w:bCs/>
          <w:color w:val="000000"/>
          <w:w w:val="95"/>
          <w:sz w:val="36"/>
          <w:szCs w:val="36"/>
        </w:rPr>
        <w:t>第四节</w:t>
      </w:r>
      <w:r>
        <w:rPr>
          <w:rFonts w:hint="eastAsia" w:ascii="黑体" w:hAnsi="黑体" w:eastAsia="黑体" w:cs="宋体"/>
          <w:b w:val="0"/>
          <w:bCs/>
          <w:color w:val="000000"/>
          <w:w w:val="95"/>
          <w:sz w:val="36"/>
          <w:szCs w:val="36"/>
          <w:lang w:val="en-US" w:eastAsia="zh-CN"/>
        </w:rPr>
        <w:t xml:space="preserve"> </w:t>
      </w:r>
      <w:r>
        <w:rPr>
          <w:rFonts w:hint="eastAsia" w:ascii="黑体" w:hAnsi="黑体" w:eastAsia="黑体" w:cs="宋体"/>
          <w:b w:val="0"/>
          <w:bCs/>
          <w:color w:val="000000"/>
          <w:w w:val="95"/>
          <w:sz w:val="36"/>
          <w:szCs w:val="36"/>
        </w:rPr>
        <w:t xml:space="preserve"> 社会保护</w:t>
      </w:r>
      <w:bookmarkEnd w:id="84"/>
      <w:bookmarkEnd w:id="85"/>
      <w:bookmarkEnd w:id="86"/>
    </w:p>
    <w:p>
      <w:pPr>
        <w:keepNext w:val="0"/>
        <w:keepLines w:val="0"/>
        <w:pageBreakBefore w:val="0"/>
        <w:kinsoku/>
        <w:wordWrap/>
        <w:overflowPunct/>
        <w:topLinePunct w:val="0"/>
        <w:autoSpaceDE/>
        <w:autoSpaceDN/>
        <w:bidi w:val="0"/>
        <w:adjustRightInd/>
        <w:snapToGrid/>
        <w:spacing w:line="594" w:lineRule="exact"/>
        <w:ind w:firstLine="640"/>
        <w:textAlignment w:val="auto"/>
        <w:rPr>
          <w:rFonts w:hint="eastAsia" w:ascii="黑体" w:hAnsi="黑体" w:eastAsia="黑体" w:cs="黑体"/>
          <w:bCs/>
          <w:color w:val="000000"/>
          <w:sz w:val="32"/>
          <w:szCs w:val="32"/>
        </w:rPr>
      </w:pPr>
      <w:r>
        <w:rPr>
          <w:rFonts w:hint="eastAsia" w:ascii="仿宋_GB2312" w:hAnsi="仿宋_GB2312" w:eastAsia="仿宋_GB2312" w:cs="仿宋_GB2312"/>
          <w:color w:val="auto"/>
          <w:sz w:val="32"/>
          <w:szCs w:val="32"/>
          <w:shd w:val="clear" w:color="auto" w:fill="FFFFFF"/>
        </w:rPr>
        <w:t>社会保护是消费者权益保护的重要方面。2025年，全国消协组织围绕“共筑满意消费”年主题，与社会各界协同共治，大力提升消费体验，促进高品质消费、高质量维权</w:t>
      </w:r>
      <w:r>
        <w:rPr>
          <w:rFonts w:hint="eastAsia" w:ascii="仿宋_GB2312" w:hAnsi="仿宋_GB2312" w:eastAsia="仿宋_GB2312" w:cs="仿宋_GB2312"/>
          <w:color w:val="auto"/>
          <w:sz w:val="32"/>
          <w:szCs w:val="32"/>
          <w:shd w:val="clear" w:color="auto" w:fill="FFFFFF"/>
          <w:lang w:val="en-US" w:eastAsia="zh-CN"/>
        </w:rPr>
        <w:t>和</w:t>
      </w:r>
      <w:r>
        <w:rPr>
          <w:rFonts w:hint="eastAsia" w:ascii="仿宋_GB2312" w:hAnsi="仿宋_GB2312" w:eastAsia="仿宋_GB2312" w:cs="仿宋_GB2312"/>
          <w:color w:val="auto"/>
          <w:sz w:val="32"/>
          <w:szCs w:val="32"/>
          <w:shd w:val="clear" w:color="auto" w:fill="FFFFFF"/>
        </w:rPr>
        <w:t>高水平共治，在提振消费、</w:t>
      </w:r>
      <w:r>
        <w:rPr>
          <w:rFonts w:hint="eastAsia" w:ascii="仿宋_GB2312" w:hAnsi="仿宋_GB2312" w:eastAsia="仿宋_GB2312" w:cs="仿宋_GB2312"/>
          <w:color w:val="auto"/>
          <w:sz w:val="32"/>
          <w:szCs w:val="32"/>
          <w:shd w:val="clear" w:color="auto" w:fill="FFFFFF"/>
          <w:lang w:val="en-US" w:eastAsia="zh-CN"/>
        </w:rPr>
        <w:t>维护消费者合法权益</w:t>
      </w:r>
      <w:r>
        <w:rPr>
          <w:rFonts w:hint="eastAsia" w:ascii="仿宋_GB2312" w:hAnsi="仿宋_GB2312" w:eastAsia="仿宋_GB2312" w:cs="仿宋_GB2312"/>
          <w:color w:val="auto"/>
          <w:sz w:val="32"/>
          <w:szCs w:val="32"/>
          <w:shd w:val="clear" w:color="auto" w:fill="FFFFFF"/>
        </w:rPr>
        <w:t>等方面发挥了重要作用。</w:t>
      </w:r>
      <w:bookmarkStart w:id="87" w:name="_Toc221610685"/>
      <w:bookmarkStart w:id="88" w:name="_Toc26743"/>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89" w:name="_Toc15583"/>
      <w:r>
        <w:rPr>
          <w:rFonts w:hint="eastAsia" w:ascii="黑体" w:hAnsi="黑体" w:eastAsia="黑体" w:cs="黑体"/>
          <w:bCs/>
          <w:color w:val="000000"/>
          <w:sz w:val="32"/>
          <w:szCs w:val="32"/>
        </w:rPr>
        <w:t>一、消协组织</w:t>
      </w:r>
      <w:r>
        <w:rPr>
          <w:rFonts w:hint="eastAsia" w:ascii="黑体" w:hAnsi="黑体" w:eastAsia="黑体" w:cs="黑体"/>
          <w:bCs/>
          <w:color w:val="000000"/>
          <w:sz w:val="32"/>
          <w:szCs w:val="32"/>
          <w:lang w:val="en-US" w:eastAsia="zh-CN"/>
        </w:rPr>
        <w:t>立足</w:t>
      </w:r>
      <w:r>
        <w:rPr>
          <w:rFonts w:hint="eastAsia" w:ascii="黑体" w:hAnsi="黑体" w:eastAsia="黑体" w:cs="黑体"/>
          <w:bCs/>
          <w:color w:val="000000"/>
          <w:sz w:val="32"/>
          <w:szCs w:val="32"/>
        </w:rPr>
        <w:t>消费维权枢纽</w:t>
      </w:r>
      <w:r>
        <w:rPr>
          <w:rFonts w:hint="eastAsia" w:ascii="黑体" w:hAnsi="黑体" w:eastAsia="黑体" w:cs="黑体"/>
          <w:bCs/>
          <w:color w:val="000000"/>
          <w:sz w:val="32"/>
          <w:szCs w:val="32"/>
          <w:lang w:val="en-US" w:eastAsia="zh-CN"/>
        </w:rPr>
        <w:t>新站位</w:t>
      </w:r>
      <w:r>
        <w:rPr>
          <w:rFonts w:hint="eastAsia" w:ascii="黑体" w:hAnsi="黑体" w:eastAsia="黑体" w:cs="黑体"/>
          <w:bCs/>
          <w:color w:val="000000"/>
          <w:sz w:val="32"/>
          <w:szCs w:val="32"/>
        </w:rPr>
        <w:t>，</w:t>
      </w:r>
      <w:r>
        <w:rPr>
          <w:rFonts w:hint="eastAsia" w:ascii="黑体" w:hAnsi="黑体" w:eastAsia="黑体" w:cs="黑体"/>
          <w:bCs/>
          <w:color w:val="000000"/>
          <w:sz w:val="32"/>
          <w:szCs w:val="32"/>
          <w:lang w:val="en-US" w:eastAsia="zh-CN"/>
        </w:rPr>
        <w:t>切实</w:t>
      </w:r>
      <w:r>
        <w:rPr>
          <w:rFonts w:hint="eastAsia" w:ascii="黑体" w:hAnsi="黑体" w:eastAsia="黑体" w:cs="黑体"/>
          <w:bCs/>
          <w:color w:val="000000"/>
          <w:sz w:val="32"/>
          <w:szCs w:val="32"/>
        </w:rPr>
        <w:t>发挥社会保护主导作用</w:t>
      </w:r>
      <w:bookmarkEnd w:id="87"/>
      <w:bookmarkEnd w:id="88"/>
      <w:bookmarkEnd w:id="89"/>
    </w:p>
    <w:p>
      <w:pPr>
        <w:keepNext w:val="0"/>
        <w:keepLines w:val="0"/>
        <w:pageBreakBefore w:val="0"/>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一是深入贯彻党中央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国务院</w:t>
      </w:r>
      <w:r>
        <w:rPr>
          <w:rFonts w:hint="eastAsia" w:ascii="仿宋_GB2312" w:hAnsi="仿宋_GB2312" w:eastAsia="仿宋_GB2312" w:cs="仿宋_GB2312"/>
          <w:color w:val="auto"/>
          <w:sz w:val="32"/>
          <w:szCs w:val="32"/>
        </w:rPr>
        <w:t>决策部署，助力消费政策更加有为有效。2025年，</w:t>
      </w:r>
      <w:r>
        <w:rPr>
          <w:rFonts w:hint="eastAsia" w:ascii="仿宋_GB2312" w:hAnsi="仿宋_GB2312" w:eastAsia="仿宋_GB2312" w:cs="仿宋_GB2312"/>
          <w:color w:val="auto"/>
          <w:sz w:val="32"/>
          <w:szCs w:val="32"/>
          <w:shd w:val="clear" w:color="auto" w:fill="FFFFFF"/>
        </w:rPr>
        <w:t>中国消费者协会（以下简称中消协）</w:t>
      </w:r>
      <w:r>
        <w:rPr>
          <w:rFonts w:hint="eastAsia" w:ascii="仿宋_GB2312" w:hAnsi="仿宋_GB2312" w:eastAsia="仿宋_GB2312" w:cs="仿宋_GB2312"/>
          <w:color w:val="auto"/>
          <w:sz w:val="32"/>
          <w:szCs w:val="32"/>
        </w:rPr>
        <w:t>会同31个省（自治区、直辖市）和新疆生产建设兵团消协组织举办2025年“3·15金秋购物节”公益活动，以“诚信好、质量好、性价比好、购物体验好、售后服务好、投诉处理好”为特色，实现线上线下全覆盖。据不完全统计，活动惠及消费群体超6.2亿人次，带动消费增长超552.6亿元。黑龙江、江苏、浙江、福建、湖北、广东、四川、陕西、宁夏等地消协组织工作成效显著、亮点突出。</w:t>
      </w:r>
    </w:p>
    <w:p>
      <w:pPr>
        <w:keepNext w:val="0"/>
        <w:keepLines w:val="0"/>
        <w:pageBreakBefore w:val="0"/>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大力倡导绿色消费。中消协积极响应国家绿色转型要求，组织开展绿色消费研究，编写《中国消费者绿色消费指南》，聚焦饮食、出行、资源、日用品消费等方面，提出50条行动建议</w:t>
      </w:r>
      <w:r>
        <w:rPr>
          <w:rFonts w:hint="eastAsia" w:ascii="仿宋_GB2312" w:hAnsi="仿宋_GB2312" w:eastAsia="仿宋_GB2312" w:cs="仿宋_GB2312"/>
          <w:color w:val="auto"/>
          <w:sz w:val="32"/>
          <w:szCs w:val="32"/>
          <w:lang w:val="en-US" w:eastAsia="zh-CN"/>
        </w:rPr>
        <w:t>并面向社会征求意见</w:t>
      </w:r>
      <w:r>
        <w:rPr>
          <w:rFonts w:hint="eastAsia" w:ascii="仿宋_GB2312" w:hAnsi="仿宋_GB2312" w:eastAsia="仿宋_GB2312" w:cs="仿宋_GB2312"/>
          <w:color w:val="auto"/>
          <w:sz w:val="32"/>
          <w:szCs w:val="32"/>
        </w:rPr>
        <w:t>，引导广大消费者积极践行绿色低碳理念，推动形成节约资源和保护环境的生活方式和消费方式；联合中国包装联合会、中国快递协会等六家协会发布反对商品过度包装、推动绿色文明倡议。天津、山东、辽宁、广西等地消协组织发布消费提示，引导消费者积极树立绿色消费理念，推行绿色低碳消费方式。</w:t>
      </w:r>
    </w:p>
    <w:p>
      <w:pPr>
        <w:keepNext w:val="0"/>
        <w:keepLines w:val="0"/>
        <w:pageBreakBefore w:val="0"/>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二是积极</w:t>
      </w:r>
      <w:r>
        <w:rPr>
          <w:rFonts w:hint="eastAsia" w:ascii="仿宋_GB2312" w:hAnsi="仿宋_GB2312" w:eastAsia="仿宋_GB2312" w:cs="仿宋_GB2312"/>
          <w:color w:val="auto"/>
          <w:sz w:val="32"/>
          <w:szCs w:val="32"/>
          <w:lang w:val="en-US" w:eastAsia="zh-CN"/>
        </w:rPr>
        <w:t>推进消费领域法制建设</w:t>
      </w:r>
      <w:r>
        <w:rPr>
          <w:rFonts w:hint="eastAsia" w:ascii="仿宋_GB2312" w:hAnsi="仿宋_GB2312" w:eastAsia="仿宋_GB2312" w:cs="仿宋_GB2312"/>
          <w:color w:val="auto"/>
          <w:sz w:val="32"/>
          <w:szCs w:val="32"/>
        </w:rPr>
        <w:t>与</w:t>
      </w:r>
      <w:r>
        <w:rPr>
          <w:rFonts w:hint="eastAsia" w:ascii="仿宋_GB2312" w:hAnsi="仿宋_GB2312" w:eastAsia="仿宋_GB2312" w:cs="仿宋_GB2312"/>
          <w:color w:val="auto"/>
          <w:sz w:val="32"/>
          <w:szCs w:val="32"/>
          <w:lang w:val="en-US" w:eastAsia="zh-CN"/>
        </w:rPr>
        <w:t>公益诉讼</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切实维护</w:t>
      </w:r>
      <w:r>
        <w:rPr>
          <w:rFonts w:hint="eastAsia" w:ascii="仿宋_GB2312" w:hAnsi="仿宋_GB2312" w:eastAsia="仿宋_GB2312" w:cs="仿宋_GB2312"/>
          <w:color w:val="auto"/>
          <w:sz w:val="32"/>
          <w:szCs w:val="32"/>
        </w:rPr>
        <w:t>消费者</w:t>
      </w:r>
      <w:r>
        <w:rPr>
          <w:rFonts w:hint="eastAsia" w:ascii="仿宋_GB2312" w:hAnsi="仿宋_GB2312" w:eastAsia="仿宋_GB2312" w:cs="仿宋_GB2312"/>
          <w:color w:val="auto"/>
          <w:sz w:val="32"/>
          <w:szCs w:val="32"/>
          <w:lang w:val="en-US" w:eastAsia="zh-CN"/>
        </w:rPr>
        <w:t>合法</w:t>
      </w:r>
      <w:r>
        <w:rPr>
          <w:rFonts w:hint="eastAsia" w:ascii="仿宋_GB2312" w:hAnsi="仿宋_GB2312" w:eastAsia="仿宋_GB2312" w:cs="仿宋_GB2312"/>
          <w:color w:val="auto"/>
          <w:sz w:val="32"/>
          <w:szCs w:val="32"/>
        </w:rPr>
        <w:t>权益。</w:t>
      </w:r>
      <w:r>
        <w:rPr>
          <w:rFonts w:hint="eastAsia" w:ascii="仿宋_GB2312" w:hAnsi="仿宋_GB2312" w:eastAsia="仿宋_GB2312" w:cs="仿宋_GB2312"/>
          <w:color w:val="auto"/>
          <w:sz w:val="32"/>
          <w:szCs w:val="32"/>
          <w:shd w:val="clear" w:color="auto" w:fill="FFFFFF"/>
        </w:rPr>
        <w:t>中消协</w:t>
      </w:r>
      <w:r>
        <w:rPr>
          <w:rFonts w:hint="eastAsia" w:ascii="仿宋_GB2312" w:hAnsi="仿宋_GB2312" w:eastAsia="仿宋_GB2312" w:cs="仿宋_GB2312"/>
          <w:color w:val="auto"/>
          <w:sz w:val="32"/>
          <w:szCs w:val="32"/>
        </w:rPr>
        <w:t>先后就《反不正当竞争法》《产品质量法》《工业产品生产许可证管理条例》《纤维制品质量监督管理办法》《网络销售重点工业产品质量安全监督管理规定》《直播电商监督管理办法》等23部法律法规和规章的</w:t>
      </w:r>
      <w:r>
        <w:rPr>
          <w:rFonts w:hint="eastAsia" w:ascii="仿宋_GB2312" w:hAnsi="仿宋_GB2312" w:eastAsia="仿宋_GB2312" w:cs="仿宋_GB2312"/>
          <w:color w:val="auto"/>
          <w:sz w:val="32"/>
          <w:szCs w:val="32"/>
          <w:lang w:val="en-US" w:eastAsia="zh-CN"/>
        </w:rPr>
        <w:t>制定、</w:t>
      </w:r>
      <w:r>
        <w:rPr>
          <w:rFonts w:hint="eastAsia" w:ascii="仿宋_GB2312" w:hAnsi="仿宋_GB2312" w:eastAsia="仿宋_GB2312" w:cs="仿宋_GB2312"/>
          <w:color w:val="auto"/>
          <w:sz w:val="32"/>
          <w:szCs w:val="32"/>
        </w:rPr>
        <w:t>修改提出86条意见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参加最高人民法院两会报告征求意见座谈会，就设置消费者权益保护专门案由、审判中加强消费者权益保护法适用、放宽消费民事公益诉讼限制、加强消费维权司法保护协作等方面提出意见建议</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参与《直播电商平台服务管理基本要求》《网络交易合规数据报送规范》《外卖平台服务管理基本要求》《特种信封国际邮政公事信封》等100余项标准制修订</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针对邮政、电商、外卖等多元消费场景的标准制定提出具体意见，将消费者权益保护诉求融入制度设计。</w:t>
      </w:r>
    </w:p>
    <w:p>
      <w:pPr>
        <w:keepNext w:val="0"/>
        <w:keepLines w:val="0"/>
        <w:pageBreakBefore w:val="0"/>
        <w:widowControl/>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消费公益诉讼是消协组织维护不特定消费者权益的有力手段</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val="en-US" w:eastAsia="zh-CN"/>
        </w:rPr>
        <w:t>2025年，</w:t>
      </w:r>
      <w:r>
        <w:rPr>
          <w:rFonts w:hint="eastAsia" w:ascii="仿宋_GB2312" w:hAnsi="仿宋_GB2312" w:eastAsia="仿宋_GB2312" w:cs="仿宋_GB2312"/>
          <w:color w:val="auto"/>
          <w:sz w:val="32"/>
          <w:szCs w:val="32"/>
          <w:shd w:val="clear" w:color="auto" w:fill="FFFFFF"/>
        </w:rPr>
        <w:t>中消协组织发起对顺风基因科技（潍坊）有限公司等三被告生产销售“北方清晨空气消毒卡”的民事公益诉讼，经一审宣判，主要诉讼请求全部得到法院支持，这是中消协首例异地立案开庭审理的公益诉讼案件。安徽省消保委提起的“免费领养宠物”虚假宣传民事公益诉讼获法院支持；四川省、贵州省、重庆市三省市消协组织联合提起的盗版教材侵权民事公益诉讼案获法院支持，</w:t>
      </w:r>
      <w:r>
        <w:rPr>
          <w:rFonts w:hint="eastAsia" w:ascii="仿宋_GB2312" w:hAnsi="仿宋_GB2312" w:eastAsia="仿宋_GB2312" w:cs="仿宋_GB2312"/>
          <w:color w:val="auto"/>
          <w:sz w:val="32"/>
          <w:szCs w:val="32"/>
          <w:shd w:val="clear" w:color="auto" w:fill="FFFFFF"/>
          <w:lang w:val="en-US" w:eastAsia="zh-CN"/>
        </w:rPr>
        <w:t>对</w:t>
      </w:r>
      <w:r>
        <w:rPr>
          <w:rFonts w:hint="eastAsia" w:ascii="仿宋_GB2312" w:hAnsi="仿宋_GB2312" w:eastAsia="仿宋_GB2312" w:cs="仿宋_GB2312"/>
          <w:color w:val="auto"/>
          <w:sz w:val="32"/>
          <w:szCs w:val="32"/>
          <w:shd w:val="clear" w:color="auto" w:fill="FFFFFF"/>
        </w:rPr>
        <w:t>跨区域协同保护消费者公共利益</w:t>
      </w:r>
      <w:r>
        <w:rPr>
          <w:rFonts w:hint="eastAsia" w:ascii="仿宋_GB2312" w:hAnsi="仿宋_GB2312" w:eastAsia="仿宋_GB2312" w:cs="仿宋_GB2312"/>
          <w:color w:val="auto"/>
          <w:sz w:val="32"/>
          <w:szCs w:val="32"/>
          <w:shd w:val="clear" w:color="auto" w:fill="FFFFFF"/>
          <w:lang w:val="en-US" w:eastAsia="zh-CN"/>
        </w:rPr>
        <w:t>进行了有益探索与实践</w:t>
      </w:r>
      <w:r>
        <w:rPr>
          <w:rFonts w:hint="eastAsia" w:ascii="仿宋_GB2312" w:hAnsi="仿宋_GB2312" w:eastAsia="仿宋_GB2312" w:cs="仿宋_GB2312"/>
          <w:color w:val="auto"/>
          <w:sz w:val="32"/>
          <w:szCs w:val="32"/>
          <w:shd w:val="clear" w:color="auto" w:fill="FFFFFF"/>
        </w:rPr>
        <w:t>。</w:t>
      </w:r>
    </w:p>
    <w:p>
      <w:pPr>
        <w:keepNext w:val="0"/>
        <w:keepLines w:val="0"/>
        <w:pageBreakBefore w:val="0"/>
        <w:widowControl/>
        <w:kinsoku/>
        <w:wordWrap/>
        <w:overflowPunct/>
        <w:topLinePunct w:val="0"/>
        <w:autoSpaceDE/>
        <w:autoSpaceDN/>
        <w:bidi w:val="0"/>
        <w:adjustRightInd/>
        <w:snapToGrid/>
        <w:spacing w:line="594" w:lineRule="exact"/>
        <w:ind w:firstLine="640"/>
        <w:textAlignment w:val="auto"/>
        <w:rPr>
          <w:rFonts w:cs="等线"/>
          <w:color w:val="auto"/>
        </w:rPr>
      </w:pPr>
      <w:r>
        <w:rPr>
          <w:rFonts w:hint="eastAsia" w:ascii="仿宋_GB2312" w:hAnsi="仿宋_GB2312" w:eastAsia="仿宋_GB2312" w:cs="仿宋_GB2312"/>
          <w:color w:val="auto"/>
          <w:sz w:val="32"/>
          <w:szCs w:val="32"/>
        </w:rPr>
        <w:t>三是积极化解消费纠纷，</w:t>
      </w:r>
      <w:r>
        <w:rPr>
          <w:rFonts w:hint="eastAsia" w:ascii="仿宋_GB2312" w:hAnsi="仿宋_GB2312" w:eastAsia="仿宋_GB2312" w:cs="仿宋_GB2312"/>
          <w:color w:val="auto"/>
          <w:sz w:val="32"/>
          <w:szCs w:val="32"/>
          <w:lang w:val="en-US" w:eastAsia="zh-CN"/>
        </w:rPr>
        <w:t>完善投诉数据应用</w:t>
      </w:r>
      <w:r>
        <w:rPr>
          <w:rFonts w:hint="eastAsia" w:ascii="仿宋_GB2312" w:hAnsi="仿宋_GB2312" w:eastAsia="仿宋_GB2312" w:cs="仿宋_GB2312"/>
          <w:color w:val="auto"/>
          <w:sz w:val="32"/>
          <w:szCs w:val="32"/>
        </w:rPr>
        <w:t>。2025年，全国消协组织共受理消费者投诉201.64万件，同比增长14.45%，解决106.54万件，为消费者挽回经济损失9.25亿元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接待消费者来访和咨询60.91万人次。中消协根据投诉数据反映的不同消费领域问题，向国务院研究室、市场监管总局、国家药监局、国家疾控局等部门提供线索72次，涉及舆情线索104条、投诉案例线索469条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发布4期全国消协组织受理投诉情况分析，所反映的部分商家落实“国补”不到位、老年消费陷阱频现等消费维权热点难点问题，引发社会持续关注。</w:t>
      </w:r>
    </w:p>
    <w:p>
      <w:pPr>
        <w:keepNext w:val="0"/>
        <w:keepLines w:val="0"/>
        <w:pageBreakBefore w:val="0"/>
        <w:widowControl/>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全国各地消协组织聚焦重点行业领域，积极推进消费投诉纠纷解决。湖北省消委会发布《消费纠纷诉源治理活动实施方案》，强化消费纠纷源头治理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深圳市消委会发布驾驶培训行业投诉处理评价指数排行榜，帮助消费者直观甄别驾培机构服务质量；四川省消委会</w:t>
      </w:r>
      <w:r>
        <w:rPr>
          <w:rFonts w:hint="eastAsia" w:ascii="仿宋_GB2312" w:hAnsi="仿宋_GB2312" w:eastAsia="仿宋_GB2312" w:cs="仿宋_GB2312"/>
          <w:bCs/>
          <w:color w:val="auto"/>
          <w:kern w:val="0"/>
          <w:sz w:val="32"/>
          <w:szCs w:val="32"/>
        </w:rPr>
        <w:t>公示投诉案件信息，</w:t>
      </w:r>
      <w:r>
        <w:rPr>
          <w:rFonts w:hint="eastAsia" w:ascii="仿宋_GB2312" w:hAnsi="仿宋_GB2312" w:eastAsia="仿宋_GB2312" w:cs="仿宋_GB2312"/>
          <w:color w:val="auto"/>
          <w:sz w:val="32"/>
          <w:szCs w:val="32"/>
        </w:rPr>
        <w:t>曝光4家公司“培训贷”消费陷阱典型案例；</w:t>
      </w:r>
      <w:bookmarkStart w:id="90" w:name="OLE_LINK79"/>
      <w:r>
        <w:rPr>
          <w:rFonts w:hint="eastAsia" w:ascii="仿宋_GB2312" w:hAnsi="仿宋_GB2312" w:eastAsia="仿宋_GB2312" w:cs="仿宋_GB2312"/>
          <w:color w:val="auto"/>
          <w:sz w:val="32"/>
          <w:szCs w:val="32"/>
        </w:rPr>
        <w:t>浙江</w:t>
      </w:r>
      <w:r>
        <w:rPr>
          <w:rFonts w:hint="eastAsia" w:ascii="仿宋_GB2312" w:hAnsi="仿宋_GB2312" w:eastAsia="仿宋_GB2312" w:cs="仿宋_GB2312"/>
          <w:color w:val="auto"/>
          <w:sz w:val="32"/>
          <w:szCs w:val="32"/>
          <w:lang w:val="en-US" w:eastAsia="zh-CN"/>
        </w:rPr>
        <w:t>省</w:t>
      </w:r>
      <w:r>
        <w:rPr>
          <w:rFonts w:hint="eastAsia" w:ascii="仿宋_GB2312" w:hAnsi="仿宋_GB2312" w:eastAsia="仿宋_GB2312" w:cs="仿宋_GB2312"/>
          <w:color w:val="auto"/>
          <w:sz w:val="32"/>
          <w:szCs w:val="32"/>
        </w:rPr>
        <w:t>消保委</w:t>
      </w:r>
      <w:r>
        <w:rPr>
          <w:rFonts w:hint="eastAsia" w:ascii="仿宋_GB2312" w:hAnsi="仿宋_GB2312" w:eastAsia="仿宋_GB2312" w:cs="仿宋_GB2312"/>
          <w:color w:val="auto"/>
          <w:sz w:val="32"/>
          <w:szCs w:val="32"/>
          <w:lang w:val="en-US" w:eastAsia="zh-CN"/>
        </w:rPr>
        <w:t>与</w:t>
      </w:r>
      <w:r>
        <w:rPr>
          <w:rFonts w:hint="eastAsia" w:ascii="仿宋_GB2312" w:hAnsi="仿宋_GB2312" w:eastAsia="仿宋_GB2312" w:cs="仿宋_GB2312"/>
          <w:color w:val="auto"/>
          <w:sz w:val="32"/>
          <w:szCs w:val="32"/>
        </w:rPr>
        <w:t>香港消委会签署《合作备忘录》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设立全国首个跨境消费服务站，</w:t>
      </w:r>
      <w:bookmarkEnd w:id="90"/>
      <w:r>
        <w:rPr>
          <w:rFonts w:hint="eastAsia" w:ascii="仿宋_GB2312" w:hAnsi="仿宋_GB2312" w:eastAsia="仿宋_GB2312" w:cs="仿宋_GB2312"/>
          <w:color w:val="auto"/>
          <w:sz w:val="32"/>
          <w:szCs w:val="32"/>
          <w:lang w:val="en-US" w:eastAsia="zh-CN"/>
        </w:rPr>
        <w:t>积极推进</w:t>
      </w:r>
      <w:r>
        <w:rPr>
          <w:rFonts w:hint="eastAsia" w:ascii="仿宋_GB2312" w:hAnsi="仿宋_GB2312" w:eastAsia="仿宋_GB2312" w:cs="仿宋_GB2312"/>
          <w:color w:val="auto"/>
          <w:sz w:val="32"/>
          <w:szCs w:val="32"/>
        </w:rPr>
        <w:t>跨境消费纠纷处置路径</w:t>
      </w:r>
      <w:r>
        <w:rPr>
          <w:rFonts w:hint="eastAsia" w:ascii="仿宋_GB2312" w:hAnsi="仿宋_GB2312" w:eastAsia="仿宋_GB2312" w:cs="仿宋_GB2312"/>
          <w:color w:val="auto"/>
          <w:sz w:val="32"/>
          <w:szCs w:val="32"/>
          <w:lang w:val="en-US" w:eastAsia="zh-CN"/>
        </w:rPr>
        <w:t>建设</w:t>
      </w:r>
      <w:r>
        <w:rPr>
          <w:rFonts w:hint="eastAsia" w:ascii="仿宋_GB2312" w:hAnsi="仿宋_GB2312" w:eastAsia="仿宋_GB2312" w:cs="仿宋_GB2312"/>
          <w:color w:val="auto"/>
          <w:sz w:val="32"/>
          <w:szCs w:val="32"/>
        </w:rPr>
        <w:t>；广东、河北、黑龙江、重庆、安徽等地消协组织通过工作交流培训、调解技能大赛、有奖知识问答等活动，扎实提升投诉处理业务能力。</w:t>
      </w:r>
    </w:p>
    <w:p>
      <w:pPr>
        <w:keepNext w:val="0"/>
        <w:keepLines w:val="0"/>
        <w:pageBreakBefore w:val="0"/>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shd w:val="clear" w:color="auto" w:fill="FFFFFF"/>
        </w:rPr>
        <w:t>四是有力开展社会监督，持续推进消费环境建设。</w:t>
      </w:r>
      <w:r>
        <w:rPr>
          <w:rFonts w:hint="eastAsia" w:ascii="仿宋_GB2312" w:hAnsi="仿宋_GB2312" w:eastAsia="仿宋_GB2312" w:cs="仿宋_GB2312"/>
          <w:color w:val="auto"/>
          <w:sz w:val="32"/>
          <w:szCs w:val="32"/>
        </w:rPr>
        <w:t>围绕预付式消费、医美消费、物业服务、商品过度包装等</w:t>
      </w:r>
      <w:r>
        <w:rPr>
          <w:rFonts w:hint="eastAsia" w:ascii="仿宋_GB2312" w:hAnsi="仿宋_GB2312" w:eastAsia="仿宋_GB2312" w:cs="仿宋_GB2312"/>
          <w:color w:val="auto"/>
          <w:sz w:val="32"/>
          <w:szCs w:val="32"/>
          <w:lang w:val="en-US" w:eastAsia="zh-CN"/>
        </w:rPr>
        <w:t>消费领域重点</w:t>
      </w:r>
      <w:r>
        <w:rPr>
          <w:rFonts w:hint="eastAsia" w:ascii="仿宋_GB2312" w:hAnsi="仿宋_GB2312" w:eastAsia="仿宋_GB2312" w:cs="仿宋_GB2312"/>
          <w:color w:val="auto"/>
          <w:sz w:val="32"/>
          <w:szCs w:val="32"/>
        </w:rPr>
        <w:t>问题，</w:t>
      </w:r>
      <w:r>
        <w:rPr>
          <w:rFonts w:hint="eastAsia" w:ascii="仿宋_GB2312" w:hAnsi="仿宋_GB2312" w:eastAsia="仿宋_GB2312" w:cs="仿宋_GB2312"/>
          <w:color w:val="auto"/>
          <w:sz w:val="32"/>
          <w:szCs w:val="32"/>
          <w:shd w:val="clear" w:color="auto" w:fill="FFFFFF"/>
        </w:rPr>
        <w:t>中消协和地方消协组织积极开展社会监督，督促相关经营者落实整改举措</w:t>
      </w:r>
      <w:r>
        <w:rPr>
          <w:rFonts w:hint="eastAsia" w:ascii="仿宋_GB2312" w:hAnsi="仿宋_GB2312" w:eastAsia="仿宋_GB2312" w:cs="仿宋_GB2312"/>
          <w:color w:val="auto"/>
          <w:sz w:val="32"/>
          <w:szCs w:val="32"/>
        </w:rPr>
        <w:t>，为相关部门优化工作</w:t>
      </w:r>
      <w:r>
        <w:rPr>
          <w:rFonts w:hint="eastAsia" w:ascii="仿宋_GB2312" w:hAnsi="仿宋_GB2312" w:eastAsia="仿宋_GB2312" w:cs="仿宋_GB2312"/>
          <w:color w:val="auto"/>
          <w:sz w:val="32"/>
          <w:szCs w:val="32"/>
          <w:lang w:val="en-US" w:eastAsia="zh-CN"/>
        </w:rPr>
        <w:t>程序</w:t>
      </w:r>
      <w:r>
        <w:rPr>
          <w:rFonts w:hint="eastAsia" w:ascii="仿宋_GB2312" w:hAnsi="仿宋_GB2312" w:eastAsia="仿宋_GB2312" w:cs="仿宋_GB2312"/>
          <w:color w:val="auto"/>
          <w:sz w:val="32"/>
          <w:szCs w:val="32"/>
        </w:rPr>
        <w:t>、完善治理提供参考。2025年，中消协先后就航空公司加价选座、婚恋服务市场乱象、十大领域不公平格式条款</w:t>
      </w:r>
      <w:r>
        <w:rPr>
          <w:rFonts w:hint="eastAsia" w:ascii="仿宋_GB2312" w:hAnsi="仿宋_GB2312" w:eastAsia="仿宋_GB2312" w:cs="仿宋_GB2312"/>
          <w:color w:val="auto"/>
          <w:sz w:val="32"/>
          <w:szCs w:val="32"/>
          <w:lang w:val="en-US" w:eastAsia="zh-CN"/>
        </w:rPr>
        <w:t>等各类消费现象</w:t>
      </w:r>
      <w:r>
        <w:rPr>
          <w:rFonts w:hint="eastAsia" w:ascii="仿宋_GB2312" w:hAnsi="仿宋_GB2312" w:eastAsia="仿宋_GB2312" w:cs="仿宋_GB2312"/>
          <w:color w:val="auto"/>
          <w:sz w:val="32"/>
          <w:szCs w:val="32"/>
        </w:rPr>
        <w:t>及时发布消协观点，</w:t>
      </w:r>
      <w:r>
        <w:rPr>
          <w:rFonts w:hint="eastAsia" w:ascii="仿宋_GB2312" w:hAnsi="仿宋_GB2312" w:eastAsia="仿宋_GB2312" w:cs="仿宋_GB2312"/>
          <w:color w:val="auto"/>
          <w:sz w:val="32"/>
          <w:szCs w:val="32"/>
          <w:lang w:val="en-US" w:eastAsia="zh-CN"/>
        </w:rPr>
        <w:t>推动</w:t>
      </w:r>
      <w:r>
        <w:rPr>
          <w:rFonts w:hint="eastAsia" w:ascii="仿宋_GB2312" w:hAnsi="仿宋_GB2312" w:eastAsia="仿宋_GB2312" w:cs="仿宋_GB2312"/>
          <w:color w:val="auto"/>
          <w:sz w:val="32"/>
          <w:szCs w:val="32"/>
        </w:rPr>
        <w:t>有关方面</w:t>
      </w:r>
      <w:r>
        <w:rPr>
          <w:rFonts w:hint="eastAsia" w:ascii="仿宋_GB2312" w:hAnsi="仿宋_GB2312" w:eastAsia="仿宋_GB2312" w:cs="仿宋_GB2312"/>
          <w:color w:val="auto"/>
          <w:sz w:val="32"/>
          <w:szCs w:val="32"/>
          <w:lang w:val="en-US" w:eastAsia="zh-CN"/>
        </w:rPr>
        <w:t>积极解决相关问题</w:t>
      </w:r>
      <w:r>
        <w:rPr>
          <w:rFonts w:hint="eastAsia" w:ascii="仿宋_GB2312" w:hAnsi="仿宋_GB2312" w:eastAsia="仿宋_GB2312" w:cs="仿宋_GB2312"/>
          <w:color w:val="auto"/>
          <w:sz w:val="32"/>
          <w:szCs w:val="32"/>
        </w:rPr>
        <w:t>；发布2024年十大消费维权舆情热点和2025年春节、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五一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十一</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消费维权舆情分析报告，揭露批评侵害消费者合法权益突出问题，提出应对建议。</w:t>
      </w:r>
    </w:p>
    <w:p>
      <w:pPr>
        <w:keepNext w:val="0"/>
        <w:keepLines w:val="0"/>
        <w:pageBreakBefore w:val="0"/>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lang w:val="en-US" w:eastAsia="zh-CN"/>
        </w:rPr>
        <w:t>各地消协组织积极作为，切实履行社会监督职责。</w:t>
      </w:r>
      <w:r>
        <w:rPr>
          <w:rFonts w:hint="eastAsia" w:ascii="仿宋_GB2312" w:hAnsi="仿宋_GB2312" w:eastAsia="仿宋_GB2312" w:cs="仿宋_GB2312"/>
          <w:color w:val="auto"/>
          <w:sz w:val="32"/>
          <w:szCs w:val="32"/>
        </w:rPr>
        <w:t>济南</w:t>
      </w:r>
      <w:r>
        <w:rPr>
          <w:rFonts w:hint="eastAsia" w:ascii="仿宋_GB2312" w:hAnsi="仿宋_GB2312" w:eastAsia="仿宋_GB2312" w:cs="仿宋_GB2312"/>
          <w:color w:val="auto"/>
          <w:sz w:val="32"/>
          <w:szCs w:val="32"/>
          <w:lang w:val="en-US" w:eastAsia="zh-CN"/>
        </w:rPr>
        <w:t>市</w:t>
      </w:r>
      <w:r>
        <w:rPr>
          <w:rFonts w:hint="eastAsia" w:ascii="仿宋_GB2312" w:hAnsi="仿宋_GB2312" w:eastAsia="仿宋_GB2312" w:cs="仿宋_GB2312"/>
          <w:color w:val="auto"/>
          <w:sz w:val="32"/>
          <w:szCs w:val="32"/>
        </w:rPr>
        <w:t>推出“预付宝”，构建“资金信托、动态监管、风险熔断”三位一体机制，为预付式消费资金安全提供有力保障；山西、浙江、广东、济南等地消协组织依法对网约车、旅游平台、职业技能培训、图书印制等</w:t>
      </w:r>
      <w:r>
        <w:rPr>
          <w:rFonts w:hint="eastAsia" w:ascii="仿宋_GB2312" w:hAnsi="仿宋_GB2312" w:eastAsia="仿宋_GB2312" w:cs="仿宋_GB2312"/>
          <w:color w:val="auto"/>
          <w:sz w:val="32"/>
          <w:szCs w:val="32"/>
          <w:lang w:val="en-US" w:eastAsia="zh-CN"/>
        </w:rPr>
        <w:t>领域</w:t>
      </w:r>
      <w:r>
        <w:rPr>
          <w:rFonts w:hint="eastAsia" w:ascii="仿宋_GB2312" w:hAnsi="仿宋_GB2312" w:eastAsia="仿宋_GB2312" w:cs="仿宋_GB2312"/>
          <w:color w:val="auto"/>
          <w:sz w:val="32"/>
          <w:szCs w:val="32"/>
        </w:rPr>
        <w:t>存在问题的企业进行指导谈话，督促加强消费者权益保护；辽宁、山东、湖北、江西、四川、广西、甘肃等地消协组织聚焦婴幼儿、青少年群体消费权益</w:t>
      </w:r>
      <w:r>
        <w:rPr>
          <w:rFonts w:hint="eastAsia" w:ascii="仿宋_GB2312" w:hAnsi="仿宋_GB2312" w:eastAsia="仿宋_GB2312" w:cs="仿宋_GB2312"/>
          <w:color w:val="auto"/>
          <w:sz w:val="32"/>
          <w:szCs w:val="32"/>
          <w:lang w:val="en-US" w:eastAsia="zh-CN"/>
        </w:rPr>
        <w:t>保护</w:t>
      </w:r>
      <w:r>
        <w:rPr>
          <w:rFonts w:hint="eastAsia" w:ascii="仿宋_GB2312" w:hAnsi="仿宋_GB2312" w:eastAsia="仿宋_GB2312" w:cs="仿宋_GB2312"/>
          <w:color w:val="auto"/>
          <w:sz w:val="32"/>
          <w:szCs w:val="32"/>
        </w:rPr>
        <w:t>发布观点意见，产生积极影响；天津、内蒙古、安徽、湖南、江西、云南、青海等地消协组织陆续发布消费维权舆情和投诉分析，及时反映投诉热点和消协意见；</w:t>
      </w:r>
      <w:r>
        <w:rPr>
          <w:rFonts w:hint="eastAsia" w:ascii="仿宋_GB2312" w:hAnsi="仿宋_GB2312" w:eastAsia="仿宋_GB2312" w:cs="仿宋_GB2312"/>
          <w:color w:val="auto"/>
          <w:sz w:val="32"/>
          <w:szCs w:val="32"/>
          <w:shd w:val="clear" w:color="auto" w:fill="FFFFFF"/>
        </w:rPr>
        <w:t>上海市消</w:t>
      </w:r>
      <w:r>
        <w:rPr>
          <w:rFonts w:hint="eastAsia" w:ascii="仿宋_GB2312" w:hAnsi="仿宋_GB2312" w:eastAsia="仿宋_GB2312" w:cs="仿宋_GB2312"/>
          <w:color w:val="auto"/>
          <w:sz w:val="32"/>
          <w:szCs w:val="32"/>
        </w:rPr>
        <w:t>保委</w:t>
      </w:r>
      <w:r>
        <w:rPr>
          <w:rFonts w:hint="eastAsia" w:ascii="仿宋_GB2312" w:hAnsi="仿宋_GB2312" w:eastAsia="仿宋_GB2312" w:cs="仿宋_GB2312"/>
          <w:color w:val="auto"/>
          <w:sz w:val="32"/>
          <w:szCs w:val="32"/>
          <w:lang w:val="en-US" w:eastAsia="zh-CN"/>
        </w:rPr>
        <w:t>就</w:t>
      </w:r>
      <w:r>
        <w:rPr>
          <w:rFonts w:hint="eastAsia" w:ascii="仿宋_GB2312" w:hAnsi="仿宋_GB2312" w:eastAsia="仿宋_GB2312" w:cs="仿宋_GB2312"/>
          <w:color w:val="auto"/>
          <w:sz w:val="32"/>
          <w:szCs w:val="32"/>
        </w:rPr>
        <w:t>“北京同仁堂99%高纯南极磷虾油”涉嫌造假一事，</w:t>
      </w:r>
      <w:r>
        <w:rPr>
          <w:rFonts w:hint="eastAsia" w:ascii="仿宋_GB2312" w:hAnsi="仿宋_GB2312" w:eastAsia="仿宋_GB2312" w:cs="仿宋_GB2312"/>
          <w:color w:val="auto"/>
          <w:sz w:val="32"/>
          <w:szCs w:val="32"/>
          <w:shd w:val="clear" w:color="auto" w:fill="FFFFFF"/>
        </w:rPr>
        <w:t>约谈哈博药业有限公司（</w:t>
      </w:r>
      <w:r>
        <w:rPr>
          <w:rFonts w:hint="eastAsia" w:ascii="仿宋_GB2312" w:hAnsi="仿宋_GB2312" w:eastAsia="仿宋_GB2312" w:cs="仿宋_GB2312"/>
          <w:color w:val="auto"/>
          <w:sz w:val="32"/>
          <w:szCs w:val="32"/>
          <w:shd w:val="clear" w:color="auto" w:fill="FFFFFF"/>
          <w:lang w:val="en-US" w:eastAsia="zh-CN"/>
        </w:rPr>
        <w:t>生产商</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color w:val="auto"/>
          <w:sz w:val="32"/>
          <w:szCs w:val="32"/>
          <w:shd w:val="clear" w:color="auto" w:fill="FFFFFF"/>
          <w:lang w:val="en-US" w:eastAsia="zh-CN"/>
        </w:rPr>
        <w:t>和</w:t>
      </w:r>
      <w:r>
        <w:rPr>
          <w:rFonts w:hint="eastAsia" w:ascii="仿宋_GB2312" w:hAnsi="仿宋_GB2312" w:eastAsia="仿宋_GB2312" w:cs="仿宋_GB2312"/>
          <w:color w:val="auto"/>
          <w:sz w:val="32"/>
          <w:szCs w:val="32"/>
          <w:shd w:val="clear" w:color="auto" w:fill="FFFFFF"/>
        </w:rPr>
        <w:t>同仁堂（四川）健康药业有限公司</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经销商</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，敦促其</w:t>
      </w:r>
      <w:r>
        <w:rPr>
          <w:rFonts w:hint="eastAsia" w:ascii="仿宋_GB2312" w:hAnsi="仿宋_GB2312" w:eastAsia="仿宋_GB2312" w:cs="仿宋_GB2312"/>
          <w:color w:val="auto"/>
          <w:kern w:val="0"/>
          <w:sz w:val="32"/>
          <w:szCs w:val="32"/>
        </w:rPr>
        <w:t>立即自查，做出诚恳道歉，召回问题产品，为消费者办理退换货并依法赔偿</w:t>
      </w:r>
      <w:r>
        <w:rPr>
          <w:rFonts w:hint="eastAsia" w:ascii="仿宋_GB2312" w:hAnsi="仿宋_GB2312" w:eastAsia="仿宋_GB2312" w:cs="仿宋_GB2312"/>
          <w:color w:val="auto"/>
          <w:sz w:val="32"/>
          <w:szCs w:val="32"/>
          <w:shd w:val="clear" w:color="auto" w:fill="FFFFFF"/>
        </w:rPr>
        <w:t>。</w:t>
      </w:r>
    </w:p>
    <w:p>
      <w:pPr>
        <w:pStyle w:val="23"/>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五</w:t>
      </w:r>
      <w:r>
        <w:rPr>
          <w:rFonts w:hint="eastAsia" w:ascii="仿宋_GB2312" w:hAnsi="仿宋_GB2312" w:eastAsia="仿宋_GB2312" w:cs="仿宋_GB2312"/>
          <w:color w:val="auto"/>
          <w:sz w:val="32"/>
          <w:szCs w:val="32"/>
        </w:rPr>
        <w:t>是开展消费教育宣传，大力</w:t>
      </w:r>
      <w:r>
        <w:rPr>
          <w:rFonts w:hint="eastAsia" w:ascii="仿宋_GB2312" w:hAnsi="仿宋_GB2312" w:eastAsia="仿宋_GB2312" w:cs="仿宋_GB2312"/>
          <w:color w:val="auto"/>
          <w:sz w:val="32"/>
          <w:szCs w:val="32"/>
          <w:lang w:val="en-US" w:eastAsia="zh-CN"/>
        </w:rPr>
        <w:t>传播消费知识</w:t>
      </w:r>
      <w:r>
        <w:rPr>
          <w:rFonts w:hint="eastAsia" w:ascii="仿宋_GB2312" w:hAnsi="仿宋_GB2312" w:eastAsia="仿宋_GB2312" w:cs="仿宋_GB2312"/>
          <w:color w:val="auto"/>
          <w:sz w:val="32"/>
          <w:szCs w:val="32"/>
        </w:rPr>
        <w:t>。中消协</w:t>
      </w:r>
      <w:r>
        <w:rPr>
          <w:rFonts w:hint="eastAsia" w:ascii="仿宋_GB2312" w:hAnsi="仿宋_GB2312" w:eastAsia="仿宋_GB2312" w:cs="仿宋_GB2312"/>
          <w:color w:val="auto"/>
          <w:sz w:val="32"/>
          <w:szCs w:val="32"/>
          <w:lang w:val="en-US" w:eastAsia="zh-CN"/>
        </w:rPr>
        <w:t>持续</w:t>
      </w:r>
      <w:r>
        <w:rPr>
          <w:rFonts w:hint="eastAsia" w:ascii="仿宋_GB2312" w:hAnsi="仿宋_GB2312" w:eastAsia="仿宋_GB2312" w:cs="仿宋_GB2312"/>
          <w:color w:val="auto"/>
          <w:sz w:val="32"/>
          <w:szCs w:val="32"/>
        </w:rPr>
        <w:t>开展《消费者权益保护法实施条例》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以下简称</w:t>
      </w:r>
      <w:r>
        <w:rPr>
          <w:rFonts w:hint="eastAsia" w:ascii="仿宋_GB2312" w:hAnsi="仿宋_GB2312" w:eastAsia="仿宋_GB2312" w:cs="仿宋_GB2312"/>
          <w:color w:val="auto"/>
          <w:sz w:val="32"/>
          <w:szCs w:val="32"/>
        </w:rPr>
        <w:t>《</w:t>
      </w:r>
      <w:bookmarkStart w:id="91" w:name="OLE_LINK87"/>
      <w:r>
        <w:rPr>
          <w:rFonts w:hint="eastAsia" w:ascii="仿宋_GB2312" w:hAnsi="仿宋_GB2312" w:eastAsia="仿宋_GB2312" w:cs="仿宋_GB2312"/>
          <w:color w:val="auto"/>
          <w:sz w:val="32"/>
          <w:szCs w:val="32"/>
        </w:rPr>
        <w:t>消保</w:t>
      </w:r>
      <w:bookmarkEnd w:id="91"/>
      <w:r>
        <w:rPr>
          <w:rFonts w:hint="eastAsia" w:ascii="仿宋_GB2312" w:hAnsi="仿宋_GB2312" w:eastAsia="仿宋_GB2312" w:cs="仿宋_GB2312"/>
          <w:color w:val="auto"/>
          <w:sz w:val="32"/>
          <w:szCs w:val="32"/>
        </w:rPr>
        <w:t>条例》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普法宣传</w:t>
      </w:r>
      <w:r>
        <w:rPr>
          <w:rFonts w:hint="eastAsia" w:ascii="仿宋_GB2312" w:hAnsi="仿宋_GB2312" w:eastAsia="仿宋_GB2312" w:cs="仿宋_GB2312"/>
          <w:color w:val="auto"/>
          <w:sz w:val="32"/>
          <w:szCs w:val="32"/>
          <w:lang w:val="en-US" w:eastAsia="zh-CN"/>
        </w:rPr>
        <w:t>工作</w:t>
      </w:r>
      <w:r>
        <w:rPr>
          <w:rFonts w:hint="eastAsia" w:ascii="仿宋_GB2312" w:hAnsi="仿宋_GB2312" w:eastAsia="仿宋_GB2312" w:cs="仿宋_GB2312"/>
          <w:color w:val="auto"/>
          <w:sz w:val="32"/>
          <w:szCs w:val="32"/>
        </w:rPr>
        <w:t>，编写条例辅导读本</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积极推进《</w:t>
      </w:r>
      <w:r>
        <w:rPr>
          <w:rFonts w:hint="eastAsia" w:ascii="仿宋_GB2312" w:hAnsi="仿宋_GB2312" w:eastAsia="仿宋_GB2312" w:cs="仿宋_GB2312"/>
          <w:color w:val="auto"/>
          <w:sz w:val="32"/>
          <w:szCs w:val="32"/>
        </w:rPr>
        <w:t>消保</w:t>
      </w:r>
      <w:r>
        <w:rPr>
          <w:rFonts w:hint="eastAsia" w:ascii="仿宋_GB2312" w:hAnsi="仿宋_GB2312" w:eastAsia="仿宋_GB2312" w:cs="仿宋_GB2312"/>
          <w:color w:val="auto"/>
          <w:sz w:val="32"/>
          <w:szCs w:val="32"/>
          <w:lang w:val="en-US" w:eastAsia="zh-CN"/>
        </w:rPr>
        <w:t>条例》宣贯工作</w:t>
      </w:r>
      <w:r>
        <w:rPr>
          <w:rFonts w:hint="eastAsia" w:ascii="仿宋_GB2312" w:hAnsi="仿宋_GB2312" w:eastAsia="仿宋_GB2312" w:cs="仿宋_GB2312"/>
          <w:color w:val="auto"/>
          <w:sz w:val="32"/>
          <w:szCs w:val="32"/>
        </w:rPr>
        <w:t>；组织开展“预付式消费司法解释有奖知识竞答”活动，17.2万名消费者参与竞答；开展12期“月月3·15”律师在线答疑活动，总阅读量超</w:t>
      </w:r>
      <w:r>
        <w:rPr>
          <w:rFonts w:hint="eastAsia" w:ascii="仿宋_GB2312" w:hAnsi="仿宋_GB2312" w:eastAsia="仿宋_GB2312" w:cs="仿宋_GB2312"/>
          <w:color w:val="auto"/>
          <w:sz w:val="32"/>
          <w:szCs w:val="32"/>
          <w:lang w:val="en-US" w:eastAsia="zh-CN"/>
        </w:rPr>
        <w:t>980</w:t>
      </w:r>
      <w:r>
        <w:rPr>
          <w:rFonts w:hint="eastAsia" w:ascii="仿宋_GB2312" w:hAnsi="仿宋_GB2312" w:eastAsia="仿宋_GB2312" w:cs="仿宋_GB2312"/>
          <w:color w:val="auto"/>
          <w:sz w:val="32"/>
          <w:szCs w:val="32"/>
        </w:rPr>
        <w:t>万人次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2025年，中消协积极实施</w:t>
      </w:r>
      <w:r>
        <w:rPr>
          <w:rFonts w:hint="eastAsia" w:ascii="仿宋_GB2312" w:hAnsi="仿宋_GB2312" w:eastAsia="仿宋_GB2312" w:cs="仿宋_GB2312"/>
          <w:color w:val="auto"/>
          <w:sz w:val="32"/>
          <w:szCs w:val="32"/>
        </w:rPr>
        <w:t>消费教育品牌</w:t>
      </w:r>
      <w:r>
        <w:rPr>
          <w:rFonts w:hint="eastAsia" w:ascii="仿宋_GB2312" w:hAnsi="仿宋_GB2312" w:eastAsia="仿宋_GB2312" w:cs="仿宋_GB2312"/>
          <w:color w:val="auto"/>
          <w:sz w:val="32"/>
          <w:szCs w:val="32"/>
          <w:lang w:val="en-US" w:eastAsia="zh-CN"/>
        </w:rPr>
        <w:t>建设</w:t>
      </w:r>
      <w:r>
        <w:rPr>
          <w:rFonts w:hint="eastAsia" w:ascii="仿宋_GB2312" w:hAnsi="仿宋_GB2312" w:eastAsia="仿宋_GB2312" w:cs="仿宋_GB2312"/>
          <w:color w:val="auto"/>
          <w:sz w:val="32"/>
          <w:szCs w:val="32"/>
        </w:rPr>
        <w:t>，全年累计发布43期“消协有话说”消费教育短视频，累计阅读量超1247万人次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举办</w:t>
      </w:r>
      <w:r>
        <w:rPr>
          <w:rFonts w:hint="eastAsia" w:ascii="仿宋_GB2312" w:hAnsi="仿宋_GB2312" w:eastAsia="仿宋_GB2312" w:cs="仿宋_GB2312"/>
          <w:color w:val="auto"/>
          <w:sz w:val="32"/>
          <w:szCs w:val="32"/>
        </w:rPr>
        <w:t>10期“甘家口消费大讲堂”，</w:t>
      </w:r>
      <w:r>
        <w:rPr>
          <w:rFonts w:hint="eastAsia" w:ascii="仿宋_GB2312" w:hAnsi="仿宋_GB2312" w:eastAsia="仿宋_GB2312" w:cs="仿宋_GB2312"/>
          <w:color w:val="auto"/>
          <w:sz w:val="32"/>
          <w:szCs w:val="32"/>
          <w:lang w:val="en-US" w:eastAsia="zh-CN"/>
        </w:rPr>
        <w:t>围绕环保家装、医疗美容等热点领域，为广大消费者讲授消费及维权知识；大力</w:t>
      </w:r>
      <w:r>
        <w:rPr>
          <w:rFonts w:hint="eastAsia" w:ascii="仿宋_GB2312" w:hAnsi="仿宋_GB2312" w:eastAsia="仿宋_GB2312" w:cs="仿宋_GB2312"/>
          <w:color w:val="auto"/>
          <w:sz w:val="32"/>
          <w:szCs w:val="32"/>
        </w:rPr>
        <w:t>推进3C家电、人民消费、数字消费等3家网上消费教育课堂建设，广泛宣传消协主张，传播消费知识，累计访问量达790万人次。</w:t>
      </w:r>
    </w:p>
    <w:p>
      <w:pPr>
        <w:pStyle w:val="23"/>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地方消协组织开展形式多样的消费宣传教育活动。京津冀消协</w:t>
      </w:r>
      <w:r>
        <w:rPr>
          <w:rFonts w:hint="eastAsia" w:ascii="仿宋_GB2312" w:hAnsi="仿宋_GB2312" w:eastAsia="仿宋_GB2312" w:cs="仿宋_GB2312"/>
          <w:color w:val="auto"/>
          <w:sz w:val="32"/>
          <w:szCs w:val="32"/>
          <w:lang w:val="en-US" w:eastAsia="zh-CN"/>
        </w:rPr>
        <w:t>组织</w:t>
      </w:r>
      <w:r>
        <w:rPr>
          <w:rFonts w:hint="eastAsia" w:ascii="仿宋_GB2312" w:hAnsi="仿宋_GB2312" w:eastAsia="仿宋_GB2312" w:cs="仿宋_GB2312"/>
          <w:color w:val="auto"/>
          <w:sz w:val="32"/>
          <w:szCs w:val="32"/>
        </w:rPr>
        <w:t>开展百场“线上直播+线下课堂”公益讲座，助力消费者提升风险辨识能力和自我保护水平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浙江省消保委举办“网络消费安全”主题宣传教育活动，指导消费者防范消费陷阱</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依法</w:t>
      </w:r>
      <w:r>
        <w:rPr>
          <w:rFonts w:hint="eastAsia" w:ascii="仿宋_GB2312" w:hAnsi="仿宋_GB2312" w:eastAsia="仿宋_GB2312" w:cs="仿宋_GB2312"/>
          <w:color w:val="auto"/>
          <w:sz w:val="32"/>
          <w:szCs w:val="32"/>
          <w:lang w:val="en-US" w:eastAsia="zh-CN"/>
        </w:rPr>
        <w:t>维护</w:t>
      </w:r>
      <w:r>
        <w:rPr>
          <w:rFonts w:hint="eastAsia" w:ascii="仿宋_GB2312" w:hAnsi="仿宋_GB2312" w:eastAsia="仿宋_GB2312" w:cs="仿宋_GB2312"/>
          <w:color w:val="auto"/>
          <w:sz w:val="32"/>
          <w:szCs w:val="32"/>
        </w:rPr>
        <w:t>权益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广西自治区消委会开展老年消费教育活动，提升老年群体消费维权意识和风险防范能力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山东省消协</w:t>
      </w:r>
      <w:r>
        <w:rPr>
          <w:rFonts w:hint="eastAsia" w:ascii="仿宋_GB2312" w:hAnsi="仿宋_GB2312" w:eastAsia="仿宋_GB2312" w:cs="仿宋_GB2312"/>
          <w:color w:val="auto"/>
          <w:sz w:val="32"/>
          <w:szCs w:val="32"/>
          <w:lang w:val="en-US" w:eastAsia="zh-CN"/>
        </w:rPr>
        <w:t>先后</w:t>
      </w:r>
      <w:r>
        <w:rPr>
          <w:rFonts w:hint="eastAsia" w:ascii="仿宋_GB2312" w:hAnsi="仿宋_GB2312" w:eastAsia="仿宋_GB2312" w:cs="仿宋_GB2312"/>
          <w:color w:val="auto"/>
          <w:sz w:val="32"/>
          <w:szCs w:val="32"/>
        </w:rPr>
        <w:t>发布共促“人工智能+消费”健康发展、推进生猪产品全链条信息化追溯、共筑“无障有爱”消费环境等倡议书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福建省消委会</w:t>
      </w:r>
      <w:r>
        <w:rPr>
          <w:rFonts w:hint="eastAsia" w:ascii="仿宋_GB2312" w:hAnsi="仿宋_GB2312" w:eastAsia="仿宋_GB2312" w:cs="仿宋_GB2312"/>
          <w:color w:val="auto"/>
          <w:sz w:val="32"/>
          <w:szCs w:val="32"/>
          <w:lang w:val="en-US" w:eastAsia="zh-CN"/>
        </w:rPr>
        <w:t>组织</w:t>
      </w:r>
      <w:r>
        <w:rPr>
          <w:rFonts w:hint="eastAsia" w:ascii="仿宋_GB2312" w:hAnsi="仿宋_GB2312" w:eastAsia="仿宋_GB2312" w:cs="仿宋_GB2312"/>
          <w:color w:val="auto"/>
          <w:sz w:val="32"/>
          <w:szCs w:val="32"/>
        </w:rPr>
        <w:t>开展“放心消费在福建，诚信计量进生活”消费教育活动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辽宁省消协开展消费教育进乡村活动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四川省消委会开展“消费维权知识进校园”活动和“消费维权科普进校园”活动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深圳市消委会发布“深圳e消费”之“珍珠选购”小讲堂，推出《深圳市消费者委员会支持受损害消费者提起诉讼实务读本》。</w:t>
      </w:r>
    </w:p>
    <w:p>
      <w:pPr>
        <w:pStyle w:val="23"/>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六</w:t>
      </w:r>
      <w:r>
        <w:rPr>
          <w:rFonts w:hint="eastAsia" w:ascii="仿宋_GB2312" w:hAnsi="仿宋_GB2312" w:eastAsia="仿宋_GB2312" w:cs="仿宋_GB2312"/>
          <w:color w:val="auto"/>
          <w:sz w:val="32"/>
          <w:szCs w:val="32"/>
        </w:rPr>
        <w:t>是</w:t>
      </w:r>
      <w:r>
        <w:rPr>
          <w:rFonts w:hint="eastAsia" w:ascii="仿宋_GB2312" w:hAnsi="仿宋_GB2312" w:eastAsia="仿宋_GB2312" w:cs="仿宋_GB2312"/>
          <w:color w:val="auto"/>
          <w:sz w:val="32"/>
          <w:szCs w:val="32"/>
          <w:lang w:val="en-US" w:eastAsia="zh-CN"/>
        </w:rPr>
        <w:t>认真</w:t>
      </w:r>
      <w:r>
        <w:rPr>
          <w:rFonts w:hint="eastAsia" w:ascii="仿宋_GB2312" w:hAnsi="仿宋_GB2312" w:eastAsia="仿宋_GB2312" w:cs="仿宋_GB2312"/>
          <w:color w:val="auto"/>
          <w:sz w:val="32"/>
          <w:szCs w:val="32"/>
        </w:rPr>
        <w:t>开展比较试验，推动商品提质升级。中消协修订《全国消协组织比较试验工作规范》，进一步完善比较试验工作流程</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组织开展智能门锁、电饭锅等5项比较试验，发布20款燃气热水器、25款洗衣机比较试验报告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持续更新“消协帮您选”微信小程序，累计录入比较试验项目55</w:t>
      </w:r>
      <w:r>
        <w:rPr>
          <w:rFonts w:hint="eastAsia" w:ascii="仿宋_GB2312" w:hAnsi="仿宋_GB2312" w:eastAsia="仿宋_GB2312" w:cs="仿宋_GB2312"/>
          <w:color w:val="auto"/>
          <w:sz w:val="32"/>
          <w:szCs w:val="32"/>
          <w:lang w:val="en-US" w:eastAsia="zh-CN"/>
        </w:rPr>
        <w:t>0</w:t>
      </w:r>
      <w:r>
        <w:rPr>
          <w:rFonts w:hint="eastAsia" w:ascii="仿宋_GB2312" w:hAnsi="仿宋_GB2312" w:eastAsia="仿宋_GB2312" w:cs="仿宋_GB2312"/>
          <w:color w:val="auto"/>
          <w:sz w:val="32"/>
          <w:szCs w:val="32"/>
        </w:rPr>
        <w:t>个，消费者查看量超91.6万人次。北京、天津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河北、内蒙古、江西、江苏、上海、广东、黑龙江、吉林、青海、广西、香港、澳门等地消协组织，分别就日用百货、家用电器、智能产品、母婴用品、美妆、儿童产品、服装鞋帽等领域商品开展比较试验。结果显示，各类试验样品总体上性能良好，但也有投影仪</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儿童服装、儿童滑板车、户外电源、清洁面膜、眼影、骑行服等部分试验样品存在安全隐患。</w:t>
      </w:r>
    </w:p>
    <w:p>
      <w:pPr>
        <w:pStyle w:val="5"/>
        <w:widowControl/>
        <w:ind w:firstLine="0" w:firstLineChars="0"/>
        <w:jc w:val="center"/>
        <w:rPr>
          <w:rFonts w:hint="eastAsia" w:ascii="仿宋" w:hAnsi="仿宋" w:eastAsia="仿宋" w:cs="仿宋"/>
          <w:color w:val="auto"/>
          <w:sz w:val="24"/>
          <w:szCs w:val="24"/>
        </w:rPr>
      </w:pPr>
    </w:p>
    <w:p>
      <w:pPr>
        <w:rPr>
          <w:rFonts w:hint="eastAsia"/>
        </w:rPr>
      </w:pPr>
    </w:p>
    <w:p>
      <w:pPr>
        <w:pStyle w:val="5"/>
        <w:widowControl/>
        <w:ind w:firstLine="0" w:firstLineChars="0"/>
        <w:jc w:val="center"/>
        <w:rPr>
          <w:rFonts w:hint="eastAsia" w:ascii="黑体" w:hAnsi="黑体" w:eastAsia="黑体" w:cs="黑体"/>
          <w:color w:val="auto"/>
          <w:sz w:val="28"/>
          <w:szCs w:val="28"/>
        </w:rPr>
      </w:pPr>
      <w:r>
        <w:rPr>
          <w:rFonts w:hint="eastAsia" w:ascii="黑体" w:hAnsi="黑体" w:eastAsia="黑体" w:cs="黑体"/>
          <w:color w:val="auto"/>
          <w:sz w:val="28"/>
          <w:szCs w:val="28"/>
        </w:rPr>
        <w:t>表4</w:t>
      </w:r>
      <w:r>
        <w:rPr>
          <w:rFonts w:hint="eastAsia" w:ascii="黑体" w:hAnsi="黑体" w:eastAsia="黑体" w:cs="黑体"/>
          <w:color w:val="auto"/>
          <w:sz w:val="28"/>
          <w:szCs w:val="28"/>
          <w:lang w:eastAsia="zh-CN"/>
        </w:rPr>
        <w:t>：</w:t>
      </w:r>
      <w:r>
        <w:rPr>
          <w:rFonts w:hint="eastAsia" w:ascii="黑体" w:hAnsi="黑体" w:eastAsia="黑体" w:cs="黑体"/>
          <w:color w:val="auto"/>
          <w:sz w:val="28"/>
          <w:szCs w:val="28"/>
        </w:rPr>
        <w:t>中消协及各省级消协组织2025年</w:t>
      </w:r>
      <w:r>
        <w:rPr>
          <w:rFonts w:hint="eastAsia" w:ascii="黑体" w:hAnsi="黑体" w:eastAsia="黑体" w:cs="黑体"/>
          <w:color w:val="auto"/>
          <w:sz w:val="28"/>
          <w:szCs w:val="28"/>
          <w:lang w:val="en-US" w:eastAsia="zh-CN"/>
        </w:rPr>
        <w:t>发布</w:t>
      </w:r>
      <w:r>
        <w:rPr>
          <w:rFonts w:hint="eastAsia" w:ascii="黑体" w:hAnsi="黑体" w:eastAsia="黑体" w:cs="黑体"/>
          <w:color w:val="auto"/>
          <w:sz w:val="28"/>
          <w:szCs w:val="28"/>
        </w:rPr>
        <w:t>比较试验</w:t>
      </w:r>
      <w:r>
        <w:rPr>
          <w:rFonts w:hint="eastAsia" w:ascii="黑体" w:hAnsi="黑体" w:eastAsia="黑体" w:cs="黑体"/>
          <w:color w:val="auto"/>
          <w:sz w:val="28"/>
          <w:szCs w:val="28"/>
          <w:lang w:val="en-US" w:eastAsia="zh-CN"/>
        </w:rPr>
        <w:t>报告</w:t>
      </w:r>
      <w:r>
        <w:rPr>
          <w:rFonts w:hint="eastAsia" w:ascii="黑体" w:hAnsi="黑体" w:eastAsia="黑体" w:cs="黑体"/>
          <w:color w:val="auto"/>
          <w:sz w:val="28"/>
          <w:szCs w:val="28"/>
        </w:rPr>
        <w:t>主要情况</w:t>
      </w:r>
    </w:p>
    <w:tbl>
      <w:tblPr>
        <w:tblStyle w:val="17"/>
        <w:tblW w:w="8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5233"/>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消协组织</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商品类别及样品量（款）</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黑体" w:hAnsi="黑体" w:eastAsia="黑体" w:cs="黑体"/>
                <w:b w:val="0"/>
                <w:bCs w:val="0"/>
                <w:color w:val="auto"/>
                <w:sz w:val="21"/>
                <w:szCs w:val="21"/>
              </w:rPr>
            </w:pPr>
            <w:r>
              <w:rPr>
                <w:rFonts w:hint="eastAsia" w:ascii="黑体" w:hAnsi="黑体" w:eastAsia="黑体" w:cs="黑体"/>
                <w:b w:val="0"/>
                <w:bCs w:val="0"/>
                <w:color w:val="auto"/>
                <w:sz w:val="21"/>
                <w:szCs w:val="21"/>
              </w:rPr>
              <w:t>样品总量（款）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中消协</w:t>
            </w:r>
          </w:p>
        </w:tc>
        <w:tc>
          <w:tcPr>
            <w:tcW w:w="5233" w:type="dxa"/>
            <w:tcBorders>
              <w:top w:val="single" w:color="auto" w:sz="4" w:space="0"/>
              <w:left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燃气热水器</w:t>
            </w:r>
            <w:r>
              <w:rPr>
                <w:rFonts w:ascii="宋体" w:hAnsi="宋体" w:eastAsia="宋体" w:cs="等线"/>
                <w:color w:val="auto"/>
                <w:sz w:val="21"/>
                <w:szCs w:val="21"/>
              </w:rPr>
              <w:t>（20）</w:t>
            </w:r>
          </w:p>
        </w:tc>
        <w:tc>
          <w:tcPr>
            <w:tcW w:w="1559" w:type="dxa"/>
            <w:tcBorders>
              <w:top w:val="single" w:color="auto" w:sz="4" w:space="0"/>
              <w:left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中消协</w:t>
            </w:r>
            <w:r>
              <w:rPr>
                <w:rFonts w:ascii="宋体" w:hAnsi="宋体" w:eastAsia="宋体" w:cs="等线"/>
                <w:color w:val="auto"/>
                <w:sz w:val="21"/>
                <w:szCs w:val="21"/>
              </w:rPr>
              <w:t>、</w:t>
            </w:r>
            <w:r>
              <w:rPr>
                <w:rFonts w:hint="eastAsia" w:ascii="宋体" w:hAnsi="宋体" w:eastAsia="宋体" w:cs="等线"/>
                <w:color w:val="auto"/>
                <w:sz w:val="21"/>
                <w:szCs w:val="21"/>
              </w:rPr>
              <w:t>杭州</w:t>
            </w:r>
            <w:r>
              <w:rPr>
                <w:rFonts w:hint="eastAsia" w:ascii="宋体" w:hAnsi="宋体" w:eastAsia="宋体" w:cs="等线"/>
                <w:color w:val="auto"/>
                <w:sz w:val="21"/>
                <w:szCs w:val="21"/>
                <w:lang w:eastAsia="zh-CN"/>
              </w:rPr>
              <w:t>（</w:t>
            </w:r>
            <w:r>
              <w:rPr>
                <w:rFonts w:hint="eastAsia" w:ascii="宋体" w:hAnsi="宋体" w:eastAsia="宋体" w:cs="等线"/>
                <w:color w:val="auto"/>
                <w:sz w:val="21"/>
                <w:szCs w:val="21"/>
                <w:lang w:val="en-US" w:eastAsia="zh-CN"/>
              </w:rPr>
              <w:t>联合</w:t>
            </w:r>
            <w:r>
              <w:rPr>
                <w:rFonts w:hint="eastAsia" w:ascii="宋体" w:hAnsi="宋体" w:eastAsia="宋体" w:cs="等线"/>
                <w:color w:val="auto"/>
                <w:sz w:val="21"/>
                <w:szCs w:val="21"/>
                <w:lang w:eastAsia="zh-CN"/>
              </w:rPr>
              <w:t>）</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洗衣机</w:t>
            </w:r>
            <w:r>
              <w:rPr>
                <w:rFonts w:ascii="宋体" w:hAnsi="宋体" w:eastAsia="宋体" w:cs="等线"/>
                <w:color w:val="auto"/>
                <w:sz w:val="21"/>
                <w:szCs w:val="21"/>
              </w:rPr>
              <w:t>（25）</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北京</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投影仪</w:t>
            </w:r>
            <w:r>
              <w:rPr>
                <w:rFonts w:ascii="宋体" w:hAnsi="宋体" w:eastAsia="宋体" w:cs="等线"/>
                <w:color w:val="auto"/>
                <w:sz w:val="21"/>
                <w:szCs w:val="21"/>
              </w:rPr>
              <w:t>（15）、</w:t>
            </w:r>
            <w:r>
              <w:rPr>
                <w:rFonts w:hint="eastAsia" w:ascii="宋体" w:hAnsi="宋体" w:eastAsia="宋体" w:cs="等线"/>
                <w:color w:val="auto"/>
                <w:sz w:val="21"/>
                <w:szCs w:val="21"/>
              </w:rPr>
              <w:t>儿童推车</w:t>
            </w:r>
            <w:r>
              <w:rPr>
                <w:rFonts w:ascii="宋体" w:hAnsi="宋体" w:eastAsia="宋体" w:cs="等线"/>
                <w:color w:val="auto"/>
                <w:sz w:val="21"/>
                <w:szCs w:val="21"/>
              </w:rPr>
              <w:t>（50）、</w:t>
            </w:r>
            <w:r>
              <w:rPr>
                <w:rFonts w:hint="eastAsia" w:ascii="宋体" w:hAnsi="宋体" w:eastAsia="宋体" w:cs="等线"/>
                <w:color w:val="auto"/>
                <w:sz w:val="21"/>
                <w:szCs w:val="21"/>
              </w:rPr>
              <w:t>童鞋</w:t>
            </w:r>
            <w:r>
              <w:rPr>
                <w:rFonts w:ascii="宋体" w:hAnsi="宋体" w:eastAsia="宋体" w:cs="等线"/>
                <w:color w:val="auto"/>
                <w:sz w:val="21"/>
                <w:szCs w:val="21"/>
              </w:rPr>
              <w:t>（60）、</w:t>
            </w:r>
            <w:r>
              <w:rPr>
                <w:rFonts w:hint="eastAsia" w:ascii="宋体" w:hAnsi="宋体" w:eastAsia="宋体" w:cs="等线"/>
                <w:color w:val="auto"/>
                <w:sz w:val="21"/>
                <w:szCs w:val="21"/>
              </w:rPr>
              <w:t>儿童服装</w:t>
            </w:r>
            <w:r>
              <w:rPr>
                <w:rFonts w:ascii="宋体" w:hAnsi="宋体" w:eastAsia="宋体" w:cs="等线"/>
                <w:color w:val="auto"/>
                <w:sz w:val="21"/>
                <w:szCs w:val="21"/>
              </w:rPr>
              <w:t>（78）</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上海</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“轻食”产品</w:t>
            </w:r>
            <w:r>
              <w:rPr>
                <w:rFonts w:ascii="宋体" w:hAnsi="宋体" w:eastAsia="宋体" w:cs="等线"/>
                <w:color w:val="auto"/>
                <w:sz w:val="21"/>
                <w:szCs w:val="21"/>
              </w:rPr>
              <w:t>（60）、</w:t>
            </w:r>
            <w:r>
              <w:rPr>
                <w:rFonts w:hint="eastAsia" w:ascii="宋体" w:hAnsi="宋体" w:eastAsia="宋体" w:cs="等线"/>
                <w:color w:val="auto"/>
                <w:sz w:val="21"/>
                <w:szCs w:val="21"/>
              </w:rPr>
              <w:t>电动牙刷</w:t>
            </w:r>
            <w:r>
              <w:rPr>
                <w:rFonts w:ascii="宋体" w:hAnsi="宋体" w:eastAsia="宋体" w:cs="等线"/>
                <w:color w:val="auto"/>
                <w:sz w:val="21"/>
                <w:szCs w:val="21"/>
              </w:rPr>
              <w:t>（30）、</w:t>
            </w:r>
            <w:r>
              <w:rPr>
                <w:rFonts w:hint="eastAsia" w:ascii="宋体" w:hAnsi="宋体" w:eastAsia="宋体" w:cs="等线"/>
                <w:color w:val="auto"/>
                <w:sz w:val="21"/>
                <w:szCs w:val="21"/>
              </w:rPr>
              <w:t>中药植物泡脚包</w:t>
            </w:r>
            <w:r>
              <w:rPr>
                <w:rFonts w:ascii="宋体" w:hAnsi="宋体" w:eastAsia="宋体" w:cs="等线"/>
                <w:color w:val="auto"/>
                <w:sz w:val="21"/>
                <w:szCs w:val="21"/>
              </w:rPr>
              <w:t>（60）、</w:t>
            </w:r>
            <w:r>
              <w:rPr>
                <w:rFonts w:hint="eastAsia" w:ascii="宋体" w:hAnsi="宋体" w:eastAsia="宋体" w:cs="等线"/>
                <w:color w:val="auto"/>
                <w:sz w:val="21"/>
                <w:szCs w:val="21"/>
              </w:rPr>
              <w:t>平底不粘锅</w:t>
            </w:r>
            <w:r>
              <w:rPr>
                <w:rFonts w:ascii="宋体" w:hAnsi="宋体" w:eastAsia="宋体" w:cs="等线"/>
                <w:color w:val="auto"/>
                <w:sz w:val="21"/>
                <w:szCs w:val="21"/>
              </w:rPr>
              <w:t>（20）、</w:t>
            </w:r>
            <w:r>
              <w:rPr>
                <w:rFonts w:hint="eastAsia" w:ascii="宋体" w:hAnsi="宋体" w:eastAsia="宋体" w:cs="等线"/>
                <w:color w:val="auto"/>
                <w:sz w:val="21"/>
                <w:szCs w:val="21"/>
              </w:rPr>
              <w:t>互联网保险产品</w:t>
            </w:r>
            <w:r>
              <w:rPr>
                <w:rFonts w:ascii="宋体" w:hAnsi="宋体" w:eastAsia="宋体" w:cs="等线"/>
                <w:color w:val="auto"/>
                <w:sz w:val="21"/>
                <w:szCs w:val="21"/>
              </w:rPr>
              <w:t>（150）、</w:t>
            </w:r>
            <w:r>
              <w:rPr>
                <w:rFonts w:hint="eastAsia" w:ascii="宋体" w:hAnsi="宋体" w:eastAsia="宋体" w:cs="等线"/>
                <w:color w:val="auto"/>
                <w:sz w:val="21"/>
                <w:szCs w:val="21"/>
              </w:rPr>
              <w:t>儿童多功能滑板车</w:t>
            </w:r>
            <w:r>
              <w:rPr>
                <w:rFonts w:ascii="宋体" w:hAnsi="宋体" w:eastAsia="宋体" w:cs="等线"/>
                <w:color w:val="auto"/>
                <w:sz w:val="21"/>
                <w:szCs w:val="21"/>
              </w:rPr>
              <w:t>（30）、</w:t>
            </w:r>
            <w:r>
              <w:rPr>
                <w:rFonts w:hint="eastAsia" w:ascii="宋体" w:hAnsi="宋体" w:eastAsia="宋体" w:cs="等线"/>
                <w:color w:val="auto"/>
                <w:sz w:val="21"/>
                <w:szCs w:val="21"/>
              </w:rPr>
              <w:t>户外电源</w:t>
            </w:r>
            <w:r>
              <w:rPr>
                <w:rFonts w:ascii="宋体" w:hAnsi="宋体" w:eastAsia="宋体" w:cs="等线"/>
                <w:color w:val="auto"/>
                <w:sz w:val="21"/>
                <w:szCs w:val="21"/>
              </w:rPr>
              <w:t>（15）、</w:t>
            </w:r>
            <w:r>
              <w:rPr>
                <w:rFonts w:hint="eastAsia" w:ascii="宋体" w:hAnsi="宋体" w:eastAsia="宋体" w:cs="等线"/>
                <w:color w:val="auto"/>
                <w:sz w:val="21"/>
                <w:szCs w:val="21"/>
              </w:rPr>
              <w:t>洁面产品</w:t>
            </w:r>
            <w:r>
              <w:rPr>
                <w:rFonts w:ascii="宋体" w:hAnsi="宋体" w:eastAsia="宋体" w:cs="等线"/>
                <w:color w:val="auto"/>
                <w:sz w:val="21"/>
                <w:szCs w:val="21"/>
              </w:rPr>
              <w:t>（30）、</w:t>
            </w:r>
            <w:r>
              <w:rPr>
                <w:rFonts w:hint="eastAsia" w:ascii="宋体" w:hAnsi="宋体" w:eastAsia="宋体" w:cs="等线"/>
                <w:color w:val="auto"/>
                <w:sz w:val="21"/>
                <w:szCs w:val="21"/>
              </w:rPr>
              <w:t>丝绸服装</w:t>
            </w:r>
            <w:r>
              <w:rPr>
                <w:rFonts w:ascii="宋体" w:hAnsi="宋体" w:eastAsia="宋体" w:cs="等线"/>
                <w:color w:val="auto"/>
                <w:sz w:val="21"/>
                <w:szCs w:val="21"/>
              </w:rPr>
              <w:t>（50）、</w:t>
            </w:r>
            <w:r>
              <w:rPr>
                <w:rFonts w:hint="eastAsia" w:ascii="宋体" w:hAnsi="宋体" w:eastAsia="宋体" w:cs="等线"/>
                <w:color w:val="auto"/>
                <w:sz w:val="21"/>
                <w:szCs w:val="21"/>
              </w:rPr>
              <w:t>鸡蛋</w:t>
            </w:r>
            <w:r>
              <w:rPr>
                <w:rFonts w:ascii="宋体" w:hAnsi="宋体" w:eastAsia="宋体" w:cs="等线"/>
                <w:color w:val="auto"/>
                <w:sz w:val="21"/>
                <w:szCs w:val="21"/>
              </w:rPr>
              <w:t>（30）、</w:t>
            </w:r>
            <w:r>
              <w:rPr>
                <w:rFonts w:hint="eastAsia" w:ascii="宋体" w:hAnsi="宋体" w:eastAsia="宋体" w:cs="等线"/>
                <w:color w:val="auto"/>
                <w:sz w:val="21"/>
                <w:szCs w:val="21"/>
              </w:rPr>
              <w:t>叶黄素</w:t>
            </w:r>
            <w:r>
              <w:rPr>
                <w:rFonts w:ascii="宋体" w:hAnsi="宋体" w:eastAsia="宋体" w:cs="等线"/>
                <w:color w:val="auto"/>
                <w:sz w:val="21"/>
                <w:szCs w:val="21"/>
              </w:rPr>
              <w:t>（12）、</w:t>
            </w:r>
            <w:r>
              <w:rPr>
                <w:rFonts w:hint="eastAsia" w:ascii="宋体" w:hAnsi="宋体" w:eastAsia="宋体" w:cs="等线"/>
                <w:color w:val="auto"/>
                <w:sz w:val="21"/>
                <w:szCs w:val="21"/>
              </w:rPr>
              <w:t>智能猫砂盆</w:t>
            </w:r>
            <w:r>
              <w:rPr>
                <w:rFonts w:ascii="宋体" w:hAnsi="宋体" w:eastAsia="宋体" w:cs="等线"/>
                <w:color w:val="auto"/>
                <w:sz w:val="21"/>
                <w:szCs w:val="21"/>
              </w:rPr>
              <w:t>（25）</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512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云南</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咖啡豆</w:t>
            </w:r>
            <w:r>
              <w:rPr>
                <w:rFonts w:ascii="宋体" w:hAnsi="宋体" w:eastAsia="宋体" w:cs="等线"/>
                <w:color w:val="auto"/>
                <w:sz w:val="21"/>
                <w:szCs w:val="21"/>
              </w:rPr>
              <w:t>（30）</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河北</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智能坐便器</w:t>
            </w:r>
            <w:r>
              <w:rPr>
                <w:rFonts w:ascii="宋体" w:hAnsi="宋体" w:eastAsia="宋体" w:cs="等线"/>
                <w:color w:val="auto"/>
                <w:sz w:val="21"/>
                <w:szCs w:val="21"/>
              </w:rPr>
              <w:t>（8）</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lang w:val="en-US" w:eastAsia="zh-CN"/>
              </w:rPr>
              <w:t>北京、天津、河北</w:t>
            </w:r>
            <w:r>
              <w:rPr>
                <w:rFonts w:hint="eastAsia" w:ascii="宋体" w:hAnsi="宋体" w:eastAsia="宋体" w:cs="等线"/>
                <w:color w:val="auto"/>
                <w:sz w:val="21"/>
                <w:szCs w:val="21"/>
                <w:lang w:eastAsia="zh-CN"/>
              </w:rPr>
              <w:t>（</w:t>
            </w:r>
            <w:r>
              <w:rPr>
                <w:rFonts w:hint="eastAsia" w:ascii="宋体" w:hAnsi="宋体" w:eastAsia="宋体" w:cs="等线"/>
                <w:color w:val="auto"/>
                <w:sz w:val="21"/>
                <w:szCs w:val="21"/>
                <w:lang w:val="en-US" w:eastAsia="zh-CN"/>
              </w:rPr>
              <w:t>联合</w:t>
            </w:r>
            <w:r>
              <w:rPr>
                <w:rFonts w:hint="eastAsia" w:ascii="宋体" w:hAnsi="宋体" w:eastAsia="宋体" w:cs="等线"/>
                <w:color w:val="auto"/>
                <w:sz w:val="21"/>
                <w:szCs w:val="21"/>
                <w:lang w:eastAsia="zh-CN"/>
              </w:rPr>
              <w:t>）</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不粘锅</w:t>
            </w:r>
            <w:r>
              <w:rPr>
                <w:rFonts w:ascii="宋体" w:hAnsi="宋体" w:eastAsia="宋体" w:cs="等线"/>
                <w:color w:val="auto"/>
                <w:sz w:val="21"/>
                <w:szCs w:val="21"/>
              </w:rPr>
              <w:t>（15）、</w:t>
            </w:r>
            <w:r>
              <w:rPr>
                <w:rFonts w:hint="eastAsia" w:ascii="宋体" w:hAnsi="宋体" w:eastAsia="宋体" w:cs="等线"/>
                <w:color w:val="auto"/>
                <w:sz w:val="21"/>
                <w:szCs w:val="21"/>
              </w:rPr>
              <w:t>电饭煲</w:t>
            </w:r>
            <w:r>
              <w:rPr>
                <w:rFonts w:ascii="宋体" w:hAnsi="宋体" w:eastAsia="宋体" w:cs="等线"/>
                <w:color w:val="auto"/>
                <w:sz w:val="21"/>
                <w:szCs w:val="21"/>
              </w:rPr>
              <w:t>（16）</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天津</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投影仪</w:t>
            </w:r>
            <w:r>
              <w:rPr>
                <w:rFonts w:ascii="宋体" w:hAnsi="宋体" w:eastAsia="宋体" w:cs="等线"/>
                <w:color w:val="auto"/>
                <w:sz w:val="21"/>
                <w:szCs w:val="21"/>
              </w:rPr>
              <w:t>（20）</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内蒙古</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包装饮用水</w:t>
            </w:r>
            <w:r>
              <w:rPr>
                <w:rFonts w:ascii="宋体" w:hAnsi="宋体" w:eastAsia="宋体" w:cs="等线"/>
                <w:color w:val="auto"/>
                <w:sz w:val="21"/>
                <w:szCs w:val="21"/>
              </w:rPr>
              <w:t>（100）</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江西</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儿童学习椅</w:t>
            </w:r>
            <w:r>
              <w:rPr>
                <w:rFonts w:ascii="宋体" w:hAnsi="宋体" w:eastAsia="宋体" w:cs="等线"/>
                <w:color w:val="auto"/>
                <w:sz w:val="21"/>
                <w:szCs w:val="21"/>
              </w:rPr>
              <w:t>（15）</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山东</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氧化型染发剂</w:t>
            </w:r>
            <w:r>
              <w:rPr>
                <w:rFonts w:ascii="宋体" w:hAnsi="宋体" w:eastAsia="宋体" w:cs="等线"/>
                <w:color w:val="auto"/>
                <w:sz w:val="21"/>
                <w:szCs w:val="21"/>
              </w:rPr>
              <w:t>（15）</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福建</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护眼防窥膜</w:t>
            </w:r>
            <w:r>
              <w:rPr>
                <w:rFonts w:ascii="宋体" w:hAnsi="宋体" w:eastAsia="宋体" w:cs="等线"/>
                <w:color w:val="auto"/>
                <w:sz w:val="21"/>
                <w:szCs w:val="21"/>
              </w:rPr>
              <w:t>（12）</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广东</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手持式花洒</w:t>
            </w:r>
            <w:r>
              <w:rPr>
                <w:rFonts w:ascii="宋体" w:hAnsi="宋体" w:eastAsia="宋体" w:cs="等线"/>
                <w:color w:val="auto"/>
                <w:sz w:val="21"/>
                <w:szCs w:val="21"/>
              </w:rPr>
              <w:t>（14）</w:t>
            </w:r>
            <w:r>
              <w:rPr>
                <w:rFonts w:hint="eastAsia" w:ascii="宋体" w:hAnsi="宋体" w:eastAsia="宋体" w:cs="等线"/>
                <w:color w:val="auto"/>
                <w:sz w:val="21"/>
                <w:szCs w:val="21"/>
              </w:rPr>
              <w:t>美容面罩（1</w:t>
            </w:r>
            <w:r>
              <w:rPr>
                <w:rFonts w:ascii="宋体" w:hAnsi="宋体" w:eastAsia="宋体" w:cs="等线"/>
                <w:color w:val="auto"/>
                <w:sz w:val="21"/>
                <w:szCs w:val="21"/>
              </w:rPr>
              <w:t>2</w:t>
            </w:r>
            <w:r>
              <w:rPr>
                <w:rFonts w:hint="eastAsia" w:ascii="宋体" w:hAnsi="宋体" w:eastAsia="宋体" w:cs="等线"/>
                <w:color w:val="auto"/>
                <w:sz w:val="21"/>
                <w:szCs w:val="21"/>
              </w:rPr>
              <w:t>）智能A</w:t>
            </w:r>
            <w:r>
              <w:rPr>
                <w:rFonts w:ascii="宋体" w:hAnsi="宋体" w:eastAsia="宋体" w:cs="等线"/>
                <w:color w:val="auto"/>
                <w:sz w:val="21"/>
                <w:szCs w:val="21"/>
              </w:rPr>
              <w:t>I</w:t>
            </w:r>
            <w:r>
              <w:rPr>
                <w:rFonts w:hint="eastAsia" w:ascii="宋体" w:hAnsi="宋体" w:eastAsia="宋体" w:cs="等线"/>
                <w:color w:val="auto"/>
                <w:sz w:val="21"/>
                <w:szCs w:val="21"/>
              </w:rPr>
              <w:t>眼镜</w:t>
            </w:r>
            <w:r>
              <w:rPr>
                <w:rFonts w:hint="eastAsia" w:ascii="宋体" w:hAnsi="宋体" w:eastAsia="宋体" w:cs="等线"/>
                <w:color w:val="auto"/>
                <w:sz w:val="21"/>
                <w:szCs w:val="21"/>
                <w:lang w:eastAsia="zh-CN"/>
              </w:rPr>
              <w:t>（</w:t>
            </w:r>
            <w:r>
              <w:rPr>
                <w:rFonts w:ascii="宋体" w:hAnsi="宋体" w:eastAsia="宋体" w:cs="等线"/>
                <w:color w:val="auto"/>
                <w:sz w:val="21"/>
                <w:szCs w:val="21"/>
              </w:rPr>
              <w:t>15</w:t>
            </w:r>
            <w:r>
              <w:rPr>
                <w:rFonts w:hint="eastAsia" w:ascii="宋体" w:hAnsi="宋体" w:eastAsia="宋体" w:cs="等线"/>
                <w:color w:val="auto"/>
                <w:sz w:val="21"/>
                <w:szCs w:val="21"/>
                <w:lang w:eastAsia="zh-CN"/>
              </w:rPr>
              <w:t>）</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41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等线"/>
                <w:color w:val="auto"/>
                <w:sz w:val="21"/>
                <w:szCs w:val="21"/>
                <w:lang w:eastAsia="zh-CN"/>
              </w:rPr>
            </w:pPr>
            <w:r>
              <w:rPr>
                <w:rFonts w:hint="eastAsia" w:ascii="宋体" w:hAnsi="宋体" w:eastAsia="宋体" w:cs="等线"/>
                <w:color w:val="auto"/>
                <w:sz w:val="21"/>
                <w:szCs w:val="21"/>
              </w:rPr>
              <w:t>澳门</w:t>
            </w:r>
            <w:r>
              <w:rPr>
                <w:rFonts w:ascii="宋体" w:hAnsi="宋体" w:eastAsia="宋体" w:cs="等线"/>
                <w:color w:val="auto"/>
                <w:sz w:val="21"/>
                <w:szCs w:val="21"/>
              </w:rPr>
              <w:t>、</w:t>
            </w:r>
            <w:r>
              <w:rPr>
                <w:rFonts w:hint="eastAsia" w:ascii="宋体" w:hAnsi="宋体" w:eastAsia="宋体" w:cs="等线"/>
                <w:color w:val="auto"/>
                <w:sz w:val="21"/>
                <w:szCs w:val="21"/>
              </w:rPr>
              <w:t>深圳</w:t>
            </w:r>
            <w:r>
              <w:rPr>
                <w:rFonts w:ascii="宋体" w:hAnsi="宋体" w:eastAsia="宋体" w:cs="等线"/>
                <w:color w:val="auto"/>
                <w:sz w:val="21"/>
                <w:szCs w:val="21"/>
              </w:rPr>
              <w:t>、</w:t>
            </w:r>
            <w:r>
              <w:rPr>
                <w:rFonts w:hint="eastAsia" w:ascii="宋体" w:hAnsi="宋体" w:eastAsia="宋体" w:cs="等线"/>
                <w:color w:val="auto"/>
                <w:sz w:val="21"/>
                <w:szCs w:val="21"/>
              </w:rPr>
              <w:t>中山</w:t>
            </w:r>
            <w:r>
              <w:rPr>
                <w:rFonts w:hint="eastAsia" w:ascii="宋体" w:hAnsi="宋体" w:eastAsia="宋体" w:cs="等线"/>
                <w:color w:val="auto"/>
                <w:sz w:val="21"/>
                <w:szCs w:val="21"/>
                <w:lang w:eastAsia="zh-CN"/>
              </w:rPr>
              <w:t>（</w:t>
            </w:r>
            <w:r>
              <w:rPr>
                <w:rFonts w:hint="eastAsia" w:ascii="宋体" w:hAnsi="宋体" w:eastAsia="宋体" w:cs="等线"/>
                <w:color w:val="auto"/>
                <w:sz w:val="21"/>
                <w:szCs w:val="21"/>
                <w:lang w:val="en-US" w:eastAsia="zh-CN"/>
              </w:rPr>
              <w:t>联合</w:t>
            </w:r>
            <w:r>
              <w:rPr>
                <w:rFonts w:hint="eastAsia" w:ascii="宋体" w:hAnsi="宋体" w:eastAsia="宋体" w:cs="等线"/>
                <w:color w:val="auto"/>
                <w:sz w:val="21"/>
                <w:szCs w:val="21"/>
                <w:lang w:eastAsia="zh-CN"/>
              </w:rPr>
              <w:t>）</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可视化智能门锁</w:t>
            </w:r>
            <w:r>
              <w:rPr>
                <w:rFonts w:ascii="宋体" w:hAnsi="宋体" w:eastAsia="宋体" w:cs="等线"/>
                <w:color w:val="auto"/>
                <w:sz w:val="21"/>
                <w:szCs w:val="21"/>
              </w:rPr>
              <w:t>（15）、</w:t>
            </w:r>
            <w:r>
              <w:rPr>
                <w:rFonts w:hint="eastAsia" w:ascii="宋体" w:hAnsi="宋体" w:eastAsia="宋体" w:cs="等线"/>
                <w:color w:val="auto"/>
                <w:sz w:val="21"/>
                <w:szCs w:val="21"/>
              </w:rPr>
              <w:t>手持式花洒</w:t>
            </w:r>
            <w:r>
              <w:rPr>
                <w:rFonts w:ascii="宋体" w:hAnsi="宋体" w:eastAsia="宋体" w:cs="等线"/>
                <w:color w:val="auto"/>
                <w:sz w:val="21"/>
                <w:szCs w:val="21"/>
              </w:rPr>
              <w:t>（14）</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29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江苏</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手洗餐具用洗涤剂（40）、</w:t>
            </w:r>
            <w:r>
              <w:rPr>
                <w:rFonts w:hint="eastAsia" w:ascii="宋体" w:hAnsi="宋体" w:eastAsia="宋体" w:cs="等线"/>
                <w:color w:val="auto"/>
                <w:sz w:val="21"/>
                <w:szCs w:val="21"/>
              </w:rPr>
              <w:t>骑行服</w:t>
            </w:r>
            <w:r>
              <w:rPr>
                <w:rFonts w:ascii="宋体" w:hAnsi="宋体" w:eastAsia="宋体" w:cs="等线"/>
                <w:color w:val="auto"/>
                <w:sz w:val="21"/>
                <w:szCs w:val="21"/>
              </w:rPr>
              <w:t>（30）、</w:t>
            </w:r>
            <w:r>
              <w:rPr>
                <w:rFonts w:hint="eastAsia" w:ascii="宋体" w:hAnsi="宋体" w:eastAsia="宋体" w:cs="等线"/>
                <w:color w:val="auto"/>
                <w:sz w:val="21"/>
                <w:szCs w:val="21"/>
              </w:rPr>
              <w:t>冲锋衣</w:t>
            </w:r>
            <w:r>
              <w:rPr>
                <w:rFonts w:ascii="宋体" w:hAnsi="宋体" w:eastAsia="宋体" w:cs="等线"/>
                <w:color w:val="auto"/>
                <w:sz w:val="21"/>
                <w:szCs w:val="21"/>
              </w:rPr>
              <w:t>（40）、</w:t>
            </w:r>
            <w:r>
              <w:rPr>
                <w:rFonts w:hint="eastAsia" w:ascii="宋体" w:hAnsi="宋体" w:eastAsia="宋体" w:cs="等线"/>
                <w:color w:val="auto"/>
                <w:sz w:val="21"/>
                <w:szCs w:val="21"/>
              </w:rPr>
              <w:t>安睡裤</w:t>
            </w:r>
            <w:r>
              <w:rPr>
                <w:rFonts w:ascii="宋体" w:hAnsi="宋体" w:eastAsia="宋体" w:cs="等线"/>
                <w:color w:val="auto"/>
                <w:sz w:val="21"/>
                <w:szCs w:val="21"/>
              </w:rPr>
              <w:t>（40）</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150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黑龙江</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羽绒服羽绒填充物</w:t>
            </w:r>
            <w:r>
              <w:rPr>
                <w:rFonts w:hint="eastAsia" w:ascii="宋体" w:hAnsi="宋体" w:eastAsia="宋体" w:cs="等线"/>
                <w:color w:val="auto"/>
                <w:sz w:val="21"/>
                <w:szCs w:val="21"/>
              </w:rPr>
              <w:t>气味</w:t>
            </w:r>
            <w:r>
              <w:rPr>
                <w:rFonts w:ascii="宋体" w:hAnsi="宋体" w:eastAsia="宋体" w:cs="等线"/>
                <w:color w:val="auto"/>
                <w:sz w:val="21"/>
                <w:szCs w:val="21"/>
              </w:rPr>
              <w:t>（25）、</w:t>
            </w:r>
            <w:r>
              <w:rPr>
                <w:rFonts w:hint="eastAsia" w:ascii="宋体" w:hAnsi="宋体" w:eastAsia="宋体" w:cs="等线"/>
                <w:color w:val="auto"/>
                <w:sz w:val="21"/>
                <w:szCs w:val="21"/>
              </w:rPr>
              <w:t>防晒面罩</w:t>
            </w:r>
            <w:r>
              <w:rPr>
                <w:rFonts w:ascii="宋体" w:hAnsi="宋体" w:eastAsia="宋体" w:cs="等线"/>
                <w:color w:val="auto"/>
                <w:sz w:val="21"/>
                <w:szCs w:val="21"/>
              </w:rPr>
              <w:t>（20）</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吉林</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睫毛膏</w:t>
            </w:r>
            <w:r>
              <w:rPr>
                <w:rFonts w:ascii="宋体" w:hAnsi="宋体" w:eastAsia="宋体" w:cs="等线"/>
                <w:color w:val="auto"/>
                <w:sz w:val="21"/>
                <w:szCs w:val="21"/>
              </w:rPr>
              <w:t>（10）</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青海</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蜡笔</w:t>
            </w:r>
            <w:r>
              <w:rPr>
                <w:rFonts w:ascii="宋体" w:hAnsi="宋体" w:eastAsia="宋体" w:cs="等线"/>
                <w:color w:val="auto"/>
                <w:sz w:val="21"/>
                <w:szCs w:val="21"/>
              </w:rPr>
              <w:t>（10）</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广西、贵州</w:t>
            </w:r>
            <w:r>
              <w:rPr>
                <w:rFonts w:hint="eastAsia" w:ascii="宋体" w:hAnsi="宋体" w:eastAsia="宋体" w:cs="等线"/>
                <w:color w:val="auto"/>
                <w:sz w:val="21"/>
                <w:szCs w:val="21"/>
                <w:lang w:eastAsia="zh-CN"/>
              </w:rPr>
              <w:t>（</w:t>
            </w:r>
            <w:r>
              <w:rPr>
                <w:rFonts w:hint="eastAsia" w:ascii="宋体" w:hAnsi="宋体" w:eastAsia="宋体" w:cs="等线"/>
                <w:color w:val="auto"/>
                <w:sz w:val="21"/>
                <w:szCs w:val="21"/>
                <w:lang w:val="en-US" w:eastAsia="zh-CN"/>
              </w:rPr>
              <w:t>联合</w:t>
            </w:r>
            <w:r>
              <w:rPr>
                <w:rFonts w:hint="eastAsia" w:ascii="宋体" w:hAnsi="宋体" w:eastAsia="宋体" w:cs="等线"/>
                <w:color w:val="auto"/>
                <w:sz w:val="21"/>
                <w:szCs w:val="21"/>
                <w:lang w:eastAsia="zh-CN"/>
              </w:rPr>
              <w:t>）</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颈部按摩仪</w:t>
            </w:r>
            <w:r>
              <w:rPr>
                <w:rFonts w:ascii="宋体" w:hAnsi="宋体" w:eastAsia="宋体" w:cs="等线"/>
                <w:color w:val="auto"/>
                <w:sz w:val="21"/>
                <w:szCs w:val="21"/>
              </w:rPr>
              <w:t>（23）</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olor w:val="auto"/>
                <w:sz w:val="21"/>
                <w:szCs w:val="21"/>
              </w:rPr>
            </w:pPr>
            <w:r>
              <w:rPr>
                <w:rFonts w:hint="eastAsia" w:ascii="宋体" w:hAnsi="宋体" w:eastAsia="宋体" w:cs="等线"/>
                <w:color w:val="auto"/>
                <w:sz w:val="21"/>
                <w:szCs w:val="21"/>
              </w:rPr>
              <w:t>广西</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护发素</w:t>
            </w:r>
            <w:r>
              <w:rPr>
                <w:rFonts w:ascii="宋体" w:hAnsi="宋体" w:eastAsia="宋体" w:cs="等线"/>
                <w:color w:val="auto"/>
                <w:sz w:val="21"/>
                <w:szCs w:val="21"/>
              </w:rPr>
              <w:t>（10）、</w:t>
            </w:r>
            <w:r>
              <w:rPr>
                <w:rFonts w:hint="eastAsia" w:ascii="宋体" w:hAnsi="宋体" w:eastAsia="宋体" w:cs="等线"/>
                <w:color w:val="auto"/>
                <w:sz w:val="21"/>
                <w:szCs w:val="21"/>
              </w:rPr>
              <w:t>发膜</w:t>
            </w:r>
            <w:r>
              <w:rPr>
                <w:rFonts w:ascii="宋体" w:hAnsi="宋体" w:eastAsia="宋体" w:cs="等线"/>
                <w:color w:val="auto"/>
                <w:sz w:val="21"/>
                <w:szCs w:val="21"/>
              </w:rPr>
              <w:t>（10）</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olor w:val="auto"/>
                <w:sz w:val="21"/>
                <w:szCs w:val="21"/>
              </w:rPr>
            </w:pPr>
            <w:r>
              <w:rPr>
                <w:rFonts w:hint="eastAsia" w:ascii="宋体" w:hAnsi="宋体" w:eastAsia="宋体" w:cs="等线"/>
                <w:color w:val="auto"/>
                <w:sz w:val="21"/>
                <w:szCs w:val="21"/>
              </w:rPr>
              <w:t>四川、重庆、青海</w:t>
            </w:r>
            <w:r>
              <w:rPr>
                <w:rFonts w:hint="eastAsia" w:ascii="宋体" w:hAnsi="宋体" w:eastAsia="宋体" w:cs="等线"/>
                <w:color w:val="auto"/>
                <w:sz w:val="21"/>
                <w:szCs w:val="21"/>
                <w:lang w:eastAsia="zh-CN"/>
              </w:rPr>
              <w:t>（</w:t>
            </w:r>
            <w:r>
              <w:rPr>
                <w:rFonts w:hint="eastAsia" w:ascii="宋体" w:hAnsi="宋体" w:eastAsia="宋体" w:cs="等线"/>
                <w:color w:val="auto"/>
                <w:sz w:val="21"/>
                <w:szCs w:val="21"/>
                <w:lang w:val="en-US" w:eastAsia="zh-CN"/>
              </w:rPr>
              <w:t>联合</w:t>
            </w:r>
            <w:r>
              <w:rPr>
                <w:rFonts w:hint="eastAsia" w:ascii="宋体" w:hAnsi="宋体" w:eastAsia="宋体" w:cs="等线"/>
                <w:color w:val="auto"/>
                <w:sz w:val="21"/>
                <w:szCs w:val="21"/>
                <w:lang w:eastAsia="zh-CN"/>
              </w:rPr>
              <w:t>）</w:t>
            </w:r>
          </w:p>
        </w:tc>
        <w:tc>
          <w:tcPr>
            <w:tcW w:w="5233" w:type="dxa"/>
            <w:tcBorders>
              <w:top w:val="single" w:color="auto" w:sz="4" w:space="0"/>
              <w:left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果蔬清洗机</w:t>
            </w:r>
            <w:r>
              <w:rPr>
                <w:rFonts w:ascii="宋体" w:hAnsi="宋体" w:eastAsia="宋体" w:cs="等线"/>
                <w:color w:val="auto"/>
                <w:sz w:val="21"/>
                <w:szCs w:val="21"/>
              </w:rPr>
              <w:t>（10）</w:t>
            </w:r>
          </w:p>
        </w:tc>
        <w:tc>
          <w:tcPr>
            <w:tcW w:w="1559" w:type="dxa"/>
            <w:tcBorders>
              <w:top w:val="single" w:color="auto" w:sz="4" w:space="0"/>
              <w:left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hint="eastAsia" w:ascii="宋体" w:hAnsi="宋体" w:eastAsia="宋体" w:cs="等线"/>
                <w:color w:val="auto"/>
                <w:sz w:val="21"/>
                <w:szCs w:val="21"/>
              </w:rPr>
            </w:pPr>
            <w:r>
              <w:rPr>
                <w:rFonts w:hint="eastAsia" w:ascii="宋体" w:hAnsi="宋体" w:eastAsia="宋体" w:cs="等线"/>
                <w:color w:val="auto"/>
                <w:sz w:val="21"/>
                <w:szCs w:val="21"/>
              </w:rPr>
              <w:t>重庆、成都</w:t>
            </w:r>
            <w:r>
              <w:rPr>
                <w:rFonts w:hint="eastAsia" w:ascii="宋体" w:hAnsi="宋体" w:eastAsia="宋体" w:cs="等线"/>
                <w:color w:val="auto"/>
                <w:sz w:val="21"/>
                <w:szCs w:val="21"/>
                <w:lang w:eastAsia="zh-CN"/>
              </w:rPr>
              <w:t>（</w:t>
            </w:r>
            <w:r>
              <w:rPr>
                <w:rFonts w:hint="eastAsia" w:ascii="宋体" w:hAnsi="宋体" w:eastAsia="宋体" w:cs="等线"/>
                <w:color w:val="auto"/>
                <w:sz w:val="21"/>
                <w:szCs w:val="21"/>
                <w:lang w:val="en-US" w:eastAsia="zh-CN"/>
              </w:rPr>
              <w:t>联合</w:t>
            </w:r>
            <w:r>
              <w:rPr>
                <w:rFonts w:hint="eastAsia" w:ascii="宋体" w:hAnsi="宋体" w:eastAsia="宋体" w:cs="等线"/>
                <w:color w:val="auto"/>
                <w:sz w:val="21"/>
                <w:szCs w:val="21"/>
                <w:lang w:eastAsia="zh-CN"/>
              </w:rPr>
              <w:t>）</w:t>
            </w:r>
          </w:p>
        </w:tc>
        <w:tc>
          <w:tcPr>
            <w:tcW w:w="5233" w:type="dxa"/>
            <w:tcBorders>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hint="eastAsia" w:ascii="宋体" w:hAnsi="宋体" w:eastAsia="宋体" w:cs="等线"/>
                <w:color w:val="auto"/>
                <w:sz w:val="21"/>
                <w:szCs w:val="21"/>
              </w:rPr>
            </w:pPr>
            <w:r>
              <w:rPr>
                <w:rFonts w:hint="eastAsia" w:ascii="宋体" w:hAnsi="宋体" w:eastAsia="宋体" w:cs="等线"/>
                <w:color w:val="auto"/>
                <w:sz w:val="21"/>
                <w:szCs w:val="21"/>
              </w:rPr>
              <w:t>青少年洗发水（2</w:t>
            </w:r>
            <w:r>
              <w:rPr>
                <w:rFonts w:ascii="宋体" w:hAnsi="宋体" w:eastAsia="宋体" w:cs="等线"/>
                <w:color w:val="auto"/>
                <w:sz w:val="21"/>
                <w:szCs w:val="21"/>
              </w:rPr>
              <w:t>0</w:t>
            </w:r>
            <w:r>
              <w:rPr>
                <w:rFonts w:hint="eastAsia" w:ascii="宋体" w:hAnsi="宋体" w:eastAsia="宋体" w:cs="等线"/>
                <w:color w:val="auto"/>
                <w:sz w:val="21"/>
                <w:szCs w:val="21"/>
              </w:rPr>
              <w:t>）</w:t>
            </w:r>
          </w:p>
        </w:tc>
        <w:tc>
          <w:tcPr>
            <w:tcW w:w="1559" w:type="dxa"/>
            <w:tcBorders>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2</w:t>
            </w:r>
            <w:r>
              <w:rPr>
                <w:rFonts w:ascii="宋体" w:hAnsi="宋体" w:eastAsia="宋体" w:cs="等线"/>
                <w:color w:val="auto"/>
                <w:sz w:val="21"/>
                <w:szCs w:val="21"/>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香港</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55寸超高清（4K）智能电视机</w:t>
            </w:r>
            <w:r>
              <w:rPr>
                <w:rFonts w:ascii="宋体" w:hAnsi="宋体" w:eastAsia="宋体" w:cs="等线"/>
                <w:color w:val="auto"/>
                <w:sz w:val="21"/>
                <w:szCs w:val="21"/>
              </w:rPr>
              <w:t>（9）、</w:t>
            </w:r>
            <w:r>
              <w:rPr>
                <w:rFonts w:hint="eastAsia" w:ascii="宋体" w:hAnsi="宋体" w:eastAsia="宋体" w:cs="等线"/>
                <w:color w:val="auto"/>
                <w:sz w:val="21"/>
                <w:szCs w:val="21"/>
              </w:rPr>
              <w:t>智能手表及手环</w:t>
            </w:r>
            <w:r>
              <w:rPr>
                <w:rFonts w:ascii="宋体" w:hAnsi="宋体" w:eastAsia="宋体" w:cs="等线"/>
                <w:color w:val="auto"/>
                <w:sz w:val="21"/>
                <w:szCs w:val="21"/>
              </w:rPr>
              <w:t>（44）、</w:t>
            </w:r>
            <w:r>
              <w:rPr>
                <w:rFonts w:hint="eastAsia" w:ascii="宋体" w:hAnsi="宋体" w:eastAsia="宋体" w:cs="等线"/>
                <w:color w:val="auto"/>
                <w:sz w:val="21"/>
                <w:szCs w:val="21"/>
              </w:rPr>
              <w:t>眼影</w:t>
            </w:r>
            <w:r>
              <w:rPr>
                <w:rFonts w:ascii="宋体" w:hAnsi="宋体" w:eastAsia="宋体" w:cs="等线"/>
                <w:color w:val="auto"/>
                <w:sz w:val="21"/>
                <w:szCs w:val="21"/>
              </w:rPr>
              <w:t>（25）、</w:t>
            </w:r>
            <w:r>
              <w:rPr>
                <w:rFonts w:hint="eastAsia" w:ascii="宋体" w:hAnsi="宋体" w:eastAsia="宋体" w:cs="等线"/>
                <w:color w:val="auto"/>
                <w:sz w:val="21"/>
                <w:szCs w:val="21"/>
              </w:rPr>
              <w:t>儿童座椅</w:t>
            </w:r>
            <w:r>
              <w:rPr>
                <w:rFonts w:ascii="宋体" w:hAnsi="宋体" w:eastAsia="宋体" w:cs="等线"/>
                <w:color w:val="auto"/>
                <w:sz w:val="21"/>
                <w:szCs w:val="21"/>
              </w:rPr>
              <w:t>（22）、</w:t>
            </w:r>
            <w:r>
              <w:rPr>
                <w:rFonts w:hint="eastAsia" w:ascii="宋体" w:hAnsi="宋体" w:eastAsia="宋体" w:cs="等线"/>
                <w:color w:val="auto"/>
                <w:sz w:val="21"/>
                <w:szCs w:val="21"/>
              </w:rPr>
              <w:t>清洁面膜</w:t>
            </w:r>
            <w:r>
              <w:rPr>
                <w:rFonts w:ascii="宋体" w:hAnsi="宋体" w:eastAsia="宋体" w:cs="等线"/>
                <w:color w:val="auto"/>
                <w:sz w:val="21"/>
                <w:szCs w:val="21"/>
              </w:rPr>
              <w:t>（30）</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澳门</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卫生卷纸</w:t>
            </w:r>
            <w:r>
              <w:rPr>
                <w:rFonts w:ascii="宋体" w:hAnsi="宋体" w:eastAsia="宋体" w:cs="等线"/>
                <w:color w:val="auto"/>
                <w:sz w:val="21"/>
                <w:szCs w:val="21"/>
              </w:rPr>
              <w:t>（15）</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15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10"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jc w:val="center"/>
              <w:textAlignment w:val="auto"/>
              <w:rPr>
                <w:rFonts w:ascii="宋体" w:hAnsi="宋体" w:eastAsia="宋体" w:cs="等线"/>
                <w:color w:val="auto"/>
                <w:sz w:val="21"/>
                <w:szCs w:val="21"/>
              </w:rPr>
            </w:pPr>
            <w:r>
              <w:rPr>
                <w:rFonts w:hint="eastAsia" w:ascii="宋体" w:hAnsi="宋体" w:eastAsia="宋体" w:cs="等线"/>
                <w:color w:val="auto"/>
                <w:sz w:val="21"/>
                <w:szCs w:val="21"/>
              </w:rPr>
              <w:t>广东、澳门、广州</w:t>
            </w:r>
            <w:r>
              <w:rPr>
                <w:rFonts w:hint="eastAsia" w:ascii="宋体" w:hAnsi="宋体" w:eastAsia="宋体" w:cs="等线"/>
                <w:color w:val="auto"/>
                <w:sz w:val="21"/>
                <w:szCs w:val="21"/>
                <w:lang w:eastAsia="zh-CN"/>
              </w:rPr>
              <w:t>（</w:t>
            </w:r>
            <w:r>
              <w:rPr>
                <w:rFonts w:hint="eastAsia" w:ascii="宋体" w:hAnsi="宋体" w:eastAsia="宋体" w:cs="等线"/>
                <w:color w:val="auto"/>
                <w:sz w:val="21"/>
                <w:szCs w:val="21"/>
                <w:lang w:val="en-US" w:eastAsia="zh-CN"/>
              </w:rPr>
              <w:t>联合</w:t>
            </w:r>
            <w:r>
              <w:rPr>
                <w:rFonts w:hint="eastAsia" w:ascii="宋体" w:hAnsi="宋体" w:eastAsia="宋体" w:cs="等线"/>
                <w:color w:val="auto"/>
                <w:sz w:val="21"/>
                <w:szCs w:val="21"/>
                <w:lang w:eastAsia="zh-CN"/>
              </w:rPr>
              <w:t>）</w:t>
            </w:r>
          </w:p>
        </w:tc>
        <w:tc>
          <w:tcPr>
            <w:tcW w:w="5233"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hint="eastAsia" w:ascii="宋体" w:hAnsi="宋体" w:eastAsia="宋体" w:cs="等线"/>
                <w:color w:val="auto"/>
                <w:sz w:val="21"/>
                <w:szCs w:val="21"/>
              </w:rPr>
              <w:t>登山鞋</w:t>
            </w:r>
            <w:r>
              <w:rPr>
                <w:rFonts w:ascii="宋体" w:hAnsi="宋体" w:eastAsia="宋体" w:cs="等线"/>
                <w:color w:val="auto"/>
                <w:sz w:val="21"/>
                <w:szCs w:val="21"/>
              </w:rPr>
              <w:t>（25）、</w:t>
            </w:r>
            <w:r>
              <w:rPr>
                <w:rFonts w:hint="eastAsia" w:ascii="宋体" w:hAnsi="宋体" w:eastAsia="宋体" w:cs="等线"/>
                <w:color w:val="auto"/>
                <w:sz w:val="21"/>
                <w:szCs w:val="21"/>
                <w:lang w:val="en-US" w:eastAsia="zh-CN"/>
              </w:rPr>
              <w:t>方便</w:t>
            </w:r>
            <w:r>
              <w:rPr>
                <w:rFonts w:hint="eastAsia" w:ascii="宋体" w:hAnsi="宋体" w:eastAsia="宋体" w:cs="等线"/>
                <w:color w:val="auto"/>
                <w:sz w:val="21"/>
                <w:szCs w:val="21"/>
              </w:rPr>
              <w:t>面</w:t>
            </w:r>
            <w:r>
              <w:rPr>
                <w:rFonts w:ascii="宋体" w:hAnsi="宋体" w:eastAsia="宋体" w:cs="等线"/>
                <w:color w:val="auto"/>
                <w:sz w:val="21"/>
                <w:szCs w:val="21"/>
              </w:rPr>
              <w:t>（20）</w:t>
            </w:r>
          </w:p>
        </w:tc>
        <w:tc>
          <w:tcPr>
            <w:tcW w:w="1559" w:type="dxa"/>
            <w:tcBorders>
              <w:top w:val="single" w:color="auto" w:sz="4" w:space="0"/>
              <w:left w:val="single" w:color="auto" w:sz="4" w:space="0"/>
              <w:bottom w:val="single" w:color="auto" w:sz="4" w:space="0"/>
              <w:right w:val="single" w:color="auto" w:sz="4" w:space="0"/>
            </w:tcBorders>
            <w:noWrap w:val="0"/>
            <w:vAlign w:val="center"/>
          </w:tcPr>
          <w:p>
            <w:pPr>
              <w:pStyle w:val="23"/>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eastAsia="宋体" w:cs="等线"/>
                <w:color w:val="auto"/>
                <w:sz w:val="21"/>
                <w:szCs w:val="21"/>
              </w:rPr>
            </w:pPr>
            <w:r>
              <w:rPr>
                <w:rFonts w:ascii="宋体" w:hAnsi="宋体" w:eastAsia="宋体" w:cs="等线"/>
                <w:color w:val="auto"/>
                <w:sz w:val="21"/>
                <w:szCs w:val="21"/>
              </w:rPr>
              <w:t>45</w:t>
            </w:r>
          </w:p>
        </w:tc>
      </w:tr>
    </w:tbl>
    <w:p>
      <w:pPr>
        <w:keepNext w:val="0"/>
        <w:keepLines w:val="0"/>
        <w:pageBreakBefore w:val="0"/>
        <w:widowControl w:val="0"/>
        <w:tabs>
          <w:tab w:val="left" w:pos="418"/>
        </w:tabs>
        <w:kinsoku/>
        <w:wordWrap/>
        <w:overflowPunct/>
        <w:topLinePunct w:val="0"/>
        <w:autoSpaceDE w:val="0"/>
        <w:autoSpaceDN w:val="0"/>
        <w:bidi w:val="0"/>
        <w:adjustRightInd w:val="0"/>
        <w:snapToGrid/>
        <w:spacing w:line="594" w:lineRule="exact"/>
        <w:ind w:firstLine="641"/>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lang w:val="en-US" w:eastAsia="zh-CN"/>
        </w:rPr>
        <w:t>七</w:t>
      </w:r>
      <w:r>
        <w:rPr>
          <w:rFonts w:hint="eastAsia" w:ascii="仿宋_GB2312" w:hAnsi="仿宋_GB2312" w:eastAsia="仿宋_GB2312" w:cs="仿宋_GB2312"/>
          <w:color w:val="auto"/>
          <w:sz w:val="32"/>
          <w:szCs w:val="32"/>
          <w:shd w:val="clear" w:color="auto" w:fill="FFFFFF"/>
        </w:rPr>
        <w:t>是及时发布消费提示警示，</w:t>
      </w:r>
      <w:r>
        <w:rPr>
          <w:rFonts w:hint="eastAsia" w:ascii="仿宋_GB2312" w:hAnsi="仿宋_GB2312" w:eastAsia="仿宋_GB2312" w:cs="仿宋_GB2312"/>
          <w:color w:val="auto"/>
          <w:sz w:val="32"/>
          <w:szCs w:val="32"/>
          <w:shd w:val="clear" w:color="auto" w:fill="FFFFFF"/>
          <w:lang w:val="en-US" w:eastAsia="zh-CN"/>
        </w:rPr>
        <w:t>强化消费风险预警</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color w:val="auto"/>
          <w:sz w:val="32"/>
          <w:szCs w:val="32"/>
          <w:shd w:val="clear" w:color="auto" w:fill="FFFFFF"/>
          <w:lang w:val="en-US" w:eastAsia="zh-CN"/>
        </w:rPr>
        <w:t>2025年，</w:t>
      </w:r>
      <w:r>
        <w:rPr>
          <w:rFonts w:hint="eastAsia" w:ascii="仿宋_GB2312" w:hAnsi="仿宋_GB2312" w:eastAsia="仿宋_GB2312" w:cs="仿宋_GB2312"/>
          <w:color w:val="auto"/>
          <w:sz w:val="32"/>
          <w:szCs w:val="32"/>
          <w:shd w:val="clear" w:color="auto" w:fill="FFFFFF"/>
        </w:rPr>
        <w:t>中消协</w:t>
      </w:r>
      <w:r>
        <w:rPr>
          <w:rFonts w:hint="eastAsia" w:ascii="仿宋_GB2312" w:hAnsi="仿宋_GB2312" w:eastAsia="仿宋_GB2312" w:cs="仿宋_GB2312"/>
          <w:color w:val="auto"/>
          <w:sz w:val="32"/>
          <w:szCs w:val="32"/>
          <w:shd w:val="clear" w:color="auto" w:fill="FFFFFF"/>
          <w:lang w:val="en-US" w:eastAsia="zh-CN"/>
        </w:rPr>
        <w:t>先后</w:t>
      </w:r>
      <w:r>
        <w:rPr>
          <w:rFonts w:hint="eastAsia" w:ascii="仿宋_GB2312" w:hAnsi="仿宋_GB2312" w:eastAsia="仿宋_GB2312" w:cs="仿宋_GB2312"/>
          <w:color w:val="auto"/>
          <w:sz w:val="32"/>
          <w:szCs w:val="32"/>
          <w:shd w:val="clear" w:color="auto" w:fill="FFFFFF"/>
        </w:rPr>
        <w:t>发布警惕手机“免密支付”风险、合规使用消费券、警惕网贷陷阱、谨防盗版剧APP授权陷阱、防晒衣物选购、慎选研学旅游服务等多</w:t>
      </w:r>
      <w:r>
        <w:rPr>
          <w:rFonts w:hint="eastAsia" w:ascii="仿宋_GB2312" w:hAnsi="仿宋_GB2312" w:eastAsia="仿宋_GB2312" w:cs="仿宋_GB2312"/>
          <w:color w:val="auto"/>
          <w:sz w:val="32"/>
          <w:szCs w:val="32"/>
          <w:shd w:val="clear" w:color="auto" w:fill="FFFFFF"/>
          <w:lang w:val="en-US" w:eastAsia="zh-CN"/>
        </w:rPr>
        <w:t>项消费警示，获得良好社会反响</w:t>
      </w:r>
      <w:r>
        <w:rPr>
          <w:rFonts w:hint="eastAsia" w:ascii="仿宋_GB2312" w:hAnsi="仿宋_GB2312" w:eastAsia="仿宋_GB2312" w:cs="仿宋_GB2312"/>
          <w:color w:val="auto"/>
          <w:sz w:val="32"/>
          <w:szCs w:val="32"/>
          <w:shd w:val="clear" w:color="auto" w:fill="FFFFFF"/>
        </w:rPr>
        <w:t>；联合市场监管总局发布防范“保健品”诈骗老年人、直播带货、果蔬消费、普通食品与保健食品区别、警惕私域直播间老年人药品消费陷阱等消费提示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val="en-US" w:eastAsia="zh-CN"/>
        </w:rPr>
        <w:t>大力提升消费者风险防范意识</w:t>
      </w:r>
      <w:r>
        <w:rPr>
          <w:rFonts w:hint="eastAsia" w:ascii="仿宋_GB2312" w:hAnsi="仿宋_GB2312" w:eastAsia="仿宋_GB2312" w:cs="仿宋_GB2312"/>
          <w:color w:val="auto"/>
          <w:sz w:val="32"/>
          <w:szCs w:val="32"/>
          <w:shd w:val="clear" w:color="auto" w:fill="FFFFFF"/>
        </w:rPr>
        <w:t>；联合中国市场监督管理学会发布暑期餐饮安全提示、警惕网售儿童安全坐垫风险、警惕“伪营养师”推销保健品、理性购买保健产品等消费提示，提升消费者的风险识别与自我保护能力</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rPr>
        <w:t>在春节、五一、儿童节、端午节、重阳节等重要节假日发布消费提示，提醒广大消费者抵制餐饮浪费、规避消费陷阱，保障节日消费安全。</w:t>
      </w:r>
    </w:p>
    <w:p>
      <w:pPr>
        <w:keepNext w:val="0"/>
        <w:keepLines w:val="0"/>
        <w:pageBreakBefore w:val="0"/>
        <w:widowControl w:val="0"/>
        <w:tabs>
          <w:tab w:val="left" w:pos="418"/>
        </w:tabs>
        <w:kinsoku/>
        <w:wordWrap/>
        <w:overflowPunct/>
        <w:topLinePunct w:val="0"/>
        <w:autoSpaceDE w:val="0"/>
        <w:autoSpaceDN w:val="0"/>
        <w:bidi w:val="0"/>
        <w:adjustRightInd w:val="0"/>
        <w:snapToGrid/>
        <w:spacing w:line="594" w:lineRule="exact"/>
        <w:ind w:firstLine="641"/>
        <w:textAlignment w:val="auto"/>
        <w:rPr>
          <w:rFonts w:ascii="仿宋" w:hAnsi="仿宋" w:eastAsia="仿宋" w:cs="仿宋_GB2312"/>
          <w:color w:val="auto"/>
          <w:sz w:val="32"/>
          <w:szCs w:val="32"/>
          <w:shd w:val="clear" w:color="auto" w:fill="FFFFFF"/>
        </w:rPr>
      </w:pPr>
      <w:r>
        <w:rPr>
          <w:rFonts w:hint="eastAsia" w:ascii="仿宋_GB2312" w:hAnsi="仿宋_GB2312" w:eastAsia="仿宋_GB2312" w:cs="仿宋_GB2312"/>
          <w:color w:val="auto"/>
          <w:sz w:val="32"/>
          <w:szCs w:val="32"/>
          <w:shd w:val="clear" w:color="auto" w:fill="FFFFFF"/>
        </w:rPr>
        <w:t>各地消协组织紧密围绕消费市场动态与消费者关切的问题发布大量消费提示警示，提醒消费者理性消费、依法维权</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val="en-US" w:eastAsia="zh-CN"/>
        </w:rPr>
        <w:t>其中</w:t>
      </w:r>
      <w:r>
        <w:rPr>
          <w:rFonts w:hint="eastAsia" w:ascii="仿宋_GB2312" w:hAnsi="仿宋_GB2312" w:eastAsia="仿宋_GB2312" w:cs="仿宋_GB2312"/>
          <w:color w:val="auto"/>
          <w:sz w:val="32"/>
          <w:szCs w:val="32"/>
          <w:shd w:val="clear" w:color="auto" w:fill="FFFFFF"/>
        </w:rPr>
        <w:t>山东</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val="en-US" w:eastAsia="zh-CN"/>
        </w:rPr>
        <w:t>福建</w:t>
      </w:r>
      <w:r>
        <w:rPr>
          <w:rFonts w:hint="eastAsia" w:ascii="仿宋_GB2312" w:hAnsi="仿宋_GB2312" w:eastAsia="仿宋_GB2312" w:cs="仿宋_GB2312"/>
          <w:color w:val="auto"/>
          <w:sz w:val="32"/>
          <w:szCs w:val="32"/>
          <w:shd w:val="clear" w:color="auto" w:fill="FFFFFF"/>
        </w:rPr>
        <w:t>消协</w:t>
      </w:r>
      <w:r>
        <w:rPr>
          <w:rFonts w:hint="eastAsia" w:ascii="仿宋_GB2312" w:hAnsi="仿宋_GB2312" w:eastAsia="仿宋_GB2312" w:cs="仿宋_GB2312"/>
          <w:color w:val="auto"/>
          <w:sz w:val="32"/>
          <w:szCs w:val="32"/>
          <w:shd w:val="clear" w:color="auto" w:fill="FFFFFF"/>
          <w:lang w:val="en-US" w:eastAsia="zh-CN"/>
        </w:rPr>
        <w:t>组织全年发布消费提示警示均达20次以上。此外，</w:t>
      </w:r>
      <w:r>
        <w:rPr>
          <w:rFonts w:hint="eastAsia" w:ascii="仿宋_GB2312" w:hAnsi="仿宋_GB2312" w:eastAsia="仿宋_GB2312" w:cs="仿宋_GB2312"/>
          <w:color w:val="auto"/>
          <w:kern w:val="0"/>
          <w:sz w:val="32"/>
          <w:szCs w:val="32"/>
        </w:rPr>
        <w:t>针对共性消费风险</w:t>
      </w:r>
      <w:r>
        <w:rPr>
          <w:rFonts w:hint="eastAsia" w:ascii="仿宋_GB2312" w:hAnsi="仿宋_GB2312" w:eastAsia="仿宋_GB2312" w:cs="仿宋_GB2312"/>
          <w:color w:val="auto"/>
          <w:kern w:val="0"/>
          <w:sz w:val="32"/>
          <w:szCs w:val="32"/>
          <w:lang w:val="en-US" w:eastAsia="zh-CN"/>
        </w:rPr>
        <w:t>问题</w:t>
      </w:r>
      <w:r>
        <w:rPr>
          <w:rFonts w:hint="eastAsia" w:ascii="仿宋_GB2312" w:hAnsi="仿宋_GB2312" w:eastAsia="仿宋_GB2312" w:cs="仿宋_GB2312"/>
          <w:color w:val="auto"/>
          <w:kern w:val="0"/>
          <w:sz w:val="32"/>
          <w:szCs w:val="32"/>
        </w:rPr>
        <w:t>，多地消协组织联合发布消费提示警示</w:t>
      </w:r>
      <w:r>
        <w:rPr>
          <w:rFonts w:hint="eastAsia" w:ascii="仿宋_GB2312" w:hAnsi="仿宋_GB2312" w:eastAsia="仿宋_GB2312" w:cs="仿宋_GB2312"/>
          <w:color w:val="auto"/>
          <w:kern w:val="0"/>
          <w:sz w:val="32"/>
          <w:szCs w:val="32"/>
          <w:lang w:eastAsia="zh-CN"/>
        </w:rPr>
        <w:t>，</w:t>
      </w:r>
      <w:r>
        <w:rPr>
          <w:rFonts w:hint="eastAsia" w:ascii="仿宋_GB2312" w:hAnsi="仿宋_GB2312" w:eastAsia="仿宋_GB2312" w:cs="仿宋_GB2312"/>
          <w:color w:val="auto"/>
          <w:kern w:val="0"/>
          <w:sz w:val="32"/>
          <w:szCs w:val="32"/>
          <w:lang w:val="en-US" w:eastAsia="zh-CN"/>
        </w:rPr>
        <w:t>如</w:t>
      </w:r>
      <w:r>
        <w:rPr>
          <w:rFonts w:hint="eastAsia" w:ascii="仿宋_GB2312" w:hAnsi="仿宋_GB2312" w:eastAsia="仿宋_GB2312" w:cs="仿宋_GB2312"/>
          <w:color w:val="auto"/>
          <w:sz w:val="32"/>
          <w:szCs w:val="32"/>
        </w:rPr>
        <w:t>四川省消委会联合十地消协组织发布悬崖秋千消费警示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shd w:val="clear" w:color="auto" w:fill="FFFFFF"/>
        </w:rPr>
        <w:t>粤港澳消委会联合发布跨境网购消费提示</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rPr>
        <w:t>京津冀三地消协组织联合发布保险产品和汛期消费安全提示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鄂赣湘三省消费者组织联合发布夏季家电安全使用和“以旧换新”消费指南。</w:t>
      </w:r>
      <w:r>
        <w:rPr>
          <w:rFonts w:hint="eastAsia" w:ascii="仿宋_GB2312" w:hAnsi="仿宋_GB2312" w:eastAsia="仿宋_GB2312" w:cs="仿宋_GB2312"/>
          <w:color w:val="auto"/>
          <w:sz w:val="32"/>
          <w:szCs w:val="32"/>
          <w:shd w:val="clear" w:color="auto" w:fill="FFFFFF"/>
        </w:rPr>
        <w:t>消协组织发布的消费提示覆盖</w:t>
      </w:r>
      <w:r>
        <w:rPr>
          <w:rFonts w:hint="eastAsia" w:ascii="仿宋_GB2312" w:hAnsi="仿宋_GB2312" w:eastAsia="仿宋_GB2312" w:cs="仿宋_GB2312"/>
          <w:color w:val="auto"/>
          <w:sz w:val="32"/>
          <w:szCs w:val="32"/>
          <w:shd w:val="clear" w:color="auto" w:fill="FFFFFF"/>
          <w:lang w:val="en-US" w:eastAsia="zh-CN"/>
        </w:rPr>
        <w:t>众多</w:t>
      </w:r>
      <w:r>
        <w:rPr>
          <w:rFonts w:hint="eastAsia" w:ascii="仿宋_GB2312" w:hAnsi="仿宋_GB2312" w:eastAsia="仿宋_GB2312" w:cs="仿宋_GB2312"/>
          <w:color w:val="auto"/>
          <w:sz w:val="32"/>
          <w:szCs w:val="32"/>
          <w:shd w:val="clear" w:color="auto" w:fill="FFFFFF"/>
        </w:rPr>
        <w:t>消费领域，精准对接消费者现实需求，</w:t>
      </w:r>
      <w:r>
        <w:rPr>
          <w:rFonts w:hint="eastAsia" w:ascii="仿宋_GB2312" w:hAnsi="仿宋_GB2312" w:eastAsia="仿宋_GB2312" w:cs="仿宋_GB2312"/>
          <w:color w:val="auto"/>
          <w:sz w:val="32"/>
          <w:szCs w:val="32"/>
          <w:shd w:val="clear" w:color="auto" w:fill="FFFFFF"/>
          <w:lang w:val="en-US" w:eastAsia="zh-CN"/>
        </w:rPr>
        <w:t>获得社会普遍关注</w:t>
      </w:r>
      <w:r>
        <w:rPr>
          <w:rFonts w:hint="eastAsia" w:ascii="仿宋_GB2312" w:hAnsi="仿宋_GB2312" w:eastAsia="仿宋_GB2312" w:cs="仿宋_GB2312"/>
          <w:color w:val="auto"/>
          <w:sz w:val="32"/>
          <w:szCs w:val="32"/>
          <w:shd w:val="clear" w:color="auto" w:fill="FFFFFF"/>
        </w:rPr>
        <w:t>。</w:t>
      </w:r>
    </w:p>
    <w:p>
      <w:pPr>
        <w:pStyle w:val="23"/>
        <w:ind w:left="0" w:leftChars="0" w:firstLine="0" w:firstLineChars="0"/>
        <w:jc w:val="center"/>
        <w:rPr>
          <w:rFonts w:hint="eastAsia" w:ascii="黑体" w:hAnsi="黑体" w:eastAsia="黑体" w:cs="黑体"/>
          <w:color w:val="auto"/>
          <w:sz w:val="28"/>
          <w:szCs w:val="28"/>
          <w:shd w:val="clear" w:color="auto" w:fill="FFFFFF"/>
        </w:rPr>
      </w:pPr>
      <w:r>
        <w:rPr>
          <w:rFonts w:hint="eastAsia" w:ascii="黑体" w:hAnsi="黑体" w:eastAsia="黑体" w:cs="黑体"/>
          <w:color w:val="auto"/>
          <w:sz w:val="28"/>
          <w:szCs w:val="28"/>
          <w:shd w:val="clear" w:color="auto" w:fill="FFFFFF"/>
        </w:rPr>
        <w:t>表5：2025年</w:t>
      </w:r>
      <w:r>
        <w:rPr>
          <w:rFonts w:hint="eastAsia" w:ascii="黑体" w:hAnsi="黑体" w:eastAsia="黑体" w:cs="黑体"/>
          <w:color w:val="auto"/>
          <w:sz w:val="28"/>
          <w:szCs w:val="28"/>
          <w:shd w:val="clear" w:color="auto" w:fill="FFFFFF"/>
          <w:lang w:val="en-US" w:eastAsia="zh-CN"/>
        </w:rPr>
        <w:t>中消协和省级</w:t>
      </w:r>
      <w:r>
        <w:rPr>
          <w:rFonts w:hint="eastAsia" w:ascii="黑体" w:hAnsi="黑体" w:eastAsia="黑体" w:cs="黑体"/>
          <w:color w:val="auto"/>
          <w:sz w:val="28"/>
          <w:szCs w:val="28"/>
          <w:shd w:val="clear" w:color="auto" w:fill="FFFFFF"/>
        </w:rPr>
        <w:t>消协组织发布的主要消费提示警示</w:t>
      </w:r>
    </w:p>
    <w:tbl>
      <w:tblPr>
        <w:tblStyle w:val="17"/>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411"/>
        <w:gridCol w:w="67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黑体" w:hAnsi="黑体" w:eastAsia="黑体" w:cs="黑体"/>
                <w:b w:val="0"/>
                <w:bCs/>
                <w:color w:val="auto"/>
                <w:shd w:val="clear" w:color="auto" w:fill="FFFFFF"/>
              </w:rPr>
            </w:pPr>
            <w:r>
              <w:rPr>
                <w:rFonts w:hint="eastAsia" w:ascii="黑体" w:hAnsi="黑体" w:eastAsia="黑体" w:cs="黑体"/>
                <w:b w:val="0"/>
                <w:bCs/>
                <w:color w:val="auto"/>
                <w:shd w:val="clear" w:color="auto" w:fill="FFFFFF"/>
              </w:rPr>
              <w:t>发布单位</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黑体" w:hAnsi="黑体" w:eastAsia="黑体" w:cs="黑体"/>
                <w:b w:val="0"/>
                <w:bCs/>
                <w:color w:val="auto"/>
                <w:shd w:val="clear" w:color="auto" w:fill="FFFFFF"/>
              </w:rPr>
            </w:pPr>
            <w:r>
              <w:rPr>
                <w:rFonts w:hint="eastAsia" w:ascii="黑体" w:hAnsi="黑体" w:eastAsia="黑体" w:cs="黑体"/>
                <w:b w:val="0"/>
                <w:bCs/>
                <w:color w:val="auto"/>
                <w:shd w:val="clear" w:color="auto" w:fill="FFFFFF"/>
              </w:rPr>
              <w:t>提示风险领域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rPr>
            </w:pPr>
            <w:r>
              <w:rPr>
                <w:rFonts w:hint="eastAsia" w:ascii="宋体" w:hAnsi="宋体" w:eastAsia="宋体" w:cs="等线"/>
                <w:color w:val="auto"/>
                <w:sz w:val="21"/>
                <w:szCs w:val="21"/>
              </w:rPr>
              <w:t>中消协</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春节消费、</w:t>
            </w:r>
            <w:r>
              <w:rPr>
                <w:rFonts w:hint="eastAsia" w:ascii="宋体" w:hAnsi="宋体" w:eastAsia="宋体" w:cs="等线"/>
                <w:color w:val="auto"/>
                <w:sz w:val="21"/>
                <w:szCs w:val="21"/>
              </w:rPr>
              <w:t>合规使用消费券、网络购物陷阱、不公平格式条款、手机“免密支付”风险、网贷陷阱、“五一”消费、天价粽子、</w:t>
            </w:r>
            <w:r>
              <w:rPr>
                <w:rFonts w:hint="eastAsia" w:ascii="宋体" w:hAnsi="宋体" w:eastAsia="宋体" w:cs="等线"/>
                <w:color w:val="auto"/>
                <w:sz w:val="21"/>
                <w:szCs w:val="21"/>
                <w:lang w:eastAsia="zh-Hans"/>
              </w:rPr>
              <w:t>网售儿童安全坐垫、养老服务、</w:t>
            </w:r>
            <w:r>
              <w:rPr>
                <w:rFonts w:hint="eastAsia" w:ascii="宋体" w:hAnsi="宋体" w:eastAsia="宋体" w:cs="等线"/>
                <w:color w:val="auto"/>
                <w:sz w:val="21"/>
                <w:szCs w:val="21"/>
              </w:rPr>
              <w:t>研学服务、跳绳挑选、重阳节老年消费、盗版剧APP风险隐患、手作玩具工业原料甲醛高风险、</w:t>
            </w:r>
            <w:r>
              <w:rPr>
                <w:rFonts w:hint="eastAsia" w:ascii="宋体" w:hAnsi="宋体" w:eastAsia="宋体" w:cs="等线"/>
                <w:color w:val="auto"/>
                <w:sz w:val="21"/>
                <w:szCs w:val="21"/>
                <w:lang w:eastAsia="zh-Hans"/>
              </w:rPr>
              <w:t>借贷消费、选购防晒衣物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kern w:val="2"/>
                <w:sz w:val="21"/>
                <w:szCs w:val="21"/>
                <w:lang w:val="en-US" w:eastAsia="zh-CN" w:bidi="ar-SA"/>
              </w:rPr>
            </w:pPr>
            <w:r>
              <w:rPr>
                <w:rFonts w:hint="eastAsia" w:ascii="宋体" w:hAnsi="宋体" w:eastAsia="宋体" w:cs="等线"/>
                <w:color w:val="auto"/>
                <w:sz w:val="21"/>
                <w:szCs w:val="21"/>
              </w:rPr>
              <w:t>中消协联合市场监管总局</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kern w:val="2"/>
                <w:sz w:val="21"/>
                <w:szCs w:val="21"/>
                <w:lang w:val="en-US" w:eastAsia="zh-CN" w:bidi="ar-SA"/>
              </w:rPr>
            </w:pPr>
            <w:r>
              <w:rPr>
                <w:rFonts w:hint="eastAsia" w:ascii="宋体" w:hAnsi="宋体" w:eastAsia="宋体" w:cs="等线"/>
                <w:color w:val="auto"/>
                <w:sz w:val="21"/>
                <w:szCs w:val="21"/>
              </w:rPr>
              <w:t>可去除花粉过敏原空气净化器选购、</w:t>
            </w:r>
            <w:r>
              <w:rPr>
                <w:rFonts w:hint="eastAsia" w:ascii="宋体" w:hAnsi="宋体" w:eastAsia="宋体" w:cs="等线"/>
                <w:color w:val="auto"/>
                <w:sz w:val="21"/>
                <w:szCs w:val="21"/>
                <w:lang w:eastAsia="zh-Hans"/>
              </w:rPr>
              <w:t>“</w:t>
            </w:r>
            <w:r>
              <w:rPr>
                <w:rFonts w:hint="eastAsia" w:ascii="宋体" w:hAnsi="宋体" w:eastAsia="宋体" w:cs="等线"/>
                <w:color w:val="auto"/>
                <w:sz w:val="21"/>
                <w:szCs w:val="21"/>
              </w:rPr>
              <w:t>保健品”诈骗老年人、果蔬安全</w:t>
            </w:r>
            <w:r>
              <w:rPr>
                <w:rFonts w:hint="eastAsia" w:ascii="宋体" w:hAnsi="宋体" w:eastAsia="宋体" w:cs="等线"/>
                <w:color w:val="auto"/>
                <w:sz w:val="21"/>
                <w:szCs w:val="21"/>
                <w:lang w:eastAsia="zh-Hans"/>
              </w:rPr>
              <w:t>选购</w:t>
            </w:r>
            <w:r>
              <w:rPr>
                <w:rFonts w:hint="eastAsia" w:ascii="宋体" w:hAnsi="宋体" w:eastAsia="宋体" w:cs="等线"/>
                <w:color w:val="auto"/>
                <w:sz w:val="21"/>
                <w:szCs w:val="21"/>
              </w:rPr>
              <w:t>、直播带货、普通食品宣称保健功能、私域直播间老年人药品保健品消费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kern w:val="2"/>
                <w:sz w:val="21"/>
                <w:szCs w:val="21"/>
                <w:lang w:val="en-US" w:eastAsia="zh-CN" w:bidi="ar-SA"/>
              </w:rPr>
            </w:pPr>
            <w:r>
              <w:rPr>
                <w:rFonts w:hint="eastAsia" w:ascii="宋体" w:hAnsi="宋体" w:eastAsia="宋体" w:cs="等线"/>
                <w:color w:val="auto"/>
                <w:sz w:val="21"/>
                <w:szCs w:val="21"/>
                <w:lang w:eastAsia="zh-Hans"/>
              </w:rPr>
              <w:t>中消协</w:t>
            </w:r>
            <w:r>
              <w:rPr>
                <w:rFonts w:hint="eastAsia" w:ascii="宋体" w:hAnsi="宋体" w:eastAsia="宋体" w:cs="等线"/>
                <w:color w:val="auto"/>
                <w:sz w:val="21"/>
                <w:szCs w:val="21"/>
              </w:rPr>
              <w:t>联合中国市场监管学会</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kern w:val="2"/>
                <w:sz w:val="21"/>
                <w:szCs w:val="21"/>
                <w:lang w:val="en-US" w:eastAsia="zh-CN" w:bidi="ar-SA"/>
              </w:rPr>
            </w:pPr>
            <w:r>
              <w:rPr>
                <w:rFonts w:hint="eastAsia" w:ascii="宋体" w:hAnsi="宋体" w:eastAsia="宋体" w:cs="等线"/>
                <w:color w:val="auto"/>
                <w:sz w:val="21"/>
                <w:szCs w:val="21"/>
              </w:rPr>
              <w:t>暑期餐饮安全、促销陷阱、理性购买保健食品、“伪营养师”推销保健品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中消协联合中国纤维质量监测中心</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科学选购长绒棉絮用纤维制品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北京市消协</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春节消费、清明节消费、老年消费、旅游产品消费、中元节消费</w:t>
            </w:r>
            <w:r>
              <w:rPr>
                <w:rFonts w:hint="eastAsia" w:ascii="宋体" w:hAnsi="宋体" w:eastAsia="宋体" w:cs="等线"/>
                <w:color w:val="auto"/>
                <w:sz w:val="21"/>
                <w:szCs w:val="21"/>
              </w:rPr>
              <w:t>、“6</w:t>
            </w:r>
            <w:r>
              <w:rPr>
                <w:rFonts w:ascii="宋体" w:hAnsi="宋体" w:eastAsia="宋体" w:cs="等线"/>
                <w:color w:val="auto"/>
                <w:sz w:val="21"/>
                <w:szCs w:val="21"/>
              </w:rPr>
              <w:t>.18</w:t>
            </w:r>
            <w:r>
              <w:rPr>
                <w:rFonts w:hint="eastAsia" w:ascii="宋体" w:hAnsi="宋体" w:eastAsia="宋体" w:cs="等线"/>
                <w:color w:val="auto"/>
                <w:sz w:val="21"/>
                <w:szCs w:val="21"/>
                <w:lang w:eastAsia="zh-CN"/>
              </w:rPr>
              <w:t>”</w:t>
            </w:r>
            <w:r>
              <w:rPr>
                <w:rFonts w:hint="eastAsia" w:ascii="宋体" w:hAnsi="宋体" w:eastAsia="宋体" w:cs="等线"/>
                <w:color w:val="auto"/>
                <w:sz w:val="21"/>
                <w:szCs w:val="21"/>
              </w:rPr>
              <w:t>网络购物消费</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天津市消协</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燃气壁挂炉突发爆燃事故、抵制商品过度包装</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rPr>
              <w:t>河北省消保委</w:t>
            </w:r>
          </w:p>
        </w:tc>
        <w:tc>
          <w:tcPr>
            <w:tcW w:w="3685" w:type="pct"/>
            <w:tcBorders>
              <w:top w:val="single" w:color="auto" w:sz="4" w:space="0"/>
              <w:left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春节消费</w:t>
            </w:r>
            <w:r>
              <w:rPr>
                <w:rFonts w:hint="eastAsia" w:ascii="宋体" w:hAnsi="宋体" w:cs="楷体_GB2312"/>
                <w:color w:val="auto"/>
                <w:kern w:val="0"/>
                <w:sz w:val="21"/>
                <w:szCs w:val="21"/>
                <w:lang w:eastAsia="zh-CN"/>
              </w:rPr>
              <w:t>、</w:t>
            </w:r>
            <w:r>
              <w:rPr>
                <w:rFonts w:hint="eastAsia" w:ascii="宋体" w:hAnsi="宋体" w:eastAsia="宋体" w:cs="楷体"/>
                <w:color w:val="auto"/>
                <w:kern w:val="0"/>
                <w:sz w:val="21"/>
                <w:szCs w:val="21"/>
              </w:rPr>
              <w:t>“双1</w:t>
            </w:r>
            <w:r>
              <w:rPr>
                <w:rFonts w:ascii="宋体" w:hAnsi="宋体" w:eastAsia="宋体" w:cs="楷体"/>
                <w:color w:val="auto"/>
                <w:kern w:val="0"/>
                <w:sz w:val="21"/>
                <w:szCs w:val="21"/>
              </w:rPr>
              <w:t>1</w:t>
            </w:r>
            <w:r>
              <w:rPr>
                <w:rFonts w:hint="eastAsia" w:ascii="宋体" w:hAnsi="宋体" w:eastAsia="宋体" w:cs="楷体"/>
                <w:color w:val="auto"/>
                <w:kern w:val="0"/>
                <w:sz w:val="21"/>
                <w:szCs w:val="21"/>
              </w:rPr>
              <w:t>”消费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山西省消协</w:t>
            </w:r>
          </w:p>
        </w:tc>
        <w:tc>
          <w:tcPr>
            <w:tcW w:w="3685" w:type="pct"/>
            <w:tcBorders>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rPr>
            </w:pPr>
            <w:r>
              <w:rPr>
                <w:rFonts w:hint="eastAsia" w:ascii="宋体" w:hAnsi="宋体" w:eastAsia="宋体" w:cs="等线"/>
                <w:color w:val="auto"/>
                <w:sz w:val="21"/>
                <w:szCs w:val="21"/>
              </w:rPr>
              <w:t>春节消费、</w:t>
            </w:r>
            <w:r>
              <w:rPr>
                <w:rFonts w:hint="eastAsia" w:ascii="宋体" w:hAnsi="宋体" w:eastAsia="宋体" w:cs="等线"/>
                <w:color w:val="auto"/>
                <w:sz w:val="21"/>
                <w:szCs w:val="21"/>
                <w:lang w:eastAsia="zh-Hans"/>
              </w:rPr>
              <w:t>升学招生、餐饮企业户外销售菜品、预付式消费</w:t>
            </w:r>
            <w:r>
              <w:rPr>
                <w:rFonts w:hint="eastAsia" w:ascii="宋体" w:hAnsi="宋体" w:eastAsia="宋体" w:cs="等线"/>
                <w:color w:val="auto"/>
                <w:sz w:val="21"/>
                <w:szCs w:val="21"/>
              </w:rPr>
              <w:t>、</w:t>
            </w:r>
            <w:r>
              <w:rPr>
                <w:rFonts w:hint="eastAsia" w:ascii="宋体" w:hAnsi="宋体" w:eastAsia="宋体" w:cs="楷体"/>
                <w:color w:val="auto"/>
                <w:kern w:val="0"/>
                <w:sz w:val="21"/>
                <w:szCs w:val="21"/>
              </w:rPr>
              <w:t>春节消费、中高考消费提示、人工智能消费、黄金消费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内蒙古自治区消协</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“双十一”线上购物</w:t>
            </w:r>
            <w:r>
              <w:rPr>
                <w:rFonts w:hint="eastAsia" w:ascii="宋体" w:hAnsi="宋体" w:eastAsia="宋体" w:cs="等线"/>
                <w:color w:val="auto"/>
                <w:sz w:val="21"/>
                <w:szCs w:val="21"/>
              </w:rPr>
              <w:t>、</w:t>
            </w: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暑期旅游消费</w:t>
            </w:r>
            <w:r>
              <w:rPr>
                <w:rFonts w:hint="eastAsia" w:ascii="宋体" w:hAnsi="宋体" w:cs="楷体_GB2312"/>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辽宁省消协</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寒假消费、暑假消费、移动电源消费、抵制商品过度包装</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吉林省消协</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书包和文具消费、特色资源商品消费、大宗消费品、电动自行车、夏季饮食安全、安全卫生用品、住宿服务</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bookmarkStart w:id="92" w:name="OLE_LINK80"/>
            <w:r>
              <w:rPr>
                <w:rFonts w:hint="eastAsia" w:ascii="宋体" w:hAnsi="宋体" w:eastAsia="宋体" w:cs="等线"/>
                <w:color w:val="auto"/>
                <w:sz w:val="21"/>
                <w:szCs w:val="21"/>
                <w:lang w:eastAsia="zh-Hans"/>
              </w:rPr>
              <w:t>黑龙江</w:t>
            </w:r>
            <w:bookmarkEnd w:id="92"/>
            <w:r>
              <w:rPr>
                <w:rFonts w:hint="eastAsia" w:ascii="宋体" w:hAnsi="宋体" w:eastAsia="宋体" w:cs="等线"/>
                <w:color w:val="auto"/>
                <w:sz w:val="21"/>
                <w:szCs w:val="21"/>
                <w:lang w:eastAsia="zh-Hans"/>
              </w:rPr>
              <w:t>省消协</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直播购物</w:t>
            </w:r>
            <w:r>
              <w:rPr>
                <w:rFonts w:hint="eastAsia" w:ascii="宋体" w:hAnsi="宋体" w:eastAsia="宋体" w:cs="等线"/>
                <w:color w:val="auto"/>
                <w:sz w:val="21"/>
                <w:szCs w:val="21"/>
                <w:lang w:eastAsia="zh-CN"/>
              </w:rPr>
              <w:t>、餐饮服务</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上海市消保委</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电火锅与电烤盘、家用电器、化妆品</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江苏省消保委</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滑雪镜、“AI伴侣”、化妆品、绿色消费、“苏超”消费、青少年足球培训、提防室内甲醛“假检测”陷阱</w:t>
            </w:r>
            <w:r>
              <w:rPr>
                <w:rFonts w:hint="eastAsia" w:ascii="宋体" w:hAnsi="宋体" w:eastAsia="宋体" w:cs="等线"/>
                <w:color w:val="auto"/>
                <w:sz w:val="21"/>
                <w:szCs w:val="21"/>
              </w:rPr>
              <w:t>、</w:t>
            </w:r>
            <w:r>
              <w:rPr>
                <w:rFonts w:hint="eastAsia" w:ascii="宋体" w:hAnsi="宋体" w:eastAsia="宋体" w:cs="楷体"/>
                <w:color w:val="auto"/>
                <w:kern w:val="0"/>
                <w:sz w:val="21"/>
                <w:szCs w:val="21"/>
              </w:rPr>
              <w:t>春节消费、保健食品</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浙江省消保委</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学习机消费</w:t>
            </w:r>
            <w:r>
              <w:rPr>
                <w:rFonts w:hint="eastAsia" w:ascii="宋体" w:hAnsi="宋体" w:eastAsia="宋体" w:cs="等线"/>
                <w:color w:val="auto"/>
                <w:sz w:val="21"/>
                <w:szCs w:val="21"/>
              </w:rPr>
              <w:t>、</w:t>
            </w: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商品过度包装、保健食品</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安徽省消保委</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草莓挑选、净水器消费、黄金回收</w:t>
            </w:r>
            <w:r>
              <w:rPr>
                <w:rFonts w:hint="eastAsia" w:ascii="宋体" w:hAnsi="宋体" w:eastAsia="宋体" w:cs="等线"/>
                <w:color w:val="auto"/>
                <w:sz w:val="21"/>
                <w:szCs w:val="21"/>
              </w:rPr>
              <w:t>、</w:t>
            </w:r>
            <w:r>
              <w:rPr>
                <w:rFonts w:hint="eastAsia" w:ascii="宋体" w:hAnsi="宋体" w:eastAsia="宋体" w:cs="仿宋_GB2312"/>
                <w:bCs/>
                <w:color w:val="auto"/>
                <w:kern w:val="0"/>
                <w:sz w:val="21"/>
                <w:szCs w:val="21"/>
              </w:rPr>
              <w:t>LABUBU产品、加湿器消费</w:t>
            </w:r>
            <w:r>
              <w:rPr>
                <w:rFonts w:hint="eastAsia" w:ascii="宋体" w:hAnsi="宋体" w:cs="仿宋_GB2312"/>
                <w:bCs/>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福建省消委会</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rPr>
              <w:t>换电APP自动续费、</w:t>
            </w:r>
            <w:r>
              <w:rPr>
                <w:rFonts w:hint="eastAsia" w:ascii="宋体" w:hAnsi="宋体" w:eastAsia="宋体" w:cs="等线"/>
                <w:color w:val="auto"/>
                <w:sz w:val="21"/>
                <w:szCs w:val="21"/>
                <w:lang w:eastAsia="zh-Hans"/>
              </w:rPr>
              <w:t>直播购物、预制菜、移动电源消费、空气净化器消费、重阳节消费、AI风险、快递派送服务、海鲜消费、租赁消费、七天无理由退货、保健品消费、医美和美容预付式消费、网购产品、暑假消费</w:t>
            </w:r>
            <w:r>
              <w:rPr>
                <w:rFonts w:hint="eastAsia" w:ascii="宋体" w:hAnsi="宋体" w:eastAsia="宋体" w:cs="等线"/>
                <w:color w:val="auto"/>
                <w:sz w:val="21"/>
                <w:szCs w:val="21"/>
              </w:rPr>
              <w:t>、</w:t>
            </w:r>
            <w:r>
              <w:rPr>
                <w:rFonts w:hint="eastAsia" w:ascii="宋体" w:hAnsi="宋体" w:cs="等线"/>
                <w:color w:val="auto"/>
                <w:sz w:val="21"/>
                <w:szCs w:val="21"/>
                <w:lang w:eastAsia="zh-CN"/>
              </w:rPr>
              <w:t>“</w:t>
            </w:r>
            <w:r>
              <w:rPr>
                <w:rFonts w:hint="eastAsia" w:ascii="宋体" w:hAnsi="宋体" w:eastAsia="宋体" w:cs="等线"/>
                <w:color w:val="auto"/>
                <w:sz w:val="21"/>
                <w:szCs w:val="21"/>
              </w:rPr>
              <w:t>六一</w:t>
            </w:r>
            <w:r>
              <w:rPr>
                <w:rFonts w:hint="eastAsia" w:ascii="宋体" w:hAnsi="宋体" w:cs="等线"/>
                <w:color w:val="auto"/>
                <w:sz w:val="21"/>
                <w:szCs w:val="21"/>
                <w:lang w:eastAsia="zh-CN"/>
              </w:rPr>
              <w:t>”</w:t>
            </w:r>
            <w:r>
              <w:rPr>
                <w:rFonts w:hint="eastAsia" w:ascii="宋体" w:hAnsi="宋体" w:eastAsia="宋体" w:cs="等线"/>
                <w:color w:val="auto"/>
                <w:sz w:val="21"/>
                <w:szCs w:val="21"/>
              </w:rPr>
              <w:t>儿童节消费、</w:t>
            </w: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商品过度包装、“双1</w:t>
            </w:r>
            <w:r>
              <w:rPr>
                <w:rFonts w:ascii="宋体" w:hAnsi="宋体" w:eastAsia="宋体" w:cs="楷体"/>
                <w:color w:val="auto"/>
                <w:kern w:val="0"/>
                <w:sz w:val="21"/>
                <w:szCs w:val="21"/>
              </w:rPr>
              <w:t>1</w:t>
            </w:r>
            <w:r>
              <w:rPr>
                <w:rFonts w:hint="eastAsia" w:ascii="宋体" w:hAnsi="宋体" w:eastAsia="宋体" w:cs="楷体"/>
                <w:color w:val="auto"/>
                <w:kern w:val="0"/>
                <w:sz w:val="21"/>
                <w:szCs w:val="21"/>
              </w:rPr>
              <w:t>”消费、寄存柜服务、“双1</w:t>
            </w:r>
            <w:r>
              <w:rPr>
                <w:rFonts w:ascii="宋体" w:hAnsi="宋体" w:eastAsia="宋体" w:cs="楷体"/>
                <w:color w:val="auto"/>
                <w:kern w:val="0"/>
                <w:sz w:val="21"/>
                <w:szCs w:val="21"/>
              </w:rPr>
              <w:t>2</w:t>
            </w:r>
            <w:r>
              <w:rPr>
                <w:rFonts w:hint="eastAsia" w:ascii="宋体" w:hAnsi="宋体" w:eastAsia="宋体" w:cs="楷体"/>
                <w:color w:val="auto"/>
                <w:kern w:val="0"/>
                <w:sz w:val="21"/>
                <w:szCs w:val="21"/>
              </w:rPr>
              <w:t>”消费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江西省消保委</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无理由退货</w:t>
            </w:r>
            <w:r>
              <w:rPr>
                <w:rFonts w:hint="eastAsia" w:ascii="宋体" w:hAnsi="宋体" w:eastAsia="宋体" w:cs="等线"/>
                <w:color w:val="auto"/>
                <w:sz w:val="21"/>
                <w:szCs w:val="21"/>
              </w:rPr>
              <w:t>、</w:t>
            </w:r>
            <w:r>
              <w:rPr>
                <w:rFonts w:hint="eastAsia" w:ascii="宋体" w:hAnsi="宋体" w:cs="等线"/>
                <w:color w:val="auto"/>
                <w:sz w:val="21"/>
                <w:szCs w:val="21"/>
                <w:lang w:val="en-US" w:eastAsia="zh-CN"/>
              </w:rPr>
              <w:t>节能消费等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山东省消协</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校外培训、保鲜袋消费、校外“小饭桌”、私域消费、电影衍生品、医美消费、儿童面霜、“谷圈”消费、夏日冷饮、防晒皮肤衣选购、网络直播消费、教育培训、“猫咖”、</w:t>
            </w:r>
            <w:r>
              <w:rPr>
                <w:rFonts w:hint="eastAsia" w:ascii="宋体" w:hAnsi="宋体" w:eastAsia="宋体" w:cs="等线"/>
                <w:color w:val="auto"/>
                <w:sz w:val="21"/>
                <w:szCs w:val="21"/>
              </w:rPr>
              <w:t>海淘代购、“体育外卖”、</w:t>
            </w:r>
            <w:r>
              <w:rPr>
                <w:rFonts w:hint="eastAsia" w:ascii="宋体" w:hAnsi="宋体" w:eastAsia="宋体" w:cs="仿宋_GB2312"/>
                <w:bCs/>
                <w:color w:val="auto"/>
                <w:kern w:val="0"/>
                <w:sz w:val="21"/>
                <w:szCs w:val="21"/>
              </w:rPr>
              <w:t>LABUBU产品、抵制</w:t>
            </w:r>
            <w:r>
              <w:rPr>
                <w:rFonts w:hint="eastAsia" w:ascii="宋体" w:hAnsi="宋体" w:eastAsia="宋体" w:cs="楷体"/>
                <w:color w:val="auto"/>
                <w:kern w:val="0"/>
                <w:sz w:val="21"/>
                <w:szCs w:val="21"/>
              </w:rPr>
              <w:t>商品过度包装、春节消费、</w:t>
            </w:r>
            <w:r>
              <w:rPr>
                <w:rFonts w:hint="eastAsia" w:ascii="宋体" w:hAnsi="宋体" w:eastAsia="宋体" w:cs="等线"/>
                <w:color w:val="auto"/>
                <w:sz w:val="21"/>
                <w:szCs w:val="21"/>
              </w:rPr>
              <w:t>“6</w:t>
            </w:r>
            <w:r>
              <w:rPr>
                <w:rFonts w:ascii="宋体" w:hAnsi="宋体" w:eastAsia="宋体" w:cs="等线"/>
                <w:color w:val="auto"/>
                <w:sz w:val="21"/>
                <w:szCs w:val="21"/>
              </w:rPr>
              <w:t>.18</w:t>
            </w:r>
            <w:r>
              <w:rPr>
                <w:rFonts w:hint="eastAsia" w:ascii="宋体" w:hAnsi="宋体" w:eastAsia="宋体" w:cs="等线"/>
                <w:color w:val="auto"/>
                <w:sz w:val="21"/>
                <w:szCs w:val="21"/>
                <w:lang w:eastAsia="zh-CN"/>
              </w:rPr>
              <w:t>”</w:t>
            </w:r>
            <w:r>
              <w:rPr>
                <w:rFonts w:hint="eastAsia" w:ascii="宋体" w:hAnsi="宋体" w:eastAsia="宋体" w:cs="等线"/>
                <w:color w:val="auto"/>
                <w:sz w:val="21"/>
                <w:szCs w:val="21"/>
              </w:rPr>
              <w:t>网络购物消费、旧国标电动自行车禁售</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河南省消协</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正确适用消费券、酱香型白酒选购</w:t>
            </w:r>
            <w:r>
              <w:rPr>
                <w:rFonts w:hint="eastAsia" w:ascii="宋体" w:hAnsi="宋体" w:eastAsia="宋体" w:cs="等线"/>
                <w:color w:val="auto"/>
                <w:sz w:val="21"/>
                <w:szCs w:val="21"/>
              </w:rPr>
              <w:t>、</w:t>
            </w:r>
            <w:r>
              <w:rPr>
                <w:rFonts w:hint="eastAsia" w:ascii="宋体" w:hAnsi="宋体" w:eastAsia="宋体" w:cs="楷体_GB2312"/>
                <w:color w:val="auto"/>
                <w:kern w:val="0"/>
                <w:sz w:val="21"/>
                <w:szCs w:val="21"/>
              </w:rPr>
              <w:t>暑期旅游消费、</w:t>
            </w:r>
            <w:r>
              <w:rPr>
                <w:rFonts w:hint="eastAsia" w:ascii="宋体" w:hAnsi="宋体" w:eastAsia="宋体" w:cs="楷体"/>
                <w:color w:val="auto"/>
                <w:kern w:val="0"/>
                <w:sz w:val="21"/>
                <w:szCs w:val="21"/>
              </w:rPr>
              <w:t>春节消费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湖北省消委会</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网络购物、清明节消费、个人信息消费</w:t>
            </w:r>
            <w:r>
              <w:rPr>
                <w:rFonts w:hint="eastAsia" w:ascii="宋体" w:hAnsi="宋体" w:eastAsia="宋体" w:cs="等线"/>
                <w:color w:val="auto"/>
                <w:sz w:val="21"/>
                <w:szCs w:val="21"/>
              </w:rPr>
              <w:t>、</w:t>
            </w:r>
            <w:r>
              <w:rPr>
                <w:rFonts w:hint="eastAsia" w:ascii="宋体" w:hAnsi="宋体" w:cs="等线"/>
                <w:color w:val="auto"/>
                <w:sz w:val="21"/>
                <w:szCs w:val="21"/>
                <w:lang w:eastAsia="zh-CN"/>
              </w:rPr>
              <w:t>“</w:t>
            </w:r>
            <w:r>
              <w:rPr>
                <w:rFonts w:hint="eastAsia" w:ascii="宋体" w:hAnsi="宋体" w:eastAsia="宋体" w:cs="等线"/>
                <w:color w:val="auto"/>
                <w:sz w:val="21"/>
                <w:szCs w:val="21"/>
              </w:rPr>
              <w:t>六一</w:t>
            </w:r>
            <w:r>
              <w:rPr>
                <w:rFonts w:hint="eastAsia" w:ascii="宋体" w:hAnsi="宋体" w:cs="等线"/>
                <w:color w:val="auto"/>
                <w:sz w:val="21"/>
                <w:szCs w:val="21"/>
                <w:lang w:eastAsia="zh-CN"/>
              </w:rPr>
              <w:t>”</w:t>
            </w:r>
            <w:r>
              <w:rPr>
                <w:rFonts w:hint="eastAsia" w:ascii="宋体" w:hAnsi="宋体" w:eastAsia="宋体" w:cs="等线"/>
                <w:color w:val="auto"/>
                <w:sz w:val="21"/>
                <w:szCs w:val="21"/>
              </w:rPr>
              <w:t>儿童节消费、</w:t>
            </w:r>
            <w:r>
              <w:rPr>
                <w:rFonts w:hint="eastAsia" w:ascii="宋体" w:hAnsi="宋体" w:eastAsia="宋体" w:cs="楷体"/>
                <w:color w:val="auto"/>
                <w:kern w:val="0"/>
                <w:sz w:val="21"/>
                <w:szCs w:val="21"/>
              </w:rPr>
              <w:t>春节消费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湖南省消保委</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老年消费、预付卡消费、露营消费</w:t>
            </w:r>
            <w:r>
              <w:rPr>
                <w:rFonts w:hint="eastAsia" w:ascii="宋体" w:hAnsi="宋体" w:eastAsia="宋体" w:cs="等线"/>
                <w:color w:val="auto"/>
                <w:sz w:val="21"/>
                <w:szCs w:val="21"/>
              </w:rPr>
              <w:t>、</w:t>
            </w:r>
            <w:r>
              <w:rPr>
                <w:rFonts w:hint="eastAsia" w:ascii="宋体" w:hAnsi="宋体" w:cs="等线"/>
                <w:color w:val="auto"/>
                <w:sz w:val="21"/>
                <w:szCs w:val="21"/>
                <w:lang w:eastAsia="zh-CN"/>
              </w:rPr>
              <w:t>“</w:t>
            </w:r>
            <w:r>
              <w:rPr>
                <w:rFonts w:hint="eastAsia" w:ascii="宋体" w:hAnsi="宋体" w:eastAsia="宋体" w:cs="等线"/>
                <w:color w:val="auto"/>
                <w:sz w:val="21"/>
                <w:szCs w:val="21"/>
              </w:rPr>
              <w:t>六一</w:t>
            </w:r>
            <w:r>
              <w:rPr>
                <w:rFonts w:hint="eastAsia" w:ascii="宋体" w:hAnsi="宋体" w:cs="等线"/>
                <w:color w:val="auto"/>
                <w:sz w:val="21"/>
                <w:szCs w:val="21"/>
                <w:lang w:eastAsia="zh-CN"/>
              </w:rPr>
              <w:t>”</w:t>
            </w:r>
            <w:r>
              <w:rPr>
                <w:rFonts w:hint="eastAsia" w:ascii="宋体" w:hAnsi="宋体" w:eastAsia="宋体" w:cs="等线"/>
                <w:color w:val="auto"/>
                <w:sz w:val="21"/>
                <w:szCs w:val="21"/>
              </w:rPr>
              <w:t>儿童节消费、</w:t>
            </w: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等线"/>
                <w:color w:val="auto"/>
                <w:sz w:val="21"/>
                <w:szCs w:val="21"/>
              </w:rPr>
              <w:t>旧国标电动自行车禁售</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广东省消委会</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网购平台移动硬盘消费、短视频消费、手机抽奖活动、口腔消费、移动电源、直播购物、防范“内卷式”竞争风险、粤港澳旅游及跨境消费</w:t>
            </w:r>
            <w:r>
              <w:rPr>
                <w:rFonts w:hint="eastAsia" w:ascii="宋体" w:hAnsi="宋体" w:eastAsia="宋体" w:cs="等线"/>
                <w:color w:val="auto"/>
                <w:sz w:val="21"/>
                <w:szCs w:val="21"/>
              </w:rPr>
              <w:t>、</w:t>
            </w:r>
            <w:r>
              <w:rPr>
                <w:rFonts w:hint="eastAsia" w:ascii="宋体" w:hAnsi="宋体" w:cs="等线"/>
                <w:color w:val="auto"/>
                <w:sz w:val="21"/>
                <w:szCs w:val="21"/>
                <w:lang w:eastAsia="zh-CN"/>
              </w:rPr>
              <w:t>“</w:t>
            </w:r>
            <w:r>
              <w:rPr>
                <w:rFonts w:hint="eastAsia" w:ascii="宋体" w:hAnsi="宋体" w:eastAsia="宋体" w:cs="等线"/>
                <w:color w:val="auto"/>
                <w:sz w:val="21"/>
                <w:szCs w:val="21"/>
              </w:rPr>
              <w:t>六一</w:t>
            </w:r>
            <w:r>
              <w:rPr>
                <w:rFonts w:hint="eastAsia" w:ascii="宋体" w:hAnsi="宋体" w:cs="等线"/>
                <w:color w:val="auto"/>
                <w:sz w:val="21"/>
                <w:szCs w:val="21"/>
                <w:lang w:eastAsia="zh-CN"/>
              </w:rPr>
              <w:t>”</w:t>
            </w:r>
            <w:r>
              <w:rPr>
                <w:rFonts w:hint="eastAsia" w:ascii="宋体" w:hAnsi="宋体" w:eastAsia="宋体" w:cs="等线"/>
                <w:color w:val="auto"/>
                <w:sz w:val="21"/>
                <w:szCs w:val="21"/>
              </w:rPr>
              <w:t>儿童节消费、预防食品中毒</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rPr>
              <w:t>广西</w:t>
            </w:r>
            <w:r>
              <w:rPr>
                <w:rFonts w:hint="eastAsia" w:ascii="宋体" w:hAnsi="宋体" w:cs="等线"/>
                <w:color w:val="auto"/>
                <w:sz w:val="21"/>
                <w:szCs w:val="21"/>
                <w:lang w:val="en-US" w:eastAsia="zh-CN"/>
              </w:rPr>
              <w:t>自治区</w:t>
            </w:r>
            <w:r>
              <w:rPr>
                <w:rFonts w:hint="eastAsia" w:ascii="宋体" w:hAnsi="宋体" w:eastAsia="宋体" w:cs="等线"/>
                <w:color w:val="auto"/>
                <w:sz w:val="21"/>
                <w:szCs w:val="21"/>
              </w:rPr>
              <w:t>消委会</w:t>
            </w:r>
          </w:p>
        </w:tc>
        <w:tc>
          <w:tcPr>
            <w:tcW w:w="3685" w:type="pct"/>
            <w:tcBorders>
              <w:top w:val="single" w:color="auto" w:sz="4" w:space="0"/>
              <w:left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暑期旅游消费、制止餐饮浪费、</w:t>
            </w:r>
            <w:r>
              <w:rPr>
                <w:rFonts w:hint="eastAsia" w:ascii="宋体" w:hAnsi="宋体" w:cs="楷体_GB2312"/>
                <w:color w:val="auto"/>
                <w:kern w:val="0"/>
                <w:sz w:val="21"/>
                <w:szCs w:val="21"/>
                <w:lang w:eastAsia="zh-CN"/>
              </w:rPr>
              <w:t>“</w:t>
            </w:r>
            <w:r>
              <w:rPr>
                <w:rFonts w:hint="eastAsia" w:ascii="宋体" w:hAnsi="宋体" w:eastAsia="宋体" w:cs="楷体_GB2312"/>
                <w:color w:val="auto"/>
                <w:kern w:val="0"/>
                <w:sz w:val="21"/>
                <w:szCs w:val="21"/>
              </w:rPr>
              <w:t>双1</w:t>
            </w:r>
            <w:r>
              <w:rPr>
                <w:rFonts w:ascii="宋体" w:hAnsi="宋体" w:eastAsia="宋体" w:cs="楷体_GB2312"/>
                <w:color w:val="auto"/>
                <w:kern w:val="0"/>
                <w:sz w:val="21"/>
                <w:szCs w:val="21"/>
              </w:rPr>
              <w:t>1</w:t>
            </w:r>
            <w:r>
              <w:rPr>
                <w:rFonts w:hint="eastAsia" w:ascii="宋体" w:hAnsi="宋体" w:cs="楷体_GB2312"/>
                <w:color w:val="auto"/>
                <w:kern w:val="0"/>
                <w:sz w:val="21"/>
                <w:szCs w:val="21"/>
                <w:lang w:eastAsia="zh-CN"/>
              </w:rPr>
              <w:t>”</w:t>
            </w:r>
            <w:r>
              <w:rPr>
                <w:rFonts w:hint="eastAsia" w:ascii="宋体" w:hAnsi="宋体" w:eastAsia="宋体" w:cs="楷体_GB2312"/>
                <w:color w:val="auto"/>
                <w:kern w:val="0"/>
                <w:sz w:val="21"/>
                <w:szCs w:val="21"/>
              </w:rPr>
              <w:t>消费</w:t>
            </w:r>
            <w:r>
              <w:rPr>
                <w:rFonts w:hint="eastAsia" w:ascii="宋体" w:hAnsi="宋体" w:cs="楷体_GB2312"/>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海南省消委会</w:t>
            </w:r>
          </w:p>
        </w:tc>
        <w:tc>
          <w:tcPr>
            <w:tcW w:w="3685" w:type="pct"/>
            <w:tcBorders>
              <w:left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直播购物</w:t>
            </w:r>
            <w:r>
              <w:rPr>
                <w:rFonts w:hint="eastAsia" w:ascii="宋体" w:hAnsi="宋体" w:eastAsia="宋体" w:cs="等线"/>
                <w:color w:val="auto"/>
                <w:sz w:val="21"/>
                <w:szCs w:val="21"/>
              </w:rPr>
              <w:t>、</w:t>
            </w:r>
            <w:r>
              <w:rPr>
                <w:rFonts w:hint="eastAsia" w:ascii="宋体" w:hAnsi="宋体" w:eastAsia="宋体" w:cs="楷体"/>
                <w:color w:val="auto"/>
                <w:kern w:val="0"/>
                <w:sz w:val="21"/>
                <w:szCs w:val="21"/>
              </w:rPr>
              <w:t>春节消费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rPr>
            </w:pPr>
            <w:r>
              <w:rPr>
                <w:rFonts w:hint="eastAsia" w:ascii="宋体" w:hAnsi="宋体" w:eastAsia="宋体" w:cs="等线"/>
                <w:color w:val="auto"/>
                <w:sz w:val="21"/>
                <w:szCs w:val="21"/>
                <w:lang w:eastAsia="zh-Hans"/>
              </w:rPr>
              <w:t>重庆市消委会</w:t>
            </w:r>
          </w:p>
        </w:tc>
        <w:tc>
          <w:tcPr>
            <w:tcW w:w="3685" w:type="pct"/>
            <w:tcBorders>
              <w:left w:val="single" w:color="auto" w:sz="4" w:space="0"/>
              <w:bottom w:val="single" w:color="auto" w:sz="4" w:space="0"/>
              <w:right w:val="single" w:color="auto" w:sz="4" w:space="0"/>
            </w:tcBorders>
            <w:noWrap w:val="0"/>
            <w:vAlign w:val="center"/>
          </w:tcPr>
          <w:p>
            <w:pPr>
              <w:pStyle w:val="23"/>
              <w:rPr>
                <w:rFonts w:hint="eastAsia" w:ascii="宋体" w:hAnsi="宋体" w:eastAsia="宋体" w:cs="仿宋_GB2312"/>
                <w:bCs/>
                <w:color w:val="auto"/>
                <w:kern w:val="0"/>
                <w:sz w:val="21"/>
                <w:szCs w:val="21"/>
              </w:rPr>
            </w:pPr>
            <w:r>
              <w:rPr>
                <w:rFonts w:hint="eastAsia" w:ascii="宋体" w:hAnsi="宋体" w:eastAsia="宋体" w:cs="等线"/>
                <w:color w:val="auto"/>
                <w:sz w:val="21"/>
                <w:szCs w:val="21"/>
                <w:lang w:eastAsia="zh-Hans"/>
              </w:rPr>
              <w:t>农村食品安全消费、直播带货</w:t>
            </w:r>
            <w:r>
              <w:rPr>
                <w:rFonts w:hint="eastAsia" w:ascii="宋体" w:hAnsi="宋体" w:eastAsia="宋体" w:cs="等线"/>
                <w:color w:val="auto"/>
                <w:sz w:val="21"/>
                <w:szCs w:val="21"/>
              </w:rPr>
              <w:t>、</w:t>
            </w: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暑期旅游消费、</w:t>
            </w:r>
            <w:r>
              <w:rPr>
                <w:rFonts w:hint="eastAsia" w:ascii="宋体" w:hAnsi="宋体" w:eastAsia="宋体" w:cs="楷体"/>
                <w:color w:val="auto"/>
                <w:kern w:val="0"/>
                <w:sz w:val="21"/>
                <w:szCs w:val="21"/>
              </w:rPr>
              <w:t>春节消费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四川省消委会</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rPr>
            </w:pPr>
            <w:r>
              <w:rPr>
                <w:rFonts w:hint="eastAsia" w:ascii="宋体" w:hAnsi="宋体" w:eastAsia="宋体" w:cs="等线"/>
                <w:color w:val="auto"/>
                <w:sz w:val="21"/>
                <w:szCs w:val="21"/>
                <w:lang w:eastAsia="zh-Hans"/>
              </w:rPr>
              <w:t>防范电信网络诈骗</w:t>
            </w:r>
            <w:r>
              <w:rPr>
                <w:rFonts w:hint="eastAsia" w:ascii="宋体" w:hAnsi="宋体" w:eastAsia="宋体" w:cs="等线"/>
                <w:color w:val="auto"/>
                <w:sz w:val="21"/>
                <w:szCs w:val="21"/>
              </w:rPr>
              <w:t>、</w:t>
            </w: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暑期旅游消费、</w:t>
            </w:r>
            <w:r>
              <w:rPr>
                <w:rFonts w:hint="eastAsia" w:ascii="宋体" w:hAnsi="宋体" w:eastAsia="宋体" w:cs="楷体"/>
                <w:color w:val="auto"/>
                <w:kern w:val="0"/>
                <w:sz w:val="21"/>
                <w:szCs w:val="21"/>
              </w:rPr>
              <w:t>春节消费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rPr>
              <w:t>贵州省消协</w:t>
            </w:r>
          </w:p>
        </w:tc>
        <w:tc>
          <w:tcPr>
            <w:tcW w:w="3685" w:type="pct"/>
            <w:tcBorders>
              <w:top w:val="single" w:color="auto" w:sz="4" w:space="0"/>
              <w:left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暑期旅游消费、</w:t>
            </w:r>
            <w:r>
              <w:rPr>
                <w:rFonts w:hint="eastAsia" w:ascii="宋体" w:hAnsi="宋体" w:eastAsia="宋体" w:cs="楷体"/>
                <w:color w:val="auto"/>
                <w:kern w:val="0"/>
                <w:sz w:val="21"/>
                <w:szCs w:val="21"/>
              </w:rPr>
              <w:t>春节消费、</w:t>
            </w:r>
            <w:r>
              <w:rPr>
                <w:rFonts w:hint="eastAsia" w:ascii="宋体" w:hAnsi="宋体" w:eastAsia="宋体" w:cs="等线"/>
                <w:color w:val="auto"/>
                <w:sz w:val="21"/>
                <w:szCs w:val="21"/>
              </w:rPr>
              <w:t>“6</w:t>
            </w:r>
            <w:r>
              <w:rPr>
                <w:rFonts w:ascii="宋体" w:hAnsi="宋体" w:eastAsia="宋体" w:cs="等线"/>
                <w:color w:val="auto"/>
                <w:sz w:val="21"/>
                <w:szCs w:val="21"/>
              </w:rPr>
              <w:t>.18</w:t>
            </w:r>
            <w:r>
              <w:rPr>
                <w:rFonts w:hint="eastAsia" w:ascii="宋体" w:hAnsi="宋体" w:eastAsia="宋体" w:cs="等线"/>
                <w:color w:val="auto"/>
                <w:sz w:val="21"/>
                <w:szCs w:val="21"/>
              </w:rPr>
              <w:t>“网络购物消费、情绪消费市场</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rPr>
              <w:t>云南省消协</w:t>
            </w:r>
          </w:p>
        </w:tc>
        <w:tc>
          <w:tcPr>
            <w:tcW w:w="3685" w:type="pct"/>
            <w:tcBorders>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暑期旅游消费、</w:t>
            </w:r>
            <w:r>
              <w:rPr>
                <w:rFonts w:hint="eastAsia" w:ascii="宋体" w:hAnsi="宋体" w:eastAsia="宋体" w:cs="楷体"/>
                <w:color w:val="auto"/>
                <w:kern w:val="0"/>
                <w:sz w:val="21"/>
                <w:szCs w:val="21"/>
              </w:rPr>
              <w:t>春节消费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rPr>
              <w:t>西藏自治区消协</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商品过度包装、春节消费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陕西省消保委</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健身消费</w:t>
            </w:r>
            <w:r>
              <w:rPr>
                <w:rFonts w:hint="eastAsia" w:ascii="宋体" w:hAnsi="宋体" w:eastAsia="宋体" w:cs="等线"/>
                <w:color w:val="auto"/>
                <w:sz w:val="21"/>
                <w:szCs w:val="21"/>
              </w:rPr>
              <w:t>、</w:t>
            </w: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暑期旅游消费</w:t>
            </w:r>
            <w:r>
              <w:rPr>
                <w:rFonts w:hint="eastAsia" w:ascii="宋体" w:hAnsi="宋体" w:cs="楷体_GB2312"/>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甘肃省消协</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户外露营</w:t>
            </w:r>
            <w:r>
              <w:rPr>
                <w:rFonts w:hint="eastAsia" w:ascii="宋体" w:hAnsi="宋体" w:eastAsia="宋体" w:cs="等线"/>
                <w:color w:val="auto"/>
                <w:sz w:val="21"/>
                <w:szCs w:val="21"/>
              </w:rPr>
              <w:t>、</w:t>
            </w: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暑期旅游消费</w:t>
            </w:r>
            <w:r>
              <w:rPr>
                <w:rFonts w:hint="eastAsia" w:ascii="宋体" w:hAnsi="宋体" w:cs="楷体_GB2312"/>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青海省消协</w:t>
            </w:r>
          </w:p>
        </w:tc>
        <w:tc>
          <w:tcPr>
            <w:tcW w:w="3685" w:type="pct"/>
            <w:tcBorders>
              <w:top w:val="single" w:color="auto" w:sz="4" w:space="0"/>
              <w:left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开学消费、黄金饰品消费、外卖补贴促销</w:t>
            </w:r>
            <w:r>
              <w:rPr>
                <w:rFonts w:hint="eastAsia" w:ascii="宋体" w:hAnsi="宋体" w:eastAsia="宋体" w:cs="等线"/>
                <w:color w:val="auto"/>
                <w:sz w:val="21"/>
                <w:szCs w:val="21"/>
              </w:rPr>
              <w:t>、</w:t>
            </w: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暑期旅游消费、</w:t>
            </w:r>
            <w:r>
              <w:rPr>
                <w:rFonts w:hint="eastAsia" w:ascii="宋体" w:hAnsi="宋体" w:eastAsia="宋体" w:cs="楷体"/>
                <w:color w:val="auto"/>
                <w:kern w:val="0"/>
                <w:sz w:val="21"/>
                <w:szCs w:val="21"/>
              </w:rPr>
              <w:t>春节消费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rPr>
              <w:t>宁夏</w:t>
            </w:r>
            <w:r>
              <w:rPr>
                <w:rFonts w:hint="eastAsia" w:ascii="宋体" w:hAnsi="宋体" w:eastAsia="宋体" w:cs="等线"/>
                <w:color w:val="auto"/>
                <w:sz w:val="21"/>
                <w:szCs w:val="21"/>
                <w:lang w:val="en-US" w:eastAsia="zh-CN"/>
              </w:rPr>
              <w:t>自治区</w:t>
            </w:r>
            <w:r>
              <w:rPr>
                <w:rFonts w:hint="eastAsia" w:ascii="宋体" w:hAnsi="宋体" w:eastAsia="宋体" w:cs="等线"/>
                <w:color w:val="auto"/>
                <w:sz w:val="21"/>
                <w:szCs w:val="21"/>
              </w:rPr>
              <w:t>消协</w:t>
            </w:r>
          </w:p>
        </w:tc>
        <w:tc>
          <w:tcPr>
            <w:tcW w:w="3685" w:type="pct"/>
            <w:tcBorders>
              <w:left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暑期旅游消费、</w:t>
            </w:r>
            <w:r>
              <w:rPr>
                <w:rFonts w:hint="eastAsia" w:ascii="宋体" w:hAnsi="宋体" w:eastAsia="宋体" w:cs="楷体"/>
                <w:color w:val="auto"/>
                <w:kern w:val="0"/>
                <w:sz w:val="21"/>
                <w:szCs w:val="21"/>
              </w:rPr>
              <w:t>春节消费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bookmarkStart w:id="93" w:name="OLE_LINK81"/>
            <w:r>
              <w:rPr>
                <w:rFonts w:hint="eastAsia" w:ascii="宋体" w:hAnsi="宋体" w:eastAsia="宋体" w:cs="等线"/>
                <w:color w:val="auto"/>
                <w:sz w:val="21"/>
                <w:szCs w:val="21"/>
                <w:lang w:eastAsia="zh-Hans"/>
              </w:rPr>
              <w:t>新疆</w:t>
            </w:r>
            <w:bookmarkEnd w:id="93"/>
            <w:r>
              <w:rPr>
                <w:rFonts w:hint="eastAsia" w:ascii="宋体" w:hAnsi="宋体" w:eastAsia="宋体" w:cs="等线"/>
                <w:color w:val="auto"/>
                <w:sz w:val="21"/>
                <w:szCs w:val="21"/>
                <w:lang w:eastAsia="zh-Hans"/>
              </w:rPr>
              <w:t>自治区消保委</w:t>
            </w:r>
          </w:p>
        </w:tc>
        <w:tc>
          <w:tcPr>
            <w:tcW w:w="3685" w:type="pct"/>
            <w:tcBorders>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rPr>
              <w:t>燃气灶具、</w:t>
            </w:r>
            <w:r>
              <w:rPr>
                <w:rFonts w:hint="eastAsia" w:ascii="宋体" w:hAnsi="宋体" w:eastAsia="宋体" w:cs="仿宋_GB2312"/>
                <w:bCs/>
                <w:color w:val="auto"/>
                <w:kern w:val="0"/>
                <w:sz w:val="21"/>
                <w:szCs w:val="21"/>
              </w:rPr>
              <w:t>抵制</w:t>
            </w:r>
            <w:r>
              <w:rPr>
                <w:rFonts w:hint="eastAsia" w:ascii="宋体" w:hAnsi="宋体" w:eastAsia="宋体" w:cs="楷体"/>
                <w:color w:val="auto"/>
                <w:kern w:val="0"/>
                <w:sz w:val="21"/>
                <w:szCs w:val="21"/>
              </w:rPr>
              <w:t>商品过度包装、</w:t>
            </w:r>
            <w:r>
              <w:rPr>
                <w:rFonts w:hint="eastAsia" w:ascii="宋体" w:hAnsi="宋体" w:eastAsia="宋体" w:cs="楷体_GB2312"/>
                <w:color w:val="auto"/>
                <w:kern w:val="0"/>
                <w:sz w:val="21"/>
                <w:szCs w:val="21"/>
              </w:rPr>
              <w:t>暑期旅游消费、</w:t>
            </w:r>
            <w:r>
              <w:rPr>
                <w:rFonts w:hint="eastAsia" w:ascii="宋体" w:hAnsi="宋体" w:eastAsia="宋体" w:cs="楷体"/>
                <w:color w:val="auto"/>
                <w:kern w:val="0"/>
                <w:sz w:val="21"/>
                <w:szCs w:val="21"/>
              </w:rPr>
              <w:t>春节消费</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default" w:ascii="宋体" w:hAnsi="宋体" w:eastAsia="宋体" w:cs="等线"/>
                <w:color w:val="auto"/>
                <w:sz w:val="21"/>
                <w:szCs w:val="21"/>
                <w:lang w:val="en-US" w:eastAsia="zh-CN"/>
              </w:rPr>
            </w:pPr>
            <w:r>
              <w:rPr>
                <w:rFonts w:hint="eastAsia" w:ascii="宋体" w:hAnsi="宋体" w:eastAsia="宋体" w:cs="等线"/>
                <w:color w:val="auto"/>
                <w:sz w:val="21"/>
                <w:szCs w:val="21"/>
                <w:lang w:val="en-US" w:eastAsia="zh-CN"/>
              </w:rPr>
              <w:t>新疆兵团消协</w:t>
            </w:r>
          </w:p>
        </w:tc>
        <w:tc>
          <w:tcPr>
            <w:tcW w:w="3685" w:type="pct"/>
            <w:tcBorders>
              <w:left w:val="single" w:color="auto" w:sz="4" w:space="0"/>
              <w:bottom w:val="single" w:color="auto" w:sz="4" w:space="0"/>
              <w:right w:val="single" w:color="auto" w:sz="4" w:space="0"/>
            </w:tcBorders>
            <w:noWrap w:val="0"/>
            <w:vAlign w:val="center"/>
          </w:tcPr>
          <w:p>
            <w:pPr>
              <w:pStyle w:val="23"/>
              <w:rPr>
                <w:rFonts w:hint="default" w:ascii="宋体" w:hAnsi="宋体" w:eastAsia="宋体" w:cs="等线"/>
                <w:color w:val="auto"/>
                <w:sz w:val="21"/>
                <w:szCs w:val="21"/>
                <w:lang w:val="en-US" w:eastAsia="zh-CN"/>
              </w:rPr>
            </w:pPr>
            <w:r>
              <w:rPr>
                <w:rFonts w:hint="eastAsia" w:ascii="宋体" w:hAnsi="宋体" w:eastAsia="宋体" w:cs="等线"/>
                <w:color w:val="auto"/>
                <w:sz w:val="21"/>
                <w:szCs w:val="21"/>
                <w:lang w:val="en-US" w:eastAsia="zh-CN"/>
              </w:rPr>
              <w:t>春节消费、保健品、国庆消费、“双十二”消费等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楷体"/>
                <w:color w:val="auto"/>
                <w:kern w:val="0"/>
                <w:sz w:val="21"/>
                <w:szCs w:val="21"/>
              </w:rPr>
              <w:t>香港消委会</w:t>
            </w:r>
          </w:p>
        </w:tc>
        <w:tc>
          <w:tcPr>
            <w:tcW w:w="3685" w:type="pct"/>
            <w:tcBorders>
              <w:top w:val="single" w:color="auto" w:sz="4" w:space="0"/>
              <w:left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rPr>
              <w:t>减肥产品、</w:t>
            </w:r>
            <w:r>
              <w:rPr>
                <w:rFonts w:hint="eastAsia" w:ascii="宋体" w:hAnsi="宋体" w:eastAsia="宋体" w:cs="楷体"/>
                <w:color w:val="auto"/>
                <w:kern w:val="0"/>
                <w:sz w:val="21"/>
                <w:szCs w:val="21"/>
              </w:rPr>
              <w:t>“依肤美水嫩透白晚霜”美颜霜</w:t>
            </w:r>
            <w:r>
              <w:rPr>
                <w:rFonts w:hint="eastAsia" w:ascii="宋体" w:hAnsi="宋体" w:cs="楷体"/>
                <w:color w:val="auto"/>
                <w:kern w:val="0"/>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京津冀三地消协</w:t>
            </w:r>
            <w:r>
              <w:rPr>
                <w:rFonts w:hint="eastAsia" w:ascii="宋体" w:hAnsi="宋体" w:eastAsia="宋体" w:cs="等线"/>
                <w:color w:val="auto"/>
                <w:sz w:val="21"/>
                <w:szCs w:val="21"/>
              </w:rPr>
              <w:t>联合</w:t>
            </w:r>
          </w:p>
        </w:tc>
        <w:tc>
          <w:tcPr>
            <w:tcW w:w="3685" w:type="pct"/>
            <w:tcBorders>
              <w:left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保险产品消费、汛期消费</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8"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四川、甘肃、云南等十地消协组织</w:t>
            </w:r>
            <w:r>
              <w:rPr>
                <w:rFonts w:hint="eastAsia" w:ascii="宋体" w:hAnsi="宋体" w:eastAsia="宋体" w:cs="等线"/>
                <w:color w:val="auto"/>
                <w:sz w:val="21"/>
                <w:szCs w:val="21"/>
              </w:rPr>
              <w:t>联合</w:t>
            </w:r>
          </w:p>
        </w:tc>
        <w:tc>
          <w:tcPr>
            <w:tcW w:w="3685"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悬崖秋千消费</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rPr>
              <w:t>长三角消保委联盟联合</w:t>
            </w:r>
          </w:p>
        </w:tc>
        <w:tc>
          <w:tcPr>
            <w:tcW w:w="3685" w:type="pct"/>
            <w:tcBorders>
              <w:left w:val="single" w:color="auto" w:sz="4" w:space="0"/>
              <w:right w:val="single" w:color="auto" w:sz="4" w:space="0"/>
            </w:tcBorders>
            <w:noWrap w:val="0"/>
            <w:vAlign w:val="center"/>
          </w:tcPr>
          <w:p>
            <w:pPr>
              <w:pStyle w:val="23"/>
              <w:rPr>
                <w:rFonts w:hint="eastAsia" w:ascii="宋体" w:hAnsi="宋体" w:eastAsia="宋体" w:cs="等线"/>
                <w:color w:val="auto"/>
                <w:sz w:val="21"/>
                <w:szCs w:val="21"/>
              </w:rPr>
            </w:pPr>
            <w:r>
              <w:rPr>
                <w:rFonts w:hint="eastAsia" w:ascii="宋体" w:hAnsi="宋体" w:eastAsia="宋体" w:cs="等线"/>
                <w:color w:val="auto"/>
                <w:sz w:val="21"/>
                <w:szCs w:val="21"/>
              </w:rPr>
              <w:t>“6</w:t>
            </w:r>
            <w:r>
              <w:rPr>
                <w:rFonts w:ascii="宋体" w:hAnsi="宋体" w:eastAsia="宋体" w:cs="等线"/>
                <w:color w:val="auto"/>
                <w:sz w:val="21"/>
                <w:szCs w:val="21"/>
              </w:rPr>
              <w:t>.18</w:t>
            </w:r>
            <w:r>
              <w:rPr>
                <w:rFonts w:hint="eastAsia" w:ascii="宋体" w:hAnsi="宋体" w:eastAsia="宋体" w:cs="等线"/>
                <w:color w:val="auto"/>
                <w:sz w:val="21"/>
                <w:szCs w:val="21"/>
              </w:rPr>
              <w:t>”网络购物消费</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楷体_GB2312"/>
                <w:color w:val="auto"/>
                <w:kern w:val="0"/>
                <w:sz w:val="21"/>
                <w:szCs w:val="21"/>
              </w:rPr>
              <w:t>鄂赣湘三省消协组织联合</w:t>
            </w:r>
          </w:p>
        </w:tc>
        <w:tc>
          <w:tcPr>
            <w:tcW w:w="3685" w:type="pct"/>
            <w:tcBorders>
              <w:left w:val="single" w:color="auto" w:sz="4" w:space="0"/>
              <w:right w:val="single" w:color="auto" w:sz="4" w:space="0"/>
            </w:tcBorders>
            <w:noWrap w:val="0"/>
            <w:vAlign w:val="center"/>
          </w:tcPr>
          <w:p>
            <w:pPr>
              <w:tabs>
                <w:tab w:val="left" w:pos="418"/>
              </w:tabs>
              <w:autoSpaceDE w:val="0"/>
              <w:autoSpaceDN w:val="0"/>
              <w:adjustRightInd w:val="0"/>
              <w:spacing w:line="560" w:lineRule="exact"/>
              <w:rPr>
                <w:rFonts w:hint="eastAsia" w:ascii="宋体" w:hAnsi="宋体" w:eastAsia="宋体" w:cs="楷体_GB2312"/>
                <w:color w:val="auto"/>
                <w:kern w:val="0"/>
                <w:sz w:val="21"/>
                <w:szCs w:val="21"/>
                <w:lang w:val="en-US" w:eastAsia="zh-CN"/>
              </w:rPr>
            </w:pPr>
            <w:r>
              <w:rPr>
                <w:rFonts w:hint="eastAsia" w:ascii="宋体" w:hAnsi="宋体" w:eastAsia="宋体" w:cs="楷体_GB2312"/>
                <w:color w:val="auto"/>
                <w:sz w:val="21"/>
                <w:szCs w:val="21"/>
              </w:rPr>
              <w:t>夏季家电安全使用、以旧换新消费</w:t>
            </w:r>
            <w:r>
              <w:rPr>
                <w:rFonts w:hint="eastAsia" w:ascii="宋体" w:hAnsi="宋体" w:cs="楷体_GB2312"/>
                <w:color w:val="auto"/>
                <w:sz w:val="21"/>
                <w:szCs w:val="21"/>
                <w:lang w:val="en-US" w:eastAsia="zh-CN"/>
              </w:rPr>
              <w:t>等</w:t>
            </w:r>
          </w:p>
          <w:p>
            <w:pPr>
              <w:pStyle w:val="23"/>
              <w:rPr>
                <w:rFonts w:hint="eastAsia" w:ascii="宋体" w:hAnsi="宋体" w:eastAsia="宋体" w:cs="等线"/>
                <w:color w:val="auto"/>
                <w:sz w:val="21"/>
                <w:szCs w:val="21"/>
                <w:lang w:eastAsia="zh-Han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陕西、贵州、西藏等九地消协组织</w:t>
            </w:r>
            <w:r>
              <w:rPr>
                <w:rFonts w:hint="eastAsia" w:ascii="宋体" w:hAnsi="宋体" w:eastAsia="宋体" w:cs="等线"/>
                <w:color w:val="auto"/>
                <w:sz w:val="21"/>
                <w:szCs w:val="21"/>
              </w:rPr>
              <w:t>联合</w:t>
            </w:r>
          </w:p>
        </w:tc>
        <w:tc>
          <w:tcPr>
            <w:tcW w:w="3685" w:type="pct"/>
            <w:tcBorders>
              <w:left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抵制“特供酒”</w:t>
            </w:r>
            <w:r>
              <w:rPr>
                <w:rFonts w:hint="eastAsia" w:ascii="宋体" w:hAnsi="宋体" w:cs="等线"/>
                <w:color w:val="auto"/>
                <w:sz w:val="21"/>
                <w:szCs w:val="21"/>
                <w:lang w:val="en-US" w:eastAsia="zh-CN"/>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 w:hRule="atLeast"/>
          <w:tblHeader/>
          <w:jc w:val="center"/>
        </w:trPr>
        <w:tc>
          <w:tcPr>
            <w:tcW w:w="1314" w:type="pct"/>
            <w:tcBorders>
              <w:top w:val="single" w:color="auto" w:sz="4" w:space="0"/>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粤港澳消委会</w:t>
            </w:r>
            <w:r>
              <w:rPr>
                <w:rFonts w:hint="eastAsia" w:ascii="宋体" w:hAnsi="宋体" w:eastAsia="宋体" w:cs="等线"/>
                <w:color w:val="auto"/>
                <w:sz w:val="21"/>
                <w:szCs w:val="21"/>
              </w:rPr>
              <w:t>联合</w:t>
            </w:r>
          </w:p>
        </w:tc>
        <w:tc>
          <w:tcPr>
            <w:tcW w:w="3685" w:type="pct"/>
            <w:tcBorders>
              <w:left w:val="single" w:color="auto" w:sz="4" w:space="0"/>
              <w:bottom w:val="single" w:color="auto" w:sz="4" w:space="0"/>
              <w:right w:val="single" w:color="auto" w:sz="4" w:space="0"/>
            </w:tcBorders>
            <w:noWrap w:val="0"/>
            <w:vAlign w:val="center"/>
          </w:tcPr>
          <w:p>
            <w:pPr>
              <w:pStyle w:val="23"/>
              <w:rPr>
                <w:rFonts w:hint="eastAsia" w:ascii="宋体" w:hAnsi="宋体" w:eastAsia="宋体" w:cs="等线"/>
                <w:color w:val="auto"/>
                <w:sz w:val="21"/>
                <w:szCs w:val="21"/>
                <w:lang w:eastAsia="zh-Hans"/>
              </w:rPr>
            </w:pPr>
            <w:r>
              <w:rPr>
                <w:rFonts w:hint="eastAsia" w:ascii="宋体" w:hAnsi="宋体" w:eastAsia="宋体" w:cs="等线"/>
                <w:color w:val="auto"/>
                <w:sz w:val="21"/>
                <w:szCs w:val="21"/>
                <w:lang w:eastAsia="zh-Hans"/>
              </w:rPr>
              <w:t>跨境网购消费</w:t>
            </w:r>
            <w:r>
              <w:rPr>
                <w:rFonts w:hint="eastAsia" w:ascii="宋体" w:hAnsi="宋体" w:cs="等线"/>
                <w:color w:val="auto"/>
                <w:sz w:val="21"/>
                <w:szCs w:val="21"/>
                <w:lang w:val="en-US" w:eastAsia="zh-CN"/>
              </w:rPr>
              <w:t>等</w:t>
            </w:r>
          </w:p>
        </w:tc>
      </w:tr>
    </w:tbl>
    <w:p>
      <w:pPr>
        <w:keepNext w:val="0"/>
        <w:keepLines w:val="0"/>
        <w:pageBreakBefore w:val="0"/>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color w:val="auto"/>
          <w:sz w:val="32"/>
          <w:szCs w:val="32"/>
          <w:shd w:val="clear" w:color="auto" w:fill="FFFFFF"/>
          <w:lang w:val="en-US" w:eastAsia="zh-CN"/>
        </w:rPr>
        <w:t>八</w:t>
      </w:r>
      <w:r>
        <w:rPr>
          <w:rFonts w:hint="eastAsia" w:ascii="仿宋_GB2312" w:hAnsi="仿宋_GB2312" w:eastAsia="仿宋_GB2312" w:cs="仿宋_GB2312"/>
          <w:color w:val="auto"/>
          <w:sz w:val="32"/>
          <w:szCs w:val="32"/>
          <w:shd w:val="clear" w:color="auto" w:fill="FFFFFF"/>
        </w:rPr>
        <w:t>是</w:t>
      </w:r>
      <w:r>
        <w:rPr>
          <w:rFonts w:hint="eastAsia" w:ascii="仿宋_GB2312" w:hAnsi="仿宋_GB2312" w:eastAsia="仿宋_GB2312" w:cs="仿宋_GB2312"/>
          <w:color w:val="auto"/>
          <w:sz w:val="32"/>
          <w:szCs w:val="32"/>
        </w:rPr>
        <w:t>有序推进消费政策研究</w:t>
      </w:r>
      <w:r>
        <w:rPr>
          <w:rFonts w:hint="eastAsia" w:ascii="仿宋_GB2312" w:hAnsi="仿宋_GB2312" w:eastAsia="仿宋_GB2312" w:cs="仿宋_GB2312"/>
          <w:color w:val="auto"/>
          <w:sz w:val="32"/>
          <w:szCs w:val="32"/>
          <w:lang w:val="en-US" w:eastAsia="zh-CN"/>
        </w:rPr>
        <w:t>与</w:t>
      </w:r>
      <w:r>
        <w:rPr>
          <w:rFonts w:hint="eastAsia" w:ascii="仿宋_GB2312" w:hAnsi="仿宋_GB2312" w:eastAsia="仿宋_GB2312" w:cs="仿宋_GB2312"/>
          <w:color w:val="auto"/>
          <w:sz w:val="32"/>
          <w:szCs w:val="32"/>
          <w:shd w:val="clear" w:color="auto" w:fill="FFFFFF"/>
        </w:rPr>
        <w:t>消费调查，为消费者权益保护提供科学指导。2025年，</w:t>
      </w:r>
      <w:r>
        <w:rPr>
          <w:rFonts w:hint="eastAsia" w:ascii="仿宋_GB2312" w:hAnsi="仿宋_GB2312" w:eastAsia="仿宋_GB2312" w:cs="仿宋_GB2312"/>
          <w:color w:val="auto"/>
          <w:sz w:val="32"/>
          <w:szCs w:val="32"/>
        </w:rPr>
        <w:t>中消协</w:t>
      </w:r>
      <w:r>
        <w:rPr>
          <w:rFonts w:hint="eastAsia" w:ascii="仿宋_GB2312" w:hAnsi="仿宋_GB2312" w:eastAsia="仿宋_GB2312" w:cs="仿宋_GB2312"/>
          <w:color w:val="auto"/>
          <w:sz w:val="32"/>
          <w:szCs w:val="32"/>
          <w:lang w:val="en-US" w:eastAsia="zh-CN"/>
        </w:rPr>
        <w:t>确定</w:t>
      </w:r>
      <w:r>
        <w:rPr>
          <w:rFonts w:hint="eastAsia" w:ascii="仿宋_GB2312" w:hAnsi="仿宋_GB2312" w:eastAsia="仿宋_GB2312" w:cs="仿宋_GB2312"/>
          <w:color w:val="auto"/>
          <w:sz w:val="32"/>
          <w:szCs w:val="32"/>
        </w:rPr>
        <w:t>消费维权年主题为“共筑满意消费”，</w:t>
      </w:r>
      <w:r>
        <w:rPr>
          <w:rFonts w:hint="eastAsia" w:ascii="仿宋_GB2312" w:hAnsi="仿宋_GB2312" w:eastAsia="仿宋_GB2312" w:cs="仿宋_GB2312"/>
          <w:color w:val="auto"/>
          <w:sz w:val="32"/>
          <w:szCs w:val="32"/>
          <w:lang w:val="en-US" w:eastAsia="zh-CN"/>
        </w:rPr>
        <w:t>并组织开展</w:t>
      </w:r>
      <w:r>
        <w:rPr>
          <w:rFonts w:hint="eastAsia" w:ascii="仿宋_GB2312" w:hAnsi="仿宋_GB2312" w:eastAsia="仿宋_GB2312" w:cs="仿宋_GB2312"/>
          <w:color w:val="auto"/>
          <w:sz w:val="32"/>
          <w:szCs w:val="32"/>
        </w:rPr>
        <w:t>消费维权年主题专题调查，发布《2025年“共筑满意消费”消费维权主题调查报告》，调查数据表明，消费从性价比向“质价比”升级趋势明显；围绕人民群众居住环境、</w:t>
      </w:r>
      <w:r>
        <w:rPr>
          <w:rFonts w:hint="eastAsia" w:ascii="仿宋_GB2312" w:hAnsi="仿宋_GB2312" w:eastAsia="仿宋_GB2312" w:cs="仿宋_GB2312"/>
          <w:color w:val="auto"/>
          <w:sz w:val="32"/>
          <w:szCs w:val="32"/>
          <w:lang w:val="en-US" w:eastAsia="zh-CN"/>
        </w:rPr>
        <w:t>医疗美容、商品过度包装等社会</w:t>
      </w:r>
      <w:r>
        <w:rPr>
          <w:rFonts w:hint="eastAsia" w:ascii="仿宋_GB2312" w:hAnsi="仿宋_GB2312" w:eastAsia="仿宋_GB2312" w:cs="仿宋_GB2312"/>
          <w:color w:val="auto"/>
          <w:sz w:val="32"/>
          <w:szCs w:val="32"/>
        </w:rPr>
        <w:t>关切问题，开展</w:t>
      </w:r>
      <w:r>
        <w:rPr>
          <w:rFonts w:hint="eastAsia" w:ascii="仿宋_GB2312" w:hAnsi="仿宋_GB2312" w:eastAsia="仿宋_GB2312" w:cs="仿宋_GB2312"/>
          <w:color w:val="auto"/>
          <w:sz w:val="32"/>
          <w:szCs w:val="32"/>
          <w:lang w:val="en-US" w:eastAsia="zh-CN"/>
        </w:rPr>
        <w:t>消费调查，先后发布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全国住宅小区物业服务调查</w:t>
      </w:r>
      <w:r>
        <w:rPr>
          <w:rFonts w:hint="eastAsia" w:ascii="仿宋_GB2312" w:hAnsi="仿宋_GB2312" w:eastAsia="仿宋_GB2312" w:cs="仿宋_GB2312"/>
          <w:color w:val="auto"/>
          <w:sz w:val="32"/>
          <w:szCs w:val="32"/>
          <w:lang w:eastAsia="zh-CN"/>
        </w:rPr>
        <w:t>》《关于商品过度包装治理工作情况报告》《关于肉毒素相关问题的梳理及建议》</w:t>
      </w:r>
      <w:r>
        <w:rPr>
          <w:rFonts w:hint="eastAsia" w:ascii="仿宋_GB2312" w:hAnsi="仿宋_GB2312" w:eastAsia="仿宋_GB2312" w:cs="仿宋_GB2312"/>
          <w:color w:val="auto"/>
          <w:sz w:val="32"/>
          <w:szCs w:val="32"/>
          <w:lang w:val="en-US" w:eastAsia="zh-CN"/>
        </w:rPr>
        <w:t>等多篇调查报告</w:t>
      </w:r>
      <w:r>
        <w:rPr>
          <w:rFonts w:hint="eastAsia" w:ascii="仿宋_GB2312" w:hAnsi="仿宋_GB2312" w:eastAsia="仿宋_GB2312" w:cs="仿宋_GB2312"/>
          <w:color w:val="auto"/>
          <w:sz w:val="32"/>
          <w:szCs w:val="32"/>
        </w:rPr>
        <w:t>，为相关部门优化工作途径、完善治理举措提供参考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组织开展《大力提振消费基础、潜力及路径》学术课题研究并发布报告，系统梳理了中国消费现状和消费环境建设总体情况，以丰富的事例和数据，充分展示了中国消费市场发展情势，提出了中国大力提振消费的路径设计和发展思路，帮助社会各方更好地观察和了解新时代我国大力提振消费的基础、潜力及路径；</w:t>
      </w:r>
      <w:r>
        <w:rPr>
          <w:rFonts w:hint="eastAsia" w:ascii="仿宋_GB2312" w:hAnsi="仿宋_GB2312" w:eastAsia="仿宋_GB2312" w:cs="仿宋_GB2312"/>
          <w:color w:val="auto"/>
          <w:sz w:val="32"/>
          <w:szCs w:val="32"/>
        </w:rPr>
        <w:t>发布《中国消费者权益保护状况年度报告（2024）》，</w:t>
      </w:r>
      <w:r>
        <w:rPr>
          <w:rFonts w:hint="eastAsia" w:ascii="仿宋_GB2312" w:hAnsi="仿宋_GB2312" w:eastAsia="仿宋_GB2312" w:cs="仿宋_GB2312"/>
          <w:bCs/>
          <w:color w:val="auto"/>
          <w:sz w:val="32"/>
          <w:szCs w:val="32"/>
        </w:rPr>
        <w:t>向社会全面展示我国消费维权工作和消费政策实施成果。</w:t>
      </w:r>
    </w:p>
    <w:p>
      <w:pPr>
        <w:keepNext w:val="0"/>
        <w:keepLines w:val="0"/>
        <w:pageBreakBefore w:val="0"/>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地方消协组织积极开展消费调查体验工作，山东、黑龙江、江苏等十六省消协组织联合《中国消费者》杂志发布老年私域直播乱象调查，指出老年消费私域直播领域存在不良营销、虚假宣传、售后无包装、维权难度大等问题。重庆、青海等七地消协组织发布《家政服务行业调查报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河南省消协发布商业信息及电话对消费者生活安宁影响的专项调查报告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河北省消保委发布手机用户防骚扰电话消费者满意度调查报告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浙江省消保委发布宠物市场消费调查报告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陕西省消保委发布汽车智能化满意度市场调查报告</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上海市消保委发布汽车保险消费调查结果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江苏省消保委发布第三方火车票抢票平台、“对对碰”直播间、“银发一族”旅游消费等调查结果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指导消费者理性消费。重庆、四川、陕西等十地消协组织联合开展新能源汽车消费体察活动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云南省消协开展食品行业消费体察活动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山东省消协联合多部门开展无障碍环境建设体验督导活动，以多维度调研与监督切实帮助消费者规避风险。</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九</w:t>
      </w:r>
      <w:r>
        <w:rPr>
          <w:rFonts w:hint="eastAsia" w:ascii="仿宋_GB2312" w:hAnsi="仿宋_GB2312" w:eastAsia="仿宋_GB2312" w:cs="仿宋_GB2312"/>
          <w:color w:val="auto"/>
          <w:sz w:val="32"/>
          <w:szCs w:val="32"/>
        </w:rPr>
        <w:t>是加大消费维权设施信息化建设，以数字化赋能夯实维权根基。</w:t>
      </w:r>
      <w:r>
        <w:rPr>
          <w:rFonts w:hint="eastAsia" w:ascii="仿宋_GB2312" w:hAnsi="仿宋_GB2312" w:eastAsia="仿宋_GB2312" w:cs="仿宋_GB2312"/>
          <w:color w:val="auto"/>
          <w:sz w:val="32"/>
          <w:szCs w:val="32"/>
          <w:lang w:val="en-US" w:eastAsia="zh-CN"/>
        </w:rPr>
        <w:t>中消协正式</w:t>
      </w:r>
      <w:r>
        <w:rPr>
          <w:rFonts w:hint="eastAsia" w:ascii="仿宋_GB2312" w:hAnsi="仿宋_GB2312" w:eastAsia="仿宋_GB2312" w:cs="仿宋_GB2312"/>
          <w:color w:val="auto"/>
          <w:sz w:val="32"/>
          <w:szCs w:val="32"/>
        </w:rPr>
        <w:t>上线“全国消协智慧3·15平台”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通过大数据研判预警功能，优化投诉和解与调解流程，消费维权进入智能化新阶段</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截至2025年底，平台</w:t>
      </w:r>
      <w:r>
        <w:rPr>
          <w:rFonts w:hint="eastAsia" w:ascii="仿宋_GB2312" w:hAnsi="仿宋_GB2312" w:eastAsia="仿宋_GB2312" w:cs="仿宋_GB2312"/>
          <w:color w:val="auto"/>
          <w:sz w:val="32"/>
          <w:szCs w:val="32"/>
        </w:rPr>
        <w:t>注册消费者超247.6万人，发展入驻经营者9.1万家。中消协开发并上线全国首个线下无理由退货商家查询平台——“消费查”微信小程序，截至2025年12月底，“消费查”共收录全国22.6万家线下无理由退货商家信息，为消费者提供一站式查询各地线下无理由退货商家信息服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联合中国物品编码中心推出“消协帮您找，扫扫码辨商品”功能，依托编码中心国家商品数据库的权威信息，引入消费者参与网售产品监督，推动</w:t>
      </w:r>
      <w:r>
        <w:rPr>
          <w:rFonts w:hint="eastAsia" w:ascii="仿宋_GB2312" w:hAnsi="仿宋_GB2312" w:eastAsia="仿宋_GB2312" w:cs="仿宋_GB2312"/>
          <w:color w:val="auto"/>
          <w:sz w:val="32"/>
          <w:szCs w:val="32"/>
          <w:lang w:val="en-US" w:eastAsia="zh-CN"/>
        </w:rPr>
        <w:t>网络交易</w:t>
      </w:r>
      <w:r>
        <w:rPr>
          <w:rFonts w:hint="eastAsia" w:ascii="仿宋_GB2312" w:hAnsi="仿宋_GB2312" w:eastAsia="仿宋_GB2312" w:cs="仿宋_GB2312"/>
          <w:color w:val="auto"/>
          <w:sz w:val="32"/>
          <w:szCs w:val="32"/>
        </w:rPr>
        <w:t>环境协同共治。江苏省消保委打造消费维权AI助手“苏小保”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山东省消协推出消费者权益保护工作发声品牌“鲁小满”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四川省消委会上线</w:t>
      </w:r>
      <w:r>
        <w:rPr>
          <w:rFonts w:hint="eastAsia" w:ascii="仿宋_GB2312" w:hAnsi="仿宋_GB2312" w:eastAsia="仿宋_GB2312" w:cs="仿宋_GB2312"/>
          <w:bCs/>
          <w:color w:val="auto"/>
          <w:sz w:val="32"/>
          <w:szCs w:val="32"/>
        </w:rPr>
        <w:t>《智慧315·维权观察》，</w:t>
      </w:r>
      <w:r>
        <w:rPr>
          <w:rFonts w:hint="eastAsia" w:ascii="仿宋_GB2312" w:hAnsi="仿宋_GB2312" w:eastAsia="仿宋_GB2312" w:cs="仿宋_GB2312"/>
          <w:color w:val="auto"/>
          <w:sz w:val="32"/>
          <w:szCs w:val="32"/>
        </w:rPr>
        <w:t>以数字化赋能夯实维权根基。</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94" w:name="_Toc221610686"/>
      <w:bookmarkStart w:id="95" w:name="_Toc28239"/>
      <w:bookmarkStart w:id="96" w:name="_Toc9092"/>
      <w:r>
        <w:rPr>
          <w:rFonts w:hint="eastAsia" w:ascii="黑体" w:hAnsi="黑体" w:eastAsia="黑体" w:cs="黑体"/>
          <w:bCs/>
          <w:color w:val="000000"/>
          <w:sz w:val="32"/>
          <w:szCs w:val="32"/>
        </w:rPr>
        <w:t>二、行业组织持续推进自律自治，促进</w:t>
      </w:r>
      <w:r>
        <w:rPr>
          <w:rFonts w:hint="eastAsia" w:ascii="黑体" w:hAnsi="黑体" w:eastAsia="黑体" w:cs="黑体"/>
          <w:bCs/>
          <w:color w:val="000000"/>
          <w:sz w:val="32"/>
          <w:szCs w:val="32"/>
          <w:lang w:val="en-US" w:eastAsia="zh-CN"/>
        </w:rPr>
        <w:t>经营者</w:t>
      </w:r>
      <w:r>
        <w:rPr>
          <w:rFonts w:hint="eastAsia" w:ascii="黑体" w:hAnsi="黑体" w:eastAsia="黑体" w:cs="黑体"/>
          <w:bCs/>
          <w:color w:val="000000"/>
          <w:sz w:val="32"/>
          <w:szCs w:val="32"/>
        </w:rPr>
        <w:t>诚信经营</w:t>
      </w:r>
      <w:bookmarkEnd w:id="94"/>
      <w:bookmarkEnd w:id="95"/>
      <w:bookmarkEnd w:id="96"/>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行业自律是消费者权益社会保护</w:t>
      </w:r>
      <w:r>
        <w:rPr>
          <w:rFonts w:hint="eastAsia" w:ascii="仿宋_GB2312" w:hAnsi="仿宋_GB2312" w:eastAsia="仿宋_GB2312" w:cs="仿宋_GB2312"/>
          <w:color w:val="auto"/>
          <w:sz w:val="32"/>
          <w:szCs w:val="32"/>
          <w:lang w:val="en-US" w:eastAsia="zh-CN"/>
        </w:rPr>
        <w:t>持续完善</w:t>
      </w:r>
      <w:r>
        <w:rPr>
          <w:rFonts w:hint="eastAsia" w:ascii="仿宋_GB2312" w:hAnsi="仿宋_GB2312" w:eastAsia="仿宋_GB2312" w:cs="仿宋_GB2312"/>
          <w:color w:val="auto"/>
          <w:sz w:val="32"/>
          <w:szCs w:val="32"/>
        </w:rPr>
        <w:t>的重要</w:t>
      </w:r>
      <w:r>
        <w:rPr>
          <w:rFonts w:hint="eastAsia" w:ascii="仿宋_GB2312" w:hAnsi="仿宋_GB2312" w:eastAsia="仿宋_GB2312" w:cs="仿宋_GB2312"/>
          <w:color w:val="auto"/>
          <w:sz w:val="32"/>
          <w:szCs w:val="32"/>
          <w:lang w:val="en-US" w:eastAsia="zh-CN"/>
        </w:rPr>
        <w:t>基础</w:t>
      </w:r>
      <w:r>
        <w:rPr>
          <w:rFonts w:hint="eastAsia" w:ascii="仿宋_GB2312" w:hAnsi="仿宋_GB2312" w:eastAsia="仿宋_GB2312" w:cs="仿宋_GB2312"/>
          <w:color w:val="auto"/>
          <w:sz w:val="32"/>
          <w:szCs w:val="32"/>
        </w:rPr>
        <w:t>。2025年，各行业组织持续深化自律自治实践，以健全行业规约、强化诚信约束为抓手，助力构建安全放心的消费环境。中国商业联合会组织起草《商业服务业顾客满意度测评规范》，指导批发零售业、住宿餐饮业及居民服务业提升顾客满意度；发布《单用途预付卡电子数据格式要求》团体标准，</w:t>
      </w:r>
      <w:r>
        <w:rPr>
          <w:rFonts w:hint="eastAsia" w:ascii="仿宋_GB2312" w:hAnsi="仿宋_GB2312" w:eastAsia="仿宋_GB2312" w:cs="仿宋_GB2312"/>
          <w:color w:val="auto"/>
          <w:sz w:val="32"/>
          <w:szCs w:val="32"/>
          <w:lang w:val="en-US" w:eastAsia="zh-CN"/>
        </w:rPr>
        <w:t>引导企业优化业务流程，确保预付式消费数据完整性</w:t>
      </w:r>
      <w:r>
        <w:rPr>
          <w:rFonts w:hint="eastAsia" w:ascii="仿宋_GB2312" w:hAnsi="仿宋_GB2312" w:eastAsia="仿宋_GB2312" w:cs="仿宋_GB2312"/>
          <w:color w:val="auto"/>
          <w:sz w:val="32"/>
          <w:szCs w:val="32"/>
        </w:rPr>
        <w:t>；开展洗染服务质量鉴定，为洗染服务</w:t>
      </w:r>
      <w:r>
        <w:rPr>
          <w:rFonts w:hint="eastAsia" w:ascii="仿宋_GB2312" w:hAnsi="仿宋_GB2312" w:eastAsia="仿宋_GB2312" w:cs="仿宋_GB2312"/>
          <w:color w:val="auto"/>
          <w:sz w:val="32"/>
          <w:szCs w:val="32"/>
          <w:lang w:val="en-US" w:eastAsia="zh-CN"/>
        </w:rPr>
        <w:t>消费</w:t>
      </w:r>
      <w:r>
        <w:rPr>
          <w:rFonts w:hint="eastAsia" w:ascii="仿宋_GB2312" w:hAnsi="仿宋_GB2312" w:eastAsia="仿宋_GB2312" w:cs="仿宋_GB2312"/>
          <w:color w:val="auto"/>
          <w:sz w:val="32"/>
          <w:szCs w:val="32"/>
        </w:rPr>
        <w:t>纠纷调解提供依据。</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中国饭店协会以绿色消费推进行动为主线促进行业绿色发展，累计评定全国绿色饭店超3500家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举办第六届绿色饭店消费季，探索绿色消费积分激励机制，</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通过线上直播带货、0TA平台流量倾斜等</w:t>
      </w:r>
      <w:r>
        <w:rPr>
          <w:rFonts w:hint="eastAsia" w:ascii="仿宋_GB2312" w:hAnsi="仿宋_GB2312" w:eastAsia="仿宋_GB2312" w:cs="仿宋_GB2312"/>
          <w:color w:val="auto"/>
          <w:sz w:val="32"/>
          <w:szCs w:val="32"/>
          <w:lang w:val="en-US" w:eastAsia="zh-CN"/>
        </w:rPr>
        <w:t>方</w:t>
      </w:r>
      <w:r>
        <w:rPr>
          <w:rFonts w:hint="eastAsia" w:ascii="仿宋_GB2312" w:hAnsi="仿宋_GB2312" w:eastAsia="仿宋_GB2312" w:cs="仿宋_GB2312"/>
          <w:color w:val="auto"/>
          <w:sz w:val="32"/>
          <w:szCs w:val="32"/>
        </w:rPr>
        <w:t>式带动消费1.5亿元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宣贯绿色餐饮相关标准，推进小份菜标准化、光盘行动，制止餐饮浪费，</w:t>
      </w:r>
      <w:r>
        <w:rPr>
          <w:rFonts w:hint="eastAsia" w:ascii="仿宋_GB2312" w:hAnsi="仿宋_GB2312" w:eastAsia="仿宋_GB2312" w:cs="仿宋_GB2312"/>
          <w:color w:val="auto"/>
          <w:sz w:val="32"/>
          <w:szCs w:val="32"/>
          <w:lang w:val="en-US" w:eastAsia="zh-CN"/>
        </w:rPr>
        <w:t>积极</w:t>
      </w:r>
      <w:r>
        <w:rPr>
          <w:rFonts w:hint="eastAsia" w:ascii="仿宋_GB2312" w:hAnsi="仿宋_GB2312" w:eastAsia="仿宋_GB2312" w:cs="仿宋_GB2312"/>
          <w:color w:val="auto"/>
          <w:sz w:val="32"/>
          <w:szCs w:val="32"/>
        </w:rPr>
        <w:t>引导住宿餐饮领域绿色消费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发布饭店业绿色发展指数，验证绿色饭店在节能增效、盈利增收上的显著优势，</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rPr>
        <w:t>完善绿色饭店标准体系，推动国际互认。</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中国互联网协会成立中国互联网协会网民权益和个人信息保护工作委员会，</w:t>
      </w:r>
      <w:r>
        <w:rPr>
          <w:rFonts w:hint="eastAsia" w:ascii="仿宋_GB2312" w:hAnsi="仿宋_GB2312" w:eastAsia="仿宋_GB2312" w:cs="仿宋_GB2312"/>
          <w:color w:val="auto"/>
          <w:sz w:val="32"/>
          <w:szCs w:val="32"/>
          <w:lang w:val="en-US" w:eastAsia="zh-CN"/>
        </w:rPr>
        <w:t>联合</w:t>
      </w:r>
      <w:r>
        <w:rPr>
          <w:rFonts w:hint="eastAsia" w:ascii="仿宋_GB2312" w:hAnsi="仿宋_GB2312" w:eastAsia="仿宋_GB2312" w:cs="仿宋_GB2312"/>
          <w:color w:val="auto"/>
          <w:sz w:val="32"/>
          <w:szCs w:val="32"/>
        </w:rPr>
        <w:t>通信和互联网行业企业及社会各界共同开展网民权益和个人信息保护工作，加强行业自律，维护和谐健康的互联网发展环境</w:t>
      </w:r>
      <w:r>
        <w:rPr>
          <w:rFonts w:hint="eastAsia" w:ascii="仿宋_GB2312" w:hAnsi="仿宋_GB2312" w:eastAsia="仿宋_GB2312" w:cs="仿宋_GB2312"/>
          <w:color w:val="auto"/>
          <w:sz w:val="32"/>
          <w:szCs w:val="32"/>
          <w:lang w:eastAsia="zh-CN"/>
        </w:rPr>
        <w:t>；联合北京网络空间安全协会对网民权益保护状况开展调查研究，调查报告系统性地描绘了我国网民权益保护的总体图景，</w:t>
      </w:r>
      <w:r>
        <w:rPr>
          <w:rFonts w:hint="eastAsia" w:ascii="仿宋_GB2312" w:hAnsi="仿宋_GB2312" w:eastAsia="仿宋_GB2312" w:cs="仿宋_GB2312"/>
          <w:color w:val="auto"/>
          <w:sz w:val="32"/>
          <w:szCs w:val="32"/>
          <w:lang w:val="en-US" w:eastAsia="zh-CN"/>
        </w:rPr>
        <w:t>并</w:t>
      </w:r>
      <w:r>
        <w:rPr>
          <w:rFonts w:hint="eastAsia" w:ascii="仿宋_GB2312" w:hAnsi="仿宋_GB2312" w:eastAsia="仿宋_GB2312" w:cs="仿宋_GB2312"/>
          <w:color w:val="auto"/>
          <w:sz w:val="32"/>
          <w:szCs w:val="32"/>
          <w:lang w:eastAsia="zh-CN"/>
        </w:rPr>
        <w:t>在《2025年全国网民网络安全感满意度调查统计总报告》发布会开幕仪式上发布；举办2025（第二十四届）中国互联网大会个人信息保护论坛，凝聚多方智慧，共同探寻数字时代个人信息安全防护的创新路径，为构建协同共治的治理生态注入思想动能。</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eastAsia="zh-CN"/>
        </w:rPr>
        <w:t>中国质量协会通过开展用户满意经营承诺倡议、市场质量信用等级评价，发布汽车、数字经济等重点行业满意度等系列活动，以行业自律强化企业诚信意识，用权威测评积极引导消费选择，在企业与消费者间搭建质量信任桥梁，推动企业以用户为中心提升服务，助力构建诚信经营环境，切实增强消费信心。</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sz w:val="32"/>
          <w:szCs w:val="32"/>
          <w:lang w:val="en-US" w:eastAsia="zh-CN"/>
        </w:rPr>
        <w:t>此外，</w:t>
      </w:r>
      <w:r>
        <w:rPr>
          <w:rFonts w:hint="eastAsia" w:ascii="仿宋_GB2312" w:hAnsi="仿宋_GB2312" w:eastAsia="仿宋_GB2312" w:cs="仿宋_GB2312"/>
          <w:color w:val="auto"/>
          <w:sz w:val="32"/>
          <w:szCs w:val="32"/>
        </w:rPr>
        <w:t>中国轻工业联合会发布第十批和第十一批《升级和创新消费品指南</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轻工</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大力践行“三品行动”，深入实施创新升级“千品计划”。中国质量检验协会组织千余家质量诚信优秀企业开展2025年全国“质量月”企业质量诚信倡议活动，进一步增强全民质量意识。中国食品工业协会联合</w:t>
      </w:r>
      <w:r>
        <w:rPr>
          <w:rFonts w:hint="eastAsia" w:ascii="仿宋_GB2312" w:hAnsi="仿宋_GB2312" w:eastAsia="仿宋_GB2312" w:cs="仿宋_GB2312"/>
          <w:color w:val="auto"/>
          <w:kern w:val="0"/>
          <w:sz w:val="32"/>
          <w:szCs w:val="32"/>
        </w:rPr>
        <w:t>中国乳制品工业协会、中国调味品协会等行业组织发出倡议，倡导食品企业践行“非必要不添加”原则，</w:t>
      </w:r>
      <w:r>
        <w:rPr>
          <w:rFonts w:hint="eastAsia" w:ascii="仿宋_GB2312" w:hAnsi="仿宋_GB2312" w:eastAsia="仿宋_GB2312" w:cs="仿宋_GB2312"/>
          <w:color w:val="auto"/>
          <w:sz w:val="32"/>
          <w:szCs w:val="32"/>
        </w:rPr>
        <w:t>严格按照相关标准使用食品添加剂。中国家用电器协会完善并落实行业自律公约，向多部门提交家用电器行业治理内卷建议，推动行业从“价格战”转向“价值战”。</w:t>
      </w:r>
      <w:r>
        <w:rPr>
          <w:rFonts w:hint="eastAsia" w:ascii="仿宋_GB2312" w:hAnsi="仿宋_GB2312" w:eastAsia="仿宋_GB2312" w:cs="仿宋_GB2312"/>
          <w:color w:val="auto"/>
          <w:spacing w:val="15"/>
          <w:sz w:val="32"/>
          <w:szCs w:val="32"/>
          <w:shd w:val="clear" w:color="auto" w:fill="FFFFFF"/>
        </w:rPr>
        <w:t>中国汽车流通协会连续发布每月“汽车消费指数”，从消费的视角反映汽车市场运行态势。</w:t>
      </w:r>
      <w:r>
        <w:rPr>
          <w:rFonts w:hint="eastAsia" w:ascii="仿宋_GB2312" w:hAnsi="仿宋_GB2312" w:eastAsia="仿宋_GB2312" w:cs="仿宋_GB2312"/>
          <w:color w:val="auto"/>
          <w:sz w:val="32"/>
          <w:szCs w:val="32"/>
          <w:shd w:val="clear" w:color="auto" w:fill="FFFFFF"/>
        </w:rPr>
        <w:t>中国航空运输协会发布《民航客票全渠道退改签服务技术规范》团体标准，规范民航客票全渠道退改签的业务流程。</w:t>
      </w:r>
      <w:r>
        <w:rPr>
          <w:rFonts w:hint="eastAsia" w:ascii="仿宋_GB2312" w:hAnsi="仿宋_GB2312" w:eastAsia="仿宋_GB2312" w:cs="仿宋_GB2312"/>
          <w:color w:val="auto"/>
          <w:sz w:val="32"/>
          <w:szCs w:val="32"/>
        </w:rPr>
        <w:t>中国保险行业协会针对不法机构将交通安全统筹包装成商业保险发布风险提示</w:t>
      </w:r>
      <w:r>
        <w:rPr>
          <w:rFonts w:hint="eastAsia" w:ascii="仿宋_GB2312" w:hAnsi="仿宋_GB2312" w:eastAsia="仿宋_GB2312" w:cs="仿宋_GB2312"/>
          <w:color w:val="auto"/>
          <w:sz w:val="32"/>
          <w:szCs w:val="32"/>
          <w:lang w:eastAsia="zh-CN"/>
        </w:rPr>
        <w:t>，明确交通安全统筹非保险，且仅限企业内部互助，对外销售属非法违规行为</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中国银行业协会编制《银行业诚信服务典型案例汇编》，提供可复制、可推广的典型范式，推动银行机构加强信用体系建设。</w:t>
      </w:r>
      <w:r>
        <w:rPr>
          <w:rFonts w:hint="eastAsia" w:ascii="仿宋_GB2312" w:hAnsi="仿宋_GB2312" w:eastAsia="仿宋_GB2312" w:cs="仿宋_GB2312"/>
          <w:color w:val="auto"/>
          <w:sz w:val="32"/>
          <w:szCs w:val="32"/>
        </w:rPr>
        <w:t>各类行业组织立足自身领域特点、发挥自身职能优势，引导经营者诚信经营，筑牢消费者权益保护的行业基础。</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97" w:name="_Toc3052"/>
      <w:bookmarkStart w:id="98" w:name="_Toc10710"/>
      <w:bookmarkStart w:id="99" w:name="_Toc221610687"/>
      <w:r>
        <w:rPr>
          <w:rFonts w:hint="eastAsia" w:ascii="黑体" w:hAnsi="黑体" w:eastAsia="黑体" w:cs="黑体"/>
          <w:bCs/>
          <w:color w:val="000000"/>
          <w:sz w:val="32"/>
          <w:szCs w:val="32"/>
        </w:rPr>
        <w:t>三、经营者不断增强合规诚信意识，切实履行消费者权益保护主体责任</w:t>
      </w:r>
      <w:bookmarkEnd w:id="97"/>
      <w:bookmarkEnd w:id="98"/>
      <w:bookmarkEnd w:id="99"/>
    </w:p>
    <w:p>
      <w:pPr>
        <w:pStyle w:val="1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94" w:lineRule="exact"/>
        <w:ind w:left="0" w:right="0" w:firstLine="640"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经营者是消费者权益保护的第一责任人。2025年，</w:t>
      </w:r>
      <w:r>
        <w:rPr>
          <w:rFonts w:hint="eastAsia" w:ascii="仿宋_GB2312" w:hAnsi="仿宋_GB2312" w:eastAsia="仿宋_GB2312" w:cs="仿宋_GB2312"/>
          <w:color w:val="auto"/>
          <w:sz w:val="32"/>
          <w:szCs w:val="32"/>
          <w:lang w:val="en-US" w:eastAsia="zh-CN"/>
        </w:rPr>
        <w:t>中国广大</w:t>
      </w:r>
      <w:r>
        <w:rPr>
          <w:rFonts w:hint="eastAsia" w:ascii="仿宋_GB2312" w:hAnsi="仿宋_GB2312" w:eastAsia="仿宋_GB2312" w:cs="仿宋_GB2312"/>
          <w:color w:val="auto"/>
          <w:sz w:val="32"/>
          <w:szCs w:val="32"/>
        </w:rPr>
        <w:t>经营者持续推进诚信经营，切实履行消费者权益保护主体责任。中央企业积极参加“央企消费帮扶兴农周”活动，集中展示定点帮扶和对口支援县1.5万余款特色农产品，推出“央企合力团购”模式，帮销金额5.67亿元</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开展阶梯集采、活动特惠、限时秒杀等多重优惠，引入中国中检开展农产品检测服务，发布央企兴农“甄选100”品牌，全面提升消费者购物体验。北京市海淀区450余家实体店主动加入线下无理由退货承诺活动，累计完成退货近1万笔，有效降低了消费者维权与纠纷处理成本。中国移动通信集团有限公司召开</w:t>
      </w:r>
      <w:r>
        <w:rPr>
          <w:rFonts w:hint="eastAsia" w:ascii="仿宋_GB2312" w:hAnsi="仿宋_GB2312" w:eastAsia="仿宋_GB2312" w:cs="仿宋_GB2312"/>
          <w:color w:val="auto"/>
          <w:sz w:val="32"/>
          <w:szCs w:val="32"/>
          <w:lang w:eastAsia="zh-CN"/>
        </w:rPr>
        <w:t>“</w:t>
      </w:r>
      <w:bookmarkStart w:id="100" w:name="OLE_LINK92"/>
      <w:r>
        <w:rPr>
          <w:rFonts w:hint="eastAsia" w:ascii="仿宋_GB2312" w:hAnsi="仿宋_GB2312" w:eastAsia="仿宋_GB2312" w:cs="仿宋_GB2312"/>
          <w:color w:val="auto"/>
          <w:sz w:val="32"/>
          <w:szCs w:val="32"/>
        </w:rPr>
        <w:t>民有所呼</w:t>
      </w:r>
      <w:bookmarkEnd w:id="100"/>
      <w:r>
        <w:rPr>
          <w:rFonts w:hint="eastAsia" w:ascii="仿宋_GB2312" w:hAnsi="仿宋_GB2312" w:eastAsia="仿宋_GB2312" w:cs="仿宋_GB2312"/>
          <w:color w:val="auto"/>
          <w:sz w:val="32"/>
          <w:szCs w:val="32"/>
        </w:rPr>
        <w:t xml:space="preserve"> 我必有应——‘三个一’服务举措发布会</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，面向社会发布一套客户服务承诺、一个服务监督平台、一个大服务体系，回应</w:t>
      </w:r>
      <w:r>
        <w:rPr>
          <w:rFonts w:hint="eastAsia" w:ascii="仿宋_GB2312" w:hAnsi="仿宋_GB2312" w:eastAsia="仿宋_GB2312" w:cs="仿宋_GB2312"/>
          <w:color w:val="auto"/>
          <w:sz w:val="32"/>
          <w:szCs w:val="32"/>
          <w:lang w:val="en-US" w:eastAsia="zh-CN"/>
        </w:rPr>
        <w:t>消费者</w:t>
      </w:r>
      <w:r>
        <w:rPr>
          <w:rFonts w:hint="eastAsia" w:ascii="仿宋_GB2312" w:hAnsi="仿宋_GB2312" w:eastAsia="仿宋_GB2312" w:cs="仿宋_GB2312"/>
          <w:color w:val="auto"/>
          <w:sz w:val="32"/>
          <w:szCs w:val="32"/>
        </w:rPr>
        <w:t>关切，展现了</w:t>
      </w:r>
      <w:r>
        <w:rPr>
          <w:rFonts w:hint="eastAsia" w:ascii="仿宋_GB2312" w:hAnsi="仿宋_GB2312" w:eastAsia="仿宋_GB2312" w:cs="仿宋_GB2312"/>
          <w:color w:val="auto"/>
          <w:sz w:val="32"/>
          <w:szCs w:val="32"/>
          <w:lang w:val="en-US" w:eastAsia="zh-CN"/>
        </w:rPr>
        <w:t>企业</w:t>
      </w:r>
      <w:r>
        <w:rPr>
          <w:rFonts w:hint="eastAsia" w:ascii="仿宋_GB2312" w:hAnsi="仿宋_GB2312" w:eastAsia="仿宋_GB2312" w:cs="仿宋_GB2312"/>
          <w:color w:val="auto"/>
          <w:sz w:val="32"/>
          <w:szCs w:val="32"/>
        </w:rPr>
        <w:t>切实维护保障群众权益，强化高品质信息服务供给，引领行业高质量发展的决心。中国银行江苏省分行持续推进消费者权益保护工作联席会议机制，构筑先横后直服务模式，从系统、流程、服务角度治理，推动自上而下不断优化完善</w:t>
      </w:r>
      <w:r>
        <w:rPr>
          <w:rFonts w:hint="eastAsia" w:ascii="仿宋_GB2312" w:hAnsi="仿宋_GB2312" w:eastAsia="仿宋_GB2312" w:cs="仿宋_GB2312"/>
          <w:color w:val="auto"/>
          <w:sz w:val="32"/>
          <w:szCs w:val="32"/>
          <w:lang w:eastAsia="zh-CN"/>
        </w:rPr>
        <w:t>；聚力构建内外协同的管理体系，主动加强部门间协同，</w:t>
      </w:r>
      <w:r>
        <w:rPr>
          <w:rFonts w:hint="eastAsia" w:ascii="仿宋_GB2312" w:hAnsi="仿宋_GB2312" w:eastAsia="仿宋_GB2312" w:cs="仿宋_GB2312"/>
          <w:color w:val="auto"/>
          <w:sz w:val="32"/>
          <w:szCs w:val="32"/>
          <w:lang w:val="en-US" w:eastAsia="zh-CN"/>
        </w:rPr>
        <w:t>以及</w:t>
      </w:r>
      <w:r>
        <w:rPr>
          <w:rFonts w:hint="eastAsia" w:ascii="仿宋_GB2312" w:hAnsi="仿宋_GB2312" w:eastAsia="仿宋_GB2312" w:cs="仿宋_GB2312"/>
          <w:color w:val="auto"/>
          <w:sz w:val="32"/>
          <w:szCs w:val="32"/>
          <w:lang w:eastAsia="zh-CN"/>
        </w:rPr>
        <w:t>与行业自律组织、监管部门的沟通协作，用好各类外部监管处理政策和机制，上下联动、内外协同共同打造强大消保工作体系。</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101" w:name="_Toc221610688"/>
      <w:bookmarkStart w:id="102" w:name="_Toc30586"/>
      <w:bookmarkStart w:id="103" w:name="_Toc24554"/>
      <w:r>
        <w:rPr>
          <w:rFonts w:hint="eastAsia" w:ascii="黑体" w:hAnsi="黑体" w:eastAsia="黑体" w:cs="黑体"/>
          <w:bCs/>
          <w:color w:val="000000"/>
          <w:sz w:val="32"/>
          <w:szCs w:val="32"/>
        </w:rPr>
        <w:t>四、群团组织与新闻媒体发挥各自优势，助力消费环境优化和维权效能提升</w:t>
      </w:r>
      <w:bookmarkEnd w:id="101"/>
      <w:bookmarkEnd w:id="102"/>
      <w:bookmarkEnd w:id="103"/>
    </w:p>
    <w:p>
      <w:pPr>
        <w:keepNext w:val="0"/>
        <w:keepLines w:val="0"/>
        <w:pageBreakBefore w:val="0"/>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2025年，群团组织、新闻媒体等机构充分发挥自身优势，深入推进消费者权益保护工作，携手共筑满意消费环境，为激发市场活力、提振消费注入持久动力。</w:t>
      </w:r>
    </w:p>
    <w:p>
      <w:pPr>
        <w:keepNext w:val="0"/>
        <w:keepLines w:val="0"/>
        <w:pageBreakBefore w:val="0"/>
        <w:widowControl/>
        <w:kinsoku/>
        <w:wordWrap/>
        <w:overflowPunct/>
        <w:topLinePunct w:val="0"/>
        <w:autoSpaceDE/>
        <w:autoSpaceDN/>
        <w:bidi w:val="0"/>
        <w:adjustRightInd/>
        <w:snapToGrid/>
        <w:spacing w:line="594" w:lineRule="exact"/>
        <w:ind w:firstLine="672"/>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pacing w:val="8"/>
          <w:kern w:val="0"/>
          <w:sz w:val="32"/>
          <w:szCs w:val="32"/>
        </w:rPr>
        <w:t>群团组织</w:t>
      </w:r>
      <w:r>
        <w:rPr>
          <w:rFonts w:hint="eastAsia" w:ascii="仿宋_GB2312" w:hAnsi="仿宋_GB2312" w:eastAsia="仿宋_GB2312" w:cs="仿宋_GB2312"/>
          <w:color w:val="auto"/>
          <w:kern w:val="1"/>
          <w:sz w:val="32"/>
          <w:szCs w:val="32"/>
        </w:rPr>
        <w:t>多措并举，在不同层面积极参与消费者权益保护工作，营造良好环境，保障维权实效，</w:t>
      </w:r>
      <w:r>
        <w:rPr>
          <w:rFonts w:hint="eastAsia" w:ascii="仿宋_GB2312" w:hAnsi="仿宋_GB2312" w:eastAsia="仿宋_GB2312" w:cs="仿宋_GB2312"/>
          <w:bCs/>
          <w:color w:val="auto"/>
          <w:spacing w:val="8"/>
          <w:kern w:val="0"/>
          <w:sz w:val="32"/>
          <w:szCs w:val="32"/>
        </w:rPr>
        <w:t>提振消费信心。中华全国总工会印发《关于加大工会经费投入力度助力职工文化旅游消费十项措施》，推动释放职工消费潜力，助力文化旅游消费</w:t>
      </w:r>
      <w:r>
        <w:rPr>
          <w:rFonts w:hint="eastAsia" w:ascii="仿宋_GB2312" w:hAnsi="仿宋_GB2312" w:eastAsia="仿宋_GB2312" w:cs="仿宋_GB2312"/>
          <w:bCs/>
          <w:color w:val="auto"/>
          <w:spacing w:val="8"/>
          <w:kern w:val="0"/>
          <w:sz w:val="32"/>
          <w:szCs w:val="32"/>
          <w:lang w:eastAsia="zh-CN"/>
        </w:rPr>
        <w:t>；</w:t>
      </w:r>
      <w:r>
        <w:rPr>
          <w:rFonts w:hint="eastAsia" w:ascii="仿宋_GB2312" w:hAnsi="仿宋_GB2312" w:eastAsia="仿宋_GB2312" w:cs="仿宋_GB2312"/>
          <w:bCs/>
          <w:color w:val="auto"/>
          <w:spacing w:val="8"/>
          <w:kern w:val="0"/>
          <w:sz w:val="32"/>
          <w:szCs w:val="32"/>
        </w:rPr>
        <w:t>与文化和旅游部、国家电影局、国家体育总局联合印发《关于深入推进新时代职工文体工作高质量发展 扩大职工文体消费的意见》，提出八项重点任务，</w:t>
      </w:r>
      <w:r>
        <w:rPr>
          <w:rFonts w:hint="eastAsia" w:ascii="仿宋_GB2312" w:hAnsi="仿宋_GB2312" w:eastAsia="仿宋_GB2312" w:cs="仿宋_GB2312"/>
          <w:bCs/>
          <w:color w:val="auto"/>
          <w:spacing w:val="8"/>
          <w:kern w:val="0"/>
          <w:sz w:val="32"/>
          <w:szCs w:val="32"/>
          <w:lang w:val="en-US" w:eastAsia="zh-CN"/>
        </w:rPr>
        <w:t>积极扩大职工文体消费，释放职工消费潜力；印发《工会推动最低工资工作指引》，对北京等25省份最低工资标准调整方案提出指导意见；与人社部联合研究制定《技能人才最低工资分类参考指引》，指导各地通过行业（区域）性集体协商，提高技术工人薪酬待遇。</w:t>
      </w:r>
      <w:r>
        <w:rPr>
          <w:rFonts w:hint="eastAsia" w:ascii="仿宋_GB2312" w:hAnsi="仿宋_GB2312" w:eastAsia="仿宋_GB2312" w:cs="仿宋_GB2312"/>
          <w:color w:val="auto"/>
          <w:sz w:val="32"/>
          <w:szCs w:val="32"/>
        </w:rPr>
        <w:t>共青团中央</w:t>
      </w:r>
      <w:r>
        <w:rPr>
          <w:rFonts w:hint="eastAsia" w:ascii="仿宋_GB2312" w:hAnsi="仿宋_GB2312" w:eastAsia="仿宋_GB2312" w:cs="仿宋_GB2312"/>
          <w:color w:val="auto"/>
          <w:kern w:val="1"/>
          <w:sz w:val="32"/>
          <w:szCs w:val="32"/>
        </w:rPr>
        <w:t>高度重视维护青少年消费者权益工作，</w:t>
      </w:r>
      <w:r>
        <w:rPr>
          <w:rFonts w:hint="eastAsia" w:ascii="仿宋_GB2312" w:hAnsi="仿宋_GB2312" w:eastAsia="仿宋_GB2312" w:cs="仿宋_GB2312"/>
          <w:color w:val="auto"/>
          <w:sz w:val="32"/>
          <w:szCs w:val="32"/>
        </w:rPr>
        <w:t>联合司法部、公安部等部门组织“法治中国青春行”等系列普法宣传活动，各地团组织深入学校、社区举办主题团日活动、知识讲座，向青少年普及基本法律常识，提升青少年法治意识和法律素养；深化“全国维护青少年权益岗”创建工作，组织3900余个维护青少年权益岗开展专项工作，指导各地共青团组织联合市场监管等</w:t>
      </w:r>
      <w:r>
        <w:rPr>
          <w:rFonts w:hint="eastAsia" w:ascii="仿宋_GB2312" w:hAnsi="仿宋_GB2312" w:eastAsia="仿宋_GB2312" w:cs="仿宋_GB2312"/>
          <w:color w:val="auto"/>
          <w:sz w:val="32"/>
          <w:szCs w:val="32"/>
          <w:lang w:val="en-US" w:eastAsia="zh-CN"/>
        </w:rPr>
        <w:t>部门</w:t>
      </w:r>
      <w:r>
        <w:rPr>
          <w:rFonts w:hint="eastAsia" w:ascii="仿宋_GB2312" w:hAnsi="仿宋_GB2312" w:eastAsia="仿宋_GB2312" w:cs="仿宋_GB2312"/>
          <w:color w:val="auto"/>
          <w:sz w:val="32"/>
          <w:szCs w:val="32"/>
        </w:rPr>
        <w:t>系统开展整治侵害青少年消费者权益专项行动，有效维护青少年合法权益</w:t>
      </w:r>
      <w:r>
        <w:rPr>
          <w:rFonts w:hint="eastAsia" w:ascii="仿宋_GB2312" w:hAnsi="仿宋_GB2312" w:eastAsia="仿宋_GB2312" w:cs="仿宋_GB2312"/>
          <w:color w:val="auto"/>
          <w:sz w:val="32"/>
          <w:szCs w:val="32"/>
          <w:lang w:eastAsia="zh-CN"/>
        </w:rPr>
        <w:t>；指导各级共青团组织发挥桥梁纽带作用，加强政策倡导、政策宣传、预期引导，推广“青春小店”项目，培育发展以青年为创新创业主体和核心消费</w:t>
      </w:r>
      <w:r>
        <w:rPr>
          <w:rFonts w:hint="eastAsia" w:ascii="仿宋_GB2312" w:hAnsi="仿宋_GB2312" w:eastAsia="仿宋_GB2312" w:cs="仿宋_GB2312"/>
          <w:color w:val="auto"/>
          <w:sz w:val="32"/>
          <w:szCs w:val="32"/>
          <w:lang w:val="en-US" w:eastAsia="zh-CN"/>
        </w:rPr>
        <w:t>群体</w:t>
      </w:r>
      <w:r>
        <w:rPr>
          <w:rFonts w:hint="eastAsia" w:ascii="仿宋_GB2312" w:hAnsi="仿宋_GB2312" w:eastAsia="仿宋_GB2312" w:cs="仿宋_GB2312"/>
          <w:color w:val="auto"/>
          <w:sz w:val="32"/>
          <w:szCs w:val="32"/>
          <w:lang w:eastAsia="zh-CN"/>
        </w:rPr>
        <w:t>的“青春经济”</w:t>
      </w:r>
      <w:r>
        <w:rPr>
          <w:rFonts w:hint="eastAsia" w:ascii="仿宋_GB2312" w:hAnsi="仿宋_GB2312" w:eastAsia="仿宋_GB2312" w:cs="仿宋_GB2312"/>
          <w:color w:val="auto"/>
          <w:sz w:val="32"/>
          <w:szCs w:val="32"/>
        </w:rPr>
        <w:t>。中国残联落实《“十四五”残疾人康复服务实施方案》要求，开展2025年残疾人基本辅助器具质量调查，加强基本公共服务质量管理；联合中消协发布警惕助听器中的陷阱消费提示，提醒消费者选购试戴注意事项，</w:t>
      </w:r>
      <w:r>
        <w:rPr>
          <w:rFonts w:hint="eastAsia" w:ascii="仿宋_GB2312" w:hAnsi="仿宋_GB2312" w:eastAsia="仿宋_GB2312" w:cs="仿宋_GB2312"/>
          <w:color w:val="auto"/>
          <w:sz w:val="32"/>
          <w:szCs w:val="32"/>
          <w:lang w:val="en-US" w:eastAsia="zh-CN"/>
        </w:rPr>
        <w:t>增强</w:t>
      </w:r>
      <w:r>
        <w:rPr>
          <w:rFonts w:hint="eastAsia" w:ascii="仿宋_GB2312" w:hAnsi="仿宋_GB2312" w:eastAsia="仿宋_GB2312" w:cs="仿宋_GB2312"/>
          <w:color w:val="auto"/>
          <w:sz w:val="32"/>
          <w:szCs w:val="32"/>
        </w:rPr>
        <w:t>消费者质量意识。</w:t>
      </w:r>
    </w:p>
    <w:p>
      <w:pPr>
        <w:keepNext w:val="0"/>
        <w:keepLines w:val="0"/>
        <w:pageBreakBefore w:val="0"/>
        <w:widowControl/>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bCs/>
          <w:color w:val="auto"/>
          <w:spacing w:val="8"/>
          <w:kern w:val="0"/>
          <w:sz w:val="32"/>
          <w:szCs w:val="32"/>
        </w:rPr>
      </w:pPr>
      <w:r>
        <w:rPr>
          <w:rFonts w:hint="eastAsia" w:ascii="仿宋_GB2312" w:hAnsi="仿宋_GB2312" w:eastAsia="仿宋_GB2312" w:cs="仿宋_GB2312"/>
          <w:color w:val="auto"/>
          <w:sz w:val="32"/>
          <w:szCs w:val="32"/>
        </w:rPr>
        <w:t>新闻媒体加强舆论宣传、引导、监督，直击消费侵权问题，推动整改落实。《人民日报》、新华社、中央广播电视总台、</w:t>
      </w:r>
      <w:r>
        <w:rPr>
          <w:rFonts w:hint="eastAsia" w:ascii="仿宋_GB2312" w:hAnsi="仿宋_GB2312" w:eastAsia="仿宋_GB2312" w:cs="仿宋_GB2312"/>
          <w:bCs/>
          <w:color w:val="auto"/>
          <w:spacing w:val="8"/>
          <w:kern w:val="0"/>
          <w:sz w:val="32"/>
          <w:szCs w:val="32"/>
        </w:rPr>
        <w:t>《中国消费者报》《法治日报》</w:t>
      </w:r>
      <w:r>
        <w:rPr>
          <w:rFonts w:hint="eastAsia" w:ascii="仿宋_GB2312" w:hAnsi="仿宋_GB2312" w:eastAsia="仿宋_GB2312" w:cs="仿宋_GB2312"/>
          <w:color w:val="auto"/>
          <w:sz w:val="32"/>
          <w:szCs w:val="32"/>
        </w:rPr>
        <w:t>等</w:t>
      </w:r>
      <w:r>
        <w:rPr>
          <w:rFonts w:hint="eastAsia" w:ascii="仿宋_GB2312" w:hAnsi="仿宋_GB2312" w:eastAsia="仿宋_GB2312" w:cs="仿宋_GB2312"/>
          <w:color w:val="auto"/>
          <w:sz w:val="32"/>
          <w:szCs w:val="32"/>
          <w:lang w:val="en-US" w:eastAsia="zh-CN"/>
        </w:rPr>
        <w:t>主流</w:t>
      </w:r>
      <w:r>
        <w:rPr>
          <w:rFonts w:hint="eastAsia" w:ascii="仿宋_GB2312" w:hAnsi="仿宋_GB2312" w:eastAsia="仿宋_GB2312" w:cs="仿宋_GB2312"/>
          <w:color w:val="auto"/>
          <w:sz w:val="32"/>
          <w:szCs w:val="32"/>
        </w:rPr>
        <w:t>媒体单位深度报道消费维权工作进展、广泛宣传消费知识、曝光消费欺诈侵权问题，</w:t>
      </w:r>
      <w:r>
        <w:rPr>
          <w:rFonts w:hint="eastAsia" w:ascii="仿宋_GB2312" w:hAnsi="仿宋_GB2312" w:eastAsia="仿宋_GB2312" w:cs="仿宋_GB2312"/>
          <w:bCs/>
          <w:color w:val="auto"/>
          <w:spacing w:val="8"/>
          <w:kern w:val="0"/>
          <w:sz w:val="32"/>
          <w:szCs w:val="32"/>
        </w:rPr>
        <w:t>呼吁相关部门完善监管制度，推动相关问题有效解决。</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104" w:name="_Toc221610689"/>
      <w:bookmarkStart w:id="105" w:name="_Toc12842"/>
      <w:bookmarkStart w:id="106" w:name="_Toc15145"/>
      <w:r>
        <w:rPr>
          <w:rFonts w:hint="eastAsia" w:ascii="黑体" w:hAnsi="黑体" w:eastAsia="黑体" w:cs="黑体"/>
          <w:bCs/>
          <w:color w:val="000000"/>
          <w:sz w:val="32"/>
          <w:szCs w:val="32"/>
        </w:rPr>
        <w:t>五、社会各界协作联</w:t>
      </w:r>
      <w:r>
        <w:rPr>
          <w:rFonts w:hint="eastAsia" w:ascii="黑体" w:hAnsi="黑体" w:eastAsia="黑体" w:cs="黑体"/>
          <w:bCs/>
          <w:color w:val="000000"/>
          <w:sz w:val="32"/>
          <w:szCs w:val="32"/>
          <w:lang w:val="en-US" w:eastAsia="zh-CN"/>
        </w:rPr>
        <w:t>动</w:t>
      </w:r>
      <w:r>
        <w:rPr>
          <w:rFonts w:hint="eastAsia" w:ascii="黑体" w:hAnsi="黑体" w:eastAsia="黑体" w:cs="黑体"/>
          <w:bCs/>
          <w:color w:val="000000"/>
          <w:sz w:val="32"/>
          <w:szCs w:val="32"/>
        </w:rPr>
        <w:t>，</w:t>
      </w:r>
      <w:r>
        <w:rPr>
          <w:rFonts w:hint="eastAsia" w:ascii="黑体" w:hAnsi="黑体" w:eastAsia="黑体" w:cs="黑体"/>
          <w:bCs/>
          <w:color w:val="000000"/>
          <w:sz w:val="32"/>
          <w:szCs w:val="32"/>
          <w:lang w:val="en-US" w:eastAsia="zh-CN"/>
        </w:rPr>
        <w:t>大力</w:t>
      </w:r>
      <w:r>
        <w:rPr>
          <w:rFonts w:hint="eastAsia" w:ascii="黑体" w:hAnsi="黑体" w:eastAsia="黑体" w:cs="黑体"/>
          <w:bCs/>
          <w:color w:val="000000"/>
          <w:sz w:val="32"/>
          <w:szCs w:val="32"/>
        </w:rPr>
        <w:t>构建消费维权社会共治机制</w:t>
      </w:r>
      <w:bookmarkEnd w:id="104"/>
      <w:bookmarkEnd w:id="105"/>
      <w:bookmarkEnd w:id="106"/>
    </w:p>
    <w:p>
      <w:pPr>
        <w:keepNext w:val="0"/>
        <w:keepLines w:val="0"/>
        <w:pageBreakBefore w:val="0"/>
        <w:widowControl/>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bCs/>
          <w:color w:val="auto"/>
          <w:spacing w:val="8"/>
          <w:kern w:val="0"/>
          <w:sz w:val="32"/>
          <w:szCs w:val="32"/>
        </w:rPr>
      </w:pPr>
      <w:r>
        <w:rPr>
          <w:rFonts w:hint="eastAsia" w:ascii="仿宋_GB2312" w:hAnsi="仿宋_GB2312" w:eastAsia="仿宋_GB2312" w:cs="仿宋_GB2312"/>
          <w:color w:val="auto"/>
          <w:sz w:val="32"/>
          <w:szCs w:val="32"/>
          <w:lang w:val="en-US" w:eastAsia="zh-CN"/>
        </w:rPr>
        <w:t>2025年，社会各界基于工作职能，积极开展消费维权协同联动</w:t>
      </w:r>
      <w:r>
        <w:rPr>
          <w:rFonts w:hint="eastAsia" w:ascii="仿宋_GB2312" w:hAnsi="仿宋_GB2312" w:eastAsia="仿宋_GB2312" w:cs="仿宋_GB2312"/>
          <w:bCs/>
          <w:color w:val="auto"/>
          <w:spacing w:val="8"/>
          <w:kern w:val="0"/>
          <w:sz w:val="32"/>
          <w:szCs w:val="32"/>
        </w:rPr>
        <w:t>，推进消费者权益保护社会共治落地生效。司法部积极推进在公证工作中保护消费者合法权益</w:t>
      </w:r>
      <w:r>
        <w:rPr>
          <w:rFonts w:hint="eastAsia" w:ascii="仿宋_GB2312" w:hAnsi="仿宋_GB2312" w:eastAsia="仿宋_GB2312" w:cs="仿宋_GB2312"/>
          <w:bCs/>
          <w:color w:val="auto"/>
          <w:spacing w:val="8"/>
          <w:kern w:val="0"/>
          <w:sz w:val="32"/>
          <w:szCs w:val="32"/>
          <w:lang w:eastAsia="zh-CN"/>
        </w:rPr>
        <w:t>，</w:t>
      </w:r>
      <w:r>
        <w:rPr>
          <w:rFonts w:hint="eastAsia" w:ascii="仿宋_GB2312" w:hAnsi="仿宋_GB2312" w:eastAsia="仿宋_GB2312" w:cs="仿宋_GB2312"/>
          <w:bCs/>
          <w:color w:val="auto"/>
          <w:spacing w:val="8"/>
          <w:kern w:val="0"/>
          <w:sz w:val="32"/>
          <w:szCs w:val="32"/>
        </w:rPr>
        <w:t>在全国公证行业部署开展“公证规范优质”行动，创新“公证</w:t>
      </w:r>
      <w:r>
        <w:rPr>
          <w:rFonts w:hint="eastAsia" w:ascii="仿宋_GB2312" w:hAnsi="仿宋_GB2312" w:eastAsia="仿宋_GB2312" w:cs="仿宋_GB2312"/>
          <w:bCs/>
          <w:color w:val="auto"/>
          <w:spacing w:val="8"/>
          <w:kern w:val="0"/>
          <w:sz w:val="32"/>
          <w:szCs w:val="32"/>
          <w:lang w:val="en-US" w:eastAsia="zh-CN"/>
        </w:rPr>
        <w:t>+</w:t>
      </w:r>
      <w:r>
        <w:rPr>
          <w:rFonts w:hint="eastAsia" w:ascii="仿宋_GB2312" w:hAnsi="仿宋_GB2312" w:eastAsia="仿宋_GB2312" w:cs="仿宋_GB2312"/>
          <w:bCs/>
          <w:color w:val="auto"/>
          <w:spacing w:val="8"/>
          <w:kern w:val="0"/>
          <w:sz w:val="32"/>
          <w:szCs w:val="32"/>
        </w:rPr>
        <w:t>”服务模式，河北、福建、云南等28个省份推行“公证</w:t>
      </w:r>
      <w:r>
        <w:rPr>
          <w:rFonts w:hint="eastAsia" w:ascii="仿宋_GB2312" w:hAnsi="仿宋_GB2312" w:eastAsia="仿宋_GB2312" w:cs="仿宋_GB2312"/>
          <w:bCs/>
          <w:color w:val="auto"/>
          <w:spacing w:val="8"/>
          <w:kern w:val="0"/>
          <w:sz w:val="32"/>
          <w:szCs w:val="32"/>
          <w:lang w:val="en-US" w:eastAsia="zh-CN"/>
        </w:rPr>
        <w:t>+</w:t>
      </w:r>
      <w:r>
        <w:rPr>
          <w:rFonts w:hint="eastAsia" w:ascii="仿宋_GB2312" w:hAnsi="仿宋_GB2312" w:eastAsia="仿宋_GB2312" w:cs="仿宋_GB2312"/>
          <w:bCs/>
          <w:color w:val="auto"/>
          <w:spacing w:val="8"/>
          <w:kern w:val="0"/>
          <w:sz w:val="32"/>
          <w:szCs w:val="32"/>
        </w:rPr>
        <w:t>不动产登记”</w:t>
      </w:r>
      <w:r>
        <w:rPr>
          <w:rFonts w:hint="eastAsia" w:ascii="仿宋_GB2312" w:hAnsi="仿宋_GB2312" w:eastAsia="仿宋_GB2312" w:cs="仿宋_GB2312"/>
          <w:bCs/>
          <w:color w:val="auto"/>
          <w:spacing w:val="8"/>
          <w:kern w:val="0"/>
          <w:sz w:val="32"/>
          <w:szCs w:val="32"/>
          <w:lang w:eastAsia="zh-CN"/>
        </w:rPr>
        <w:t>“</w:t>
      </w:r>
      <w:r>
        <w:rPr>
          <w:rFonts w:hint="eastAsia" w:ascii="仿宋_GB2312" w:hAnsi="仿宋_GB2312" w:eastAsia="仿宋_GB2312" w:cs="仿宋_GB2312"/>
          <w:bCs/>
          <w:color w:val="auto"/>
          <w:spacing w:val="8"/>
          <w:kern w:val="0"/>
          <w:sz w:val="32"/>
          <w:szCs w:val="32"/>
        </w:rPr>
        <w:t>涉外公证</w:t>
      </w:r>
      <w:r>
        <w:rPr>
          <w:rFonts w:hint="eastAsia" w:ascii="仿宋_GB2312" w:hAnsi="仿宋_GB2312" w:eastAsia="仿宋_GB2312" w:cs="仿宋_GB2312"/>
          <w:bCs/>
          <w:color w:val="auto"/>
          <w:spacing w:val="8"/>
          <w:kern w:val="0"/>
          <w:sz w:val="32"/>
          <w:szCs w:val="32"/>
          <w:lang w:val="en-US" w:eastAsia="zh-CN"/>
        </w:rPr>
        <w:t>+</w:t>
      </w:r>
      <w:r>
        <w:rPr>
          <w:rFonts w:hint="eastAsia" w:ascii="仿宋_GB2312" w:hAnsi="仿宋_GB2312" w:eastAsia="仿宋_GB2312" w:cs="仿宋_GB2312"/>
          <w:bCs/>
          <w:color w:val="auto"/>
          <w:spacing w:val="8"/>
          <w:kern w:val="0"/>
          <w:sz w:val="32"/>
          <w:szCs w:val="32"/>
        </w:rPr>
        <w:t>领事认证”“公证</w:t>
      </w:r>
      <w:r>
        <w:rPr>
          <w:rFonts w:hint="eastAsia" w:ascii="仿宋_GB2312" w:hAnsi="仿宋_GB2312" w:eastAsia="仿宋_GB2312" w:cs="仿宋_GB2312"/>
          <w:bCs/>
          <w:color w:val="auto"/>
          <w:spacing w:val="8"/>
          <w:kern w:val="0"/>
          <w:sz w:val="32"/>
          <w:szCs w:val="32"/>
          <w:lang w:val="en-US" w:eastAsia="zh-CN"/>
        </w:rPr>
        <w:t>+</w:t>
      </w:r>
      <w:r>
        <w:rPr>
          <w:rFonts w:hint="eastAsia" w:ascii="仿宋_GB2312" w:hAnsi="仿宋_GB2312" w:eastAsia="仿宋_GB2312" w:cs="仿宋_GB2312"/>
          <w:bCs/>
          <w:color w:val="auto"/>
          <w:spacing w:val="8"/>
          <w:kern w:val="0"/>
          <w:sz w:val="32"/>
          <w:szCs w:val="32"/>
        </w:rPr>
        <w:t>企业”等一件事联办，从“多地跑办”变为“一窗受理”，大幅节约</w:t>
      </w:r>
      <w:r>
        <w:rPr>
          <w:rFonts w:hint="eastAsia" w:ascii="仿宋_GB2312" w:hAnsi="仿宋_GB2312" w:eastAsia="仿宋_GB2312" w:cs="仿宋_GB2312"/>
          <w:bCs/>
          <w:color w:val="auto"/>
          <w:spacing w:val="8"/>
          <w:kern w:val="0"/>
          <w:sz w:val="32"/>
          <w:szCs w:val="32"/>
          <w:lang w:val="en-US" w:eastAsia="zh-CN"/>
        </w:rPr>
        <w:t>群众</w:t>
      </w:r>
      <w:r>
        <w:rPr>
          <w:rFonts w:hint="eastAsia" w:ascii="仿宋_GB2312" w:hAnsi="仿宋_GB2312" w:eastAsia="仿宋_GB2312" w:cs="仿宋_GB2312"/>
          <w:bCs/>
          <w:color w:val="auto"/>
          <w:spacing w:val="8"/>
          <w:kern w:val="0"/>
          <w:sz w:val="32"/>
          <w:szCs w:val="32"/>
        </w:rPr>
        <w:t>办证时间</w:t>
      </w:r>
      <w:r>
        <w:rPr>
          <w:rFonts w:hint="eastAsia" w:ascii="仿宋_GB2312" w:hAnsi="仿宋_GB2312" w:eastAsia="仿宋_GB2312" w:cs="仿宋_GB2312"/>
          <w:bCs/>
          <w:color w:val="auto"/>
          <w:spacing w:val="8"/>
          <w:kern w:val="0"/>
          <w:sz w:val="32"/>
          <w:szCs w:val="32"/>
          <w:lang w:eastAsia="zh-CN"/>
        </w:rPr>
        <w:t>；</w:t>
      </w:r>
      <w:r>
        <w:rPr>
          <w:rFonts w:hint="eastAsia" w:ascii="仿宋_GB2312" w:hAnsi="仿宋_GB2312" w:eastAsia="仿宋_GB2312" w:cs="仿宋_GB2312"/>
          <w:bCs/>
          <w:color w:val="auto"/>
          <w:spacing w:val="8"/>
          <w:kern w:val="0"/>
          <w:sz w:val="32"/>
          <w:szCs w:val="32"/>
        </w:rPr>
        <w:t>鼓励公证机构在养老、教育培训等领域试点推行“预付式消费资金公证提存”模式，为商家和消费者搭建诚信平台，营造放心消费环境。工业和信息化部组织中国互联网协会和中国信息通信研究院发布《移动互联网应用服务用户权益保护合规管理指南》，指导企业建立健全合规管理体系。市场监管总局指导中国烹饪协会向全体餐饮服务经营者及从业人员发出倡议，进一步提升餐饮业食品安全和服务水平，倡导文明从业理念，推动行业健康可持续发展。最高人民检察院与民政部、中国残疾人联合会联合发布无障碍和适老化检察公益诉讼典型案例</w:t>
      </w:r>
      <w:r>
        <w:rPr>
          <w:rFonts w:hint="eastAsia" w:ascii="仿宋_GB2312" w:hAnsi="仿宋_GB2312" w:eastAsia="仿宋_GB2312" w:cs="仿宋_GB2312"/>
          <w:bCs/>
          <w:color w:val="auto"/>
          <w:spacing w:val="8"/>
          <w:kern w:val="0"/>
          <w:sz w:val="32"/>
          <w:szCs w:val="32"/>
          <w:lang w:eastAsia="zh-CN"/>
        </w:rPr>
        <w:t>，指导各级检察机关、民政部门和残联组织等充分发挥各自优势，促进协同共治，不断凝聚公益保护合力</w:t>
      </w:r>
      <w:r>
        <w:rPr>
          <w:rFonts w:hint="eastAsia" w:ascii="仿宋_GB2312" w:hAnsi="仿宋_GB2312" w:eastAsia="仿宋_GB2312" w:cs="仿宋_GB2312"/>
          <w:bCs/>
          <w:color w:val="auto"/>
          <w:spacing w:val="8"/>
          <w:kern w:val="0"/>
          <w:sz w:val="32"/>
          <w:szCs w:val="32"/>
        </w:rPr>
        <w:t>。中消协联合全国老龄办、民政部、中国老龄协会发布养老服务消费提示</w:t>
      </w:r>
      <w:r>
        <w:rPr>
          <w:rFonts w:hint="eastAsia" w:ascii="仿宋_GB2312" w:hAnsi="仿宋_GB2312" w:eastAsia="仿宋_GB2312" w:cs="仿宋_GB2312"/>
          <w:bCs/>
          <w:color w:val="auto"/>
          <w:spacing w:val="8"/>
          <w:kern w:val="0"/>
          <w:sz w:val="32"/>
          <w:szCs w:val="32"/>
          <w:lang w:eastAsia="zh-CN"/>
        </w:rPr>
        <w:t>，提醒老年消费者养老服务防风险、理性消费守安全</w:t>
      </w:r>
      <w:r>
        <w:rPr>
          <w:rFonts w:hint="eastAsia" w:ascii="仿宋_GB2312" w:hAnsi="仿宋_GB2312" w:eastAsia="仿宋_GB2312" w:cs="仿宋_GB2312"/>
          <w:bCs/>
          <w:color w:val="auto"/>
          <w:spacing w:val="8"/>
          <w:kern w:val="0"/>
          <w:sz w:val="32"/>
          <w:szCs w:val="32"/>
        </w:rPr>
        <w:t>。</w:t>
      </w:r>
    </w:p>
    <w:p>
      <w:pPr>
        <w:keepNext w:val="0"/>
        <w:keepLines w:val="0"/>
        <w:pageBreakBefore w:val="0"/>
        <w:widowControl/>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color w:val="auto"/>
          <w:kern w:val="36"/>
          <w:sz w:val="32"/>
          <w:szCs w:val="32"/>
        </w:rPr>
      </w:pPr>
      <w:r>
        <w:rPr>
          <w:rFonts w:hint="eastAsia" w:ascii="仿宋_GB2312" w:hAnsi="仿宋_GB2312" w:eastAsia="仿宋_GB2312" w:cs="仿宋_GB2312"/>
          <w:color w:val="auto"/>
          <w:kern w:val="36"/>
          <w:sz w:val="32"/>
          <w:szCs w:val="32"/>
          <w:lang w:val="en-US" w:eastAsia="zh-CN"/>
        </w:rPr>
        <w:t>全国各地消协组织积极发挥维权枢纽作用，联合相关单位</w:t>
      </w:r>
      <w:r>
        <w:rPr>
          <w:rFonts w:hint="eastAsia" w:ascii="仿宋_GB2312" w:hAnsi="仿宋_GB2312" w:eastAsia="仿宋_GB2312" w:cs="仿宋_GB2312"/>
          <w:color w:val="auto"/>
          <w:kern w:val="36"/>
          <w:sz w:val="32"/>
          <w:szCs w:val="32"/>
        </w:rPr>
        <w:t>同步发力，加强维权保障协作。陕西省消保委与省人民检察院西安铁路运输分院联合发布保护生态环境与消费者权益的提示</w:t>
      </w:r>
      <w:r>
        <w:rPr>
          <w:rFonts w:hint="eastAsia" w:ascii="仿宋_GB2312" w:hAnsi="仿宋_GB2312" w:eastAsia="仿宋_GB2312" w:cs="仿宋_GB2312"/>
          <w:color w:val="auto"/>
          <w:kern w:val="36"/>
          <w:sz w:val="32"/>
          <w:szCs w:val="32"/>
          <w:lang w:eastAsia="zh-CN"/>
        </w:rPr>
        <w:t>；</w:t>
      </w:r>
      <w:r>
        <w:rPr>
          <w:rFonts w:hint="eastAsia" w:ascii="仿宋_GB2312" w:hAnsi="仿宋_GB2312" w:eastAsia="仿宋_GB2312" w:cs="仿宋_GB2312"/>
          <w:color w:val="auto"/>
          <w:kern w:val="36"/>
          <w:sz w:val="32"/>
          <w:szCs w:val="32"/>
        </w:rPr>
        <w:t>云南省消协联合相关行业协会发出诚信兴商倡议</w:t>
      </w:r>
      <w:r>
        <w:rPr>
          <w:rFonts w:hint="eastAsia" w:ascii="仿宋_GB2312" w:hAnsi="仿宋_GB2312" w:eastAsia="仿宋_GB2312" w:cs="仿宋_GB2312"/>
          <w:color w:val="auto"/>
          <w:kern w:val="36"/>
          <w:sz w:val="32"/>
          <w:szCs w:val="32"/>
          <w:lang w:eastAsia="zh-CN"/>
        </w:rPr>
        <w:t>；</w:t>
      </w:r>
      <w:r>
        <w:rPr>
          <w:rFonts w:hint="eastAsia" w:ascii="仿宋_GB2312" w:hAnsi="仿宋_GB2312" w:eastAsia="仿宋_GB2312" w:cs="仿宋_GB2312"/>
          <w:color w:val="auto"/>
          <w:kern w:val="36"/>
          <w:sz w:val="32"/>
          <w:szCs w:val="32"/>
        </w:rPr>
        <w:t>成都市消委会、四川省保险行业协会联合发布汽车保险消费警示</w:t>
      </w:r>
      <w:r>
        <w:rPr>
          <w:rFonts w:hint="eastAsia" w:ascii="仿宋_GB2312" w:hAnsi="仿宋_GB2312" w:eastAsia="仿宋_GB2312" w:cs="仿宋_GB2312"/>
          <w:color w:val="auto"/>
          <w:kern w:val="36"/>
          <w:sz w:val="32"/>
          <w:szCs w:val="32"/>
          <w:lang w:eastAsia="zh-CN"/>
        </w:rPr>
        <w:t>；</w:t>
      </w:r>
      <w:r>
        <w:rPr>
          <w:rFonts w:hint="eastAsia" w:ascii="仿宋_GB2312" w:hAnsi="仿宋_GB2312" w:eastAsia="仿宋_GB2312" w:cs="仿宋_GB2312"/>
          <w:color w:val="auto"/>
          <w:kern w:val="36"/>
          <w:sz w:val="32"/>
          <w:szCs w:val="32"/>
        </w:rPr>
        <w:t>四川省消委会与成都市律政公证处正式签署《公证提存合作框架协议》</w:t>
      </w:r>
      <w:r>
        <w:rPr>
          <w:rFonts w:hint="eastAsia" w:ascii="仿宋_GB2312" w:hAnsi="仿宋_GB2312" w:eastAsia="仿宋_GB2312" w:cs="仿宋_GB2312"/>
          <w:color w:val="auto"/>
          <w:sz w:val="32"/>
          <w:szCs w:val="32"/>
        </w:rPr>
        <w:t>，规范赔偿金管理工作</w:t>
      </w:r>
      <w:r>
        <w:rPr>
          <w:rFonts w:hint="eastAsia" w:ascii="仿宋_GB2312" w:hAnsi="仿宋_GB2312" w:eastAsia="仿宋_GB2312" w:cs="仿宋_GB2312"/>
          <w:color w:val="auto"/>
          <w:kern w:val="36"/>
          <w:sz w:val="32"/>
          <w:szCs w:val="32"/>
          <w:lang w:eastAsia="zh-CN"/>
        </w:rPr>
        <w:t>；</w:t>
      </w:r>
      <w:r>
        <w:rPr>
          <w:rFonts w:hint="eastAsia" w:ascii="仿宋_GB2312" w:hAnsi="仿宋_GB2312" w:eastAsia="仿宋_GB2312" w:cs="仿宋_GB2312"/>
          <w:color w:val="auto"/>
          <w:kern w:val="36"/>
          <w:sz w:val="32"/>
          <w:szCs w:val="32"/>
        </w:rPr>
        <w:t>浙江省消保委、杭州市消保委联合</w:t>
      </w:r>
      <w:r>
        <w:rPr>
          <w:rFonts w:hint="eastAsia" w:ascii="仿宋_GB2312" w:hAnsi="仿宋_GB2312" w:eastAsia="仿宋_GB2312" w:cs="仿宋_GB2312"/>
          <w:color w:val="auto"/>
          <w:kern w:val="36"/>
          <w:sz w:val="32"/>
          <w:szCs w:val="32"/>
          <w:lang w:val="en-US" w:eastAsia="zh-CN"/>
        </w:rPr>
        <w:t>相关企业</w:t>
      </w:r>
      <w:r>
        <w:rPr>
          <w:rFonts w:hint="eastAsia" w:ascii="仿宋_GB2312" w:hAnsi="仿宋_GB2312" w:eastAsia="仿宋_GB2312" w:cs="仿宋_GB2312"/>
          <w:color w:val="auto"/>
          <w:kern w:val="36"/>
          <w:sz w:val="32"/>
          <w:szCs w:val="32"/>
        </w:rPr>
        <w:t>开展“放心消费浙里行”活动</w:t>
      </w:r>
      <w:r>
        <w:rPr>
          <w:rFonts w:hint="eastAsia" w:ascii="仿宋_GB2312" w:hAnsi="仿宋_GB2312" w:eastAsia="仿宋_GB2312" w:cs="仿宋_GB2312"/>
          <w:color w:val="auto"/>
          <w:kern w:val="36"/>
          <w:sz w:val="32"/>
          <w:szCs w:val="32"/>
          <w:lang w:eastAsia="zh-CN"/>
        </w:rPr>
        <w:t>；</w:t>
      </w:r>
      <w:r>
        <w:rPr>
          <w:rFonts w:hint="eastAsia" w:ascii="仿宋_GB2312" w:hAnsi="仿宋_GB2312" w:eastAsia="仿宋_GB2312" w:cs="仿宋_GB2312"/>
          <w:color w:val="auto"/>
          <w:kern w:val="36"/>
          <w:sz w:val="32"/>
          <w:szCs w:val="32"/>
        </w:rPr>
        <w:t>北京市消协推出《北京共享充电宝行业自律公约》，组织八家覆盖全市95%运营点位的企业签署公约。社会各界联动协作，多层级协同发力，构建起多层次、全方位的消费维权协同网络，护航消费安全，维护消费公平，为提振消费</w:t>
      </w:r>
      <w:r>
        <w:rPr>
          <w:rFonts w:hint="eastAsia" w:ascii="仿宋_GB2312" w:hAnsi="仿宋_GB2312" w:eastAsia="仿宋_GB2312" w:cs="仿宋_GB2312"/>
          <w:color w:val="auto"/>
          <w:kern w:val="36"/>
          <w:sz w:val="32"/>
          <w:szCs w:val="32"/>
          <w:lang w:eastAsia="zh-CN"/>
        </w:rPr>
        <w:t>，</w:t>
      </w:r>
      <w:r>
        <w:rPr>
          <w:rFonts w:hint="eastAsia" w:ascii="仿宋_GB2312" w:hAnsi="仿宋_GB2312" w:eastAsia="仿宋_GB2312" w:cs="仿宋_GB2312"/>
          <w:color w:val="auto"/>
          <w:kern w:val="36"/>
          <w:sz w:val="32"/>
          <w:szCs w:val="32"/>
        </w:rPr>
        <w:t>扩大内需提供有力保障。</w:t>
      </w:r>
    </w:p>
    <w:p>
      <w:pPr>
        <w:rPr>
          <w:rFonts w:hint="eastAsia" w:ascii="方正小标宋简体" w:hAnsi="方正小标宋简体" w:eastAsia="方正小标宋简体" w:cs="方正小标宋简体"/>
          <w:b w:val="0"/>
          <w:bCs/>
          <w:color w:val="000000"/>
          <w:w w:val="95"/>
          <w:sz w:val="44"/>
          <w:szCs w:val="44"/>
        </w:rPr>
      </w:pPr>
      <w:r>
        <w:rPr>
          <w:rFonts w:hint="eastAsia" w:ascii="方正小标宋简体" w:hAnsi="方正小标宋简体" w:eastAsia="方正小标宋简体" w:cs="方正小标宋简体"/>
          <w:b w:val="0"/>
          <w:bCs/>
          <w:color w:val="000000"/>
          <w:w w:val="95"/>
          <w:sz w:val="44"/>
          <w:szCs w:val="44"/>
        </w:rPr>
        <w:br w:type="page"/>
      </w:r>
    </w:p>
    <w:p>
      <w:pPr>
        <w:keepNext w:val="0"/>
        <w:keepLines w:val="0"/>
        <w:pageBreakBefore w:val="0"/>
        <w:widowControl w:val="0"/>
        <w:kinsoku/>
        <w:wordWrap/>
        <w:overflowPunct/>
        <w:topLinePunct w:val="0"/>
        <w:autoSpaceDE/>
        <w:autoSpaceDN/>
        <w:bidi w:val="0"/>
        <w:adjustRightInd/>
        <w:snapToGrid/>
        <w:spacing w:line="20" w:lineRule="exact"/>
        <w:ind w:left="0" w:leftChars="0" w:right="0" w:firstLine="0" w:firstLineChars="0"/>
        <w:jc w:val="center"/>
        <w:textAlignment w:val="auto"/>
        <w:outlineLvl w:val="0"/>
        <w:rPr>
          <w:rFonts w:hint="eastAsia" w:ascii="方正小标宋简体" w:hAnsi="方正小标宋简体" w:eastAsia="方正小标宋简体" w:cs="方正小标宋简体"/>
          <w:b w:val="0"/>
          <w:bCs/>
          <w:color w:val="000000"/>
          <w:w w:val="95"/>
          <w:sz w:val="44"/>
          <w:szCs w:val="44"/>
        </w:rPr>
      </w:pPr>
      <w:bookmarkStart w:id="107" w:name="_Toc1787"/>
      <w:bookmarkStart w:id="108" w:name="_Toc221610690"/>
    </w:p>
    <w:p>
      <w:pPr>
        <w:widowControl w:val="0"/>
        <w:wordWrap/>
        <w:adjustRightInd/>
        <w:snapToGrid/>
        <w:spacing w:before="468" w:beforeLines="150" w:after="312" w:afterLines="100" w:line="640" w:lineRule="exact"/>
        <w:ind w:left="0" w:leftChars="0" w:right="0" w:firstLine="0" w:firstLineChars="0"/>
        <w:jc w:val="center"/>
        <w:textAlignment w:val="auto"/>
        <w:outlineLvl w:val="0"/>
        <w:rPr>
          <w:rFonts w:hint="eastAsia" w:ascii="方正小标宋简体" w:hAnsi="方正小标宋简体" w:eastAsia="方正小标宋简体" w:cs="方正小标宋简体"/>
          <w:b w:val="0"/>
          <w:bCs/>
          <w:color w:val="000000"/>
          <w:w w:val="95"/>
          <w:sz w:val="44"/>
          <w:szCs w:val="44"/>
        </w:rPr>
      </w:pPr>
      <w:bookmarkStart w:id="109" w:name="_Toc19116"/>
      <w:r>
        <w:rPr>
          <w:rFonts w:hint="eastAsia" w:ascii="方正小标宋简体" w:hAnsi="方正小标宋简体" w:eastAsia="方正小标宋简体" w:cs="方正小标宋简体"/>
          <w:b w:val="0"/>
          <w:bCs/>
          <w:color w:val="000000"/>
          <w:w w:val="95"/>
          <w:sz w:val="44"/>
          <w:szCs w:val="44"/>
        </w:rPr>
        <w:t>第二部分</w:t>
      </w:r>
      <w:r>
        <w:rPr>
          <w:rFonts w:hint="eastAsia" w:ascii="方正小标宋简体" w:hAnsi="方正小标宋简体" w:eastAsia="方正小标宋简体" w:cs="方正小标宋简体"/>
          <w:b w:val="0"/>
          <w:bCs/>
          <w:color w:val="000000"/>
          <w:w w:val="95"/>
          <w:sz w:val="44"/>
          <w:szCs w:val="44"/>
          <w:lang w:val="en-US" w:eastAsia="zh-CN"/>
        </w:rPr>
        <w:t xml:space="preserve"> </w:t>
      </w:r>
      <w:r>
        <w:rPr>
          <w:rFonts w:hint="eastAsia" w:ascii="方正小标宋简体" w:hAnsi="方正小标宋简体" w:eastAsia="方正小标宋简体" w:cs="方正小标宋简体"/>
          <w:b w:val="0"/>
          <w:bCs/>
          <w:color w:val="000000"/>
          <w:w w:val="95"/>
          <w:sz w:val="44"/>
          <w:szCs w:val="44"/>
        </w:rPr>
        <w:t xml:space="preserve"> 消费者权益保护工作面临的</w:t>
      </w:r>
      <w:r>
        <w:rPr>
          <w:rFonts w:hint="eastAsia" w:ascii="方正小标宋简体" w:hAnsi="方正小标宋简体" w:eastAsia="方正小标宋简体" w:cs="方正小标宋简体"/>
          <w:b w:val="0"/>
          <w:bCs/>
          <w:color w:val="000000"/>
          <w:w w:val="95"/>
          <w:sz w:val="44"/>
          <w:szCs w:val="44"/>
          <w:lang w:val="en-US" w:eastAsia="zh-CN"/>
        </w:rPr>
        <w:t>主要</w:t>
      </w:r>
      <w:r>
        <w:rPr>
          <w:rFonts w:hint="eastAsia" w:ascii="方正小标宋简体" w:hAnsi="方正小标宋简体" w:eastAsia="方正小标宋简体" w:cs="方正小标宋简体"/>
          <w:b w:val="0"/>
          <w:bCs/>
          <w:color w:val="000000"/>
          <w:w w:val="95"/>
          <w:sz w:val="44"/>
          <w:szCs w:val="44"/>
        </w:rPr>
        <w:t>问题</w:t>
      </w:r>
      <w:bookmarkEnd w:id="107"/>
      <w:bookmarkEnd w:id="108"/>
      <w:bookmarkEnd w:id="109"/>
    </w:p>
    <w:p>
      <w:pPr>
        <w:pStyle w:val="24"/>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2025年，我国消费者权益保护工作持续</w:t>
      </w:r>
      <w:r>
        <w:rPr>
          <w:rFonts w:hint="eastAsia" w:ascii="仿宋_GB2312" w:hAnsi="仿宋_GB2312" w:eastAsia="仿宋_GB2312" w:cs="仿宋_GB2312"/>
          <w:color w:val="auto"/>
          <w:sz w:val="32"/>
          <w:szCs w:val="32"/>
          <w:lang w:val="en-US" w:eastAsia="zh-CN"/>
        </w:rPr>
        <w:t>发展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为消费者在发展的基础上享受更好福利提供了重要基础，</w:t>
      </w:r>
      <w:r>
        <w:rPr>
          <w:rFonts w:hint="eastAsia" w:ascii="仿宋_GB2312" w:hAnsi="仿宋_GB2312" w:eastAsia="仿宋_GB2312" w:cs="仿宋_GB2312"/>
          <w:color w:val="auto"/>
          <w:sz w:val="32"/>
          <w:szCs w:val="32"/>
        </w:rPr>
        <w:t>但与构建新发展格局、促进高质量发展的目标和不断加强广大消费者获得感、幸福感、安全感的时代要求相比，还</w:t>
      </w:r>
      <w:r>
        <w:rPr>
          <w:rFonts w:hint="eastAsia" w:ascii="仿宋_GB2312" w:hAnsi="仿宋_GB2312" w:eastAsia="仿宋_GB2312" w:cs="仿宋_GB2312"/>
          <w:color w:val="auto"/>
          <w:sz w:val="32"/>
          <w:szCs w:val="32"/>
          <w:lang w:val="en-US" w:eastAsia="zh-CN"/>
        </w:rPr>
        <w:t>面临一些</w:t>
      </w:r>
      <w:r>
        <w:rPr>
          <w:rFonts w:hint="eastAsia" w:ascii="仿宋_GB2312" w:hAnsi="仿宋_GB2312" w:eastAsia="仿宋_GB2312" w:cs="仿宋_GB2312"/>
          <w:color w:val="auto"/>
          <w:sz w:val="32"/>
          <w:szCs w:val="32"/>
        </w:rPr>
        <w:t>问题，需要</w:t>
      </w:r>
      <w:r>
        <w:rPr>
          <w:rFonts w:hint="eastAsia" w:ascii="仿宋_GB2312" w:hAnsi="仿宋_GB2312" w:eastAsia="仿宋_GB2312" w:cs="仿宋_GB2312"/>
          <w:color w:val="auto"/>
          <w:sz w:val="32"/>
          <w:szCs w:val="32"/>
          <w:lang w:val="en-US" w:eastAsia="zh-CN"/>
        </w:rPr>
        <w:t>积极推进</w:t>
      </w:r>
      <w:r>
        <w:rPr>
          <w:rFonts w:hint="eastAsia" w:ascii="仿宋_GB2312" w:hAnsi="仿宋_GB2312" w:eastAsia="仿宋_GB2312" w:cs="仿宋_GB2312"/>
          <w:color w:val="auto"/>
          <w:sz w:val="32"/>
          <w:szCs w:val="32"/>
        </w:rPr>
        <w:t>解决。</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lang w:val="en-US" w:eastAsia="zh-CN"/>
        </w:rPr>
      </w:pPr>
      <w:bookmarkStart w:id="110" w:name="_Toc17174"/>
      <w:bookmarkStart w:id="111" w:name="_Toc221610697"/>
      <w:bookmarkStart w:id="112" w:name="_Toc11091"/>
      <w:r>
        <w:rPr>
          <w:rFonts w:hint="eastAsia" w:ascii="黑体" w:hAnsi="黑体" w:eastAsia="黑体" w:cs="黑体"/>
          <w:bCs/>
          <w:color w:val="000000"/>
          <w:sz w:val="32"/>
          <w:szCs w:val="32"/>
        </w:rPr>
        <w:t>一、消费者权益保护的体制机制</w:t>
      </w:r>
      <w:bookmarkEnd w:id="110"/>
      <w:bookmarkEnd w:id="111"/>
      <w:r>
        <w:rPr>
          <w:rFonts w:hint="eastAsia" w:ascii="黑体" w:hAnsi="黑体" w:eastAsia="黑体" w:cs="黑体"/>
          <w:bCs/>
          <w:color w:val="000000"/>
          <w:sz w:val="32"/>
          <w:szCs w:val="32"/>
          <w:lang w:val="en-US" w:eastAsia="zh-CN"/>
        </w:rPr>
        <w:t>需要进一步完善</w:t>
      </w:r>
      <w:bookmarkEnd w:id="112"/>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当前，消费升级与业态创新交织叠加，消费者权益保护的体制机制，还存在一定的局限性，成为制约消费者权益保护</w:t>
      </w:r>
      <w:r>
        <w:rPr>
          <w:rFonts w:hint="eastAsia" w:ascii="仿宋_GB2312" w:hAnsi="仿宋_GB2312" w:eastAsia="仿宋_GB2312" w:cs="仿宋_GB2312"/>
          <w:color w:val="auto"/>
          <w:sz w:val="32"/>
          <w:szCs w:val="32"/>
          <w:lang w:val="en-US" w:eastAsia="zh-CN"/>
        </w:rPr>
        <w:t>高质量发展</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重要</w:t>
      </w:r>
      <w:r>
        <w:rPr>
          <w:rFonts w:hint="eastAsia" w:ascii="仿宋_GB2312" w:hAnsi="仿宋_GB2312" w:eastAsia="仿宋_GB2312" w:cs="仿宋_GB2312"/>
          <w:color w:val="auto"/>
          <w:sz w:val="32"/>
          <w:szCs w:val="32"/>
        </w:rPr>
        <w:t>因素。</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一是消费者权益保护制度供给需要</w:t>
      </w:r>
      <w:r>
        <w:rPr>
          <w:rFonts w:hint="eastAsia" w:ascii="仿宋_GB2312" w:hAnsi="仿宋_GB2312" w:eastAsia="仿宋_GB2312" w:cs="仿宋_GB2312"/>
          <w:color w:val="auto"/>
          <w:sz w:val="32"/>
          <w:szCs w:val="32"/>
          <w:lang w:val="en-US" w:eastAsia="zh-CN"/>
        </w:rPr>
        <w:t>持续</w:t>
      </w:r>
      <w:r>
        <w:rPr>
          <w:rFonts w:hint="eastAsia" w:ascii="仿宋_GB2312" w:hAnsi="仿宋_GB2312" w:eastAsia="仿宋_GB2312" w:cs="仿宋_GB2312"/>
          <w:color w:val="auto"/>
          <w:sz w:val="32"/>
          <w:szCs w:val="32"/>
        </w:rPr>
        <w:t>加强</w:t>
      </w:r>
      <w:r>
        <w:rPr>
          <w:rFonts w:hint="eastAsia" w:ascii="仿宋_GB2312" w:hAnsi="仿宋_GB2312" w:eastAsia="仿宋_GB2312" w:cs="仿宋_GB2312"/>
          <w:color w:val="auto"/>
          <w:sz w:val="32"/>
          <w:szCs w:val="32"/>
          <w:lang w:eastAsia="zh-CN"/>
        </w:rPr>
        <w:t>。</w:t>
      </w:r>
      <w:bookmarkStart w:id="113" w:name="OLE_LINK84"/>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消费者权益保护法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以下简称</w:t>
      </w:r>
      <w:r>
        <w:rPr>
          <w:rFonts w:hint="eastAsia" w:ascii="仿宋_GB2312" w:hAnsi="仿宋_GB2312" w:eastAsia="仿宋_GB2312" w:cs="仿宋_GB2312"/>
          <w:sz w:val="32"/>
          <w:szCs w:val="32"/>
        </w:rPr>
        <w:t>《消法》</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rPr>
        <w:t>的最后一次修订时间是2013年，近10余年来我国消费新业态、新模式、新场景不断涌现，数字技术和人工智能在消费领域的广泛应用带来了消费活力，但也为消费维权带来巨大挑战，《消法》已经难以适应消费市场和消费维权的现实需求，亟需修改完善，从而使我国的消费者权益保护立法升级为“数智时代的《消法》”</w:t>
      </w:r>
      <w:r>
        <w:rPr>
          <w:rFonts w:hint="eastAsia" w:ascii="仿宋_GB2312" w:hAnsi="仿宋_GB2312" w:eastAsia="仿宋_GB2312" w:cs="仿宋_GB2312"/>
          <w:sz w:val="32"/>
          <w:szCs w:val="32"/>
          <w:lang w:eastAsia="zh-CN"/>
        </w:rPr>
        <w:t>。</w:t>
      </w:r>
      <w:bookmarkEnd w:id="113"/>
      <w:r>
        <w:rPr>
          <w:rFonts w:hint="eastAsia" w:ascii="仿宋_GB2312" w:hAnsi="仿宋_GB2312" w:eastAsia="仿宋_GB2312" w:cs="仿宋_GB2312"/>
          <w:color w:val="auto"/>
          <w:sz w:val="32"/>
          <w:szCs w:val="32"/>
          <w:lang w:val="en-US" w:eastAsia="zh-CN"/>
        </w:rPr>
        <w:t>同时，</w:t>
      </w:r>
      <w:r>
        <w:rPr>
          <w:rFonts w:hint="eastAsia" w:ascii="仿宋_GB2312" w:hAnsi="仿宋_GB2312" w:eastAsia="仿宋_GB2312" w:cs="仿宋_GB2312"/>
          <w:color w:val="auto"/>
          <w:sz w:val="32"/>
          <w:szCs w:val="32"/>
        </w:rPr>
        <w:t>《消保条例》在细化和完善消费者权益保护方面发挥了重要作用，但一些堵点难点问题的解决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需要</w:t>
      </w:r>
      <w:r>
        <w:rPr>
          <w:rFonts w:hint="eastAsia" w:ascii="仿宋_GB2312" w:hAnsi="仿宋_GB2312" w:eastAsia="仿宋_GB2312" w:cs="仿宋_GB2312"/>
          <w:color w:val="auto"/>
          <w:sz w:val="32"/>
          <w:szCs w:val="32"/>
          <w:lang w:val="en-US" w:eastAsia="zh-CN"/>
        </w:rPr>
        <w:t>出台</w:t>
      </w:r>
      <w:r>
        <w:rPr>
          <w:rFonts w:hint="eastAsia" w:ascii="仿宋_GB2312" w:hAnsi="仿宋_GB2312" w:eastAsia="仿宋_GB2312" w:cs="仿宋_GB2312"/>
          <w:color w:val="auto"/>
          <w:sz w:val="32"/>
          <w:szCs w:val="32"/>
        </w:rPr>
        <w:t>配套制度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具体规定才能高效实施，例如</w:t>
      </w:r>
      <w:bookmarkStart w:id="114" w:name="OLE_LINK82"/>
      <w:r>
        <w:rPr>
          <w:rFonts w:hint="eastAsia" w:ascii="仿宋_GB2312" w:hAnsi="仿宋_GB2312" w:eastAsia="仿宋_GB2312" w:cs="仿宋_GB2312"/>
          <w:color w:val="auto"/>
          <w:sz w:val="32"/>
          <w:szCs w:val="32"/>
        </w:rPr>
        <w:t>预付式消费</w:t>
      </w:r>
      <w:bookmarkEnd w:id="114"/>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平台价格歧视</w:t>
      </w:r>
      <w:r>
        <w:rPr>
          <w:rFonts w:hint="eastAsia" w:ascii="仿宋_GB2312" w:hAnsi="仿宋_GB2312" w:eastAsia="仿宋_GB2312" w:cs="仿宋_GB2312"/>
          <w:color w:val="auto"/>
          <w:sz w:val="32"/>
          <w:szCs w:val="32"/>
        </w:rPr>
        <w:t>等方面需要</w:t>
      </w:r>
      <w:r>
        <w:rPr>
          <w:rFonts w:hint="eastAsia" w:ascii="仿宋_GB2312" w:hAnsi="仿宋_GB2312" w:eastAsia="仿宋_GB2312" w:cs="仿宋_GB2312"/>
          <w:color w:val="auto"/>
          <w:sz w:val="32"/>
          <w:szCs w:val="32"/>
          <w:lang w:val="en-US" w:eastAsia="zh-CN"/>
        </w:rPr>
        <w:t>配合</w:t>
      </w:r>
      <w:r>
        <w:rPr>
          <w:rFonts w:hint="eastAsia" w:ascii="仿宋_GB2312" w:hAnsi="仿宋_GB2312" w:eastAsia="仿宋_GB2312" w:cs="仿宋_GB2312"/>
          <w:color w:val="auto"/>
          <w:sz w:val="32"/>
          <w:szCs w:val="32"/>
        </w:rPr>
        <w:t>专门的制度予以规制</w:t>
      </w:r>
      <w:r>
        <w:rPr>
          <w:rFonts w:hint="eastAsia" w:ascii="仿宋_GB2312" w:hAnsi="仿宋_GB2312" w:eastAsia="仿宋_GB2312" w:cs="仿宋_GB2312"/>
          <w:color w:val="auto"/>
          <w:sz w:val="32"/>
          <w:szCs w:val="32"/>
          <w:lang w:eastAsia="zh-CN"/>
        </w:rPr>
        <w:t>；对于经营者违反法律规定的处罚措施，</w:t>
      </w:r>
      <w:r>
        <w:rPr>
          <w:rFonts w:hint="eastAsia" w:ascii="仿宋_GB2312" w:hAnsi="仿宋_GB2312" w:eastAsia="仿宋_GB2312" w:cs="仿宋_GB2312"/>
          <w:color w:val="auto"/>
          <w:sz w:val="32"/>
          <w:szCs w:val="32"/>
          <w:lang w:val="en-US" w:eastAsia="zh-CN"/>
        </w:rPr>
        <w:t>如</w:t>
      </w:r>
      <w:r>
        <w:rPr>
          <w:rFonts w:hint="eastAsia" w:ascii="仿宋_GB2312" w:hAnsi="仿宋_GB2312" w:eastAsia="仿宋_GB2312" w:cs="仿宋_GB2312"/>
          <w:color w:val="auto"/>
          <w:sz w:val="32"/>
          <w:szCs w:val="32"/>
        </w:rPr>
        <w:t>标签与说明书</w:t>
      </w:r>
      <w:bookmarkStart w:id="115" w:name="OLE_LINK85"/>
      <w:r>
        <w:rPr>
          <w:rFonts w:hint="eastAsia" w:ascii="仿宋_GB2312" w:hAnsi="仿宋_GB2312" w:eastAsia="仿宋_GB2312" w:cs="仿宋_GB2312"/>
          <w:color w:val="auto"/>
          <w:sz w:val="32"/>
          <w:szCs w:val="32"/>
          <w:lang w:val="en-US" w:eastAsia="zh-CN"/>
        </w:rPr>
        <w:t>存在对消费者造成误导的</w:t>
      </w:r>
      <w:r>
        <w:rPr>
          <w:rFonts w:hint="eastAsia" w:ascii="仿宋_GB2312" w:hAnsi="仿宋_GB2312" w:eastAsia="仿宋_GB2312" w:cs="仿宋_GB2312"/>
          <w:color w:val="auto"/>
          <w:sz w:val="32"/>
          <w:szCs w:val="32"/>
        </w:rPr>
        <w:t>瑕疵</w:t>
      </w:r>
      <w:bookmarkEnd w:id="115"/>
      <w:r>
        <w:rPr>
          <w:rFonts w:hint="eastAsia" w:ascii="仿宋_GB2312" w:hAnsi="仿宋_GB2312" w:eastAsia="仿宋_GB2312" w:cs="仿宋_GB2312"/>
          <w:color w:val="auto"/>
          <w:sz w:val="32"/>
          <w:szCs w:val="32"/>
          <w:lang w:val="en-US" w:eastAsia="zh-CN"/>
        </w:rPr>
        <w:t>等问题</w:t>
      </w:r>
      <w:r>
        <w:rPr>
          <w:rFonts w:hint="eastAsia" w:ascii="仿宋_GB2312" w:hAnsi="仿宋_GB2312" w:eastAsia="仿宋_GB2312" w:cs="仿宋_GB2312"/>
          <w:color w:val="auto"/>
          <w:sz w:val="32"/>
          <w:szCs w:val="32"/>
          <w:lang w:eastAsia="zh-CN"/>
        </w:rPr>
        <w:t>，可能因缺乏具体的处罚标准而难以有效执行</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此外，</w:t>
      </w:r>
      <w:r>
        <w:rPr>
          <w:rFonts w:hint="eastAsia" w:ascii="仿宋_GB2312" w:hAnsi="仿宋_GB2312" w:eastAsia="仿宋_GB2312" w:cs="仿宋_GB2312"/>
          <w:color w:val="auto"/>
          <w:sz w:val="32"/>
          <w:szCs w:val="32"/>
        </w:rPr>
        <w:t>新场景、新领域消费者权益保护制度和配套规则需要充实完善，</w:t>
      </w:r>
      <w:r>
        <w:rPr>
          <w:rFonts w:hint="eastAsia" w:ascii="仿宋_GB2312" w:hAnsi="仿宋_GB2312" w:eastAsia="仿宋_GB2312" w:cs="仿宋_GB2312"/>
          <w:color w:val="auto"/>
          <w:sz w:val="32"/>
          <w:szCs w:val="32"/>
          <w:lang w:val="en-US" w:eastAsia="zh-CN"/>
        </w:rPr>
        <w:t>特别是</w:t>
      </w:r>
      <w:r>
        <w:rPr>
          <w:rFonts w:hint="eastAsia" w:ascii="仿宋_GB2312" w:hAnsi="仿宋_GB2312" w:eastAsia="仿宋_GB2312" w:cs="仿宋_GB2312"/>
          <w:color w:val="auto"/>
          <w:sz w:val="32"/>
          <w:szCs w:val="32"/>
        </w:rPr>
        <w:t>数字消费、AI消费、潮玩消费及服务消费</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rPr>
        <w:t>，消费者权益保护的现行制度存在覆盖不足、规则滞后等问题，难以有效适配新业态。如数字内容等无形产品的质量标准与退换货规则不完善；数字消费</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rPr>
        <w:t>，质量审核、售后服务保障等责任划分</w:t>
      </w:r>
      <w:r>
        <w:rPr>
          <w:rFonts w:hint="eastAsia" w:ascii="仿宋_GB2312" w:hAnsi="仿宋_GB2312" w:eastAsia="仿宋_GB2312" w:cs="仿宋_GB2312"/>
          <w:color w:val="auto"/>
          <w:sz w:val="32"/>
          <w:szCs w:val="32"/>
          <w:lang w:val="en-US" w:eastAsia="zh-CN"/>
        </w:rPr>
        <w:t>需要进一步明确</w:t>
      </w:r>
      <w:r>
        <w:rPr>
          <w:rFonts w:hint="eastAsia" w:ascii="仿宋_GB2312" w:hAnsi="仿宋_GB2312" w:eastAsia="仿宋_GB2312" w:cs="仿宋_GB2312"/>
          <w:color w:val="auto"/>
          <w:sz w:val="32"/>
          <w:szCs w:val="32"/>
        </w:rPr>
        <w:t>；自动驾驶责任划分、医疗AI的资质认定等人工智能在消费领域应用中的相关规则</w:t>
      </w:r>
      <w:r>
        <w:rPr>
          <w:rFonts w:hint="eastAsia" w:ascii="仿宋_GB2312" w:hAnsi="仿宋_GB2312" w:eastAsia="仿宋_GB2312" w:cs="仿宋_GB2312"/>
          <w:color w:val="auto"/>
          <w:sz w:val="32"/>
          <w:szCs w:val="32"/>
          <w:lang w:val="en-US" w:eastAsia="zh-CN"/>
        </w:rPr>
        <w:t>需要持续完善</w:t>
      </w:r>
      <w:r>
        <w:rPr>
          <w:rFonts w:hint="eastAsia" w:ascii="仿宋_GB2312" w:hAnsi="仿宋_GB2312" w:eastAsia="仿宋_GB2312" w:cs="仿宋_GB2312"/>
          <w:color w:val="auto"/>
          <w:sz w:val="32"/>
          <w:szCs w:val="32"/>
        </w:rPr>
        <w:t>。</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rPr>
        <w:t>二</w:t>
      </w:r>
      <w:r>
        <w:rPr>
          <w:rFonts w:hint="eastAsia" w:ascii="仿宋_GB2312" w:hAnsi="仿宋_GB2312" w:eastAsia="仿宋_GB2312" w:cs="仿宋_GB2312"/>
          <w:color w:val="auto"/>
          <w:sz w:val="32"/>
          <w:szCs w:val="32"/>
          <w:lang w:val="en-US" w:eastAsia="zh-CN"/>
        </w:rPr>
        <w:t>是</w:t>
      </w:r>
      <w:r>
        <w:rPr>
          <w:rFonts w:hint="eastAsia" w:ascii="仿宋_GB2312" w:hAnsi="仿宋_GB2312" w:eastAsia="仿宋_GB2312" w:cs="仿宋_GB2312"/>
          <w:color w:val="auto"/>
          <w:sz w:val="32"/>
          <w:szCs w:val="32"/>
        </w:rPr>
        <w:t>消费侵权治理</w:t>
      </w:r>
      <w:r>
        <w:rPr>
          <w:rFonts w:hint="eastAsia" w:ascii="仿宋_GB2312" w:hAnsi="仿宋_GB2312" w:eastAsia="仿宋_GB2312" w:cs="仿宋_GB2312"/>
          <w:color w:val="auto"/>
          <w:sz w:val="32"/>
          <w:szCs w:val="32"/>
          <w:lang w:val="en-US" w:eastAsia="zh-CN"/>
        </w:rPr>
        <w:t>有待强化。</w:t>
      </w:r>
      <w:r>
        <w:rPr>
          <w:rFonts w:hint="eastAsia" w:ascii="仿宋_GB2312" w:hAnsi="仿宋_GB2312" w:eastAsia="仿宋_GB2312" w:cs="仿宋_GB2312"/>
          <w:color w:val="auto"/>
          <w:sz w:val="32"/>
          <w:szCs w:val="32"/>
        </w:rPr>
        <w:t>当前，</w:t>
      </w:r>
      <w:r>
        <w:rPr>
          <w:rFonts w:hint="eastAsia" w:ascii="仿宋_GB2312" w:hAnsi="仿宋_GB2312" w:eastAsia="仿宋_GB2312" w:cs="仿宋_GB2312"/>
          <w:color w:val="auto"/>
          <w:sz w:val="32"/>
          <w:szCs w:val="32"/>
          <w:lang w:val="en-US" w:eastAsia="zh-CN"/>
        </w:rPr>
        <w:t>由于</w:t>
      </w:r>
      <w:r>
        <w:rPr>
          <w:rFonts w:hint="eastAsia" w:ascii="仿宋_GB2312" w:hAnsi="仿宋_GB2312" w:eastAsia="仿宋_GB2312" w:cs="仿宋_GB2312"/>
          <w:color w:val="auto"/>
          <w:sz w:val="32"/>
          <w:szCs w:val="32"/>
        </w:rPr>
        <w:t>消费形态多元化、商业模式快速迭代、新技术广泛应用等多重因素</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我国消费侵权治理尚未实现全领域、全链条覆盖，在新兴消费领域、隐蔽性场景以及传统行业的细分环节，相关消费侵权行为易发多发，监管</w:t>
      </w:r>
      <w:r>
        <w:rPr>
          <w:rFonts w:hint="eastAsia" w:ascii="仿宋_GB2312" w:hAnsi="仿宋_GB2312" w:eastAsia="仿宋_GB2312" w:cs="仿宋_GB2312"/>
          <w:color w:val="auto"/>
          <w:sz w:val="32"/>
          <w:szCs w:val="32"/>
          <w:lang w:val="en-US" w:eastAsia="zh-CN"/>
        </w:rPr>
        <w:t>治理</w:t>
      </w:r>
      <w:r>
        <w:rPr>
          <w:rFonts w:hint="eastAsia" w:ascii="仿宋_GB2312" w:hAnsi="仿宋_GB2312" w:eastAsia="仿宋_GB2312" w:cs="仿宋_GB2312"/>
          <w:color w:val="auto"/>
          <w:sz w:val="32"/>
          <w:szCs w:val="32"/>
        </w:rPr>
        <w:t>依然</w:t>
      </w:r>
      <w:r>
        <w:rPr>
          <w:rFonts w:hint="eastAsia" w:ascii="仿宋_GB2312" w:hAnsi="仿宋_GB2312" w:eastAsia="仿宋_GB2312" w:cs="仿宋_GB2312"/>
          <w:color w:val="auto"/>
          <w:sz w:val="32"/>
          <w:szCs w:val="32"/>
          <w:lang w:val="en-US" w:eastAsia="zh-CN"/>
        </w:rPr>
        <w:t>任重道远</w:t>
      </w:r>
      <w:r>
        <w:rPr>
          <w:rFonts w:hint="eastAsia" w:ascii="仿宋_GB2312" w:hAnsi="仿宋_GB2312" w:eastAsia="仿宋_GB2312" w:cs="仿宋_GB2312"/>
          <w:color w:val="auto"/>
          <w:sz w:val="32"/>
          <w:szCs w:val="32"/>
        </w:rPr>
        <w:t>。例如“大数据杀熟”</w:t>
      </w:r>
      <w:r>
        <w:rPr>
          <w:rFonts w:hint="eastAsia" w:ascii="仿宋_GB2312" w:hAnsi="仿宋_GB2312" w:eastAsia="仿宋_GB2312" w:cs="仿宋_GB2312"/>
          <w:color w:val="auto"/>
          <w:sz w:val="32"/>
          <w:szCs w:val="32"/>
          <w:lang w:val="en-US" w:eastAsia="zh-CN"/>
        </w:rPr>
        <w:t>情境中，经营者</w:t>
      </w:r>
      <w:r>
        <w:rPr>
          <w:rFonts w:hint="eastAsia" w:ascii="仿宋_GB2312" w:hAnsi="仿宋_GB2312" w:eastAsia="仿宋_GB2312" w:cs="仿宋_GB2312"/>
          <w:color w:val="auto"/>
          <w:sz w:val="32"/>
          <w:szCs w:val="32"/>
        </w:rPr>
        <w:t>通过算法</w:t>
      </w:r>
      <w:r>
        <w:rPr>
          <w:rFonts w:hint="eastAsia" w:ascii="仿宋_GB2312" w:hAnsi="仿宋_GB2312" w:eastAsia="仿宋_GB2312" w:cs="仿宋_GB2312"/>
          <w:color w:val="auto"/>
          <w:sz w:val="32"/>
          <w:szCs w:val="32"/>
          <w:lang w:val="en-US" w:eastAsia="zh-CN"/>
        </w:rPr>
        <w:t>实施不合理的差异化定价</w:t>
      </w:r>
      <w:r>
        <w:rPr>
          <w:rFonts w:hint="eastAsia" w:ascii="仿宋_GB2312" w:hAnsi="仿宋_GB2312" w:eastAsia="仿宋_GB2312" w:cs="仿宋_GB2312"/>
          <w:color w:val="auto"/>
          <w:sz w:val="32"/>
          <w:szCs w:val="32"/>
        </w:rPr>
        <w:t>，隐蔽性强，监管部门若无相应技术监测能力，</w:t>
      </w:r>
      <w:r>
        <w:rPr>
          <w:rFonts w:hint="eastAsia" w:ascii="仿宋_GB2312" w:hAnsi="仿宋_GB2312" w:eastAsia="仿宋_GB2312" w:cs="仿宋_GB2312"/>
          <w:color w:val="auto"/>
          <w:sz w:val="32"/>
          <w:szCs w:val="32"/>
          <w:lang w:val="en-US" w:eastAsia="zh-CN"/>
        </w:rPr>
        <w:t>则</w:t>
      </w:r>
      <w:r>
        <w:rPr>
          <w:rFonts w:hint="eastAsia" w:ascii="仿宋_GB2312" w:hAnsi="仿宋_GB2312" w:eastAsia="仿宋_GB2312" w:cs="仿宋_GB2312"/>
          <w:color w:val="auto"/>
          <w:sz w:val="32"/>
          <w:szCs w:val="32"/>
        </w:rPr>
        <w:t>难以发现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职业弹幕人流量造假</w:t>
      </w:r>
      <w:r>
        <w:rPr>
          <w:rFonts w:hint="eastAsia" w:ascii="仿宋_GB2312" w:hAnsi="仿宋_GB2312" w:eastAsia="仿宋_GB2312" w:cs="仿宋_GB2312"/>
          <w:color w:val="auto"/>
          <w:sz w:val="32"/>
          <w:szCs w:val="32"/>
          <w:lang w:val="en-US" w:eastAsia="zh-CN"/>
        </w:rPr>
        <w:t>问题，由于</w:t>
      </w:r>
      <w:r>
        <w:rPr>
          <w:rFonts w:hint="eastAsia" w:ascii="仿宋_GB2312" w:hAnsi="仿宋_GB2312" w:eastAsia="仿宋_GB2312" w:cs="仿宋_GB2312"/>
          <w:color w:val="auto"/>
          <w:sz w:val="32"/>
          <w:szCs w:val="32"/>
        </w:rPr>
        <w:t>操作隐蔽、证据易篡改，监管部门识别和取证难度</w:t>
      </w:r>
      <w:r>
        <w:rPr>
          <w:rFonts w:hint="eastAsia" w:ascii="仿宋_GB2312" w:hAnsi="仿宋_GB2312" w:eastAsia="仿宋_GB2312" w:cs="仿宋_GB2312"/>
          <w:color w:val="auto"/>
          <w:sz w:val="32"/>
          <w:szCs w:val="32"/>
          <w:lang w:val="en-US" w:eastAsia="zh-CN"/>
        </w:rPr>
        <w:t>较</w:t>
      </w:r>
      <w:r>
        <w:rPr>
          <w:rFonts w:hint="eastAsia" w:ascii="仿宋_GB2312" w:hAnsi="仿宋_GB2312" w:eastAsia="仿宋_GB2312" w:cs="仿宋_GB2312"/>
          <w:color w:val="auto"/>
          <w:sz w:val="32"/>
          <w:szCs w:val="32"/>
        </w:rPr>
        <w:t>大；老年大学商业推销乱象频发，但因</w:t>
      </w:r>
      <w:r>
        <w:rPr>
          <w:rFonts w:hint="eastAsia" w:ascii="仿宋_GB2312" w:hAnsi="仿宋_GB2312" w:eastAsia="仿宋_GB2312" w:cs="仿宋_GB2312"/>
          <w:color w:val="auto"/>
          <w:sz w:val="32"/>
          <w:szCs w:val="32"/>
          <w:lang w:val="en-US" w:eastAsia="zh-CN"/>
        </w:rPr>
        <w:t>危害行为涉及不同监管部门职责</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对</w:t>
      </w:r>
      <w:r>
        <w:rPr>
          <w:rFonts w:hint="eastAsia" w:ascii="仿宋_GB2312" w:hAnsi="仿宋_GB2312" w:eastAsia="仿宋_GB2312" w:cs="仿宋_GB2312"/>
          <w:color w:val="auto"/>
          <w:sz w:val="32"/>
          <w:szCs w:val="32"/>
        </w:rPr>
        <w:t>相关部门</w:t>
      </w:r>
      <w:r>
        <w:rPr>
          <w:rFonts w:hint="eastAsia" w:ascii="仿宋_GB2312" w:hAnsi="仿宋_GB2312" w:eastAsia="仿宋_GB2312" w:cs="仿宋_GB2312"/>
          <w:color w:val="auto"/>
          <w:sz w:val="32"/>
          <w:szCs w:val="32"/>
          <w:lang w:val="en-US" w:eastAsia="zh-CN"/>
        </w:rPr>
        <w:t>协调治理提出较高要求，侵权问题难以及时处理的情况时有发生</w:t>
      </w:r>
      <w:r>
        <w:rPr>
          <w:rFonts w:hint="eastAsia" w:ascii="仿宋_GB2312" w:hAnsi="仿宋_GB2312" w:eastAsia="仿宋_GB2312" w:cs="仿宋_GB2312"/>
          <w:color w:val="auto"/>
          <w:sz w:val="32"/>
          <w:szCs w:val="32"/>
        </w:rPr>
        <w:t>；玉石交易标准不一、价格不透明、鉴定机构资质参差</w:t>
      </w:r>
      <w:r>
        <w:rPr>
          <w:rFonts w:hint="eastAsia" w:ascii="仿宋_GB2312" w:hAnsi="仿宋_GB2312" w:eastAsia="仿宋_GB2312" w:cs="仿宋_GB2312"/>
          <w:color w:val="auto"/>
          <w:sz w:val="32"/>
          <w:szCs w:val="32"/>
          <w:lang w:val="en-US" w:eastAsia="zh-CN"/>
        </w:rPr>
        <w:t>等问题</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影响监管治理效果，造成</w:t>
      </w:r>
      <w:r>
        <w:rPr>
          <w:rFonts w:hint="eastAsia" w:ascii="仿宋_GB2312" w:hAnsi="仿宋_GB2312" w:eastAsia="仿宋_GB2312" w:cs="仿宋_GB2312"/>
          <w:color w:val="auto"/>
          <w:sz w:val="32"/>
          <w:szCs w:val="32"/>
        </w:rPr>
        <w:t>消费者维权困难</w:t>
      </w:r>
      <w:r>
        <w:rPr>
          <w:rFonts w:hint="eastAsia" w:ascii="仿宋_GB2312" w:hAnsi="仿宋_GB2312" w:eastAsia="仿宋_GB2312" w:cs="仿宋_GB2312"/>
          <w:color w:val="auto"/>
          <w:sz w:val="32"/>
          <w:szCs w:val="32"/>
          <w:lang w:eastAsia="zh-CN"/>
        </w:rPr>
        <w:t>。</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w:t>
      </w:r>
      <w:r>
        <w:rPr>
          <w:rFonts w:hint="eastAsia" w:ascii="仿宋_GB2312" w:hAnsi="仿宋_GB2312" w:eastAsia="仿宋_GB2312" w:cs="仿宋_GB2312"/>
          <w:color w:val="auto"/>
          <w:sz w:val="32"/>
          <w:szCs w:val="32"/>
          <w:lang w:val="en-US" w:eastAsia="zh-CN"/>
        </w:rPr>
        <w:t>是部分</w:t>
      </w:r>
      <w:r>
        <w:rPr>
          <w:rFonts w:hint="eastAsia" w:ascii="仿宋_GB2312" w:hAnsi="仿宋_GB2312" w:eastAsia="仿宋_GB2312" w:cs="仿宋_GB2312"/>
          <w:color w:val="auto"/>
          <w:sz w:val="32"/>
          <w:szCs w:val="32"/>
        </w:rPr>
        <w:t>消费</w:t>
      </w:r>
      <w:r>
        <w:rPr>
          <w:rFonts w:hint="eastAsia" w:ascii="仿宋_GB2312" w:hAnsi="仿宋_GB2312" w:eastAsia="仿宋_GB2312" w:cs="仿宋_GB2312"/>
          <w:color w:val="auto"/>
          <w:sz w:val="32"/>
          <w:szCs w:val="32"/>
          <w:lang w:val="en-US" w:eastAsia="zh-CN"/>
        </w:rPr>
        <w:t>领域中</w:t>
      </w:r>
      <w:r>
        <w:rPr>
          <w:rFonts w:hint="eastAsia" w:ascii="仿宋_GB2312" w:hAnsi="仿宋_GB2312" w:eastAsia="仿宋_GB2312" w:cs="仿宋_GB2312"/>
          <w:color w:val="auto"/>
          <w:sz w:val="32"/>
          <w:szCs w:val="32"/>
        </w:rPr>
        <w:t>公益诉讼和集体诉讼功能发挥</w:t>
      </w:r>
      <w:r>
        <w:rPr>
          <w:rFonts w:hint="eastAsia" w:ascii="仿宋_GB2312" w:hAnsi="仿宋_GB2312" w:eastAsia="仿宋_GB2312" w:cs="仿宋_GB2312"/>
          <w:color w:val="auto"/>
          <w:sz w:val="32"/>
          <w:szCs w:val="32"/>
          <w:lang w:val="en-US" w:eastAsia="zh-CN"/>
        </w:rPr>
        <w:t>存在</w:t>
      </w:r>
      <w:r>
        <w:rPr>
          <w:rFonts w:hint="eastAsia" w:ascii="仿宋_GB2312" w:hAnsi="仿宋_GB2312" w:eastAsia="仿宋_GB2312" w:cs="仿宋_GB2312"/>
          <w:color w:val="auto"/>
          <w:sz w:val="32"/>
          <w:szCs w:val="32"/>
        </w:rPr>
        <w:t>不足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当前</w:t>
      </w:r>
      <w:r>
        <w:rPr>
          <w:rFonts w:hint="eastAsia" w:ascii="仿宋_GB2312" w:hAnsi="仿宋_GB2312" w:eastAsia="仿宋_GB2312" w:cs="仿宋_GB2312"/>
          <w:color w:val="auto"/>
          <w:sz w:val="32"/>
          <w:szCs w:val="32"/>
        </w:rPr>
        <w:t>，我国消费市场</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rPr>
        <w:t>产品缺陷、虚假广告、金融消费欺诈、个人信息泄露等群体性侵权事件</w:t>
      </w:r>
      <w:r>
        <w:rPr>
          <w:rFonts w:hint="eastAsia" w:ascii="仿宋_GB2312" w:hAnsi="仿宋_GB2312" w:eastAsia="仿宋_GB2312" w:cs="仿宋_GB2312"/>
          <w:color w:val="auto"/>
          <w:sz w:val="32"/>
          <w:szCs w:val="32"/>
          <w:lang w:val="en-US" w:eastAsia="zh-CN"/>
        </w:rPr>
        <w:t>不时出现</w:t>
      </w:r>
      <w:r>
        <w:rPr>
          <w:rFonts w:hint="eastAsia" w:ascii="仿宋_GB2312" w:hAnsi="仿宋_GB2312" w:eastAsia="仿宋_GB2312" w:cs="仿宋_GB2312"/>
          <w:color w:val="auto"/>
          <w:sz w:val="32"/>
          <w:szCs w:val="32"/>
        </w:rPr>
        <w:t>，严重损害消费者整体利益和市场公平秩序。然而，</w:t>
      </w:r>
      <w:r>
        <w:rPr>
          <w:rFonts w:hint="eastAsia" w:ascii="仿宋_GB2312" w:hAnsi="仿宋_GB2312" w:eastAsia="仿宋_GB2312" w:cs="仿宋_GB2312"/>
          <w:color w:val="auto"/>
          <w:sz w:val="32"/>
          <w:szCs w:val="32"/>
          <w:lang w:val="en-US" w:eastAsia="zh-CN"/>
        </w:rPr>
        <w:t>此类领域中</w:t>
      </w:r>
      <w:r>
        <w:rPr>
          <w:rFonts w:hint="eastAsia" w:ascii="仿宋_GB2312" w:hAnsi="仿宋_GB2312" w:eastAsia="仿宋_GB2312" w:cs="仿宋_GB2312"/>
          <w:color w:val="auto"/>
          <w:sz w:val="32"/>
          <w:szCs w:val="32"/>
        </w:rPr>
        <w:t>消费公益诉讼和集体诉讼案件数量偏少，未能充分发挥维护不特定消费者权益、震慑违法行为的作用。公益诉讼方面，</w:t>
      </w:r>
      <w:r>
        <w:rPr>
          <w:rFonts w:hint="eastAsia" w:ascii="仿宋_GB2312" w:hAnsi="仿宋_GB2312" w:eastAsia="仿宋_GB2312" w:cs="仿宋_GB2312"/>
          <w:color w:val="auto"/>
          <w:sz w:val="32"/>
          <w:szCs w:val="32"/>
          <w:lang w:val="en-US" w:eastAsia="zh-CN"/>
        </w:rPr>
        <w:t>针对一些场景</w:t>
      </w:r>
      <w:r>
        <w:rPr>
          <w:rFonts w:hint="eastAsia" w:ascii="仿宋_GB2312" w:hAnsi="仿宋_GB2312" w:eastAsia="仿宋_GB2312" w:cs="仿宋_GB2312"/>
          <w:color w:val="auto"/>
          <w:sz w:val="32"/>
          <w:szCs w:val="32"/>
        </w:rPr>
        <w:t>的消费公益诉讼介入不足，例如职业闭店人、大数据杀熟等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公益诉讼案件难以及时进入司法程序，与</w:t>
      </w:r>
      <w:r>
        <w:rPr>
          <w:rFonts w:hint="eastAsia" w:ascii="仿宋_GB2312" w:hAnsi="仿宋_GB2312" w:eastAsia="仿宋_GB2312" w:cs="仿宋_GB2312"/>
          <w:color w:val="auto"/>
          <w:sz w:val="32"/>
          <w:szCs w:val="32"/>
          <w:lang w:val="en-US" w:eastAsia="zh-CN"/>
        </w:rPr>
        <w:t>切实</w:t>
      </w:r>
      <w:r>
        <w:rPr>
          <w:rFonts w:hint="eastAsia" w:ascii="仿宋_GB2312" w:hAnsi="仿宋_GB2312" w:eastAsia="仿宋_GB2312" w:cs="仿宋_GB2312"/>
          <w:color w:val="auto"/>
          <w:sz w:val="32"/>
          <w:szCs w:val="32"/>
        </w:rPr>
        <w:t>维护消费者利益的需求尚有差距。集体诉讼方面，在汽车缺陷、个人信息泄露等群体性事件中，因</w:t>
      </w:r>
      <w:r>
        <w:rPr>
          <w:rFonts w:hint="eastAsia" w:ascii="仿宋_GB2312" w:hAnsi="仿宋_GB2312" w:eastAsia="仿宋_GB2312" w:cs="仿宋_GB2312"/>
          <w:color w:val="auto"/>
          <w:sz w:val="32"/>
          <w:szCs w:val="32"/>
          <w:lang w:val="en-US" w:eastAsia="zh-CN"/>
        </w:rPr>
        <w:t>维权</w:t>
      </w:r>
      <w:r>
        <w:rPr>
          <w:rFonts w:hint="eastAsia" w:ascii="仿宋_GB2312" w:hAnsi="仿宋_GB2312" w:eastAsia="仿宋_GB2312" w:cs="仿宋_GB2312"/>
          <w:color w:val="auto"/>
          <w:sz w:val="32"/>
          <w:szCs w:val="32"/>
        </w:rPr>
        <w:t>成本高、周期长、举证难，缺乏有效的集体诉讼机制</w:t>
      </w:r>
      <w:r>
        <w:rPr>
          <w:rFonts w:hint="eastAsia" w:ascii="仿宋_GB2312" w:hAnsi="仿宋_GB2312" w:eastAsia="仿宋_GB2312" w:cs="仿宋_GB2312"/>
          <w:color w:val="auto"/>
          <w:sz w:val="32"/>
          <w:szCs w:val="32"/>
          <w:lang w:val="en-US" w:eastAsia="zh-CN"/>
        </w:rPr>
        <w:t>等原因</w:t>
      </w:r>
      <w:r>
        <w:rPr>
          <w:rFonts w:hint="eastAsia" w:ascii="仿宋_GB2312" w:hAnsi="仿宋_GB2312" w:eastAsia="仿宋_GB2312" w:cs="仿宋_GB2312"/>
          <w:color w:val="auto"/>
          <w:sz w:val="32"/>
          <w:szCs w:val="32"/>
        </w:rPr>
        <w:t>，消费者多选择单独诉讼或协商和解，</w:t>
      </w:r>
      <w:r>
        <w:rPr>
          <w:rFonts w:hint="eastAsia" w:ascii="仿宋_GB2312" w:hAnsi="仿宋_GB2312" w:eastAsia="仿宋_GB2312" w:cs="仿宋_GB2312"/>
          <w:color w:val="auto"/>
          <w:sz w:val="32"/>
          <w:szCs w:val="32"/>
          <w:lang w:val="en-US" w:eastAsia="zh-CN"/>
        </w:rPr>
        <w:t>但往往出现</w:t>
      </w:r>
      <w:r>
        <w:rPr>
          <w:rFonts w:hint="eastAsia" w:ascii="仿宋_GB2312" w:hAnsi="仿宋_GB2312" w:eastAsia="仿宋_GB2312" w:cs="仿宋_GB2312"/>
          <w:color w:val="auto"/>
          <w:sz w:val="32"/>
          <w:szCs w:val="32"/>
        </w:rPr>
        <w:t>赔偿不合理</w:t>
      </w:r>
      <w:r>
        <w:rPr>
          <w:rFonts w:hint="eastAsia" w:ascii="仿宋_GB2312" w:hAnsi="仿宋_GB2312" w:eastAsia="仿宋_GB2312" w:cs="仿宋_GB2312"/>
          <w:color w:val="auto"/>
          <w:sz w:val="32"/>
          <w:szCs w:val="32"/>
          <w:lang w:val="en-US" w:eastAsia="zh-CN"/>
        </w:rPr>
        <w:t>的情况</w:t>
      </w:r>
      <w:r>
        <w:rPr>
          <w:rFonts w:hint="eastAsia" w:ascii="仿宋_GB2312" w:hAnsi="仿宋_GB2312" w:eastAsia="仿宋_GB2312" w:cs="仿宋_GB2312"/>
          <w:color w:val="auto"/>
          <w:sz w:val="32"/>
          <w:szCs w:val="32"/>
        </w:rPr>
        <w:t>，导致</w:t>
      </w:r>
      <w:r>
        <w:rPr>
          <w:rFonts w:hint="eastAsia" w:ascii="仿宋_GB2312" w:hAnsi="仿宋_GB2312" w:eastAsia="仿宋_GB2312" w:cs="仿宋_GB2312"/>
          <w:color w:val="auto"/>
          <w:sz w:val="32"/>
          <w:szCs w:val="32"/>
          <w:lang w:val="en-US" w:eastAsia="zh-CN"/>
        </w:rPr>
        <w:t>许多</w:t>
      </w:r>
      <w:r>
        <w:rPr>
          <w:rFonts w:hint="eastAsia" w:ascii="仿宋_GB2312" w:hAnsi="仿宋_GB2312" w:eastAsia="仿宋_GB2312" w:cs="仿宋_GB2312"/>
          <w:color w:val="auto"/>
          <w:sz w:val="32"/>
          <w:szCs w:val="32"/>
        </w:rPr>
        <w:t>案件</w:t>
      </w:r>
      <w:r>
        <w:rPr>
          <w:rFonts w:hint="eastAsia" w:ascii="仿宋_GB2312" w:hAnsi="仿宋_GB2312" w:eastAsia="仿宋_GB2312" w:cs="仿宋_GB2312"/>
          <w:color w:val="auto"/>
          <w:sz w:val="32"/>
          <w:szCs w:val="32"/>
          <w:lang w:val="en-US" w:eastAsia="zh-CN"/>
        </w:rPr>
        <w:t>未</w:t>
      </w:r>
      <w:r>
        <w:rPr>
          <w:rFonts w:hint="eastAsia" w:ascii="仿宋_GB2312" w:hAnsi="仿宋_GB2312" w:eastAsia="仿宋_GB2312" w:cs="仿宋_GB2312"/>
          <w:color w:val="auto"/>
          <w:sz w:val="32"/>
          <w:szCs w:val="32"/>
        </w:rPr>
        <w:t>实质解决，违法主体未受</w:t>
      </w:r>
      <w:r>
        <w:rPr>
          <w:rFonts w:hint="eastAsia" w:ascii="仿宋_GB2312" w:hAnsi="仿宋_GB2312" w:eastAsia="仿宋_GB2312" w:cs="仿宋_GB2312"/>
          <w:color w:val="auto"/>
          <w:sz w:val="32"/>
          <w:szCs w:val="32"/>
          <w:lang w:val="en-US" w:eastAsia="zh-CN"/>
        </w:rPr>
        <w:t>到</w:t>
      </w:r>
      <w:r>
        <w:rPr>
          <w:rFonts w:hint="eastAsia" w:ascii="仿宋_GB2312" w:hAnsi="仿宋_GB2312" w:eastAsia="仿宋_GB2312" w:cs="仿宋_GB2312"/>
          <w:color w:val="auto"/>
          <w:sz w:val="32"/>
          <w:szCs w:val="32"/>
        </w:rPr>
        <w:t>应有制裁。</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w:t>
      </w:r>
      <w:r>
        <w:rPr>
          <w:rFonts w:hint="eastAsia" w:ascii="仿宋_GB2312" w:hAnsi="仿宋_GB2312" w:eastAsia="仿宋_GB2312" w:cs="仿宋_GB2312"/>
          <w:color w:val="auto"/>
          <w:sz w:val="32"/>
          <w:szCs w:val="32"/>
          <w:lang w:val="en-US" w:eastAsia="zh-CN"/>
        </w:rPr>
        <w:t>是消费维权</w:t>
      </w:r>
      <w:r>
        <w:rPr>
          <w:rFonts w:hint="eastAsia" w:ascii="仿宋_GB2312" w:hAnsi="仿宋_GB2312" w:eastAsia="仿宋_GB2312" w:cs="仿宋_GB2312"/>
          <w:color w:val="auto"/>
          <w:sz w:val="32"/>
          <w:szCs w:val="32"/>
        </w:rPr>
        <w:t>社会共治落地落实有待加强</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《消保条例》明确规定建立经营者守法、行业自律、消费者参与、政府监管和社会监督相结合的消费者权益保护共同治理体系。但在实践中</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消费维权</w:t>
      </w:r>
      <w:r>
        <w:rPr>
          <w:rFonts w:hint="eastAsia" w:ascii="仿宋_GB2312" w:hAnsi="仿宋_GB2312" w:eastAsia="仿宋_GB2312" w:cs="仿宋_GB2312"/>
          <w:color w:val="auto"/>
          <w:sz w:val="32"/>
          <w:szCs w:val="32"/>
        </w:rPr>
        <w:t>协同共治仍存在不足，</w:t>
      </w:r>
      <w:r>
        <w:rPr>
          <w:rFonts w:hint="eastAsia" w:ascii="仿宋_GB2312" w:hAnsi="仿宋_GB2312" w:eastAsia="仿宋_GB2312" w:cs="仿宋_GB2312"/>
          <w:color w:val="auto"/>
          <w:sz w:val="32"/>
          <w:szCs w:val="32"/>
          <w:lang w:val="en-US" w:eastAsia="zh-CN"/>
        </w:rPr>
        <w:t>例如</w:t>
      </w:r>
      <w:r>
        <w:rPr>
          <w:rFonts w:hint="eastAsia" w:ascii="仿宋_GB2312" w:hAnsi="仿宋_GB2312" w:eastAsia="仿宋_GB2312" w:cs="仿宋_GB2312"/>
          <w:color w:val="auto"/>
          <w:sz w:val="32"/>
          <w:szCs w:val="32"/>
        </w:rPr>
        <w:t>协同共治运行机制不健全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协同需要的</w:t>
      </w:r>
      <w:r>
        <w:rPr>
          <w:rFonts w:hint="eastAsia" w:ascii="仿宋_GB2312" w:hAnsi="仿宋_GB2312" w:eastAsia="仿宋_GB2312" w:cs="仿宋_GB2312"/>
          <w:color w:val="auto"/>
          <w:sz w:val="32"/>
          <w:szCs w:val="32"/>
        </w:rPr>
        <w:t>信息共享、沟通协调、监督考核、激励惩戒等关键机制</w:t>
      </w:r>
      <w:r>
        <w:rPr>
          <w:rFonts w:hint="eastAsia" w:ascii="仿宋_GB2312" w:hAnsi="仿宋_GB2312" w:eastAsia="仿宋_GB2312" w:cs="仿宋_GB2312"/>
          <w:color w:val="auto"/>
          <w:sz w:val="32"/>
          <w:szCs w:val="32"/>
          <w:lang w:val="en-US" w:eastAsia="zh-CN"/>
        </w:rPr>
        <w:t>有待完善</w:t>
      </w:r>
      <w:r>
        <w:rPr>
          <w:rFonts w:hint="eastAsia" w:ascii="仿宋_GB2312" w:hAnsi="仿宋_GB2312" w:eastAsia="仿宋_GB2312" w:cs="仿宋_GB2312"/>
          <w:color w:val="auto"/>
          <w:sz w:val="32"/>
          <w:szCs w:val="32"/>
        </w:rPr>
        <w:t>，难以调动</w:t>
      </w:r>
      <w:r>
        <w:rPr>
          <w:rFonts w:hint="eastAsia" w:ascii="仿宋_GB2312" w:hAnsi="仿宋_GB2312" w:eastAsia="仿宋_GB2312" w:cs="仿宋_GB2312"/>
          <w:color w:val="auto"/>
          <w:sz w:val="32"/>
          <w:szCs w:val="32"/>
          <w:lang w:val="en-US" w:eastAsia="zh-CN"/>
        </w:rPr>
        <w:t>各方协同</w:t>
      </w:r>
      <w:r>
        <w:rPr>
          <w:rFonts w:hint="eastAsia" w:ascii="仿宋_GB2312" w:hAnsi="仿宋_GB2312" w:eastAsia="仿宋_GB2312" w:cs="仿宋_GB2312"/>
          <w:color w:val="auto"/>
          <w:sz w:val="32"/>
          <w:szCs w:val="32"/>
        </w:rPr>
        <w:t>参与积极性，导致常态化协同配合</w:t>
      </w:r>
      <w:r>
        <w:rPr>
          <w:rFonts w:hint="eastAsia" w:ascii="仿宋_GB2312" w:hAnsi="仿宋_GB2312" w:eastAsia="仿宋_GB2312" w:cs="仿宋_GB2312"/>
          <w:color w:val="auto"/>
          <w:sz w:val="32"/>
          <w:szCs w:val="32"/>
          <w:lang w:val="en-US" w:eastAsia="zh-CN"/>
        </w:rPr>
        <w:t>不足</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又如</w:t>
      </w:r>
      <w:r>
        <w:rPr>
          <w:rFonts w:hint="eastAsia" w:ascii="仿宋_GB2312" w:hAnsi="仿宋_GB2312" w:eastAsia="仿宋_GB2312" w:cs="仿宋_GB2312"/>
          <w:color w:val="auto"/>
          <w:sz w:val="32"/>
          <w:szCs w:val="32"/>
        </w:rPr>
        <w:t>消协组织</w:t>
      </w:r>
      <w:r>
        <w:rPr>
          <w:rFonts w:hint="eastAsia" w:ascii="仿宋_GB2312" w:hAnsi="仿宋_GB2312" w:eastAsia="仿宋_GB2312" w:cs="仿宋_GB2312"/>
          <w:color w:val="auto"/>
          <w:sz w:val="32"/>
          <w:szCs w:val="32"/>
          <w:lang w:val="en-US" w:eastAsia="zh-CN"/>
        </w:rPr>
        <w:t>发挥枢纽</w:t>
      </w:r>
      <w:r>
        <w:rPr>
          <w:rFonts w:hint="eastAsia" w:ascii="仿宋_GB2312" w:hAnsi="仿宋_GB2312" w:eastAsia="仿宋_GB2312" w:cs="仿宋_GB2312"/>
          <w:color w:val="auto"/>
          <w:sz w:val="32"/>
          <w:szCs w:val="32"/>
        </w:rPr>
        <w:t>作用存在</w:t>
      </w:r>
      <w:r>
        <w:rPr>
          <w:rFonts w:hint="eastAsia" w:ascii="仿宋_GB2312" w:hAnsi="仿宋_GB2312" w:eastAsia="仿宋_GB2312" w:cs="仿宋_GB2312"/>
          <w:color w:val="auto"/>
          <w:sz w:val="32"/>
          <w:szCs w:val="32"/>
          <w:lang w:val="en-US" w:eastAsia="zh-CN"/>
        </w:rPr>
        <w:t>一定</w:t>
      </w:r>
      <w:r>
        <w:rPr>
          <w:rFonts w:hint="eastAsia" w:ascii="仿宋_GB2312" w:hAnsi="仿宋_GB2312" w:eastAsia="仿宋_GB2312" w:cs="仿宋_GB2312"/>
          <w:color w:val="auto"/>
          <w:sz w:val="32"/>
          <w:szCs w:val="32"/>
        </w:rPr>
        <w:t>困难</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color w:val="auto"/>
          <w:sz w:val="32"/>
          <w:szCs w:val="32"/>
        </w:rPr>
        <w:t>部分地方消协组织不够完善，人员经费保障不足，专业能力及资源有限，一些部门和经营者的协同配合主动性不强，</w:t>
      </w:r>
      <w:r>
        <w:rPr>
          <w:rFonts w:hint="eastAsia" w:ascii="仿宋_GB2312" w:hAnsi="仿宋_GB2312" w:eastAsia="仿宋_GB2312" w:cs="仿宋_GB2312"/>
          <w:color w:val="auto"/>
          <w:sz w:val="32"/>
          <w:szCs w:val="32"/>
          <w:lang w:val="en-US" w:eastAsia="zh-CN"/>
        </w:rPr>
        <w:t>消协</w:t>
      </w:r>
      <w:r>
        <w:rPr>
          <w:rFonts w:hint="eastAsia" w:ascii="仿宋_GB2312" w:hAnsi="仿宋_GB2312" w:eastAsia="仿宋_GB2312" w:cs="仿宋_GB2312"/>
          <w:color w:val="auto"/>
          <w:sz w:val="32"/>
          <w:szCs w:val="32"/>
        </w:rPr>
        <w:t>组织协调作用难以充分发挥。</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rPr>
      </w:pPr>
      <w:bookmarkStart w:id="116" w:name="_Toc17291"/>
      <w:bookmarkStart w:id="117" w:name="_Toc17150"/>
      <w:bookmarkStart w:id="118" w:name="_Toc221610698"/>
      <w:r>
        <w:rPr>
          <w:rFonts w:hint="eastAsia" w:ascii="黑体" w:hAnsi="黑体" w:eastAsia="黑体" w:cs="黑体"/>
          <w:bCs/>
          <w:color w:val="000000"/>
          <w:sz w:val="32"/>
          <w:szCs w:val="32"/>
        </w:rPr>
        <w:t>二、民生消费领域违法行为和安全隐患不容忽视</w:t>
      </w:r>
      <w:bookmarkEnd w:id="116"/>
      <w:bookmarkEnd w:id="117"/>
      <w:bookmarkEnd w:id="118"/>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2025年民生消费领域的违法行为与安全隐患呈现出多点散发性、领域多样性等复杂态势，需进一步强化监管协同与风险防控，切实保障消费者权益，稳固消费增长基础。</w:t>
      </w:r>
    </w:p>
    <w:p>
      <w:pPr>
        <w:pStyle w:val="24"/>
        <w:keepNext w:val="0"/>
        <w:keepLines w:val="0"/>
        <w:pageBreakBefore w:val="0"/>
        <w:widowControl w:val="0"/>
        <w:kinsoku/>
        <w:wordWrap/>
        <w:overflowPunct/>
        <w:topLinePunct w:val="0"/>
        <w:autoSpaceDE/>
        <w:autoSpaceDN/>
        <w:bidi w:val="0"/>
        <w:adjustRightInd/>
        <w:snapToGrid/>
        <w:spacing w:line="594" w:lineRule="exact"/>
        <w:ind w:firstLine="640" w:firstLineChars="200"/>
        <w:jc w:val="both"/>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一是</w:t>
      </w:r>
      <w:r>
        <w:rPr>
          <w:rFonts w:hint="eastAsia" w:ascii="仿宋_GB2312" w:hAnsi="仿宋_GB2312" w:eastAsia="仿宋_GB2312" w:cs="仿宋_GB2312"/>
          <w:bCs/>
          <w:color w:val="auto"/>
          <w:sz w:val="32"/>
          <w:szCs w:val="32"/>
          <w:lang w:val="en-US" w:eastAsia="zh-CN"/>
        </w:rPr>
        <w:t>消费</w:t>
      </w:r>
      <w:r>
        <w:rPr>
          <w:rFonts w:hint="eastAsia" w:ascii="仿宋_GB2312" w:hAnsi="仿宋_GB2312" w:eastAsia="仿宋_GB2312" w:cs="仿宋_GB2312"/>
          <w:bCs/>
          <w:color w:val="auto"/>
          <w:sz w:val="32"/>
          <w:szCs w:val="32"/>
        </w:rPr>
        <w:t>设施和</w:t>
      </w:r>
      <w:r>
        <w:rPr>
          <w:rFonts w:hint="eastAsia" w:ascii="仿宋_GB2312" w:hAnsi="仿宋_GB2312" w:eastAsia="仿宋_GB2312" w:cs="仿宋_GB2312"/>
          <w:bCs/>
          <w:color w:val="auto"/>
          <w:sz w:val="32"/>
          <w:szCs w:val="32"/>
          <w:lang w:val="en-US" w:eastAsia="zh-CN"/>
        </w:rPr>
        <w:t>产品</w:t>
      </w:r>
      <w:r>
        <w:rPr>
          <w:rFonts w:hint="eastAsia" w:ascii="仿宋_GB2312" w:hAnsi="仿宋_GB2312" w:eastAsia="仿宋_GB2312" w:cs="仿宋_GB2312"/>
          <w:bCs/>
          <w:color w:val="auto"/>
          <w:sz w:val="32"/>
          <w:szCs w:val="32"/>
        </w:rPr>
        <w:t>安全问题新老风险并存。传统</w:t>
      </w:r>
      <w:r>
        <w:rPr>
          <w:rFonts w:hint="eastAsia" w:ascii="仿宋_GB2312" w:hAnsi="仿宋_GB2312" w:eastAsia="仿宋_GB2312" w:cs="仿宋_GB2312"/>
          <w:bCs/>
          <w:color w:val="auto"/>
          <w:sz w:val="32"/>
          <w:szCs w:val="32"/>
          <w:lang w:val="en-US" w:eastAsia="zh-CN"/>
        </w:rPr>
        <w:t>民生消费</w:t>
      </w:r>
      <w:r>
        <w:rPr>
          <w:rFonts w:hint="eastAsia" w:ascii="仿宋_GB2312" w:hAnsi="仿宋_GB2312" w:eastAsia="仿宋_GB2312" w:cs="仿宋_GB2312"/>
          <w:bCs/>
          <w:color w:val="auto"/>
          <w:sz w:val="32"/>
          <w:szCs w:val="32"/>
        </w:rPr>
        <w:t>领域安全事故依然多发。江苏南通</w:t>
      </w:r>
      <w:r>
        <w:rPr>
          <w:rFonts w:hint="eastAsia" w:ascii="仿宋_GB2312" w:hAnsi="仿宋_GB2312" w:eastAsia="仿宋_GB2312" w:cs="仿宋_GB2312"/>
          <w:color w:val="auto"/>
          <w:sz w:val="32"/>
          <w:szCs w:val="32"/>
          <w:shd w:val="clear" w:color="auto" w:fill="FFFFFF"/>
        </w:rPr>
        <w:t>、河南郑州</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color w:val="auto"/>
          <w:sz w:val="32"/>
          <w:szCs w:val="32"/>
          <w:shd w:val="clear" w:color="auto" w:fill="FFFFFF"/>
        </w:rPr>
        <w:t>江西南昌等</w:t>
      </w:r>
      <w:r>
        <w:rPr>
          <w:rFonts w:hint="eastAsia" w:ascii="仿宋_GB2312" w:hAnsi="仿宋_GB2312" w:eastAsia="仿宋_GB2312" w:cs="仿宋_GB2312"/>
          <w:color w:val="auto"/>
          <w:sz w:val="32"/>
          <w:szCs w:val="32"/>
          <w:shd w:val="clear" w:color="auto" w:fill="FFFFFF"/>
          <w:lang w:val="en-US" w:eastAsia="zh-CN"/>
        </w:rPr>
        <w:t>多</w:t>
      </w:r>
      <w:r>
        <w:rPr>
          <w:rFonts w:hint="eastAsia" w:ascii="仿宋_GB2312" w:hAnsi="仿宋_GB2312" w:eastAsia="仿宋_GB2312" w:cs="仿宋_GB2312"/>
          <w:color w:val="auto"/>
          <w:sz w:val="32"/>
          <w:szCs w:val="32"/>
          <w:shd w:val="clear" w:color="auto" w:fill="FFFFFF"/>
        </w:rPr>
        <w:t>地发生燃气爆燃或</w:t>
      </w:r>
      <w:r>
        <w:rPr>
          <w:rFonts w:hint="eastAsia" w:ascii="仿宋_GB2312" w:hAnsi="仿宋_GB2312" w:eastAsia="仿宋_GB2312" w:cs="仿宋_GB2312"/>
          <w:color w:val="auto"/>
          <w:sz w:val="32"/>
          <w:szCs w:val="32"/>
          <w:shd w:val="clear" w:color="auto" w:fill="FFFFFF"/>
          <w:lang w:val="en-US" w:eastAsia="zh-CN"/>
        </w:rPr>
        <w:t>泄漏</w:t>
      </w:r>
      <w:r>
        <w:rPr>
          <w:rFonts w:hint="eastAsia" w:ascii="仿宋_GB2312" w:hAnsi="仿宋_GB2312" w:eastAsia="仿宋_GB2312" w:cs="仿宋_GB2312"/>
          <w:color w:val="auto"/>
          <w:sz w:val="32"/>
          <w:szCs w:val="32"/>
          <w:shd w:val="clear" w:color="auto" w:fill="FFFFFF"/>
        </w:rPr>
        <w:t>事故</w:t>
      </w:r>
      <w:r>
        <w:rPr>
          <w:rFonts w:hint="eastAsia" w:ascii="仿宋_GB2312" w:hAnsi="仿宋_GB2312" w:eastAsia="仿宋_GB2312" w:cs="仿宋_GB2312"/>
          <w:color w:val="auto"/>
          <w:sz w:val="32"/>
          <w:szCs w:val="32"/>
          <w:shd w:val="clear" w:color="auto" w:fill="FFFFFF"/>
          <w:lang w:eastAsia="zh-CN"/>
        </w:rPr>
        <w:t>，</w:t>
      </w:r>
      <w:r>
        <w:rPr>
          <w:rFonts w:hint="eastAsia" w:ascii="仿宋_GB2312" w:hAnsi="仿宋_GB2312" w:eastAsia="仿宋_GB2312" w:cs="仿宋_GB2312"/>
          <w:color w:val="auto"/>
          <w:sz w:val="32"/>
          <w:szCs w:val="32"/>
          <w:shd w:val="clear" w:color="auto" w:fill="FFFFFF"/>
          <w:lang w:val="en-US" w:eastAsia="zh-CN"/>
        </w:rPr>
        <w:t>暴露出在燃气设施安装、设备管理、安全检查等方面一系列问题，直接影响了消费者的人身和财产安全；</w:t>
      </w:r>
      <w:r>
        <w:rPr>
          <w:rFonts w:hint="eastAsia" w:ascii="仿宋_GB2312" w:hAnsi="仿宋_GB2312" w:eastAsia="仿宋_GB2312" w:cs="仿宋_GB2312"/>
          <w:color w:val="auto"/>
          <w:sz w:val="32"/>
          <w:szCs w:val="32"/>
        </w:rPr>
        <w:t>杭州余杭区部分区域因特定气候条件下藻类厌氧降解产生的硫醚类物质，</w:t>
      </w:r>
      <w:r>
        <w:rPr>
          <w:rFonts w:hint="eastAsia" w:ascii="仿宋_GB2312" w:hAnsi="仿宋_GB2312" w:eastAsia="仿宋_GB2312" w:cs="仿宋_GB2312"/>
          <w:color w:val="auto"/>
          <w:sz w:val="32"/>
          <w:szCs w:val="32"/>
          <w:lang w:val="en-US" w:eastAsia="zh-CN"/>
        </w:rPr>
        <w:t>造成</w:t>
      </w:r>
      <w:r>
        <w:rPr>
          <w:rFonts w:hint="eastAsia" w:ascii="仿宋_GB2312" w:hAnsi="仿宋_GB2312" w:eastAsia="仿宋_GB2312" w:cs="仿宋_GB2312"/>
          <w:color w:val="auto"/>
          <w:sz w:val="32"/>
          <w:szCs w:val="32"/>
        </w:rPr>
        <w:t>自来水出现异味</w:t>
      </w:r>
      <w:r>
        <w:rPr>
          <w:rFonts w:hint="eastAsia" w:ascii="仿宋_GB2312" w:hAnsi="仿宋_GB2312" w:eastAsia="仿宋_GB2312" w:cs="仿宋_GB2312"/>
          <w:color w:val="auto"/>
          <w:sz w:val="32"/>
          <w:szCs w:val="32"/>
          <w:lang w:val="en-US" w:eastAsia="zh-CN"/>
        </w:rPr>
        <w:t>问题未能及时有效治理</w:t>
      </w:r>
      <w:r>
        <w:rPr>
          <w:rFonts w:hint="eastAsia" w:ascii="仿宋_GB2312" w:hAnsi="仿宋_GB2312" w:eastAsia="仿宋_GB2312" w:cs="仿宋_GB2312"/>
          <w:color w:val="auto"/>
          <w:sz w:val="32"/>
          <w:szCs w:val="32"/>
        </w:rPr>
        <w:t>，引发公众质疑与居民焦虑</w:t>
      </w:r>
      <w:r>
        <w:rPr>
          <w:rFonts w:hint="eastAsia" w:ascii="仿宋_GB2312" w:hAnsi="仿宋_GB2312" w:eastAsia="仿宋_GB2312" w:cs="仿宋_GB2312"/>
          <w:color w:val="auto"/>
          <w:sz w:val="32"/>
          <w:szCs w:val="32"/>
          <w:shd w:val="clear" w:color="auto" w:fill="FFFFFF"/>
        </w:rPr>
        <w:t>。</w:t>
      </w:r>
      <w:r>
        <w:rPr>
          <w:rFonts w:hint="eastAsia" w:ascii="仿宋_GB2312" w:hAnsi="仿宋_GB2312" w:eastAsia="仿宋_GB2312" w:cs="仿宋_GB2312"/>
          <w:bCs/>
          <w:color w:val="auto"/>
          <w:sz w:val="32"/>
          <w:szCs w:val="32"/>
        </w:rPr>
        <w:t>一些景区设施和场所在安全生产与规范运营方面存在风险隐患</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部分旅游景区、景点设施破损或配备不足，个别游乐项目安全防护措施不到位，安全风险较大</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一些</w:t>
      </w:r>
      <w:r>
        <w:rPr>
          <w:rFonts w:hint="eastAsia" w:ascii="仿宋_GB2312" w:hAnsi="仿宋_GB2312" w:eastAsia="仿宋_GB2312" w:cs="仿宋_GB2312"/>
          <w:bCs/>
          <w:color w:val="auto"/>
          <w:sz w:val="32"/>
          <w:szCs w:val="32"/>
        </w:rPr>
        <w:t>旅游景区、酒店民宿、网络服务场所用电安全存在隐患，封闭、堵塞、占用安全出口或疏散通道的情况较为普遍</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给消费者生命财产带来一定风险</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color w:val="auto"/>
          <w:sz w:val="32"/>
          <w:szCs w:val="32"/>
        </w:rPr>
        <w:t>新能源产品方面，</w:t>
      </w:r>
      <w:r>
        <w:rPr>
          <w:rFonts w:hint="eastAsia" w:ascii="仿宋_GB2312" w:hAnsi="仿宋_GB2312" w:eastAsia="仿宋_GB2312" w:cs="仿宋_GB2312"/>
          <w:bCs/>
          <w:color w:val="auto"/>
          <w:sz w:val="32"/>
          <w:szCs w:val="32"/>
        </w:rPr>
        <w:t>新能源汽车产业迅猛发展，但配套回收体系滞后</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导致大量退役电池被违规处置</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一些</w:t>
      </w:r>
      <w:r>
        <w:rPr>
          <w:rFonts w:hint="eastAsia" w:ascii="仿宋_GB2312" w:hAnsi="仿宋_GB2312" w:eastAsia="仿宋_GB2312" w:cs="仿宋_GB2312"/>
          <w:bCs/>
          <w:color w:val="auto"/>
          <w:sz w:val="32"/>
          <w:szCs w:val="32"/>
        </w:rPr>
        <w:t>无资质的小作坊</w:t>
      </w:r>
      <w:r>
        <w:rPr>
          <w:rFonts w:hint="eastAsia" w:ascii="仿宋_GB2312" w:hAnsi="仿宋_GB2312" w:eastAsia="仿宋_GB2312" w:cs="仿宋_GB2312"/>
          <w:bCs/>
          <w:color w:val="auto"/>
          <w:sz w:val="32"/>
          <w:szCs w:val="32"/>
          <w:lang w:val="en-US" w:eastAsia="zh-CN"/>
        </w:rPr>
        <w:t>和不法分子</w:t>
      </w:r>
      <w:r>
        <w:rPr>
          <w:rFonts w:hint="eastAsia" w:ascii="仿宋_GB2312" w:hAnsi="仿宋_GB2312" w:eastAsia="仿宋_GB2312" w:cs="仿宋_GB2312"/>
          <w:bCs/>
          <w:color w:val="auto"/>
          <w:sz w:val="32"/>
          <w:szCs w:val="32"/>
        </w:rPr>
        <w:t>在上游环节收购废旧电池，非法拆解翻新</w:t>
      </w:r>
      <w:r>
        <w:rPr>
          <w:rFonts w:hint="eastAsia" w:ascii="仿宋_GB2312" w:hAnsi="仿宋_GB2312" w:eastAsia="仿宋_GB2312" w:cs="仿宋_GB2312"/>
          <w:bCs/>
          <w:color w:val="auto"/>
          <w:sz w:val="32"/>
          <w:szCs w:val="32"/>
          <w:lang w:val="en-US" w:eastAsia="zh-CN"/>
        </w:rPr>
        <w:t>后投入</w:t>
      </w:r>
      <w:r>
        <w:rPr>
          <w:rFonts w:hint="eastAsia" w:ascii="仿宋_GB2312" w:hAnsi="仿宋_GB2312" w:eastAsia="仿宋_GB2312" w:cs="仿宋_GB2312"/>
          <w:bCs/>
          <w:color w:val="auto"/>
          <w:sz w:val="32"/>
          <w:szCs w:val="32"/>
        </w:rPr>
        <w:t>市场流通，直接威胁消费者人身及财产安全。</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val="en-US" w:eastAsia="zh-CN"/>
        </w:rPr>
        <w:t>二</w:t>
      </w:r>
      <w:r>
        <w:rPr>
          <w:rFonts w:hint="eastAsia" w:ascii="仿宋_GB2312" w:hAnsi="仿宋_GB2312" w:eastAsia="仿宋_GB2312" w:cs="仿宋_GB2312"/>
          <w:bCs/>
          <w:color w:val="auto"/>
          <w:sz w:val="32"/>
          <w:szCs w:val="32"/>
        </w:rPr>
        <w:t>是医美、保健品行业乱象频发。随着颜值经济与健康消费需求的持续攀升，医美、保健品市场规模呈爆发式增长，但行业快速扩张背后的安全漏洞日益凸显，</w:t>
      </w:r>
      <w:r>
        <w:rPr>
          <w:rFonts w:hint="eastAsia" w:ascii="仿宋_GB2312" w:hAnsi="仿宋_GB2312" w:eastAsia="仿宋_GB2312" w:cs="仿宋_GB2312"/>
          <w:bCs/>
          <w:color w:val="auto"/>
          <w:sz w:val="32"/>
          <w:szCs w:val="32"/>
          <w:lang w:val="en-US" w:eastAsia="zh-CN"/>
        </w:rPr>
        <w:t>在</w:t>
      </w:r>
      <w:r>
        <w:rPr>
          <w:rFonts w:hint="eastAsia" w:ascii="仿宋_GB2312" w:hAnsi="仿宋_GB2312" w:eastAsia="仿宋_GB2312" w:cs="仿宋_GB2312"/>
          <w:bCs/>
          <w:color w:val="auto"/>
          <w:sz w:val="32"/>
          <w:szCs w:val="32"/>
        </w:rPr>
        <w:t>侵害消费者合法权益的同时，也对市场管理秩序造成扰乱破坏。当前，医美</w:t>
      </w:r>
      <w:r>
        <w:rPr>
          <w:rFonts w:hint="eastAsia" w:ascii="仿宋_GB2312" w:hAnsi="仿宋_GB2312" w:eastAsia="仿宋_GB2312" w:cs="仿宋_GB2312"/>
          <w:bCs/>
          <w:color w:val="auto"/>
          <w:sz w:val="32"/>
          <w:szCs w:val="32"/>
          <w:lang w:val="en-US" w:eastAsia="zh-CN"/>
        </w:rPr>
        <w:t>和</w:t>
      </w:r>
      <w:r>
        <w:rPr>
          <w:rFonts w:hint="eastAsia" w:ascii="仿宋_GB2312" w:hAnsi="仿宋_GB2312" w:eastAsia="仿宋_GB2312" w:cs="仿宋_GB2312"/>
          <w:bCs/>
          <w:color w:val="auto"/>
          <w:sz w:val="32"/>
          <w:szCs w:val="32"/>
        </w:rPr>
        <w:t>保健品</w:t>
      </w:r>
      <w:r>
        <w:rPr>
          <w:rFonts w:hint="eastAsia" w:ascii="仿宋_GB2312" w:hAnsi="仿宋_GB2312" w:eastAsia="仿宋_GB2312" w:cs="仿宋_GB2312"/>
          <w:bCs/>
          <w:color w:val="auto"/>
          <w:sz w:val="32"/>
          <w:szCs w:val="32"/>
          <w:lang w:val="en-US" w:eastAsia="zh-CN"/>
        </w:rPr>
        <w:t>领域，</w:t>
      </w:r>
      <w:r>
        <w:rPr>
          <w:rFonts w:hint="eastAsia" w:ascii="仿宋_GB2312" w:hAnsi="仿宋_GB2312" w:eastAsia="仿宋_GB2312" w:cs="仿宋_GB2312"/>
          <w:bCs/>
          <w:color w:val="auto"/>
          <w:sz w:val="32"/>
          <w:szCs w:val="32"/>
        </w:rPr>
        <w:t>无资质经营问题</w:t>
      </w:r>
      <w:r>
        <w:rPr>
          <w:rFonts w:hint="eastAsia" w:ascii="仿宋_GB2312" w:hAnsi="仿宋_GB2312" w:eastAsia="仿宋_GB2312" w:cs="仿宋_GB2312"/>
          <w:bCs/>
          <w:color w:val="auto"/>
          <w:sz w:val="32"/>
          <w:szCs w:val="32"/>
          <w:lang w:val="en-US" w:eastAsia="zh-CN"/>
        </w:rPr>
        <w:t>比较</w:t>
      </w:r>
      <w:r>
        <w:rPr>
          <w:rFonts w:hint="eastAsia" w:ascii="仿宋_GB2312" w:hAnsi="仿宋_GB2312" w:eastAsia="仿宋_GB2312" w:cs="仿宋_GB2312"/>
          <w:bCs/>
          <w:color w:val="auto"/>
          <w:sz w:val="32"/>
          <w:szCs w:val="32"/>
        </w:rPr>
        <w:t>突出，一些非正规</w:t>
      </w:r>
      <w:r>
        <w:rPr>
          <w:rFonts w:hint="eastAsia" w:ascii="仿宋_GB2312" w:hAnsi="仿宋_GB2312" w:eastAsia="仿宋_GB2312" w:cs="仿宋_GB2312"/>
          <w:bCs/>
          <w:color w:val="auto"/>
          <w:sz w:val="32"/>
          <w:szCs w:val="32"/>
          <w:lang w:val="en-US" w:eastAsia="zh-CN"/>
        </w:rPr>
        <w:t>美容</w:t>
      </w:r>
      <w:r>
        <w:rPr>
          <w:rFonts w:hint="eastAsia" w:ascii="仿宋_GB2312" w:hAnsi="仿宋_GB2312" w:eastAsia="仿宋_GB2312" w:cs="仿宋_GB2312"/>
          <w:bCs/>
          <w:color w:val="auto"/>
          <w:sz w:val="32"/>
          <w:szCs w:val="32"/>
        </w:rPr>
        <w:t>工作室、美容院等超越经营范围，擅自开展注射类医美项目，</w:t>
      </w:r>
      <w:r>
        <w:rPr>
          <w:rFonts w:hint="eastAsia" w:ascii="仿宋_GB2312" w:hAnsi="仿宋_GB2312" w:eastAsia="仿宋_GB2312" w:cs="仿宋_GB2312"/>
          <w:bCs/>
          <w:color w:val="auto"/>
          <w:sz w:val="32"/>
          <w:szCs w:val="32"/>
          <w:lang w:val="en-US" w:eastAsia="zh-CN"/>
        </w:rPr>
        <w:t>或</w:t>
      </w:r>
      <w:r>
        <w:rPr>
          <w:rFonts w:hint="eastAsia" w:ascii="仿宋_GB2312" w:hAnsi="仿宋_GB2312" w:eastAsia="仿宋_GB2312" w:cs="仿宋_GB2312"/>
          <w:bCs/>
          <w:color w:val="auto"/>
          <w:sz w:val="32"/>
          <w:szCs w:val="32"/>
        </w:rPr>
        <w:t>通过社交平台兜售未经国家药品监督管理局批准的“三无”医美产品和保健品</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如</w:t>
      </w:r>
      <w:r>
        <w:rPr>
          <w:rFonts w:hint="eastAsia" w:ascii="仿宋_GB2312" w:hAnsi="仿宋_GB2312" w:eastAsia="仿宋_GB2312" w:cs="仿宋_GB2312"/>
          <w:bCs/>
          <w:color w:val="auto"/>
          <w:sz w:val="32"/>
          <w:szCs w:val="32"/>
          <w:lang w:val="en-US" w:eastAsia="zh-CN"/>
        </w:rPr>
        <w:t>一些</w:t>
      </w:r>
      <w:r>
        <w:rPr>
          <w:rFonts w:hint="eastAsia" w:ascii="仿宋_GB2312" w:hAnsi="仿宋_GB2312" w:eastAsia="仿宋_GB2312" w:cs="仿宋_GB2312"/>
          <w:bCs/>
          <w:color w:val="auto"/>
          <w:sz w:val="32"/>
          <w:szCs w:val="32"/>
        </w:rPr>
        <w:t>地下作坊生产</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网红减肥针</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等产品，制剂成分不明、剂量随意调配，未通过任何临床安全性验证，注射后极易引发局部感染、血管栓塞、过敏休克、器官衰竭等严重不良反应，甚至危及</w:t>
      </w:r>
      <w:r>
        <w:rPr>
          <w:rFonts w:hint="eastAsia" w:ascii="仿宋_GB2312" w:hAnsi="仿宋_GB2312" w:eastAsia="仿宋_GB2312" w:cs="仿宋_GB2312"/>
          <w:bCs/>
          <w:color w:val="auto"/>
          <w:sz w:val="32"/>
          <w:szCs w:val="32"/>
          <w:lang w:val="en-US" w:eastAsia="zh-CN"/>
        </w:rPr>
        <w:t>消费者</w:t>
      </w:r>
      <w:r>
        <w:rPr>
          <w:rFonts w:hint="eastAsia" w:ascii="仿宋_GB2312" w:hAnsi="仿宋_GB2312" w:eastAsia="仿宋_GB2312" w:cs="仿宋_GB2312"/>
          <w:bCs/>
          <w:color w:val="auto"/>
          <w:sz w:val="32"/>
          <w:szCs w:val="32"/>
        </w:rPr>
        <w:t>生命安全</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非法添加问题也屡禁不止</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部分宣称“快速减肥”“美容养颜”的保健食品中违规掺入激素、泻药、西布曲明等禁限用成分，长期服用会对人体内分泌系统、肝肾功能造成严重损伤，给消费者的健康带来不可逆的损害。</w:t>
      </w:r>
    </w:p>
    <w:p>
      <w:pPr>
        <w:pageBreakBefore w:val="0"/>
        <w:widowControl/>
        <w:kinsoku/>
        <w:wordWrap/>
        <w:overflowPunct/>
        <w:topLinePunct w:val="0"/>
        <w:autoSpaceDE/>
        <w:autoSpaceDN/>
        <w:bidi w:val="0"/>
        <w:adjustRightInd/>
        <w:snapToGrid/>
        <w:spacing w:line="594" w:lineRule="exact"/>
        <w:ind w:firstLine="640" w:firstLineChars="0"/>
        <w:textAlignment w:val="auto"/>
        <w:rPr>
          <w:rFonts w:hint="eastAsia" w:ascii="仿宋_GB2312" w:hAnsi="仿宋_GB2312" w:eastAsia="仿宋_GB2312" w:cs="仿宋_GB2312"/>
          <w:bCs/>
          <w:color w:val="auto"/>
          <w:sz w:val="32"/>
          <w:szCs w:val="32"/>
        </w:rPr>
      </w:pPr>
      <w:bookmarkStart w:id="119" w:name="_Toc221610699"/>
      <w:r>
        <w:rPr>
          <w:rFonts w:hint="eastAsia" w:ascii="仿宋_GB2312" w:hAnsi="仿宋_GB2312" w:eastAsia="仿宋_GB2312" w:cs="仿宋_GB2312"/>
          <w:bCs/>
          <w:color w:val="auto"/>
          <w:sz w:val="32"/>
          <w:szCs w:val="32"/>
        </w:rPr>
        <w:t>三</w:t>
      </w:r>
      <w:r>
        <w:rPr>
          <w:rFonts w:hint="eastAsia" w:ascii="仿宋_GB2312" w:hAnsi="仿宋_GB2312" w:eastAsia="仿宋_GB2312" w:cs="仿宋_GB2312"/>
          <w:bCs/>
          <w:color w:val="auto"/>
          <w:sz w:val="32"/>
          <w:szCs w:val="32"/>
          <w:lang w:val="en-US" w:eastAsia="zh-CN"/>
        </w:rPr>
        <w:t>是</w:t>
      </w:r>
      <w:r>
        <w:rPr>
          <w:rFonts w:hint="eastAsia" w:ascii="仿宋_GB2312" w:hAnsi="仿宋_GB2312" w:eastAsia="仿宋_GB2312" w:cs="仿宋_GB2312"/>
          <w:bCs/>
          <w:color w:val="auto"/>
          <w:sz w:val="32"/>
          <w:szCs w:val="32"/>
        </w:rPr>
        <w:t>服务消费</w:t>
      </w:r>
      <w:r>
        <w:rPr>
          <w:rFonts w:hint="eastAsia" w:ascii="仿宋_GB2312" w:hAnsi="仿宋_GB2312" w:eastAsia="仿宋_GB2312" w:cs="仿宋_GB2312"/>
          <w:bCs/>
          <w:color w:val="auto"/>
          <w:sz w:val="32"/>
          <w:szCs w:val="32"/>
          <w:lang w:val="en-US" w:eastAsia="zh-CN"/>
        </w:rPr>
        <w:t>中</w:t>
      </w:r>
      <w:r>
        <w:rPr>
          <w:rFonts w:hint="eastAsia" w:ascii="仿宋_GB2312" w:hAnsi="仿宋_GB2312" w:eastAsia="仿宋_GB2312" w:cs="仿宋_GB2312"/>
          <w:bCs/>
          <w:color w:val="auto"/>
          <w:sz w:val="32"/>
          <w:szCs w:val="32"/>
        </w:rPr>
        <w:t>价格欺诈</w:t>
      </w:r>
      <w:r>
        <w:rPr>
          <w:rFonts w:hint="eastAsia" w:ascii="仿宋_GB2312" w:hAnsi="仿宋_GB2312" w:eastAsia="仿宋_GB2312" w:cs="仿宋_GB2312"/>
          <w:bCs/>
          <w:color w:val="auto"/>
          <w:sz w:val="32"/>
          <w:szCs w:val="32"/>
          <w:lang w:val="en-US" w:eastAsia="zh-CN"/>
        </w:rPr>
        <w:t>等违法</w:t>
      </w:r>
      <w:r>
        <w:rPr>
          <w:rFonts w:hint="eastAsia" w:ascii="仿宋_GB2312" w:hAnsi="仿宋_GB2312" w:eastAsia="仿宋_GB2312" w:cs="仿宋_GB2312"/>
          <w:bCs/>
          <w:color w:val="auto"/>
          <w:sz w:val="32"/>
          <w:szCs w:val="32"/>
        </w:rPr>
        <w:t>问题</w:t>
      </w:r>
      <w:bookmarkEnd w:id="119"/>
      <w:r>
        <w:rPr>
          <w:rFonts w:hint="eastAsia" w:ascii="仿宋_GB2312" w:hAnsi="仿宋_GB2312" w:eastAsia="仿宋_GB2312" w:cs="仿宋_GB2312"/>
          <w:bCs/>
          <w:color w:val="auto"/>
          <w:sz w:val="32"/>
          <w:szCs w:val="32"/>
          <w:lang w:val="en-US" w:eastAsia="zh-CN"/>
        </w:rPr>
        <w:t>多发</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2</w:t>
      </w:r>
      <w:r>
        <w:rPr>
          <w:rFonts w:hint="eastAsia" w:ascii="仿宋_GB2312" w:hAnsi="仿宋_GB2312" w:eastAsia="仿宋_GB2312" w:cs="仿宋_GB2312"/>
          <w:bCs/>
          <w:color w:val="auto"/>
          <w:sz w:val="32"/>
          <w:szCs w:val="32"/>
        </w:rPr>
        <w:t>025年，我国服务消费市场持续扩张，消费种类不断增多，但强制消费、天价收费等问题时有发生。这种乱象直接侵害了消费者的自主选择权和公平交易权，破坏了市场秩序，影响了消费者的消费信心，成为制约消费的</w:t>
      </w:r>
      <w:r>
        <w:rPr>
          <w:rFonts w:hint="eastAsia" w:ascii="仿宋_GB2312" w:hAnsi="仿宋_GB2312" w:eastAsia="仿宋_GB2312" w:cs="仿宋_GB2312"/>
          <w:bCs/>
          <w:color w:val="auto"/>
          <w:sz w:val="32"/>
          <w:szCs w:val="32"/>
          <w:lang w:val="en-US" w:eastAsia="zh-CN"/>
        </w:rPr>
        <w:t>重要</w:t>
      </w:r>
      <w:r>
        <w:rPr>
          <w:rFonts w:hint="eastAsia" w:ascii="仿宋_GB2312" w:hAnsi="仿宋_GB2312" w:eastAsia="仿宋_GB2312" w:cs="仿宋_GB2312"/>
          <w:bCs/>
          <w:color w:val="auto"/>
          <w:sz w:val="32"/>
          <w:szCs w:val="32"/>
        </w:rPr>
        <w:t>因素。</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在家装维修消费</w:t>
      </w:r>
      <w:r>
        <w:rPr>
          <w:rFonts w:hint="eastAsia" w:ascii="仿宋_GB2312" w:hAnsi="仿宋_GB2312" w:eastAsia="仿宋_GB2312" w:cs="仿宋_GB2312"/>
          <w:bCs/>
          <w:color w:val="auto"/>
          <w:sz w:val="32"/>
          <w:szCs w:val="32"/>
          <w:lang w:val="en-US" w:eastAsia="zh-CN"/>
        </w:rPr>
        <w:t>中</w:t>
      </w:r>
      <w:r>
        <w:rPr>
          <w:rFonts w:hint="eastAsia" w:ascii="仿宋_GB2312" w:hAnsi="仿宋_GB2312" w:eastAsia="仿宋_GB2312" w:cs="仿宋_GB2312"/>
          <w:bCs/>
          <w:color w:val="auto"/>
          <w:sz w:val="32"/>
          <w:szCs w:val="32"/>
        </w:rPr>
        <w:t>，漫天要价、胡乱收费问题突出，引发公众强烈不满。一些</w:t>
      </w:r>
      <w:r>
        <w:rPr>
          <w:rFonts w:hint="eastAsia" w:ascii="仿宋_GB2312" w:hAnsi="仿宋_GB2312" w:eastAsia="仿宋_GB2312" w:cs="仿宋_GB2312"/>
          <w:bCs/>
          <w:color w:val="auto"/>
          <w:sz w:val="32"/>
          <w:szCs w:val="32"/>
          <w:lang w:val="en-US" w:eastAsia="zh-CN"/>
        </w:rPr>
        <w:t>经营者</w:t>
      </w:r>
      <w:r>
        <w:rPr>
          <w:rFonts w:hint="eastAsia" w:ascii="仿宋_GB2312" w:hAnsi="仿宋_GB2312" w:eastAsia="仿宋_GB2312" w:cs="仿宋_GB2312"/>
          <w:bCs/>
          <w:color w:val="auto"/>
          <w:sz w:val="32"/>
          <w:szCs w:val="32"/>
        </w:rPr>
        <w:t>通过低价引流，以“整装全包”“零增项保障”为核心虚假承诺，诱导消费者支付定金，随后拖延设计效果图、详细报价单等核心文件的交付时间，耗尽定金退定期限；</w:t>
      </w:r>
      <w:r>
        <w:rPr>
          <w:rFonts w:hint="eastAsia" w:ascii="仿宋_GB2312" w:hAnsi="仿宋_GB2312" w:eastAsia="仿宋_GB2312" w:cs="仿宋_GB2312"/>
          <w:bCs/>
          <w:color w:val="auto"/>
          <w:sz w:val="32"/>
          <w:szCs w:val="32"/>
          <w:lang w:val="en-US" w:eastAsia="zh-CN"/>
        </w:rPr>
        <w:t>还有一些</w:t>
      </w:r>
      <w:r>
        <w:rPr>
          <w:rFonts w:hint="eastAsia" w:ascii="仿宋_GB2312" w:hAnsi="仿宋_GB2312" w:eastAsia="仿宋_GB2312" w:cs="仿宋_GB2312"/>
          <w:bCs/>
          <w:color w:val="auto"/>
          <w:sz w:val="32"/>
          <w:szCs w:val="32"/>
        </w:rPr>
        <w:t>经营者</w:t>
      </w:r>
      <w:r>
        <w:rPr>
          <w:rFonts w:hint="eastAsia" w:ascii="仿宋_GB2312" w:hAnsi="仿宋_GB2312" w:eastAsia="仿宋_GB2312" w:cs="仿宋_GB2312"/>
          <w:bCs/>
          <w:color w:val="auto"/>
          <w:sz w:val="32"/>
          <w:szCs w:val="32"/>
          <w:lang w:val="en-US" w:eastAsia="zh-CN"/>
        </w:rPr>
        <w:t>实施</w:t>
      </w:r>
      <w:r>
        <w:rPr>
          <w:rFonts w:hint="eastAsia" w:ascii="仿宋_GB2312" w:hAnsi="仿宋_GB2312" w:eastAsia="仿宋_GB2312" w:cs="仿宋_GB2312"/>
          <w:bCs/>
          <w:color w:val="auto"/>
          <w:sz w:val="32"/>
          <w:szCs w:val="32"/>
        </w:rPr>
        <w:t>拆分合同报价、模糊计价条款</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设置</w:t>
      </w:r>
      <w:r>
        <w:rPr>
          <w:rFonts w:hint="eastAsia" w:ascii="仿宋_GB2312" w:hAnsi="仿宋_GB2312" w:eastAsia="仿宋_GB2312" w:cs="仿宋_GB2312"/>
          <w:bCs/>
          <w:color w:val="auto"/>
          <w:sz w:val="32"/>
          <w:szCs w:val="32"/>
          <w:lang w:val="en-US" w:eastAsia="zh-CN"/>
        </w:rPr>
        <w:t>合同</w:t>
      </w:r>
      <w:r>
        <w:rPr>
          <w:rFonts w:hint="eastAsia" w:ascii="仿宋_GB2312" w:hAnsi="仿宋_GB2312" w:eastAsia="仿宋_GB2312" w:cs="仿宋_GB2312"/>
          <w:bCs/>
          <w:color w:val="auto"/>
          <w:sz w:val="32"/>
          <w:szCs w:val="32"/>
        </w:rPr>
        <w:t>陷阱</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隐瞒关键信息</w:t>
      </w:r>
      <w:r>
        <w:rPr>
          <w:rFonts w:hint="eastAsia" w:ascii="仿宋_GB2312" w:hAnsi="仿宋_GB2312" w:eastAsia="仿宋_GB2312" w:cs="仿宋_GB2312"/>
          <w:bCs/>
          <w:color w:val="auto"/>
          <w:sz w:val="32"/>
          <w:szCs w:val="32"/>
          <w:lang w:val="en-US" w:eastAsia="zh-CN"/>
        </w:rPr>
        <w:t>等行为</w:t>
      </w:r>
      <w:r>
        <w:rPr>
          <w:rFonts w:hint="eastAsia" w:ascii="仿宋_GB2312" w:hAnsi="仿宋_GB2312" w:eastAsia="仿宋_GB2312" w:cs="仿宋_GB2312"/>
          <w:bCs/>
          <w:color w:val="auto"/>
          <w:sz w:val="32"/>
          <w:szCs w:val="32"/>
        </w:rPr>
        <w:t>，在消费者支付大部分款项后，寻找各种理由恶意增项，如“五金件、灯带不在全包范围”等，并以停工相要挟逼迫补款。在维修服务中，部分经营者和维修人员在简单的家庭维修服务中收取高额费用</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还有维修人员上门维修时先报低价诱导消费者同意，完工后坐地起价，并以堵门威胁等方式逼迫付款。</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在</w:t>
      </w:r>
      <w:r>
        <w:rPr>
          <w:rFonts w:hint="eastAsia" w:ascii="仿宋_GB2312" w:hAnsi="仿宋_GB2312" w:eastAsia="仿宋_GB2312" w:cs="仿宋_GB2312"/>
          <w:bCs/>
          <w:color w:val="auto"/>
          <w:sz w:val="32"/>
          <w:szCs w:val="32"/>
          <w:lang w:val="en-US" w:eastAsia="zh-CN"/>
        </w:rPr>
        <w:t>交通</w:t>
      </w:r>
      <w:r>
        <w:rPr>
          <w:rFonts w:hint="eastAsia" w:ascii="仿宋_GB2312" w:hAnsi="仿宋_GB2312" w:eastAsia="仿宋_GB2312" w:cs="仿宋_GB2312"/>
          <w:bCs/>
          <w:color w:val="auto"/>
          <w:sz w:val="32"/>
          <w:szCs w:val="32"/>
        </w:rPr>
        <w:t>服务</w:t>
      </w:r>
      <w:r>
        <w:rPr>
          <w:rFonts w:hint="eastAsia" w:ascii="仿宋_GB2312" w:hAnsi="仿宋_GB2312" w:eastAsia="仿宋_GB2312" w:cs="仿宋_GB2312"/>
          <w:bCs/>
          <w:color w:val="auto"/>
          <w:sz w:val="32"/>
          <w:szCs w:val="32"/>
          <w:lang w:val="en-US" w:eastAsia="zh-CN"/>
        </w:rPr>
        <w:t>中</w:t>
      </w:r>
      <w:r>
        <w:rPr>
          <w:rFonts w:hint="eastAsia" w:ascii="仿宋_GB2312" w:hAnsi="仿宋_GB2312" w:eastAsia="仿宋_GB2312" w:cs="仿宋_GB2312"/>
          <w:bCs/>
          <w:color w:val="auto"/>
          <w:sz w:val="32"/>
          <w:szCs w:val="32"/>
        </w:rPr>
        <w:t>，一些网络</w:t>
      </w:r>
      <w:r>
        <w:rPr>
          <w:rFonts w:hint="eastAsia" w:ascii="仿宋_GB2312" w:hAnsi="仿宋_GB2312" w:eastAsia="仿宋_GB2312" w:cs="仿宋_GB2312"/>
          <w:bCs/>
          <w:color w:val="auto"/>
          <w:sz w:val="32"/>
          <w:szCs w:val="32"/>
          <w:lang w:val="en-US" w:eastAsia="zh-CN"/>
        </w:rPr>
        <w:t>运输</w:t>
      </w:r>
      <w:r>
        <w:rPr>
          <w:rFonts w:hint="eastAsia" w:ascii="仿宋_GB2312" w:hAnsi="仿宋_GB2312" w:eastAsia="仿宋_GB2312" w:cs="仿宋_GB2312"/>
          <w:bCs/>
          <w:color w:val="auto"/>
          <w:sz w:val="32"/>
          <w:szCs w:val="32"/>
        </w:rPr>
        <w:t>平台存在价格不透明、服务与信息不符、时效无保障、纠纷处理失衡等问题。平台多以一口价、预估价展示运费，</w:t>
      </w:r>
      <w:r>
        <w:rPr>
          <w:rFonts w:hint="eastAsia" w:ascii="仿宋_GB2312" w:hAnsi="仿宋_GB2312" w:eastAsia="仿宋_GB2312" w:cs="仿宋_GB2312"/>
          <w:bCs/>
          <w:color w:val="auto"/>
          <w:sz w:val="32"/>
          <w:szCs w:val="32"/>
          <w:lang w:val="en-US" w:eastAsia="zh-CN"/>
        </w:rPr>
        <w:t>而</w:t>
      </w:r>
      <w:r>
        <w:rPr>
          <w:rFonts w:hint="eastAsia" w:ascii="仿宋_GB2312" w:hAnsi="仿宋_GB2312" w:eastAsia="仿宋_GB2312" w:cs="仿宋_GB2312"/>
          <w:bCs/>
          <w:color w:val="auto"/>
          <w:sz w:val="32"/>
          <w:szCs w:val="32"/>
        </w:rPr>
        <w:t>里程计费梯度、多因素调价等关键计价信息却在次级菜单中，消费者难以在决策阶段快速掌握完整计价</w:t>
      </w:r>
      <w:r>
        <w:rPr>
          <w:rFonts w:hint="eastAsia" w:ascii="仿宋_GB2312" w:hAnsi="仿宋_GB2312" w:eastAsia="仿宋_GB2312" w:cs="仿宋_GB2312"/>
          <w:bCs/>
          <w:color w:val="auto"/>
          <w:sz w:val="32"/>
          <w:szCs w:val="32"/>
          <w:lang w:val="en-US" w:eastAsia="zh-CN"/>
        </w:rPr>
        <w:t>规则</w:t>
      </w:r>
      <w:r>
        <w:rPr>
          <w:rFonts w:hint="eastAsia" w:ascii="仿宋_GB2312" w:hAnsi="仿宋_GB2312" w:eastAsia="仿宋_GB2312" w:cs="仿宋_GB2312"/>
          <w:bCs/>
          <w:color w:val="auto"/>
          <w:sz w:val="32"/>
          <w:szCs w:val="32"/>
        </w:rPr>
        <w:t>。此外，附加费用提示不醒目，搬运费、等候费、高速费等的触发条件未提前明确告知，为纠纷发生埋下隐患。</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val="en-US" w:eastAsia="zh-CN"/>
        </w:rPr>
        <w:t>在</w:t>
      </w:r>
      <w:r>
        <w:rPr>
          <w:rFonts w:hint="eastAsia" w:ascii="仿宋_GB2312" w:hAnsi="仿宋_GB2312" w:eastAsia="仿宋_GB2312" w:cs="仿宋_GB2312"/>
          <w:bCs/>
          <w:color w:val="auto"/>
          <w:sz w:val="32"/>
          <w:szCs w:val="32"/>
        </w:rPr>
        <w:t>文旅消费</w:t>
      </w:r>
      <w:r>
        <w:rPr>
          <w:rFonts w:hint="eastAsia" w:ascii="仿宋_GB2312" w:hAnsi="仿宋_GB2312" w:eastAsia="仿宋_GB2312" w:cs="仿宋_GB2312"/>
          <w:bCs/>
          <w:color w:val="auto"/>
          <w:sz w:val="32"/>
          <w:szCs w:val="32"/>
          <w:lang w:val="en-US" w:eastAsia="zh-CN"/>
        </w:rPr>
        <w:t>中</w:t>
      </w:r>
      <w:r>
        <w:rPr>
          <w:rFonts w:hint="eastAsia" w:ascii="仿宋_GB2312" w:hAnsi="仿宋_GB2312" w:eastAsia="仿宋_GB2312" w:cs="仿宋_GB2312"/>
          <w:bCs/>
          <w:color w:val="auto"/>
          <w:sz w:val="32"/>
          <w:szCs w:val="32"/>
        </w:rPr>
        <w:t>，客流增长与消费场景扩容时，景区“超载”旧疾</w:t>
      </w:r>
      <w:r>
        <w:rPr>
          <w:rFonts w:hint="eastAsia" w:ascii="仿宋_GB2312" w:hAnsi="仿宋_GB2312" w:eastAsia="仿宋_GB2312" w:cs="仿宋_GB2312"/>
          <w:bCs/>
          <w:color w:val="auto"/>
          <w:sz w:val="32"/>
          <w:szCs w:val="32"/>
          <w:lang w:val="en-US" w:eastAsia="zh-CN"/>
        </w:rPr>
        <w:t>直接</w:t>
      </w:r>
      <w:r>
        <w:rPr>
          <w:rFonts w:hint="eastAsia" w:ascii="仿宋_GB2312" w:hAnsi="仿宋_GB2312" w:eastAsia="仿宋_GB2312" w:cs="仿宋_GB2312"/>
          <w:bCs/>
          <w:color w:val="auto"/>
          <w:sz w:val="32"/>
          <w:szCs w:val="32"/>
        </w:rPr>
        <w:t>影响游客体验</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个别商家违约失信引发消费纠纷</w:t>
      </w:r>
      <w:r>
        <w:rPr>
          <w:rFonts w:hint="eastAsia" w:ascii="仿宋_GB2312" w:hAnsi="仿宋_GB2312" w:eastAsia="仿宋_GB2312" w:cs="仿宋_GB2312"/>
          <w:bCs/>
          <w:color w:val="auto"/>
          <w:sz w:val="32"/>
          <w:szCs w:val="32"/>
          <w:lang w:val="en-US" w:eastAsia="zh-CN"/>
        </w:rPr>
        <w:t>的情况时有发生</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一些旅游目的地经营者的</w:t>
      </w:r>
      <w:r>
        <w:rPr>
          <w:rFonts w:hint="eastAsia" w:ascii="仿宋_GB2312" w:hAnsi="仿宋_GB2312" w:eastAsia="仿宋_GB2312" w:cs="仿宋_GB2312"/>
          <w:bCs/>
          <w:color w:val="auto"/>
          <w:sz w:val="32"/>
          <w:szCs w:val="32"/>
        </w:rPr>
        <w:t>违法成本相对较低，</w:t>
      </w:r>
      <w:r>
        <w:rPr>
          <w:rFonts w:hint="eastAsia" w:ascii="仿宋_GB2312" w:hAnsi="仿宋_GB2312" w:eastAsia="仿宋_GB2312" w:cs="仿宋_GB2312"/>
          <w:bCs/>
          <w:color w:val="auto"/>
          <w:sz w:val="32"/>
          <w:szCs w:val="32"/>
          <w:lang w:val="en-US" w:eastAsia="zh-CN"/>
        </w:rPr>
        <w:t>旅游消费中</w:t>
      </w:r>
      <w:r>
        <w:rPr>
          <w:rFonts w:hint="eastAsia" w:ascii="仿宋_GB2312" w:hAnsi="仿宋_GB2312" w:eastAsia="仿宋_GB2312" w:cs="仿宋_GB2312"/>
          <w:bCs/>
          <w:color w:val="auto"/>
          <w:sz w:val="32"/>
          <w:szCs w:val="32"/>
        </w:rPr>
        <w:t>价格欺诈、强制消费等宰客行为</w:t>
      </w:r>
      <w:r>
        <w:rPr>
          <w:rFonts w:hint="eastAsia" w:ascii="仿宋_GB2312" w:hAnsi="仿宋_GB2312" w:eastAsia="仿宋_GB2312" w:cs="仿宋_GB2312"/>
          <w:bCs/>
          <w:color w:val="auto"/>
          <w:sz w:val="32"/>
          <w:szCs w:val="32"/>
          <w:lang w:val="en-US" w:eastAsia="zh-CN"/>
        </w:rPr>
        <w:t>时有发生</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致使消费者合法权益受到严重侵害，更影响了当地的消费环境</w:t>
      </w:r>
      <w:r>
        <w:rPr>
          <w:rFonts w:hint="eastAsia" w:ascii="仿宋_GB2312" w:hAnsi="仿宋_GB2312" w:eastAsia="仿宋_GB2312" w:cs="仿宋_GB2312"/>
          <w:bCs/>
          <w:color w:val="auto"/>
          <w:sz w:val="32"/>
          <w:szCs w:val="32"/>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lang w:val="en-US" w:eastAsia="zh-CN"/>
        </w:rPr>
      </w:pPr>
      <w:bookmarkStart w:id="120" w:name="_Toc221610700"/>
      <w:bookmarkStart w:id="121" w:name="_Toc13966"/>
      <w:bookmarkStart w:id="122" w:name="_Toc22924"/>
      <w:r>
        <w:rPr>
          <w:rFonts w:hint="eastAsia" w:ascii="黑体" w:hAnsi="黑体" w:eastAsia="黑体" w:cs="黑体"/>
          <w:bCs/>
          <w:color w:val="000000"/>
          <w:sz w:val="32"/>
          <w:szCs w:val="32"/>
          <w:lang w:val="en-US" w:eastAsia="zh-CN"/>
        </w:rPr>
        <w:t>三</w:t>
      </w:r>
      <w:r>
        <w:rPr>
          <w:rFonts w:hint="eastAsia" w:ascii="黑体" w:hAnsi="黑体" w:eastAsia="黑体" w:cs="黑体"/>
          <w:bCs/>
          <w:color w:val="000000"/>
          <w:sz w:val="32"/>
          <w:szCs w:val="32"/>
        </w:rPr>
        <w:t>、</w:t>
      </w:r>
      <w:r>
        <w:rPr>
          <w:rFonts w:hint="eastAsia" w:ascii="黑体" w:hAnsi="黑体" w:eastAsia="黑体" w:cs="黑体"/>
          <w:bCs/>
          <w:color w:val="000000"/>
          <w:sz w:val="32"/>
          <w:szCs w:val="32"/>
          <w:lang w:val="en-US"/>
        </w:rPr>
        <w:t>网络</w:t>
      </w:r>
      <w:r>
        <w:rPr>
          <w:rFonts w:hint="eastAsia" w:ascii="黑体" w:hAnsi="黑体" w:eastAsia="黑体" w:cs="黑体"/>
          <w:bCs/>
          <w:color w:val="000000"/>
          <w:sz w:val="32"/>
          <w:szCs w:val="32"/>
        </w:rPr>
        <w:t>消费领域虚假宣传</w:t>
      </w:r>
      <w:r>
        <w:rPr>
          <w:rFonts w:hint="eastAsia" w:ascii="黑体" w:hAnsi="黑体" w:eastAsia="黑体" w:cs="黑体"/>
          <w:bCs/>
          <w:color w:val="000000"/>
          <w:sz w:val="32"/>
          <w:szCs w:val="32"/>
          <w:lang w:val="en-US" w:eastAsia="zh-CN"/>
        </w:rPr>
        <w:t>等新旧</w:t>
      </w:r>
      <w:r>
        <w:rPr>
          <w:rFonts w:hint="eastAsia" w:ascii="黑体" w:hAnsi="黑体" w:eastAsia="黑体" w:cs="黑体"/>
          <w:bCs/>
          <w:color w:val="000000"/>
          <w:sz w:val="32"/>
          <w:szCs w:val="32"/>
        </w:rPr>
        <w:t>问题</w:t>
      </w:r>
      <w:bookmarkEnd w:id="120"/>
      <w:bookmarkEnd w:id="121"/>
      <w:r>
        <w:rPr>
          <w:rFonts w:hint="eastAsia" w:ascii="黑体" w:hAnsi="黑体" w:eastAsia="黑体" w:cs="黑体"/>
          <w:bCs/>
          <w:color w:val="000000"/>
          <w:sz w:val="32"/>
          <w:szCs w:val="32"/>
          <w:lang w:val="en-US" w:eastAsia="zh-CN"/>
        </w:rPr>
        <w:t>时有发生</w:t>
      </w:r>
      <w:bookmarkEnd w:id="122"/>
    </w:p>
    <w:p>
      <w:pPr>
        <w:pageBreakBefore w:val="0"/>
        <w:widowControl/>
        <w:kinsoku/>
        <w:wordWrap/>
        <w:overflowPunct/>
        <w:topLinePunct w:val="0"/>
        <w:autoSpaceDE/>
        <w:autoSpaceDN/>
        <w:bidi w:val="0"/>
        <w:adjustRightInd/>
        <w:snapToGrid/>
        <w:spacing w:line="594" w:lineRule="exact"/>
        <w:ind w:firstLine="64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val="en-US" w:eastAsia="zh-CN"/>
        </w:rPr>
        <w:t>在</w:t>
      </w:r>
      <w:r>
        <w:rPr>
          <w:rFonts w:hint="eastAsia" w:ascii="仿宋_GB2312" w:hAnsi="仿宋_GB2312" w:eastAsia="仿宋_GB2312" w:cs="仿宋_GB2312"/>
          <w:bCs/>
          <w:color w:val="auto"/>
          <w:sz w:val="32"/>
          <w:szCs w:val="32"/>
        </w:rPr>
        <w:t>网络消费领域中，</w:t>
      </w:r>
      <w:r>
        <w:rPr>
          <w:rFonts w:hint="eastAsia" w:ascii="仿宋_GB2312" w:hAnsi="仿宋_GB2312" w:eastAsia="仿宋_GB2312" w:cs="仿宋_GB2312"/>
          <w:bCs/>
          <w:color w:val="auto"/>
          <w:sz w:val="32"/>
          <w:szCs w:val="32"/>
          <w:lang w:val="en-US" w:eastAsia="zh-CN"/>
        </w:rPr>
        <w:t>随着技术</w:t>
      </w:r>
      <w:r>
        <w:rPr>
          <w:rFonts w:hint="eastAsia" w:ascii="仿宋_GB2312" w:hAnsi="仿宋_GB2312" w:eastAsia="仿宋_GB2312" w:cs="仿宋_GB2312"/>
          <w:bCs/>
          <w:color w:val="auto"/>
          <w:sz w:val="32"/>
          <w:szCs w:val="32"/>
        </w:rPr>
        <w:t>迭代、业态演进与商业模式的创新</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虚假宣传</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安全漏洞等问题</w:t>
      </w:r>
      <w:r>
        <w:rPr>
          <w:rFonts w:hint="eastAsia" w:ascii="仿宋_GB2312" w:hAnsi="仿宋_GB2312" w:eastAsia="仿宋_GB2312" w:cs="仿宋_GB2312"/>
          <w:bCs/>
          <w:color w:val="auto"/>
          <w:sz w:val="32"/>
          <w:szCs w:val="32"/>
        </w:rPr>
        <w:t>呈现出花样翻新、隐蔽性增强</w:t>
      </w:r>
      <w:r>
        <w:rPr>
          <w:rFonts w:hint="eastAsia" w:ascii="仿宋_GB2312" w:hAnsi="仿宋_GB2312" w:eastAsia="仿宋_GB2312" w:cs="仿宋_GB2312"/>
          <w:bCs/>
          <w:color w:val="auto"/>
          <w:sz w:val="32"/>
          <w:szCs w:val="32"/>
          <w:lang w:val="en-US" w:eastAsia="zh-CN"/>
        </w:rPr>
        <w:t>等情况</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不仅影响了</w:t>
      </w:r>
      <w:r>
        <w:rPr>
          <w:rFonts w:hint="eastAsia" w:ascii="仿宋_GB2312" w:hAnsi="仿宋_GB2312" w:eastAsia="仿宋_GB2312" w:cs="仿宋_GB2312"/>
          <w:bCs/>
          <w:color w:val="auto"/>
          <w:sz w:val="32"/>
          <w:szCs w:val="32"/>
        </w:rPr>
        <w:t>行业的健康发展，</w:t>
      </w:r>
      <w:r>
        <w:rPr>
          <w:rFonts w:hint="eastAsia" w:ascii="仿宋_GB2312" w:hAnsi="仿宋_GB2312" w:eastAsia="仿宋_GB2312" w:cs="仿宋_GB2312"/>
          <w:bCs/>
          <w:color w:val="auto"/>
          <w:sz w:val="32"/>
          <w:szCs w:val="32"/>
          <w:lang w:val="en-US" w:eastAsia="zh-CN"/>
        </w:rPr>
        <w:t>更对消费</w:t>
      </w:r>
      <w:r>
        <w:rPr>
          <w:rFonts w:hint="eastAsia" w:ascii="仿宋_GB2312" w:hAnsi="仿宋_GB2312" w:eastAsia="仿宋_GB2312" w:cs="仿宋_GB2312"/>
          <w:bCs/>
          <w:color w:val="auto"/>
          <w:sz w:val="32"/>
          <w:szCs w:val="32"/>
        </w:rPr>
        <w:t>秩序的稳定带来风险挑战。</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一是</w:t>
      </w:r>
      <w:r>
        <w:rPr>
          <w:rFonts w:hint="eastAsia" w:ascii="仿宋_GB2312" w:hAnsi="仿宋_GB2312" w:eastAsia="仿宋_GB2312" w:cs="仿宋_GB2312"/>
          <w:bCs/>
          <w:sz w:val="32"/>
          <w:szCs w:val="32"/>
          <w:lang w:val="en-US" w:eastAsia="zh-CN"/>
        </w:rPr>
        <w:t>带货</w:t>
      </w:r>
      <w:r>
        <w:rPr>
          <w:rFonts w:hint="eastAsia" w:ascii="仿宋_GB2312" w:hAnsi="仿宋_GB2312" w:eastAsia="仿宋_GB2312" w:cs="仿宋_GB2312"/>
          <w:bCs/>
          <w:sz w:val="32"/>
          <w:szCs w:val="32"/>
        </w:rPr>
        <w:t>营销</w:t>
      </w:r>
      <w:r>
        <w:rPr>
          <w:rFonts w:hint="eastAsia" w:ascii="仿宋_GB2312" w:hAnsi="仿宋_GB2312" w:eastAsia="仿宋_GB2312" w:cs="仿宋_GB2312"/>
          <w:bCs/>
          <w:sz w:val="32"/>
          <w:szCs w:val="32"/>
          <w:lang w:val="en-US" w:eastAsia="zh-CN"/>
        </w:rPr>
        <w:t>中的</w:t>
      </w:r>
      <w:r>
        <w:rPr>
          <w:rFonts w:hint="eastAsia" w:ascii="仿宋_GB2312" w:hAnsi="仿宋_GB2312" w:eastAsia="仿宋_GB2312" w:cs="仿宋_GB2312"/>
          <w:bCs/>
          <w:sz w:val="32"/>
          <w:szCs w:val="32"/>
        </w:rPr>
        <w:t>虚假宣传问题</w:t>
      </w:r>
      <w:r>
        <w:rPr>
          <w:rFonts w:hint="eastAsia" w:ascii="仿宋_GB2312" w:hAnsi="仿宋_GB2312" w:eastAsia="仿宋_GB2312" w:cs="仿宋_GB2312"/>
          <w:bCs/>
          <w:sz w:val="32"/>
          <w:szCs w:val="32"/>
          <w:lang w:val="en-US" w:eastAsia="zh-CN"/>
        </w:rPr>
        <w:t>有待进一步强化治理</w:t>
      </w:r>
      <w:r>
        <w:rPr>
          <w:rFonts w:hint="eastAsia" w:ascii="仿宋_GB2312" w:hAnsi="仿宋_GB2312" w:eastAsia="仿宋_GB2312" w:cs="仿宋_GB2312"/>
          <w:bCs/>
          <w:sz w:val="32"/>
          <w:szCs w:val="32"/>
        </w:rPr>
        <w:t>。一些主播及</w:t>
      </w:r>
      <w:r>
        <w:rPr>
          <w:rFonts w:hint="eastAsia" w:ascii="仿宋_GB2312" w:hAnsi="仿宋_GB2312" w:eastAsia="仿宋_GB2312" w:cs="仿宋_GB2312"/>
          <w:bCs/>
          <w:sz w:val="32"/>
          <w:szCs w:val="32"/>
          <w:lang w:val="en-US" w:eastAsia="zh-CN"/>
        </w:rPr>
        <w:t>经营者</w:t>
      </w:r>
      <w:r>
        <w:rPr>
          <w:rFonts w:hint="eastAsia" w:ascii="仿宋_GB2312" w:hAnsi="仿宋_GB2312" w:eastAsia="仿宋_GB2312" w:cs="仿宋_GB2312"/>
          <w:bCs/>
          <w:sz w:val="32"/>
          <w:szCs w:val="32"/>
        </w:rPr>
        <w:t>借助短视频、直播等渠道刻意夸大宣传产品功效，隐瞒潜在安全风险，并利用“网红推荐”、虚构用户案例等方式误导消费</w:t>
      </w:r>
      <w:r>
        <w:rPr>
          <w:rFonts w:hint="eastAsia" w:ascii="仿宋_GB2312" w:hAnsi="仿宋_GB2312" w:eastAsia="仿宋_GB2312" w:cs="仿宋_GB2312"/>
          <w:bCs/>
          <w:sz w:val="32"/>
          <w:szCs w:val="32"/>
          <w:lang w:val="en-US" w:eastAsia="zh-CN"/>
        </w:rPr>
        <w:t>者</w:t>
      </w:r>
      <w:r>
        <w:rPr>
          <w:rFonts w:hint="eastAsia" w:ascii="仿宋_GB2312" w:hAnsi="仿宋_GB2312" w:eastAsia="仿宋_GB2312" w:cs="仿宋_GB2312"/>
          <w:bCs/>
          <w:sz w:val="32"/>
          <w:szCs w:val="32"/>
        </w:rPr>
        <w:t>。如部分服饰类主播宣称售卖“大牌尾货”“新品样衣”，实际销售的却是来源不明的回收旧衣</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rPr>
        <w:t>家电数码类直播中，一些商家“以次充好”“以旧充新”，将翻新笔记本电脑伪装成全新正品售卖。</w:t>
      </w:r>
      <w:r>
        <w:rPr>
          <w:rFonts w:hint="eastAsia" w:ascii="仿宋_GB2312" w:hAnsi="仿宋_GB2312" w:eastAsia="仿宋_GB2312" w:cs="仿宋_GB2312"/>
          <w:bCs/>
          <w:sz w:val="32"/>
          <w:szCs w:val="32"/>
          <w:lang w:val="en-US" w:eastAsia="zh-CN"/>
        </w:rPr>
        <w:t>此</w:t>
      </w:r>
      <w:r>
        <w:rPr>
          <w:rFonts w:hint="eastAsia" w:ascii="仿宋_GB2312" w:hAnsi="仿宋_GB2312" w:eastAsia="仿宋_GB2312" w:cs="仿宋_GB2312"/>
          <w:bCs/>
          <w:sz w:val="32"/>
          <w:szCs w:val="32"/>
        </w:rPr>
        <w:t>外，网络水军受雇于经纪公司或个人，为经营者刷分控评博流量、博热度、蹭粉丝、蹭关注，制造虚假流量</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lang w:val="en-US" w:eastAsia="zh-CN"/>
        </w:rPr>
        <w:t>不仅</w:t>
      </w:r>
      <w:r>
        <w:rPr>
          <w:rFonts w:hint="eastAsia" w:ascii="仿宋_GB2312" w:hAnsi="仿宋_GB2312" w:eastAsia="仿宋_GB2312" w:cs="仿宋_GB2312"/>
          <w:bCs/>
          <w:sz w:val="32"/>
          <w:szCs w:val="32"/>
        </w:rPr>
        <w:t>严重扰乱市场秩序，</w:t>
      </w:r>
      <w:r>
        <w:rPr>
          <w:rFonts w:hint="eastAsia" w:ascii="仿宋_GB2312" w:hAnsi="仿宋_GB2312" w:eastAsia="仿宋_GB2312" w:cs="仿宋_GB2312"/>
          <w:bCs/>
          <w:sz w:val="32"/>
          <w:szCs w:val="32"/>
          <w:lang w:val="en-US" w:eastAsia="zh-CN"/>
        </w:rPr>
        <w:t>更</w:t>
      </w:r>
      <w:r>
        <w:rPr>
          <w:rFonts w:hint="eastAsia" w:ascii="仿宋_GB2312" w:hAnsi="仿宋_GB2312" w:eastAsia="仿宋_GB2312" w:cs="仿宋_GB2312"/>
          <w:bCs/>
          <w:sz w:val="32"/>
          <w:szCs w:val="32"/>
        </w:rPr>
        <w:t>损害了消费者的合法权益。</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val="en-US" w:eastAsia="zh-CN"/>
        </w:rPr>
        <w:t>二</w:t>
      </w:r>
      <w:r>
        <w:rPr>
          <w:rFonts w:hint="eastAsia" w:ascii="仿宋_GB2312" w:hAnsi="仿宋_GB2312" w:eastAsia="仿宋_GB2312" w:cs="仿宋_GB2312"/>
          <w:bCs/>
          <w:color w:val="auto"/>
          <w:sz w:val="32"/>
          <w:szCs w:val="32"/>
        </w:rPr>
        <w:t>是</w:t>
      </w:r>
      <w:r>
        <w:rPr>
          <w:rFonts w:hint="eastAsia" w:ascii="仿宋_GB2312" w:hAnsi="仿宋_GB2312" w:eastAsia="仿宋_GB2312" w:cs="仿宋_GB2312"/>
          <w:bCs/>
          <w:color w:val="auto"/>
          <w:sz w:val="32"/>
          <w:szCs w:val="32"/>
          <w:lang w:val="en-US" w:eastAsia="zh-CN"/>
        </w:rPr>
        <w:t>诱导消费等</w:t>
      </w:r>
      <w:r>
        <w:rPr>
          <w:rFonts w:hint="eastAsia" w:ascii="仿宋_GB2312" w:hAnsi="仿宋_GB2312" w:eastAsia="仿宋_GB2312" w:cs="仿宋_GB2312"/>
          <w:bCs/>
          <w:color w:val="auto"/>
          <w:sz w:val="32"/>
          <w:szCs w:val="32"/>
        </w:rPr>
        <w:t>侵害</w:t>
      </w:r>
      <w:r>
        <w:rPr>
          <w:rFonts w:hint="eastAsia" w:ascii="仿宋_GB2312" w:hAnsi="仿宋_GB2312" w:eastAsia="仿宋_GB2312" w:cs="仿宋_GB2312"/>
          <w:bCs/>
          <w:color w:val="auto"/>
          <w:sz w:val="32"/>
          <w:szCs w:val="32"/>
          <w:lang w:val="en-US" w:eastAsia="zh-CN"/>
        </w:rPr>
        <w:t>消费者</w:t>
      </w:r>
      <w:r>
        <w:rPr>
          <w:rFonts w:hint="eastAsia" w:ascii="仿宋_GB2312" w:hAnsi="仿宋_GB2312" w:eastAsia="仿宋_GB2312" w:cs="仿宋_GB2312"/>
          <w:bCs/>
          <w:color w:val="auto"/>
          <w:sz w:val="32"/>
          <w:szCs w:val="32"/>
        </w:rPr>
        <w:t>合法权益的问题</w:t>
      </w:r>
      <w:r>
        <w:rPr>
          <w:rFonts w:hint="eastAsia" w:ascii="仿宋_GB2312" w:hAnsi="仿宋_GB2312" w:eastAsia="仿宋_GB2312" w:cs="仿宋_GB2312"/>
          <w:bCs/>
          <w:color w:val="auto"/>
          <w:sz w:val="32"/>
          <w:szCs w:val="32"/>
          <w:lang w:val="en-US" w:eastAsia="zh-CN"/>
        </w:rPr>
        <w:t>依然存在</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网络消费中，一些经营者</w:t>
      </w:r>
      <w:r>
        <w:rPr>
          <w:rFonts w:hint="eastAsia" w:ascii="仿宋_GB2312" w:hAnsi="仿宋_GB2312" w:eastAsia="仿宋_GB2312" w:cs="仿宋_GB2312"/>
          <w:bCs/>
          <w:color w:val="auto"/>
          <w:sz w:val="32"/>
          <w:szCs w:val="32"/>
        </w:rPr>
        <w:t>依托自有流量池面向特定群体开展互动营销，诱导</w:t>
      </w:r>
      <w:r>
        <w:rPr>
          <w:rFonts w:hint="eastAsia" w:ascii="仿宋_GB2312" w:hAnsi="仿宋_GB2312" w:eastAsia="仿宋_GB2312" w:cs="仿宋_GB2312"/>
          <w:bCs/>
          <w:color w:val="auto"/>
          <w:sz w:val="32"/>
          <w:szCs w:val="32"/>
          <w:lang w:val="en-US" w:eastAsia="zh-CN"/>
        </w:rPr>
        <w:t>消费者（特别是</w:t>
      </w:r>
      <w:r>
        <w:rPr>
          <w:rFonts w:hint="eastAsia" w:ascii="仿宋_GB2312" w:hAnsi="仿宋_GB2312" w:eastAsia="仿宋_GB2312" w:cs="仿宋_GB2312"/>
          <w:bCs/>
          <w:color w:val="auto"/>
          <w:sz w:val="32"/>
          <w:szCs w:val="32"/>
        </w:rPr>
        <w:t>老年消费群体</w:t>
      </w:r>
      <w:r>
        <w:rPr>
          <w:rFonts w:hint="eastAsia" w:ascii="仿宋_GB2312" w:hAnsi="仿宋_GB2312" w:eastAsia="仿宋_GB2312" w:cs="仿宋_GB2312"/>
          <w:bCs/>
          <w:color w:val="auto"/>
          <w:sz w:val="32"/>
          <w:szCs w:val="32"/>
          <w:lang w:val="en-US" w:eastAsia="zh-CN"/>
        </w:rPr>
        <w:t>）购买质次价高商品，</w:t>
      </w:r>
      <w:r>
        <w:rPr>
          <w:rFonts w:hint="eastAsia" w:ascii="仿宋_GB2312" w:hAnsi="仿宋_GB2312" w:eastAsia="仿宋_GB2312" w:cs="仿宋_GB2312"/>
          <w:bCs/>
          <w:color w:val="auto"/>
          <w:sz w:val="32"/>
          <w:szCs w:val="32"/>
        </w:rPr>
        <w:t>侵害</w:t>
      </w:r>
      <w:r>
        <w:rPr>
          <w:rFonts w:hint="eastAsia" w:ascii="仿宋_GB2312" w:hAnsi="仿宋_GB2312" w:eastAsia="仿宋_GB2312" w:cs="仿宋_GB2312"/>
          <w:bCs/>
          <w:color w:val="auto"/>
          <w:sz w:val="32"/>
          <w:szCs w:val="32"/>
          <w:lang w:val="en-US" w:eastAsia="zh-CN"/>
        </w:rPr>
        <w:t>其</w:t>
      </w:r>
      <w:r>
        <w:rPr>
          <w:rFonts w:hint="eastAsia" w:ascii="仿宋_GB2312" w:hAnsi="仿宋_GB2312" w:eastAsia="仿宋_GB2312" w:cs="仿宋_GB2312"/>
          <w:bCs/>
          <w:color w:val="auto"/>
          <w:sz w:val="32"/>
          <w:szCs w:val="32"/>
        </w:rPr>
        <w:t>合法权益的</w:t>
      </w:r>
      <w:r>
        <w:rPr>
          <w:rFonts w:hint="eastAsia" w:ascii="仿宋_GB2312" w:hAnsi="仿宋_GB2312" w:eastAsia="仿宋_GB2312" w:cs="仿宋_GB2312"/>
          <w:bCs/>
          <w:color w:val="auto"/>
          <w:sz w:val="32"/>
          <w:szCs w:val="32"/>
          <w:lang w:val="en-US" w:eastAsia="zh-CN"/>
        </w:rPr>
        <w:t>情况不时出现</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少数</w:t>
      </w:r>
      <w:r>
        <w:rPr>
          <w:rFonts w:hint="eastAsia" w:ascii="仿宋_GB2312" w:hAnsi="仿宋_GB2312" w:eastAsia="仿宋_GB2312" w:cs="仿宋_GB2312"/>
          <w:bCs/>
          <w:color w:val="auto"/>
          <w:sz w:val="32"/>
          <w:szCs w:val="32"/>
        </w:rPr>
        <w:t>经营者采取“播完即关”、屏蔽信息、解散群组等方式，刻意销毁证据，失联跑路，逃避责任，往往导致消费者在权利受到侵害后</w:t>
      </w:r>
      <w:r>
        <w:rPr>
          <w:rFonts w:hint="eastAsia" w:ascii="仿宋_GB2312" w:hAnsi="仿宋_GB2312" w:eastAsia="仿宋_GB2312" w:cs="仿宋_GB2312"/>
          <w:bCs/>
          <w:color w:val="auto"/>
          <w:sz w:val="32"/>
          <w:szCs w:val="32"/>
          <w:lang w:val="en-US" w:eastAsia="zh-CN"/>
        </w:rPr>
        <w:t>投诉</w:t>
      </w:r>
      <w:r>
        <w:rPr>
          <w:rFonts w:hint="eastAsia" w:ascii="仿宋_GB2312" w:hAnsi="仿宋_GB2312" w:eastAsia="仿宋_GB2312" w:cs="仿宋_GB2312"/>
          <w:bCs/>
          <w:color w:val="auto"/>
          <w:sz w:val="32"/>
          <w:szCs w:val="32"/>
        </w:rPr>
        <w:t>无门。</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val="en-US" w:eastAsia="zh-CN"/>
        </w:rPr>
        <w:t xml:space="preserve"> 三</w:t>
      </w:r>
      <w:r>
        <w:rPr>
          <w:rFonts w:hint="eastAsia" w:ascii="仿宋_GB2312" w:hAnsi="仿宋_GB2312" w:eastAsia="仿宋_GB2312" w:cs="仿宋_GB2312"/>
          <w:bCs/>
          <w:color w:val="auto"/>
          <w:sz w:val="32"/>
          <w:szCs w:val="32"/>
        </w:rPr>
        <w:t>是滥用AI技术</w:t>
      </w:r>
      <w:r>
        <w:rPr>
          <w:rFonts w:hint="eastAsia" w:ascii="仿宋_GB2312" w:hAnsi="仿宋_GB2312" w:eastAsia="仿宋_GB2312" w:cs="仿宋_GB2312"/>
          <w:bCs/>
          <w:color w:val="auto"/>
          <w:sz w:val="32"/>
          <w:szCs w:val="32"/>
          <w:lang w:val="en-US" w:eastAsia="zh-CN"/>
        </w:rPr>
        <w:t>以及</w:t>
      </w:r>
      <w:r>
        <w:rPr>
          <w:rFonts w:hint="eastAsia" w:ascii="仿宋_GB2312" w:hAnsi="仿宋_GB2312" w:eastAsia="仿宋_GB2312" w:cs="仿宋_GB2312"/>
          <w:bCs/>
          <w:color w:val="auto"/>
          <w:sz w:val="32"/>
          <w:szCs w:val="32"/>
        </w:rPr>
        <w:t>合成虚假公众人物或场景欺骗消费者的现象</w:t>
      </w:r>
      <w:r>
        <w:rPr>
          <w:rFonts w:hint="eastAsia" w:ascii="仿宋_GB2312" w:hAnsi="仿宋_GB2312" w:eastAsia="仿宋_GB2312" w:cs="仿宋_GB2312"/>
          <w:bCs/>
          <w:color w:val="auto"/>
          <w:sz w:val="32"/>
          <w:szCs w:val="32"/>
          <w:lang w:val="en-US" w:eastAsia="zh-CN"/>
        </w:rPr>
        <w:t>时有发生</w:t>
      </w:r>
      <w:r>
        <w:rPr>
          <w:rFonts w:hint="eastAsia" w:ascii="仿宋_GB2312" w:hAnsi="仿宋_GB2312" w:eastAsia="仿宋_GB2312" w:cs="仿宋_GB2312"/>
          <w:bCs/>
          <w:color w:val="auto"/>
          <w:sz w:val="32"/>
          <w:szCs w:val="32"/>
        </w:rPr>
        <w:t>。2025年，我国在生成式AI、深度合成等关键技术领域实现突破性发展，AI合成生成的技术门槛显著降低、还原度大幅提升</w:t>
      </w:r>
      <w:r>
        <w:rPr>
          <w:rFonts w:hint="eastAsia" w:ascii="仿宋_GB2312" w:hAnsi="仿宋_GB2312" w:eastAsia="仿宋_GB2312" w:cs="仿宋_GB2312"/>
          <w:bCs/>
          <w:color w:val="auto"/>
          <w:sz w:val="32"/>
          <w:szCs w:val="32"/>
          <w:lang w:val="en-US" w:eastAsia="zh-CN"/>
        </w:rPr>
        <w:t>。但</w:t>
      </w:r>
      <w:r>
        <w:rPr>
          <w:rFonts w:hint="eastAsia" w:ascii="仿宋_GB2312" w:hAnsi="仿宋_GB2312" w:eastAsia="仿宋_GB2312" w:cs="仿宋_GB2312"/>
          <w:bCs/>
          <w:color w:val="auto"/>
          <w:sz w:val="32"/>
          <w:szCs w:val="32"/>
        </w:rPr>
        <w:t>与此同时，AI合成人物形象从初期的简单换脸、语音模仿</w:t>
      </w:r>
      <w:r>
        <w:rPr>
          <w:rFonts w:hint="eastAsia" w:ascii="仿宋_GB2312" w:hAnsi="仿宋_GB2312" w:eastAsia="仿宋_GB2312" w:cs="仿宋_GB2312"/>
          <w:bCs/>
          <w:color w:val="auto"/>
          <w:sz w:val="32"/>
          <w:szCs w:val="32"/>
          <w:lang w:val="en-US" w:eastAsia="zh-CN"/>
        </w:rPr>
        <w:t>等方式</w:t>
      </w:r>
      <w:r>
        <w:rPr>
          <w:rFonts w:hint="eastAsia" w:ascii="仿宋_GB2312" w:hAnsi="仿宋_GB2312" w:eastAsia="仿宋_GB2312" w:cs="仿宋_GB2312"/>
          <w:bCs/>
          <w:color w:val="auto"/>
          <w:sz w:val="32"/>
          <w:szCs w:val="32"/>
        </w:rPr>
        <w:t>，升级为全场景、动态生成</w:t>
      </w:r>
      <w:r>
        <w:rPr>
          <w:rFonts w:hint="eastAsia" w:ascii="仿宋_GB2312" w:hAnsi="仿宋_GB2312" w:eastAsia="仿宋_GB2312" w:cs="仿宋_GB2312"/>
          <w:bCs/>
          <w:color w:val="auto"/>
          <w:sz w:val="32"/>
          <w:szCs w:val="32"/>
          <w:lang w:val="en-US" w:eastAsia="zh-CN"/>
        </w:rPr>
        <w:t>模式</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对普通消费者而言具有一定的迷惑性。特别是</w:t>
      </w:r>
      <w:r>
        <w:rPr>
          <w:rFonts w:hint="eastAsia" w:ascii="仿宋_GB2312" w:hAnsi="仿宋_GB2312" w:eastAsia="仿宋_GB2312" w:cs="仿宋_GB2312"/>
          <w:bCs/>
          <w:color w:val="auto"/>
          <w:sz w:val="32"/>
          <w:szCs w:val="32"/>
        </w:rPr>
        <w:t>此类虚假形象</w:t>
      </w:r>
      <w:r>
        <w:rPr>
          <w:rFonts w:hint="eastAsia" w:ascii="仿宋_GB2312" w:hAnsi="仿宋_GB2312" w:eastAsia="仿宋_GB2312" w:cs="仿宋_GB2312"/>
          <w:bCs/>
          <w:color w:val="auto"/>
          <w:sz w:val="32"/>
          <w:szCs w:val="32"/>
          <w:lang w:val="en-US" w:eastAsia="zh-CN"/>
        </w:rPr>
        <w:t>经不法经营者在</w:t>
      </w:r>
      <w:r>
        <w:rPr>
          <w:rFonts w:hint="eastAsia" w:ascii="仿宋_GB2312" w:hAnsi="仿宋_GB2312" w:eastAsia="仿宋_GB2312" w:cs="仿宋_GB2312"/>
          <w:bCs/>
          <w:color w:val="auto"/>
          <w:sz w:val="32"/>
          <w:szCs w:val="32"/>
        </w:rPr>
        <w:t>电商直播、</w:t>
      </w:r>
      <w:r>
        <w:rPr>
          <w:rFonts w:hint="eastAsia" w:ascii="仿宋_GB2312" w:hAnsi="仿宋_GB2312" w:eastAsia="仿宋_GB2312" w:cs="仿宋_GB2312"/>
          <w:bCs/>
          <w:color w:val="auto"/>
          <w:sz w:val="32"/>
          <w:szCs w:val="32"/>
          <w:lang w:val="en-US" w:eastAsia="zh-CN"/>
        </w:rPr>
        <w:t>网络销售</w:t>
      </w:r>
      <w:r>
        <w:rPr>
          <w:rFonts w:hint="eastAsia" w:ascii="仿宋_GB2312" w:hAnsi="仿宋_GB2312" w:eastAsia="仿宋_GB2312" w:cs="仿宋_GB2312"/>
          <w:bCs/>
          <w:color w:val="auto"/>
          <w:sz w:val="32"/>
          <w:szCs w:val="32"/>
        </w:rPr>
        <w:t>、社交媒体科普等领域</w:t>
      </w:r>
      <w:r>
        <w:rPr>
          <w:rFonts w:hint="eastAsia" w:ascii="仿宋_GB2312" w:hAnsi="仿宋_GB2312" w:eastAsia="仿宋_GB2312" w:cs="仿宋_GB2312"/>
          <w:bCs/>
          <w:color w:val="auto"/>
          <w:sz w:val="32"/>
          <w:szCs w:val="32"/>
          <w:lang w:val="en-US" w:eastAsia="zh-CN"/>
        </w:rPr>
        <w:t>中大量使用</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不仅</w:t>
      </w:r>
      <w:r>
        <w:rPr>
          <w:rFonts w:hint="eastAsia" w:ascii="仿宋_GB2312" w:hAnsi="仿宋_GB2312" w:eastAsia="仿宋_GB2312" w:cs="仿宋_GB2312"/>
          <w:bCs/>
          <w:color w:val="auto"/>
          <w:sz w:val="32"/>
          <w:szCs w:val="32"/>
        </w:rPr>
        <w:t>干扰了市场公平竞争秩序，</w:t>
      </w:r>
      <w:r>
        <w:rPr>
          <w:rFonts w:hint="eastAsia" w:ascii="仿宋_GB2312" w:hAnsi="仿宋_GB2312" w:eastAsia="仿宋_GB2312" w:cs="仿宋_GB2312"/>
          <w:bCs/>
          <w:color w:val="auto"/>
          <w:sz w:val="32"/>
          <w:szCs w:val="32"/>
          <w:lang w:val="en-US" w:eastAsia="zh-CN"/>
        </w:rPr>
        <w:t>更</w:t>
      </w:r>
      <w:r>
        <w:rPr>
          <w:rFonts w:hint="eastAsia" w:ascii="仿宋_GB2312" w:hAnsi="仿宋_GB2312" w:eastAsia="仿宋_GB2312" w:cs="仿宋_GB2312"/>
          <w:bCs/>
          <w:color w:val="auto"/>
          <w:sz w:val="32"/>
          <w:szCs w:val="32"/>
        </w:rPr>
        <w:t>误导了消费者认知。</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val="en-US" w:eastAsia="zh-CN"/>
        </w:rPr>
        <w:t>四</w:t>
      </w:r>
      <w:r>
        <w:rPr>
          <w:rFonts w:hint="eastAsia" w:ascii="仿宋_GB2312" w:hAnsi="仿宋_GB2312" w:eastAsia="仿宋_GB2312" w:cs="仿宋_GB2312"/>
          <w:bCs/>
          <w:color w:val="auto"/>
          <w:sz w:val="32"/>
          <w:szCs w:val="32"/>
        </w:rPr>
        <w:t>是一些经营者在“先用后付”模式中设置消费陷阱。“先用后付”作为网络购物领域兴起的新型消费模式，以“0元下单、确认收货后付款”的核心机制，为消费者提供了免费试用体验，在激发消费潜力、优化购物体验等方面具有一定的积极意义。但随着该模式的普及，其背后潜藏的“无感开通”“信用绑定”</w:t>
      </w:r>
      <w:r>
        <w:rPr>
          <w:rFonts w:hint="eastAsia" w:ascii="仿宋_GB2312" w:hAnsi="仿宋_GB2312" w:eastAsia="仿宋_GB2312" w:cs="仿宋_GB2312"/>
          <w:bCs/>
          <w:color w:val="auto"/>
          <w:sz w:val="32"/>
          <w:szCs w:val="32"/>
          <w:lang w:val="en-US" w:eastAsia="zh-CN"/>
        </w:rPr>
        <w:t>等</w:t>
      </w:r>
      <w:r>
        <w:rPr>
          <w:rFonts w:hint="eastAsia" w:ascii="仿宋_GB2312" w:hAnsi="仿宋_GB2312" w:eastAsia="仿宋_GB2312" w:cs="仿宋_GB2312"/>
          <w:bCs/>
          <w:color w:val="auto"/>
          <w:sz w:val="32"/>
          <w:szCs w:val="32"/>
        </w:rPr>
        <w:t>消费陷阱</w:t>
      </w:r>
      <w:r>
        <w:rPr>
          <w:rFonts w:hint="eastAsia" w:ascii="仿宋_GB2312" w:hAnsi="仿宋_GB2312" w:eastAsia="仿宋_GB2312" w:cs="仿宋_GB2312"/>
          <w:bCs/>
          <w:color w:val="auto"/>
          <w:sz w:val="32"/>
          <w:szCs w:val="32"/>
          <w:lang w:val="en-US" w:eastAsia="zh-CN"/>
        </w:rPr>
        <w:t>开始凸显</w:t>
      </w:r>
      <w:r>
        <w:rPr>
          <w:rFonts w:hint="eastAsia" w:ascii="仿宋_GB2312" w:hAnsi="仿宋_GB2312" w:eastAsia="仿宋_GB2312" w:cs="仿宋_GB2312"/>
          <w:bCs/>
          <w:color w:val="auto"/>
          <w:sz w:val="32"/>
          <w:szCs w:val="32"/>
        </w:rPr>
        <w:t>，不仅侵犯消费者的合法权益，更对市场秩序和金融安全构成潜在威胁。</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val="en-US" w:eastAsia="zh-CN"/>
        </w:rPr>
        <w:t>五</w:t>
      </w:r>
      <w:r>
        <w:rPr>
          <w:rFonts w:hint="eastAsia" w:ascii="仿宋_GB2312" w:hAnsi="仿宋_GB2312" w:eastAsia="仿宋_GB2312" w:cs="仿宋_GB2312"/>
          <w:bCs/>
          <w:color w:val="auto"/>
          <w:sz w:val="32"/>
          <w:szCs w:val="32"/>
        </w:rPr>
        <w:t>是跨境电商</w:t>
      </w:r>
      <w:r>
        <w:rPr>
          <w:rFonts w:hint="eastAsia" w:ascii="仿宋_GB2312" w:hAnsi="仿宋_GB2312" w:eastAsia="仿宋_GB2312" w:cs="仿宋_GB2312"/>
          <w:bCs/>
          <w:color w:val="auto"/>
          <w:sz w:val="32"/>
          <w:szCs w:val="32"/>
          <w:lang w:val="en-US" w:eastAsia="zh-CN"/>
        </w:rPr>
        <w:t>中</w:t>
      </w:r>
      <w:r>
        <w:rPr>
          <w:rFonts w:hint="eastAsia" w:ascii="仿宋_GB2312" w:hAnsi="仿宋_GB2312" w:eastAsia="仿宋_GB2312" w:cs="仿宋_GB2312"/>
          <w:bCs/>
          <w:color w:val="auto"/>
          <w:sz w:val="32"/>
          <w:szCs w:val="32"/>
        </w:rPr>
        <w:t>保健食品销售造假现象</w:t>
      </w:r>
      <w:r>
        <w:rPr>
          <w:rFonts w:hint="eastAsia" w:ascii="仿宋_GB2312" w:hAnsi="仿宋_GB2312" w:eastAsia="仿宋_GB2312" w:cs="仿宋_GB2312"/>
          <w:bCs/>
          <w:color w:val="auto"/>
          <w:sz w:val="32"/>
          <w:szCs w:val="32"/>
          <w:lang w:val="en-US" w:eastAsia="zh-CN"/>
        </w:rPr>
        <w:t>较为突出</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跨境电商保健食品</w:t>
      </w:r>
      <w:r>
        <w:rPr>
          <w:rFonts w:hint="eastAsia" w:ascii="仿宋_GB2312" w:hAnsi="仿宋_GB2312" w:eastAsia="仿宋_GB2312" w:cs="仿宋_GB2312"/>
          <w:bCs/>
          <w:color w:val="auto"/>
          <w:sz w:val="32"/>
          <w:szCs w:val="32"/>
          <w:lang w:val="en-US" w:eastAsia="zh-CN"/>
        </w:rPr>
        <w:t>领域，一些不法经营者使用</w:t>
      </w:r>
      <w:r>
        <w:rPr>
          <w:rFonts w:hint="eastAsia" w:ascii="仿宋_GB2312" w:hAnsi="仿宋_GB2312" w:eastAsia="仿宋_GB2312" w:cs="仿宋_GB2312"/>
          <w:bCs/>
          <w:color w:val="auto"/>
          <w:sz w:val="32"/>
          <w:szCs w:val="32"/>
        </w:rPr>
        <w:t>“假进口洗白</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全链条造假”</w:t>
      </w:r>
      <w:r>
        <w:rPr>
          <w:rFonts w:hint="eastAsia" w:ascii="仿宋_GB2312" w:hAnsi="仿宋_GB2312" w:eastAsia="仿宋_GB2312" w:cs="仿宋_GB2312"/>
          <w:bCs/>
          <w:color w:val="auto"/>
          <w:sz w:val="32"/>
          <w:szCs w:val="32"/>
          <w:lang w:val="en-US" w:eastAsia="zh-CN"/>
        </w:rPr>
        <w:t>等手段欺骗消费者</w:t>
      </w:r>
      <w:r>
        <w:rPr>
          <w:rFonts w:hint="eastAsia" w:ascii="仿宋_GB2312" w:hAnsi="仿宋_GB2312" w:eastAsia="仿宋_GB2312" w:cs="仿宋_GB2312"/>
          <w:bCs/>
          <w:color w:val="auto"/>
          <w:sz w:val="32"/>
          <w:szCs w:val="32"/>
        </w:rPr>
        <w:t>，搭配“保险承保”“冠军代言”等噱头增强可信度。</w:t>
      </w:r>
      <w:r>
        <w:rPr>
          <w:rFonts w:hint="eastAsia" w:ascii="仿宋_GB2312" w:hAnsi="仿宋_GB2312" w:eastAsia="仿宋_GB2312" w:cs="仿宋_GB2312"/>
          <w:bCs/>
          <w:color w:val="auto"/>
          <w:sz w:val="32"/>
          <w:szCs w:val="32"/>
          <w:lang w:val="en-US" w:eastAsia="zh-CN"/>
        </w:rPr>
        <w:t>现实中，</w:t>
      </w:r>
      <w:r>
        <w:rPr>
          <w:rFonts w:hint="eastAsia" w:ascii="仿宋_GB2312" w:hAnsi="仿宋_GB2312" w:eastAsia="仿宋_GB2312" w:cs="仿宋_GB2312"/>
          <w:bCs/>
          <w:color w:val="auto"/>
          <w:sz w:val="32"/>
          <w:szCs w:val="32"/>
        </w:rPr>
        <w:t>这些造假的“进口保健食品”销售普遍存在成分虚标、夸大宣传、宣称医疗功效、伪造海外销量及FDA注册证书等行为。此类乱象</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不仅侵害消费者</w:t>
      </w:r>
      <w:r>
        <w:rPr>
          <w:rFonts w:hint="eastAsia" w:ascii="仿宋_GB2312" w:hAnsi="仿宋_GB2312" w:eastAsia="仿宋_GB2312" w:cs="仿宋_GB2312"/>
          <w:bCs/>
          <w:color w:val="auto"/>
          <w:sz w:val="32"/>
          <w:szCs w:val="32"/>
          <w:lang w:val="en-US" w:eastAsia="zh-CN"/>
        </w:rPr>
        <w:t>财产权</w:t>
      </w:r>
      <w:r>
        <w:rPr>
          <w:rFonts w:hint="eastAsia" w:ascii="仿宋_GB2312" w:hAnsi="仿宋_GB2312" w:eastAsia="仿宋_GB2312" w:cs="仿宋_GB2312"/>
          <w:bCs/>
          <w:color w:val="auto"/>
          <w:sz w:val="32"/>
          <w:szCs w:val="32"/>
        </w:rPr>
        <w:t>，更因非法添加、虚假标注等问题存在</w:t>
      </w:r>
      <w:r>
        <w:rPr>
          <w:rFonts w:hint="eastAsia" w:ascii="仿宋_GB2312" w:hAnsi="仿宋_GB2312" w:eastAsia="仿宋_GB2312" w:cs="仿宋_GB2312"/>
          <w:bCs/>
          <w:color w:val="auto"/>
          <w:sz w:val="32"/>
          <w:szCs w:val="32"/>
          <w:lang w:val="en-US" w:eastAsia="zh-CN"/>
        </w:rPr>
        <w:t>侵害消费者人身</w:t>
      </w:r>
      <w:r>
        <w:rPr>
          <w:rFonts w:hint="eastAsia" w:ascii="仿宋_GB2312" w:hAnsi="仿宋_GB2312" w:eastAsia="仿宋_GB2312" w:cs="仿宋_GB2312"/>
          <w:bCs/>
          <w:color w:val="auto"/>
          <w:sz w:val="32"/>
          <w:szCs w:val="32"/>
        </w:rPr>
        <w:t>健康</w:t>
      </w:r>
      <w:r>
        <w:rPr>
          <w:rFonts w:hint="eastAsia" w:ascii="仿宋_GB2312" w:hAnsi="仿宋_GB2312" w:eastAsia="仿宋_GB2312" w:cs="仿宋_GB2312"/>
          <w:bCs/>
          <w:color w:val="auto"/>
          <w:sz w:val="32"/>
          <w:szCs w:val="32"/>
          <w:lang w:val="en-US" w:eastAsia="zh-CN"/>
        </w:rPr>
        <w:t>的</w:t>
      </w:r>
      <w:r>
        <w:rPr>
          <w:rFonts w:hint="eastAsia" w:ascii="仿宋_GB2312" w:hAnsi="仿宋_GB2312" w:eastAsia="仿宋_GB2312" w:cs="仿宋_GB2312"/>
          <w:bCs/>
          <w:color w:val="auto"/>
          <w:sz w:val="32"/>
          <w:szCs w:val="32"/>
        </w:rPr>
        <w:t>风险。</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lang w:val="en-US" w:eastAsia="zh-CN"/>
        </w:rPr>
        <w:t>六</w:t>
      </w:r>
      <w:r>
        <w:rPr>
          <w:rFonts w:hint="eastAsia" w:ascii="仿宋_GB2312" w:hAnsi="仿宋_GB2312" w:eastAsia="仿宋_GB2312" w:cs="仿宋_GB2312"/>
          <w:bCs/>
          <w:color w:val="auto"/>
          <w:sz w:val="32"/>
          <w:szCs w:val="32"/>
        </w:rPr>
        <w:t>是</w:t>
      </w:r>
      <w:r>
        <w:rPr>
          <w:rFonts w:hint="eastAsia" w:ascii="仿宋_GB2312" w:hAnsi="仿宋_GB2312" w:eastAsia="仿宋_GB2312" w:cs="仿宋_GB2312"/>
          <w:bCs/>
          <w:color w:val="auto"/>
          <w:sz w:val="32"/>
          <w:szCs w:val="32"/>
          <w:lang w:val="en-US" w:eastAsia="zh-CN"/>
        </w:rPr>
        <w:t>平台</w:t>
      </w:r>
      <w:r>
        <w:rPr>
          <w:rFonts w:hint="eastAsia" w:ascii="仿宋_GB2312" w:hAnsi="仿宋_GB2312" w:eastAsia="仿宋_GB2312" w:cs="仿宋_GB2312"/>
          <w:bCs/>
          <w:color w:val="auto"/>
          <w:sz w:val="32"/>
          <w:szCs w:val="32"/>
        </w:rPr>
        <w:t>免密支付不规范运营给消费者的财产安全造成风险隐患。一些消费者在不知情情况下被开通了免密支付，消费者从下单、收货到扣款，全流程无需输入支付密码或进行人脸识别，</w:t>
      </w:r>
      <w:r>
        <w:rPr>
          <w:rFonts w:hint="eastAsia" w:ascii="仿宋_GB2312" w:hAnsi="仿宋_GB2312" w:eastAsia="仿宋_GB2312" w:cs="仿宋_GB2312"/>
          <w:bCs/>
          <w:color w:val="auto"/>
          <w:sz w:val="32"/>
          <w:szCs w:val="32"/>
          <w:lang w:val="en-US" w:eastAsia="zh-CN"/>
        </w:rPr>
        <w:t>现实</w:t>
      </w:r>
      <w:r>
        <w:rPr>
          <w:rFonts w:hint="eastAsia" w:ascii="仿宋_GB2312" w:hAnsi="仿宋_GB2312" w:eastAsia="仿宋_GB2312" w:cs="仿宋_GB2312"/>
          <w:bCs/>
          <w:color w:val="auto"/>
          <w:sz w:val="32"/>
          <w:szCs w:val="32"/>
        </w:rPr>
        <w:t>中</w:t>
      </w:r>
      <w:r>
        <w:rPr>
          <w:rFonts w:hint="eastAsia" w:ascii="仿宋_GB2312" w:hAnsi="仿宋_GB2312" w:eastAsia="仿宋_GB2312" w:cs="仿宋_GB2312"/>
          <w:bCs/>
          <w:color w:val="auto"/>
          <w:sz w:val="32"/>
          <w:szCs w:val="32"/>
          <w:lang w:val="en-US" w:eastAsia="zh-CN"/>
        </w:rPr>
        <w:t>存在</w:t>
      </w:r>
      <w:r>
        <w:rPr>
          <w:rFonts w:hint="eastAsia" w:ascii="仿宋_GB2312" w:hAnsi="仿宋_GB2312" w:eastAsia="仿宋_GB2312" w:cs="仿宋_GB2312"/>
          <w:bCs/>
          <w:color w:val="auto"/>
          <w:sz w:val="32"/>
          <w:szCs w:val="32"/>
        </w:rPr>
        <w:t>开通后乱扣费、盗刷大量存款的财产安全问题。此外，各支付平台免密支付功能的开启异常简单随意，提示不清</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关闭流程却极为复杂隐蔽，操作繁琐，极易导致误触开启后无法</w:t>
      </w:r>
      <w:r>
        <w:rPr>
          <w:rFonts w:hint="eastAsia" w:ascii="仿宋_GB2312" w:hAnsi="仿宋_GB2312" w:eastAsia="仿宋_GB2312" w:cs="仿宋_GB2312"/>
          <w:bCs/>
          <w:color w:val="auto"/>
          <w:sz w:val="32"/>
          <w:szCs w:val="32"/>
          <w:lang w:val="en-US" w:eastAsia="zh-CN"/>
        </w:rPr>
        <w:t>及时</w:t>
      </w:r>
      <w:r>
        <w:rPr>
          <w:rFonts w:hint="eastAsia" w:ascii="仿宋_GB2312" w:hAnsi="仿宋_GB2312" w:eastAsia="仿宋_GB2312" w:cs="仿宋_GB2312"/>
          <w:bCs/>
          <w:color w:val="auto"/>
          <w:sz w:val="32"/>
          <w:szCs w:val="32"/>
        </w:rPr>
        <w:t>关闭的情况发生，损害</w:t>
      </w:r>
      <w:r>
        <w:rPr>
          <w:rFonts w:hint="eastAsia" w:ascii="仿宋_GB2312" w:hAnsi="仿宋_GB2312" w:eastAsia="仿宋_GB2312" w:cs="仿宋_GB2312"/>
          <w:bCs/>
          <w:color w:val="auto"/>
          <w:sz w:val="32"/>
          <w:szCs w:val="32"/>
          <w:lang w:val="en-US" w:eastAsia="zh-CN"/>
        </w:rPr>
        <w:t>了</w:t>
      </w:r>
      <w:r>
        <w:rPr>
          <w:rFonts w:hint="eastAsia" w:ascii="仿宋_GB2312" w:hAnsi="仿宋_GB2312" w:eastAsia="仿宋_GB2312" w:cs="仿宋_GB2312"/>
          <w:bCs/>
          <w:color w:val="auto"/>
          <w:sz w:val="32"/>
          <w:szCs w:val="32"/>
        </w:rPr>
        <w:t>消费者的合法权益。</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lang w:val="en-US" w:eastAsia="zh-CN"/>
        </w:rPr>
      </w:pPr>
      <w:bookmarkStart w:id="123" w:name="_Toc2130"/>
      <w:bookmarkStart w:id="124" w:name="_Toc221610702"/>
      <w:bookmarkStart w:id="125" w:name="_Toc7649"/>
      <w:r>
        <w:rPr>
          <w:rFonts w:hint="eastAsia" w:ascii="黑体" w:hAnsi="黑体" w:eastAsia="黑体" w:cs="黑体"/>
          <w:bCs/>
          <w:color w:val="000000"/>
          <w:sz w:val="32"/>
          <w:szCs w:val="32"/>
          <w:lang w:val="en-US" w:eastAsia="zh-CN"/>
        </w:rPr>
        <w:t>四</w:t>
      </w:r>
      <w:r>
        <w:rPr>
          <w:rFonts w:hint="eastAsia" w:ascii="黑体" w:hAnsi="黑体" w:eastAsia="黑体" w:cs="黑体"/>
          <w:bCs/>
          <w:color w:val="000000"/>
          <w:sz w:val="32"/>
          <w:szCs w:val="32"/>
        </w:rPr>
        <w:t>、新型消费领域纠纷</w:t>
      </w:r>
      <w:bookmarkEnd w:id="123"/>
      <w:bookmarkEnd w:id="124"/>
      <w:r>
        <w:rPr>
          <w:rFonts w:hint="eastAsia" w:ascii="黑体" w:hAnsi="黑体" w:eastAsia="黑体" w:cs="黑体"/>
          <w:bCs/>
          <w:color w:val="000000"/>
          <w:sz w:val="32"/>
          <w:szCs w:val="32"/>
          <w:lang w:val="en-US" w:eastAsia="zh-CN"/>
        </w:rPr>
        <w:t>亟待妥善处理</w:t>
      </w:r>
      <w:bookmarkEnd w:id="125"/>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2025年，在数字技术升级与消费转型的双重驱动下</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我国</w:t>
      </w:r>
      <w:r>
        <w:rPr>
          <w:rFonts w:hint="eastAsia" w:ascii="仿宋_GB2312" w:hAnsi="仿宋_GB2312" w:eastAsia="仿宋_GB2312" w:cs="仿宋_GB2312"/>
          <w:bCs/>
          <w:color w:val="auto"/>
          <w:sz w:val="32"/>
          <w:szCs w:val="32"/>
        </w:rPr>
        <w:t>新型消费蓬勃发展，成为拉动</w:t>
      </w:r>
      <w:r>
        <w:rPr>
          <w:rFonts w:hint="eastAsia" w:ascii="仿宋_GB2312" w:hAnsi="仿宋_GB2312" w:eastAsia="仿宋_GB2312" w:cs="仿宋_GB2312"/>
          <w:bCs/>
          <w:color w:val="auto"/>
          <w:sz w:val="32"/>
          <w:szCs w:val="32"/>
          <w:lang w:val="en-US" w:eastAsia="zh-CN"/>
        </w:rPr>
        <w:t>消费</w:t>
      </w:r>
      <w:r>
        <w:rPr>
          <w:rFonts w:hint="eastAsia" w:ascii="仿宋_GB2312" w:hAnsi="仿宋_GB2312" w:eastAsia="仿宋_GB2312" w:cs="仿宋_GB2312"/>
          <w:bCs/>
          <w:color w:val="auto"/>
          <w:sz w:val="32"/>
          <w:szCs w:val="32"/>
        </w:rPr>
        <w:t>增长的</w:t>
      </w:r>
      <w:r>
        <w:rPr>
          <w:rFonts w:hint="eastAsia" w:ascii="仿宋_GB2312" w:hAnsi="仿宋_GB2312" w:eastAsia="仿宋_GB2312" w:cs="仿宋_GB2312"/>
          <w:bCs/>
          <w:color w:val="auto"/>
          <w:sz w:val="32"/>
          <w:szCs w:val="32"/>
          <w:lang w:val="en-US" w:eastAsia="zh-CN"/>
        </w:rPr>
        <w:t>重要方面</w:t>
      </w:r>
      <w:r>
        <w:rPr>
          <w:rFonts w:hint="eastAsia" w:ascii="仿宋_GB2312" w:hAnsi="仿宋_GB2312" w:eastAsia="仿宋_GB2312" w:cs="仿宋_GB2312"/>
          <w:bCs/>
          <w:color w:val="auto"/>
          <w:sz w:val="32"/>
          <w:szCs w:val="32"/>
        </w:rPr>
        <w:t>。然而，伴随规模的不断扩张，各类</w:t>
      </w:r>
      <w:r>
        <w:rPr>
          <w:rFonts w:hint="eastAsia" w:ascii="仿宋_GB2312" w:hAnsi="仿宋_GB2312" w:eastAsia="仿宋_GB2312" w:cs="仿宋_GB2312"/>
          <w:bCs/>
          <w:color w:val="auto"/>
          <w:sz w:val="32"/>
          <w:szCs w:val="32"/>
          <w:lang w:val="en-US" w:eastAsia="zh-CN"/>
        </w:rPr>
        <w:t>消费</w:t>
      </w:r>
      <w:r>
        <w:rPr>
          <w:rFonts w:hint="eastAsia" w:ascii="仿宋_GB2312" w:hAnsi="仿宋_GB2312" w:eastAsia="仿宋_GB2312" w:cs="仿宋_GB2312"/>
          <w:bCs/>
          <w:color w:val="auto"/>
          <w:sz w:val="32"/>
          <w:szCs w:val="32"/>
        </w:rPr>
        <w:t>风险隐患也逐渐暴露显现，消费纠纷</w:t>
      </w:r>
      <w:r>
        <w:rPr>
          <w:rFonts w:hint="eastAsia" w:ascii="仿宋_GB2312" w:hAnsi="仿宋_GB2312" w:eastAsia="仿宋_GB2312" w:cs="仿宋_GB2312"/>
          <w:bCs/>
          <w:color w:val="auto"/>
          <w:sz w:val="32"/>
          <w:szCs w:val="32"/>
          <w:lang w:val="en-US" w:eastAsia="zh-CN"/>
        </w:rPr>
        <w:t>问题需妥善解决</w:t>
      </w:r>
      <w:r>
        <w:rPr>
          <w:rFonts w:hint="eastAsia" w:ascii="仿宋_GB2312" w:hAnsi="仿宋_GB2312" w:eastAsia="仿宋_GB2312" w:cs="仿宋_GB2312"/>
          <w:bCs/>
          <w:color w:val="auto"/>
          <w:sz w:val="32"/>
          <w:szCs w:val="32"/>
        </w:rPr>
        <w:t>。</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一是潮玩行业消费市场交易秩序</w:t>
      </w:r>
      <w:r>
        <w:rPr>
          <w:rFonts w:hint="eastAsia" w:ascii="仿宋_GB2312" w:hAnsi="仿宋_GB2312" w:eastAsia="仿宋_GB2312" w:cs="仿宋_GB2312"/>
          <w:bCs/>
          <w:color w:val="auto"/>
          <w:sz w:val="32"/>
          <w:szCs w:val="32"/>
          <w:lang w:val="en-US" w:eastAsia="zh-CN"/>
        </w:rPr>
        <w:t>亟待规范</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履约售后保障不足等问题</w:t>
      </w:r>
      <w:r>
        <w:rPr>
          <w:rFonts w:hint="eastAsia" w:ascii="仿宋_GB2312" w:hAnsi="仿宋_GB2312" w:eastAsia="仿宋_GB2312" w:cs="仿宋_GB2312"/>
          <w:bCs/>
          <w:color w:val="auto"/>
          <w:sz w:val="32"/>
          <w:szCs w:val="32"/>
          <w:lang w:val="en-US" w:eastAsia="zh-CN"/>
        </w:rPr>
        <w:t>比较突出</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特别是</w:t>
      </w:r>
      <w:r>
        <w:rPr>
          <w:rFonts w:hint="eastAsia" w:ascii="仿宋_GB2312" w:hAnsi="仿宋_GB2312" w:eastAsia="仿宋_GB2312" w:cs="仿宋_GB2312"/>
          <w:bCs/>
          <w:color w:val="auto"/>
          <w:sz w:val="32"/>
          <w:szCs w:val="32"/>
        </w:rPr>
        <w:t>二手潮玩交易领域信任机制不健全，商品质量瑕疵</w:t>
      </w:r>
      <w:r>
        <w:rPr>
          <w:rFonts w:hint="eastAsia" w:ascii="仿宋_GB2312" w:hAnsi="仿宋_GB2312" w:eastAsia="仿宋_GB2312" w:cs="仿宋_GB2312"/>
          <w:bCs/>
          <w:color w:val="auto"/>
          <w:sz w:val="32"/>
          <w:szCs w:val="32"/>
          <w:lang w:val="en-US" w:eastAsia="zh-CN"/>
        </w:rPr>
        <w:t>等问题</w:t>
      </w:r>
      <w:r>
        <w:rPr>
          <w:rFonts w:hint="eastAsia" w:ascii="仿宋_GB2312" w:hAnsi="仿宋_GB2312" w:eastAsia="仿宋_GB2312" w:cs="仿宋_GB2312"/>
          <w:bCs/>
          <w:color w:val="auto"/>
          <w:sz w:val="32"/>
          <w:szCs w:val="32"/>
        </w:rPr>
        <w:t>频发。如</w:t>
      </w:r>
      <w:r>
        <w:rPr>
          <w:rFonts w:hint="eastAsia" w:ascii="仿宋_GB2312" w:hAnsi="仿宋_GB2312" w:eastAsia="仿宋_GB2312" w:cs="仿宋_GB2312"/>
          <w:bCs/>
          <w:color w:val="auto"/>
          <w:sz w:val="32"/>
          <w:szCs w:val="32"/>
          <w:lang w:val="en-US" w:eastAsia="zh-CN"/>
        </w:rPr>
        <w:t>一些</w:t>
      </w:r>
      <w:r>
        <w:rPr>
          <w:rFonts w:hint="eastAsia" w:ascii="仿宋_GB2312" w:hAnsi="仿宋_GB2312" w:eastAsia="仿宋_GB2312" w:cs="仿宋_GB2312"/>
          <w:bCs/>
          <w:color w:val="auto"/>
          <w:sz w:val="32"/>
          <w:szCs w:val="32"/>
        </w:rPr>
        <w:t>二手</w:t>
      </w:r>
      <w:r>
        <w:rPr>
          <w:rFonts w:hint="eastAsia" w:ascii="仿宋_GB2312" w:hAnsi="仿宋_GB2312" w:eastAsia="仿宋_GB2312" w:cs="仿宋_GB2312"/>
          <w:bCs/>
          <w:color w:val="auto"/>
          <w:sz w:val="32"/>
          <w:szCs w:val="32"/>
          <w:lang w:val="en-US" w:eastAsia="zh-CN"/>
        </w:rPr>
        <w:t>网络</w:t>
      </w:r>
      <w:r>
        <w:rPr>
          <w:rFonts w:hint="eastAsia" w:ascii="仿宋_GB2312" w:hAnsi="仿宋_GB2312" w:eastAsia="仿宋_GB2312" w:cs="仿宋_GB2312"/>
          <w:bCs/>
          <w:color w:val="auto"/>
          <w:sz w:val="32"/>
          <w:szCs w:val="32"/>
        </w:rPr>
        <w:t>交易平台上，卖家售卖的迪士尼联名玩偶为假冒产品</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rPr>
        <w:t>标注“正版可验”的泡泡玛特盲盒实为假货。</w:t>
      </w:r>
      <w:r>
        <w:rPr>
          <w:rFonts w:hint="eastAsia" w:ascii="仿宋_GB2312" w:hAnsi="仿宋_GB2312" w:eastAsia="仿宋_GB2312" w:cs="仿宋_GB2312"/>
          <w:bCs/>
          <w:color w:val="auto"/>
          <w:sz w:val="32"/>
          <w:szCs w:val="32"/>
          <w:lang w:val="en-US" w:eastAsia="zh-CN"/>
        </w:rPr>
        <w:t>又</w:t>
      </w:r>
      <w:r>
        <w:rPr>
          <w:rFonts w:hint="eastAsia" w:ascii="仿宋_GB2312" w:hAnsi="仿宋_GB2312" w:eastAsia="仿宋_GB2312" w:cs="仿宋_GB2312"/>
          <w:bCs/>
          <w:color w:val="auto"/>
          <w:sz w:val="32"/>
          <w:szCs w:val="32"/>
        </w:rPr>
        <w:t>如</w:t>
      </w:r>
      <w:r>
        <w:rPr>
          <w:rFonts w:hint="eastAsia" w:ascii="仿宋_GB2312" w:hAnsi="仿宋_GB2312" w:eastAsia="仿宋_GB2312" w:cs="仿宋_GB2312"/>
          <w:bCs/>
          <w:color w:val="auto"/>
          <w:sz w:val="32"/>
          <w:szCs w:val="32"/>
          <w:lang w:val="en-US" w:eastAsia="zh-CN"/>
        </w:rPr>
        <w:t>一些</w:t>
      </w:r>
      <w:r>
        <w:rPr>
          <w:rFonts w:hint="eastAsia" w:ascii="仿宋_GB2312" w:hAnsi="仿宋_GB2312" w:eastAsia="仿宋_GB2312" w:cs="仿宋_GB2312"/>
          <w:bCs/>
          <w:color w:val="auto"/>
          <w:sz w:val="32"/>
          <w:szCs w:val="32"/>
        </w:rPr>
        <w:t>APP的“福袋”</w:t>
      </w:r>
      <w:r>
        <w:rPr>
          <w:rFonts w:hint="eastAsia" w:ascii="仿宋_GB2312" w:hAnsi="仿宋_GB2312" w:eastAsia="仿宋_GB2312" w:cs="仿宋_GB2312"/>
          <w:bCs/>
          <w:color w:val="auto"/>
          <w:sz w:val="32"/>
          <w:szCs w:val="32"/>
          <w:lang w:val="en-US" w:eastAsia="zh-CN"/>
        </w:rPr>
        <w:t>玩法，</w:t>
      </w:r>
      <w:r>
        <w:rPr>
          <w:rFonts w:hint="eastAsia" w:ascii="仿宋_GB2312" w:hAnsi="仿宋_GB2312" w:eastAsia="仿宋_GB2312" w:cs="仿宋_GB2312"/>
          <w:bCs/>
          <w:color w:val="auto"/>
          <w:sz w:val="32"/>
          <w:szCs w:val="32"/>
        </w:rPr>
        <w:t>通过“付费抽取—随机分配—即时转售变现”</w:t>
      </w:r>
      <w:r>
        <w:rPr>
          <w:rFonts w:hint="eastAsia" w:ascii="仿宋_GB2312" w:hAnsi="仿宋_GB2312" w:eastAsia="仿宋_GB2312" w:cs="仿宋_GB2312"/>
          <w:bCs/>
          <w:color w:val="auto"/>
          <w:sz w:val="32"/>
          <w:szCs w:val="32"/>
          <w:lang w:val="en-US" w:eastAsia="zh-CN"/>
        </w:rPr>
        <w:t>吸引消费者</w:t>
      </w:r>
      <w:r>
        <w:rPr>
          <w:rFonts w:hint="eastAsia" w:ascii="仿宋_GB2312" w:hAnsi="仿宋_GB2312" w:eastAsia="仿宋_GB2312" w:cs="仿宋_GB2312"/>
          <w:bCs/>
          <w:color w:val="auto"/>
          <w:sz w:val="32"/>
          <w:szCs w:val="32"/>
        </w:rPr>
        <w:t>，诱导用户沉迷投机，</w:t>
      </w:r>
      <w:r>
        <w:rPr>
          <w:rFonts w:hint="eastAsia" w:ascii="仿宋_GB2312" w:hAnsi="仿宋_GB2312" w:eastAsia="仿宋_GB2312" w:cs="仿宋_GB2312"/>
          <w:bCs/>
          <w:color w:val="auto"/>
          <w:sz w:val="32"/>
          <w:szCs w:val="32"/>
          <w:lang w:val="en-US" w:eastAsia="zh-CN"/>
        </w:rPr>
        <w:t>一些消费者因此损失</w:t>
      </w:r>
      <w:r>
        <w:rPr>
          <w:rFonts w:hint="eastAsia" w:ascii="仿宋_GB2312" w:hAnsi="仿宋_GB2312" w:eastAsia="仿宋_GB2312" w:cs="仿宋_GB2312"/>
          <w:bCs/>
          <w:color w:val="auto"/>
          <w:sz w:val="32"/>
          <w:szCs w:val="32"/>
        </w:rPr>
        <w:t>数万元</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甚至</w:t>
      </w:r>
      <w:r>
        <w:rPr>
          <w:rFonts w:hint="eastAsia" w:ascii="仿宋_GB2312" w:hAnsi="仿宋_GB2312" w:eastAsia="仿宋_GB2312" w:cs="仿宋_GB2312"/>
          <w:bCs/>
          <w:color w:val="auto"/>
          <w:sz w:val="32"/>
          <w:szCs w:val="32"/>
        </w:rPr>
        <w:t>数百万。</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rPr>
        <w:t>二是智能驾驶风险和责任承担争议</w:t>
      </w:r>
      <w:r>
        <w:rPr>
          <w:rFonts w:hint="eastAsia" w:ascii="仿宋_GB2312" w:hAnsi="仿宋_GB2312" w:eastAsia="仿宋_GB2312" w:cs="仿宋_GB2312"/>
          <w:bCs/>
          <w:color w:val="auto"/>
          <w:sz w:val="32"/>
          <w:szCs w:val="32"/>
          <w:lang w:val="en-US" w:eastAsia="zh-CN"/>
        </w:rPr>
        <w:t>有待解决</w:t>
      </w:r>
      <w:r>
        <w:rPr>
          <w:rFonts w:hint="eastAsia" w:ascii="仿宋_GB2312" w:hAnsi="仿宋_GB2312" w:eastAsia="仿宋_GB2312" w:cs="仿宋_GB2312"/>
          <w:bCs/>
          <w:color w:val="auto"/>
          <w:sz w:val="32"/>
          <w:szCs w:val="32"/>
        </w:rPr>
        <w:t>。当前，我国智能驾驶技术正处于技术商业化落地的关键阶段，伴随L2级及以下辅助驾驶系统的普及，各类与消费者人身安全息息相关的智能驾驶风险以及责任承担问题</w:t>
      </w:r>
      <w:r>
        <w:rPr>
          <w:rFonts w:hint="eastAsia" w:ascii="仿宋_GB2312" w:hAnsi="仿宋_GB2312" w:eastAsia="仿宋_GB2312" w:cs="仿宋_GB2312"/>
          <w:bCs/>
          <w:color w:val="auto"/>
          <w:sz w:val="32"/>
          <w:szCs w:val="32"/>
          <w:lang w:val="en-US" w:eastAsia="zh-CN"/>
        </w:rPr>
        <w:t>开始出现</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特别是</w:t>
      </w:r>
      <w:r>
        <w:rPr>
          <w:rFonts w:hint="eastAsia" w:ascii="仿宋_GB2312" w:hAnsi="仿宋_GB2312" w:eastAsia="仿宋_GB2312" w:cs="仿宋_GB2312"/>
          <w:bCs/>
          <w:color w:val="auto"/>
          <w:sz w:val="32"/>
          <w:szCs w:val="32"/>
        </w:rPr>
        <w:t>现有系统在复杂路况、恶劣天气、异形障碍物识别等场景中可靠性不足，加之部分消费者对辅助驾驶功能的过度信赖甚至违法滥用，进一步加剧了事故发生的</w:t>
      </w:r>
      <w:r>
        <w:rPr>
          <w:rFonts w:hint="eastAsia" w:ascii="仿宋_GB2312" w:hAnsi="仿宋_GB2312" w:eastAsia="仿宋_GB2312" w:cs="仿宋_GB2312"/>
          <w:bCs/>
          <w:color w:val="auto"/>
          <w:sz w:val="32"/>
          <w:szCs w:val="32"/>
          <w:lang w:val="en-US" w:eastAsia="zh-CN"/>
        </w:rPr>
        <w:t>风险</w:t>
      </w:r>
      <w:r>
        <w:rPr>
          <w:rFonts w:hint="eastAsia" w:ascii="仿宋_GB2312" w:hAnsi="仿宋_GB2312" w:eastAsia="仿宋_GB2312" w:cs="仿宋_GB2312"/>
          <w:bCs/>
          <w:color w:val="auto"/>
          <w:sz w:val="32"/>
          <w:szCs w:val="32"/>
        </w:rPr>
        <w:t>。</w:t>
      </w:r>
    </w:p>
    <w:p>
      <w:pPr>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auto"/>
          <w:sz w:val="32"/>
          <w:szCs w:val="32"/>
        </w:rPr>
      </w:pPr>
      <w:r>
        <w:rPr>
          <w:rFonts w:hint="eastAsia" w:ascii="仿宋_GB2312" w:hAnsi="仿宋_GB2312" w:eastAsia="仿宋_GB2312" w:cs="仿宋_GB2312"/>
          <w:bCs/>
          <w:color w:val="auto"/>
          <w:sz w:val="32"/>
          <w:szCs w:val="32"/>
        </w:rPr>
        <w:t>三是疗愈经济乱象</w:t>
      </w:r>
      <w:r>
        <w:rPr>
          <w:rFonts w:hint="eastAsia" w:ascii="仿宋_GB2312" w:hAnsi="仿宋_GB2312" w:eastAsia="仿宋_GB2312" w:cs="仿宋_GB2312"/>
          <w:bCs/>
          <w:color w:val="auto"/>
          <w:sz w:val="32"/>
          <w:szCs w:val="32"/>
          <w:lang w:val="en-US" w:eastAsia="zh-CN"/>
        </w:rPr>
        <w:t>影响行业发展</w:t>
      </w:r>
      <w:r>
        <w:rPr>
          <w:rFonts w:hint="eastAsia" w:ascii="仿宋_GB2312" w:hAnsi="仿宋_GB2312" w:eastAsia="仿宋_GB2312" w:cs="仿宋_GB2312"/>
          <w:bCs/>
          <w:color w:val="auto"/>
          <w:sz w:val="32"/>
          <w:szCs w:val="32"/>
        </w:rPr>
        <w:t>。随着公众精神健康需求的快速增长，疗愈</w:t>
      </w:r>
      <w:r>
        <w:rPr>
          <w:rFonts w:hint="eastAsia" w:ascii="仿宋_GB2312" w:hAnsi="仿宋_GB2312" w:eastAsia="仿宋_GB2312" w:cs="仿宋_GB2312"/>
          <w:bCs/>
          <w:color w:val="auto"/>
          <w:sz w:val="32"/>
          <w:szCs w:val="32"/>
          <w:lang w:val="en-US" w:eastAsia="zh-CN"/>
        </w:rPr>
        <w:t>服务消费</w:t>
      </w:r>
      <w:r>
        <w:rPr>
          <w:rFonts w:hint="eastAsia" w:ascii="仿宋_GB2312" w:hAnsi="仿宋_GB2312" w:eastAsia="仿宋_GB2312" w:cs="仿宋_GB2312"/>
          <w:bCs/>
          <w:color w:val="auto"/>
          <w:sz w:val="32"/>
          <w:szCs w:val="32"/>
        </w:rPr>
        <w:t>成为消费市场的热点并吸引了大量消费者</w:t>
      </w:r>
      <w:r>
        <w:rPr>
          <w:rFonts w:hint="eastAsia" w:ascii="仿宋_GB2312" w:hAnsi="仿宋_GB2312" w:eastAsia="仿宋_GB2312" w:cs="仿宋_GB2312"/>
          <w:bCs/>
          <w:color w:val="auto"/>
          <w:sz w:val="32"/>
          <w:szCs w:val="32"/>
          <w:lang w:val="en-US" w:eastAsia="zh-CN"/>
        </w:rPr>
        <w:t>持续</w:t>
      </w:r>
      <w:r>
        <w:rPr>
          <w:rFonts w:hint="eastAsia" w:ascii="仿宋_GB2312" w:hAnsi="仿宋_GB2312" w:eastAsia="仿宋_GB2312" w:cs="仿宋_GB2312"/>
          <w:bCs/>
          <w:color w:val="auto"/>
          <w:sz w:val="32"/>
          <w:szCs w:val="32"/>
        </w:rPr>
        <w:t>关注。但因市场规模的迅速扩大、行业管理标准尚不完善，部分商家夸大功能</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甚至</w:t>
      </w:r>
      <w:r>
        <w:rPr>
          <w:rFonts w:hint="eastAsia" w:ascii="仿宋_GB2312" w:hAnsi="仿宋_GB2312" w:eastAsia="仿宋_GB2312" w:cs="仿宋_GB2312"/>
          <w:bCs/>
          <w:color w:val="auto"/>
          <w:sz w:val="32"/>
          <w:szCs w:val="32"/>
        </w:rPr>
        <w:t>以疗愈之名行欺诈之实</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bCs/>
          <w:color w:val="auto"/>
          <w:sz w:val="32"/>
          <w:szCs w:val="32"/>
          <w:lang w:val="en-US" w:eastAsia="zh-CN"/>
        </w:rPr>
        <w:t>侵害消费者权益的情况屡屡发生</w:t>
      </w:r>
      <w:r>
        <w:rPr>
          <w:rFonts w:hint="eastAsia" w:ascii="仿宋_GB2312" w:hAnsi="仿宋_GB2312" w:eastAsia="仿宋_GB2312" w:cs="仿宋_GB2312"/>
          <w:bCs/>
          <w:color w:val="auto"/>
          <w:sz w:val="32"/>
          <w:szCs w:val="32"/>
        </w:rPr>
        <w:t>。</w:t>
      </w:r>
      <w:r>
        <w:rPr>
          <w:rFonts w:hint="eastAsia" w:ascii="仿宋_GB2312" w:hAnsi="仿宋_GB2312" w:eastAsia="仿宋_GB2312" w:cs="仿宋_GB2312"/>
          <w:bCs/>
          <w:color w:val="auto"/>
          <w:sz w:val="32"/>
          <w:szCs w:val="32"/>
          <w:lang w:val="en-US" w:eastAsia="zh-CN"/>
        </w:rPr>
        <w:t>如</w:t>
      </w:r>
      <w:r>
        <w:rPr>
          <w:rFonts w:hint="eastAsia" w:ascii="仿宋_GB2312" w:hAnsi="仿宋_GB2312" w:eastAsia="仿宋_GB2312" w:cs="仿宋_GB2312"/>
          <w:bCs/>
          <w:color w:val="auto"/>
          <w:sz w:val="32"/>
          <w:szCs w:val="32"/>
        </w:rPr>
        <w:t>部分疗愈机构套用心理学、哲学等学科的碎片化概念，编造虚假的疗愈理论，</w:t>
      </w:r>
      <w:r>
        <w:rPr>
          <w:rFonts w:hint="eastAsia" w:ascii="仿宋_GB2312" w:hAnsi="仿宋_GB2312" w:eastAsia="仿宋_GB2312" w:cs="仿宋_GB2312"/>
          <w:bCs/>
          <w:color w:val="auto"/>
          <w:sz w:val="32"/>
          <w:szCs w:val="32"/>
          <w:lang w:val="en-US" w:eastAsia="zh-CN"/>
        </w:rPr>
        <w:t>骗取消费者钱财</w:t>
      </w:r>
      <w:r>
        <w:rPr>
          <w:rFonts w:hint="eastAsia" w:ascii="仿宋_GB2312" w:hAnsi="仿宋_GB2312" w:eastAsia="仿宋_GB2312" w:cs="仿宋_GB2312"/>
          <w:bCs/>
          <w:color w:val="auto"/>
          <w:sz w:val="32"/>
          <w:szCs w:val="32"/>
        </w:rPr>
        <w:t>，甚至通过精神操控的方式让参与者“拉人头”帮助敛财。</w:t>
      </w: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widowControl/>
        <w:ind w:firstLine="640" w:firstLineChars="200"/>
        <w:rPr>
          <w:rFonts w:hint="eastAsia" w:ascii="仿宋" w:hAnsi="仿宋" w:eastAsia="仿宋"/>
          <w:bCs/>
          <w:color w:val="auto"/>
          <w:sz w:val="32"/>
          <w:szCs w:val="32"/>
        </w:rPr>
      </w:pPr>
    </w:p>
    <w:p>
      <w:pPr>
        <w:keepNext w:val="0"/>
        <w:keepLines w:val="0"/>
        <w:pageBreakBefore w:val="0"/>
        <w:widowControl w:val="0"/>
        <w:kinsoku/>
        <w:wordWrap/>
        <w:overflowPunct/>
        <w:topLinePunct w:val="0"/>
        <w:autoSpaceDE/>
        <w:autoSpaceDN/>
        <w:bidi w:val="0"/>
        <w:adjustRightInd/>
        <w:snapToGrid/>
        <w:spacing w:line="20" w:lineRule="exact"/>
        <w:ind w:left="0" w:leftChars="0" w:right="0" w:firstLine="0" w:firstLineChars="0"/>
        <w:jc w:val="center"/>
        <w:textAlignment w:val="auto"/>
        <w:outlineLvl w:val="0"/>
        <w:rPr>
          <w:rFonts w:hint="eastAsia" w:ascii="方正小标宋简体" w:hAnsi="方正小标宋简体" w:eastAsia="方正小标宋简体" w:cs="方正小标宋简体"/>
          <w:b w:val="0"/>
          <w:bCs/>
          <w:color w:val="000000"/>
          <w:w w:val="95"/>
          <w:sz w:val="44"/>
          <w:szCs w:val="44"/>
        </w:rPr>
      </w:pPr>
      <w:bookmarkStart w:id="126" w:name="_Toc15057"/>
      <w:bookmarkStart w:id="127" w:name="_Toc221610703"/>
    </w:p>
    <w:p>
      <w:pPr>
        <w:widowControl w:val="0"/>
        <w:wordWrap/>
        <w:adjustRightInd/>
        <w:snapToGrid/>
        <w:spacing w:before="468" w:beforeLines="150" w:after="312" w:afterLines="100" w:line="640" w:lineRule="exact"/>
        <w:ind w:left="0" w:leftChars="0" w:right="0" w:firstLine="0" w:firstLineChars="0"/>
        <w:jc w:val="center"/>
        <w:textAlignment w:val="auto"/>
        <w:outlineLvl w:val="0"/>
        <w:rPr>
          <w:rFonts w:hint="eastAsia" w:ascii="方正小标宋简体" w:hAnsi="方正小标宋简体" w:eastAsia="方正小标宋简体" w:cs="方正小标宋简体"/>
          <w:b w:val="0"/>
          <w:bCs/>
          <w:color w:val="000000"/>
          <w:w w:val="95"/>
          <w:sz w:val="44"/>
          <w:szCs w:val="44"/>
          <w:lang w:eastAsia="zh-CN"/>
        </w:rPr>
      </w:pPr>
      <w:bookmarkStart w:id="128" w:name="_Toc5847"/>
      <w:r>
        <w:rPr>
          <w:rFonts w:hint="eastAsia" w:ascii="方正小标宋简体" w:hAnsi="方正小标宋简体" w:eastAsia="方正小标宋简体" w:cs="方正小标宋简体"/>
          <w:b w:val="0"/>
          <w:bCs/>
          <w:color w:val="000000"/>
          <w:w w:val="95"/>
          <w:sz w:val="44"/>
          <w:szCs w:val="44"/>
        </w:rPr>
        <w:t>第三部分</w:t>
      </w:r>
      <w:r>
        <w:rPr>
          <w:rFonts w:hint="eastAsia" w:ascii="方正小标宋简体" w:hAnsi="方正小标宋简体" w:eastAsia="方正小标宋简体" w:cs="方正小标宋简体"/>
          <w:b w:val="0"/>
          <w:bCs/>
          <w:color w:val="000000"/>
          <w:w w:val="95"/>
          <w:sz w:val="44"/>
          <w:szCs w:val="44"/>
          <w:lang w:val="en-US" w:eastAsia="zh-CN"/>
        </w:rPr>
        <w:t xml:space="preserve"> </w:t>
      </w:r>
      <w:r>
        <w:rPr>
          <w:rFonts w:hint="eastAsia" w:ascii="方正小标宋简体" w:hAnsi="方正小标宋简体" w:eastAsia="方正小标宋简体" w:cs="方正小标宋简体"/>
          <w:b w:val="0"/>
          <w:bCs/>
          <w:color w:val="000000"/>
          <w:w w:val="95"/>
          <w:sz w:val="44"/>
          <w:szCs w:val="44"/>
        </w:rPr>
        <w:t xml:space="preserve"> 2026年消费者权益保护工作的</w:t>
      </w:r>
      <w:bookmarkEnd w:id="128"/>
    </w:p>
    <w:p>
      <w:pPr>
        <w:widowControl w:val="0"/>
        <w:wordWrap/>
        <w:adjustRightInd/>
        <w:snapToGrid/>
        <w:spacing w:before="468" w:beforeLines="150" w:after="312" w:afterLines="100" w:line="640" w:lineRule="exact"/>
        <w:ind w:left="0" w:leftChars="0" w:right="0" w:firstLine="0" w:firstLineChars="0"/>
        <w:jc w:val="center"/>
        <w:textAlignment w:val="auto"/>
        <w:outlineLvl w:val="0"/>
        <w:rPr>
          <w:rFonts w:hint="eastAsia" w:ascii="方正小标宋简体" w:hAnsi="方正小标宋简体" w:eastAsia="方正小标宋简体" w:cs="方正小标宋简体"/>
          <w:b w:val="0"/>
          <w:bCs/>
          <w:color w:val="000000"/>
          <w:w w:val="95"/>
          <w:sz w:val="44"/>
          <w:szCs w:val="44"/>
        </w:rPr>
      </w:pPr>
      <w:bookmarkStart w:id="129" w:name="_Toc72"/>
      <w:r>
        <w:rPr>
          <w:rFonts w:hint="eastAsia" w:ascii="方正小标宋简体" w:hAnsi="方正小标宋简体" w:eastAsia="方正小标宋简体" w:cs="方正小标宋简体"/>
          <w:b w:val="0"/>
          <w:bCs/>
          <w:color w:val="000000"/>
          <w:w w:val="95"/>
          <w:sz w:val="44"/>
          <w:szCs w:val="44"/>
        </w:rPr>
        <w:t>展望与建议</w:t>
      </w:r>
      <w:bookmarkEnd w:id="126"/>
      <w:bookmarkEnd w:id="127"/>
      <w:bookmarkEnd w:id="129"/>
    </w:p>
    <w:p>
      <w:pPr>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党的二十届四中全会会议审议通过的《中共中央关于制定国民经济和社会发展第十五个五年规划的建议》，明确提出</w:t>
      </w:r>
      <w:r>
        <w:rPr>
          <w:rFonts w:hint="eastAsia" w:ascii="仿宋_GB2312" w:hAnsi="仿宋_GB2312" w:eastAsia="仿宋_GB2312" w:cs="仿宋_GB2312"/>
          <w:color w:val="auto"/>
          <w:sz w:val="32"/>
          <w:szCs w:val="32"/>
          <w:shd w:val="clear" w:color="auto" w:fill="FFFFFF"/>
        </w:rPr>
        <w:t>大力提振消费，深入实施提振消费专项行动，强化消费者权益保护。</w:t>
      </w:r>
      <w:r>
        <w:rPr>
          <w:rFonts w:hint="eastAsia" w:ascii="仿宋_GB2312" w:hAnsi="仿宋_GB2312" w:eastAsia="仿宋_GB2312" w:cs="仿宋_GB2312"/>
          <w:color w:val="auto"/>
          <w:sz w:val="32"/>
          <w:szCs w:val="32"/>
        </w:rPr>
        <w:t>从增强居民消费能力、扩大优质供给、创新消费场景、优化制度环境等多方面综合施策，建设强大国内市场。2025年12月中央经济工作会议明确将“坚持内需主导，建设强大国内市场，深入实施提振消费专项行动”作为2026年工作的重点任务。2026年消费者权益保护工作将全面贯彻党中央国务院决策部署，以保障消费者合法权益为核心，推动</w:t>
      </w:r>
      <w:r>
        <w:rPr>
          <w:rFonts w:hint="eastAsia" w:ascii="仿宋_GB2312" w:hAnsi="仿宋_GB2312" w:eastAsia="仿宋_GB2312" w:cs="仿宋_GB2312"/>
          <w:color w:val="auto"/>
          <w:sz w:val="32"/>
          <w:szCs w:val="32"/>
          <w:lang w:val="en-US" w:eastAsia="zh-CN"/>
        </w:rPr>
        <w:t>消费维权</w:t>
      </w:r>
      <w:r>
        <w:rPr>
          <w:rFonts w:hint="eastAsia" w:ascii="仿宋_GB2312" w:hAnsi="仿宋_GB2312" w:eastAsia="仿宋_GB2312" w:cs="仿宋_GB2312"/>
          <w:color w:val="auto"/>
          <w:sz w:val="32"/>
          <w:szCs w:val="32"/>
        </w:rPr>
        <w:t>工作向长效化、协同化、智能化迈进，助力提振消费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全方位</w:t>
      </w:r>
      <w:r>
        <w:rPr>
          <w:rFonts w:hint="eastAsia" w:ascii="仿宋_GB2312" w:hAnsi="仿宋_GB2312" w:eastAsia="仿宋_GB2312" w:cs="仿宋_GB2312"/>
          <w:color w:val="auto"/>
          <w:sz w:val="32"/>
          <w:szCs w:val="32"/>
        </w:rPr>
        <w:t>扩大内需。为实现这一目标，需要有关部门、消协组织和社会各界协同发力，重点从以下方面推进相关工作，不断加强消费者权益保护。</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lang w:val="en-US" w:eastAsia="zh-CN"/>
        </w:rPr>
      </w:pPr>
      <w:bookmarkStart w:id="130" w:name="_Toc29537"/>
      <w:bookmarkStart w:id="131" w:name="_Toc5223"/>
      <w:bookmarkStart w:id="132" w:name="_Toc221610704"/>
      <w:r>
        <w:rPr>
          <w:rFonts w:hint="eastAsia" w:ascii="黑体" w:hAnsi="黑体" w:eastAsia="黑体" w:cs="黑体"/>
          <w:bCs/>
          <w:color w:val="000000"/>
          <w:sz w:val="32"/>
          <w:szCs w:val="32"/>
          <w:lang w:val="en-US" w:eastAsia="zh-CN"/>
        </w:rPr>
        <w:t>一、大力提振消费，深入推进消费环境</w:t>
      </w:r>
      <w:bookmarkEnd w:id="130"/>
      <w:bookmarkEnd w:id="131"/>
      <w:bookmarkEnd w:id="132"/>
      <w:r>
        <w:rPr>
          <w:rFonts w:hint="eastAsia" w:ascii="黑体" w:hAnsi="黑体" w:eastAsia="黑体" w:cs="黑体"/>
          <w:bCs/>
          <w:color w:val="000000"/>
          <w:sz w:val="32"/>
          <w:szCs w:val="32"/>
          <w:lang w:val="en-US" w:eastAsia="zh-CN"/>
        </w:rPr>
        <w:t>建设</w:t>
      </w:r>
    </w:p>
    <w:p>
      <w:pPr>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一是</w:t>
      </w:r>
      <w:r>
        <w:rPr>
          <w:rFonts w:hint="eastAsia" w:ascii="仿宋_GB2312" w:hAnsi="仿宋_GB2312" w:eastAsia="仿宋_GB2312" w:cs="仿宋_GB2312"/>
          <w:color w:val="auto"/>
          <w:sz w:val="32"/>
          <w:szCs w:val="32"/>
          <w:lang w:val="en-US" w:eastAsia="zh-CN"/>
        </w:rPr>
        <w:t>积极推进提振消费专项行动，为全方位扩大内需作出积极贡献。要</w:t>
      </w:r>
      <w:r>
        <w:rPr>
          <w:rFonts w:hint="eastAsia" w:ascii="仿宋_GB2312" w:hAnsi="仿宋_GB2312" w:eastAsia="仿宋_GB2312" w:cs="仿宋_GB2312"/>
          <w:color w:val="auto"/>
          <w:sz w:val="32"/>
          <w:szCs w:val="32"/>
        </w:rPr>
        <w:t>在延续总体框架基础上进一步优化“两新”政策</w:t>
      </w:r>
      <w:r>
        <w:rPr>
          <w:rFonts w:hint="eastAsia" w:ascii="仿宋_GB2312" w:hAnsi="仿宋_GB2312" w:eastAsia="仿宋_GB2312" w:cs="仿宋_GB2312"/>
          <w:color w:val="auto"/>
          <w:sz w:val="32"/>
          <w:szCs w:val="32"/>
          <w:lang w:val="en-US" w:eastAsia="zh-CN"/>
        </w:rPr>
        <w:t>实施</w:t>
      </w:r>
      <w:r>
        <w:rPr>
          <w:rFonts w:hint="eastAsia" w:ascii="仿宋_GB2312" w:hAnsi="仿宋_GB2312" w:eastAsia="仿宋_GB2312" w:cs="仿宋_GB2312"/>
          <w:color w:val="auto"/>
          <w:sz w:val="32"/>
          <w:szCs w:val="32"/>
          <w:lang w:eastAsia="zh-CN"/>
        </w:rPr>
        <w:t>，加力整合财政、金融、平台、厂家、商家“五种资源”，促进大宗耐用消费品消费；</w:t>
      </w:r>
      <w:r>
        <w:rPr>
          <w:rFonts w:hint="eastAsia" w:ascii="仿宋_GB2312" w:hAnsi="仿宋_GB2312" w:eastAsia="仿宋_GB2312" w:cs="仿宋_GB2312"/>
          <w:color w:val="auto"/>
          <w:sz w:val="32"/>
          <w:szCs w:val="32"/>
          <w:lang w:val="en-US" w:eastAsia="zh-CN"/>
        </w:rPr>
        <w:t>强化品牌引领作用，加快推进中国消费名品方阵建设，打造一批国际一流消费品牌和优秀企业；积极推动服务消费提质扩容，以家政服务消费、养老服务消费等为重点，大力提升服务质量，持续推进服务消费标准化建设，推动服务消费高质量发展；深入实施放心消费聚集区建设，按照“安全放心、质量放心、服务放心、价格放心、计量放心、维权放心”的高标准，建设放心消费商圈、市场、街区、景区，打造放心消费品牌；顺应消费结构变化，围绕新的消费增长点推进提振消费工作，破除制约消费扩容升级因素；建设一批提振消费精品活动项目，积极开展“3·15购物节公益活动”精品项目，大力推进“诚信好、质量好、性价比好、购物体验好、售后服务好、投诉处理好”的建设标准，指导经营者推出各具特色的促销与服务项目，提升消费者体验。</w:t>
      </w:r>
    </w:p>
    <w:p>
      <w:pPr>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sz w:val="32"/>
          <w:szCs w:val="32"/>
          <w:lang w:val="en-US" w:eastAsia="zh-CN"/>
        </w:rPr>
        <w:t>二是持续强化工作合力，认真落实《行动方案》要求</w:t>
      </w:r>
      <w:r>
        <w:rPr>
          <w:rFonts w:hint="eastAsia" w:ascii="仿宋_GB2312" w:hAnsi="仿宋_GB2312" w:eastAsia="仿宋_GB2312" w:cs="仿宋_GB2312"/>
          <w:color w:val="auto"/>
          <w:sz w:val="32"/>
          <w:szCs w:val="32"/>
        </w:rPr>
        <w:t>。2026年是完成优化消费环境三年行动计划目标的关键一年，消费者权益保护工作要持续推进消费环境的全面优化。在实现路径上，一方面要</w:t>
      </w:r>
      <w:r>
        <w:rPr>
          <w:rFonts w:hint="eastAsia" w:ascii="仿宋_GB2312" w:hAnsi="仿宋_GB2312" w:eastAsia="仿宋_GB2312" w:cs="仿宋_GB2312"/>
          <w:color w:val="auto"/>
          <w:sz w:val="32"/>
          <w:szCs w:val="32"/>
          <w:lang w:val="en-US" w:eastAsia="zh-CN"/>
        </w:rPr>
        <w:t>凝聚消费维权各方力量，</w:t>
      </w:r>
      <w:r>
        <w:rPr>
          <w:rFonts w:hint="eastAsia" w:ascii="仿宋_GB2312" w:hAnsi="仿宋_GB2312" w:eastAsia="仿宋_GB2312" w:cs="仿宋_GB2312"/>
          <w:color w:val="auto"/>
          <w:sz w:val="32"/>
          <w:szCs w:val="32"/>
        </w:rPr>
        <w:t>提升消费品质，使消费者在购买、使用商品和享受服务的过程中，获得更高层次的质量保障、更丰富的价值体验和更充分的权益保护</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推进</w:t>
      </w:r>
      <w:r>
        <w:rPr>
          <w:rFonts w:hint="eastAsia" w:ascii="仿宋_GB2312" w:hAnsi="仿宋_GB2312" w:eastAsia="仿宋_GB2312" w:cs="仿宋_GB2312"/>
          <w:color w:val="auto"/>
          <w:sz w:val="32"/>
          <w:szCs w:val="32"/>
        </w:rPr>
        <w:t>消费从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有没有</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向</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好不好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转变。另一方面，</w:t>
      </w:r>
      <w:r>
        <w:rPr>
          <w:rFonts w:hint="eastAsia" w:ascii="仿宋_GB2312" w:hAnsi="仿宋_GB2312" w:eastAsia="仿宋_GB2312" w:cs="仿宋_GB2312"/>
          <w:color w:val="auto"/>
          <w:sz w:val="32"/>
          <w:szCs w:val="32"/>
          <w:lang w:val="en-US" w:eastAsia="zh-CN"/>
        </w:rPr>
        <w:t>要发挥社会各界积极作用，</w:t>
      </w:r>
      <w:r>
        <w:rPr>
          <w:rFonts w:hint="eastAsia" w:ascii="仿宋_GB2312" w:hAnsi="仿宋_GB2312" w:eastAsia="仿宋_GB2312" w:cs="仿宋_GB2312"/>
          <w:color w:val="auto"/>
          <w:sz w:val="32"/>
          <w:szCs w:val="32"/>
        </w:rPr>
        <w:t>处理好有效市场与有为政府的关系，平衡消费者与经营者权益关系，破解内卷式竞争难题，维护公平竞争市场秩序，推动消费</w:t>
      </w:r>
      <w:r>
        <w:rPr>
          <w:rFonts w:hint="eastAsia" w:ascii="仿宋_GB2312" w:hAnsi="仿宋_GB2312" w:eastAsia="仿宋_GB2312" w:cs="仿宋_GB2312"/>
          <w:color w:val="auto"/>
          <w:sz w:val="32"/>
          <w:szCs w:val="32"/>
          <w:lang w:val="en-US" w:eastAsia="zh-CN"/>
        </w:rPr>
        <w:t>环境建设</w:t>
      </w:r>
      <w:r>
        <w:rPr>
          <w:rFonts w:hint="eastAsia" w:ascii="仿宋_GB2312" w:hAnsi="仿宋_GB2312" w:eastAsia="仿宋_GB2312" w:cs="仿宋_GB2312"/>
          <w:color w:val="auto"/>
          <w:sz w:val="32"/>
          <w:szCs w:val="32"/>
        </w:rPr>
        <w:t>工作向精准长效型转</w:t>
      </w:r>
      <w:r>
        <w:rPr>
          <w:rFonts w:hint="eastAsia" w:ascii="仿宋_GB2312" w:hAnsi="仿宋_GB2312" w:eastAsia="仿宋_GB2312" w:cs="仿宋_GB2312"/>
          <w:color w:val="auto"/>
          <w:sz w:val="32"/>
          <w:szCs w:val="32"/>
          <w:lang w:val="en-US" w:eastAsia="zh-CN"/>
        </w:rPr>
        <w:t>变</w:t>
      </w:r>
      <w:r>
        <w:rPr>
          <w:rFonts w:hint="eastAsia" w:ascii="仿宋_GB2312" w:hAnsi="仿宋_GB2312" w:eastAsia="仿宋_GB2312" w:cs="仿宋_GB2312"/>
          <w:color w:val="auto"/>
          <w:sz w:val="32"/>
          <w:szCs w:val="32"/>
        </w:rPr>
        <w:t>。</w:t>
      </w:r>
    </w:p>
    <w:p>
      <w:pPr>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auto"/>
        </w:rPr>
      </w:pP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是</w:t>
      </w:r>
      <w:r>
        <w:rPr>
          <w:rFonts w:hint="eastAsia" w:ascii="仿宋_GB2312" w:hAnsi="仿宋_GB2312" w:eastAsia="仿宋_GB2312" w:cs="仿宋_GB2312"/>
          <w:color w:val="auto"/>
          <w:sz w:val="32"/>
          <w:szCs w:val="32"/>
          <w:lang w:val="en-US" w:eastAsia="zh-CN"/>
        </w:rPr>
        <w:t>深入</w:t>
      </w:r>
      <w:r>
        <w:rPr>
          <w:rFonts w:hint="eastAsia" w:ascii="仿宋_GB2312" w:hAnsi="仿宋_GB2312" w:eastAsia="仿宋_GB2312" w:cs="仿宋_GB2312"/>
          <w:color w:val="auto"/>
          <w:sz w:val="32"/>
          <w:szCs w:val="32"/>
        </w:rPr>
        <w:t>挖掘新型领域消费潜力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推动消费政策红利</w:t>
      </w:r>
      <w:r>
        <w:rPr>
          <w:rFonts w:hint="eastAsia" w:ascii="仿宋_GB2312" w:hAnsi="仿宋_GB2312" w:eastAsia="仿宋_GB2312" w:cs="仿宋_GB2312"/>
          <w:color w:val="auto"/>
          <w:sz w:val="32"/>
          <w:szCs w:val="32"/>
          <w:lang w:val="en-US" w:eastAsia="zh-CN"/>
        </w:rPr>
        <w:t>充分释放</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要</w:t>
      </w:r>
      <w:r>
        <w:rPr>
          <w:rFonts w:hint="eastAsia" w:ascii="仿宋_GB2312" w:hAnsi="仿宋_GB2312" w:eastAsia="仿宋_GB2312" w:cs="仿宋_GB2312"/>
          <w:color w:val="auto"/>
          <w:sz w:val="32"/>
          <w:szCs w:val="32"/>
        </w:rPr>
        <w:t>适应服务消费占比提高</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数字消费规模扩大的发展趋势，强化服务消费维权保障，筑牢数字消费安全防线，规范新业态新模式发展秩序，缩小城乡区域消费发展差距</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适应人口结构发展变化和社会消费心理变化的要求，推动消费者</w:t>
      </w:r>
      <w:r>
        <w:rPr>
          <w:rFonts w:hint="eastAsia" w:ascii="仿宋_GB2312" w:hAnsi="仿宋_GB2312" w:eastAsia="仿宋_GB2312" w:cs="仿宋_GB2312"/>
          <w:color w:val="auto"/>
          <w:sz w:val="32"/>
          <w:szCs w:val="32"/>
          <w:lang w:val="en-US" w:eastAsia="zh-CN"/>
        </w:rPr>
        <w:t>权益</w:t>
      </w:r>
      <w:r>
        <w:rPr>
          <w:rFonts w:hint="eastAsia" w:ascii="仿宋_GB2312" w:hAnsi="仿宋_GB2312" w:eastAsia="仿宋_GB2312" w:cs="仿宋_GB2312"/>
          <w:color w:val="auto"/>
          <w:sz w:val="32"/>
          <w:szCs w:val="32"/>
        </w:rPr>
        <w:t>保护工作适老化变革，完善银发消费适老化保障体系，破解老年群体消费维权难点</w:t>
      </w:r>
      <w:r>
        <w:rPr>
          <w:rFonts w:hint="eastAsia" w:ascii="仿宋_GB2312" w:hAnsi="仿宋_GB2312" w:eastAsia="仿宋_GB2312" w:cs="仿宋_GB2312"/>
          <w:color w:val="auto"/>
          <w:sz w:val="32"/>
          <w:szCs w:val="32"/>
          <w:lang w:eastAsia="zh-CN"/>
        </w:rPr>
        <w:t>；开展《中华人民共和国无障碍环境建设法》执法检查，推动消费场所进一步加强无障碍环境建设，为老年人、残疾人等提供安全、便利、舒适的消费环境；</w:t>
      </w:r>
      <w:r>
        <w:rPr>
          <w:rFonts w:hint="eastAsia" w:ascii="仿宋_GB2312" w:hAnsi="仿宋_GB2312" w:eastAsia="仿宋_GB2312" w:cs="仿宋_GB2312"/>
          <w:color w:val="auto"/>
          <w:sz w:val="32"/>
          <w:szCs w:val="32"/>
        </w:rPr>
        <w:t>顺应情绪价值消费兴起趋势，拓展消费者权益保护工作的保障范围，提升情绪消费的服务质量，</w:t>
      </w:r>
      <w:r>
        <w:rPr>
          <w:rFonts w:hint="eastAsia" w:ascii="仿宋_GB2312" w:hAnsi="仿宋_GB2312" w:eastAsia="仿宋_GB2312" w:cs="仿宋_GB2312"/>
          <w:color w:val="auto"/>
          <w:sz w:val="32"/>
          <w:szCs w:val="32"/>
          <w:lang w:val="en-US" w:eastAsia="zh-CN"/>
        </w:rPr>
        <w:t>更好的保护好消费者的</w:t>
      </w:r>
      <w:r>
        <w:rPr>
          <w:rFonts w:hint="eastAsia" w:ascii="仿宋_GB2312" w:hAnsi="仿宋_GB2312" w:eastAsia="仿宋_GB2312" w:cs="仿宋_GB2312"/>
          <w:color w:val="auto"/>
          <w:sz w:val="32"/>
          <w:szCs w:val="32"/>
        </w:rPr>
        <w:t>精神利益，</w:t>
      </w:r>
      <w:r>
        <w:rPr>
          <w:rFonts w:hint="eastAsia" w:ascii="仿宋_GB2312" w:hAnsi="仿宋_GB2312" w:eastAsia="仿宋_GB2312" w:cs="仿宋_GB2312"/>
          <w:color w:val="auto"/>
          <w:sz w:val="32"/>
          <w:szCs w:val="32"/>
          <w:lang w:val="en-US" w:eastAsia="zh-CN"/>
        </w:rPr>
        <w:t>推进消费者</w:t>
      </w:r>
      <w:r>
        <w:rPr>
          <w:rFonts w:hint="eastAsia" w:ascii="仿宋_GB2312" w:hAnsi="仿宋_GB2312" w:eastAsia="仿宋_GB2312" w:cs="仿宋_GB2312"/>
          <w:color w:val="auto"/>
          <w:sz w:val="32"/>
          <w:szCs w:val="32"/>
        </w:rPr>
        <w:t>物质与精神权益</w:t>
      </w:r>
      <w:r>
        <w:rPr>
          <w:rFonts w:hint="eastAsia" w:ascii="仿宋_GB2312" w:hAnsi="仿宋_GB2312" w:eastAsia="仿宋_GB2312" w:cs="仿宋_GB2312"/>
          <w:color w:val="auto"/>
          <w:sz w:val="32"/>
          <w:szCs w:val="32"/>
          <w:lang w:val="en-US" w:eastAsia="zh-CN"/>
        </w:rPr>
        <w:t>保障共同提升</w:t>
      </w:r>
      <w:r>
        <w:rPr>
          <w:rFonts w:hint="eastAsia" w:ascii="仿宋_GB2312" w:hAnsi="仿宋_GB2312" w:eastAsia="仿宋_GB2312" w:cs="仿宋_GB2312"/>
          <w:color w:val="auto"/>
          <w:sz w:val="32"/>
          <w:szCs w:val="32"/>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lang w:val="en-US" w:eastAsia="zh-CN"/>
        </w:rPr>
      </w:pPr>
      <w:bookmarkStart w:id="133" w:name="_Toc15973"/>
      <w:bookmarkStart w:id="134" w:name="_Toc17205"/>
      <w:bookmarkStart w:id="135" w:name="_Toc221610705"/>
      <w:r>
        <w:rPr>
          <w:rFonts w:hint="eastAsia" w:ascii="黑体" w:hAnsi="黑体" w:eastAsia="黑体" w:cs="黑体"/>
          <w:bCs/>
          <w:color w:val="000000"/>
          <w:sz w:val="32"/>
          <w:szCs w:val="32"/>
          <w:lang w:val="en-US" w:eastAsia="zh-CN"/>
        </w:rPr>
        <w:t>二、提升维权能力，持续完善消费者权益保护体制机制</w:t>
      </w:r>
      <w:bookmarkEnd w:id="133"/>
      <w:bookmarkEnd w:id="134"/>
      <w:bookmarkEnd w:id="135"/>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rPr>
        <w:t>一是</w:t>
      </w:r>
      <w:r>
        <w:rPr>
          <w:rFonts w:hint="eastAsia" w:ascii="仿宋_GB2312" w:hAnsi="仿宋_GB2312" w:eastAsia="仿宋_GB2312" w:cs="仿宋_GB2312"/>
          <w:sz w:val="32"/>
          <w:szCs w:val="32"/>
        </w:rPr>
        <w:t>将《消法》的修改完善工作纳入相关部门的工作日程，提高消费者权益保护工作的法律供给。</w:t>
      </w:r>
      <w:r>
        <w:rPr>
          <w:rFonts w:hint="eastAsia" w:ascii="仿宋_GB2312" w:hAnsi="仿宋_GB2312" w:eastAsia="仿宋_GB2312" w:cs="仿宋_GB2312"/>
          <w:sz w:val="32"/>
          <w:szCs w:val="32"/>
          <w:lang w:val="en-US" w:eastAsia="zh-CN"/>
        </w:rPr>
        <w:t>同时，</w:t>
      </w:r>
      <w:r>
        <w:rPr>
          <w:rFonts w:hint="eastAsia" w:ascii="仿宋_GB2312" w:hAnsi="仿宋_GB2312" w:eastAsia="仿宋_GB2312" w:cs="仿宋_GB2312"/>
          <w:color w:val="auto"/>
          <w:sz w:val="32"/>
          <w:szCs w:val="32"/>
        </w:rPr>
        <w:t>围绕预付式消费等</w:t>
      </w:r>
      <w:r>
        <w:rPr>
          <w:rFonts w:hint="eastAsia" w:ascii="仿宋_GB2312" w:hAnsi="仿宋_GB2312" w:eastAsia="仿宋_GB2312" w:cs="仿宋_GB2312"/>
          <w:color w:val="auto"/>
          <w:sz w:val="32"/>
          <w:szCs w:val="32"/>
          <w:lang w:val="en-US" w:eastAsia="zh-CN"/>
        </w:rPr>
        <w:t>消费</w:t>
      </w:r>
      <w:r>
        <w:rPr>
          <w:rFonts w:hint="eastAsia" w:ascii="仿宋_GB2312" w:hAnsi="仿宋_GB2312" w:eastAsia="仿宋_GB2312" w:cs="仿宋_GB2312"/>
          <w:color w:val="auto"/>
          <w:sz w:val="32"/>
          <w:szCs w:val="32"/>
        </w:rPr>
        <w:t>纠纷高发领域</w:t>
      </w:r>
      <w:r>
        <w:rPr>
          <w:rFonts w:hint="eastAsia" w:ascii="仿宋_GB2312" w:hAnsi="仿宋_GB2312" w:eastAsia="仿宋_GB2312" w:cs="仿宋_GB2312"/>
          <w:color w:val="auto"/>
          <w:sz w:val="32"/>
          <w:szCs w:val="32"/>
          <w:lang w:val="en-US" w:eastAsia="zh-CN"/>
        </w:rPr>
        <w:t>和</w:t>
      </w:r>
      <w:r>
        <w:rPr>
          <w:rFonts w:hint="eastAsia" w:ascii="仿宋_GB2312" w:hAnsi="仿宋_GB2312" w:eastAsia="仿宋_GB2312" w:cs="仿宋_GB2312"/>
          <w:color w:val="auto"/>
          <w:sz w:val="32"/>
          <w:szCs w:val="32"/>
        </w:rPr>
        <w:t>数字内容付费、平台服务规则、算法定价</w:t>
      </w:r>
      <w:r>
        <w:rPr>
          <w:rFonts w:hint="eastAsia" w:ascii="仿宋_GB2312" w:hAnsi="仿宋_GB2312" w:eastAsia="仿宋_GB2312" w:cs="仿宋_GB2312"/>
          <w:color w:val="auto"/>
          <w:sz w:val="32"/>
          <w:szCs w:val="32"/>
          <w:lang w:val="en-US" w:eastAsia="zh-CN"/>
        </w:rPr>
        <w:t>等消费投诉易发点</w:t>
      </w:r>
      <w:r>
        <w:rPr>
          <w:rFonts w:hint="eastAsia" w:ascii="仿宋_GB2312" w:hAnsi="仿宋_GB2312" w:eastAsia="仿宋_GB2312" w:cs="仿宋_GB2312"/>
          <w:color w:val="auto"/>
          <w:sz w:val="32"/>
          <w:szCs w:val="32"/>
        </w:rPr>
        <w:t>，加快</w:t>
      </w:r>
      <w:r>
        <w:rPr>
          <w:rFonts w:hint="eastAsia" w:ascii="仿宋_GB2312" w:hAnsi="仿宋_GB2312" w:eastAsia="仿宋_GB2312" w:cs="仿宋_GB2312"/>
          <w:color w:val="auto"/>
          <w:sz w:val="32"/>
          <w:szCs w:val="32"/>
          <w:lang w:val="en-US" w:eastAsia="zh-CN"/>
        </w:rPr>
        <w:t>制定</w:t>
      </w:r>
      <w:r>
        <w:rPr>
          <w:rFonts w:hint="eastAsia" w:ascii="仿宋_GB2312" w:hAnsi="仿宋_GB2312" w:eastAsia="仿宋_GB2312" w:cs="仿宋_GB2312"/>
          <w:color w:val="auto"/>
          <w:sz w:val="32"/>
          <w:szCs w:val="32"/>
        </w:rPr>
        <w:t>《消保条例》配套规则，明确主体责任，</w:t>
      </w:r>
      <w:r>
        <w:rPr>
          <w:rFonts w:hint="eastAsia" w:ascii="仿宋_GB2312" w:hAnsi="仿宋_GB2312" w:eastAsia="仿宋_GB2312" w:cs="仿宋_GB2312"/>
          <w:color w:val="auto"/>
          <w:sz w:val="32"/>
          <w:szCs w:val="32"/>
          <w:lang w:val="en-US" w:eastAsia="zh-CN"/>
        </w:rPr>
        <w:t>细化实施流程，切实</w:t>
      </w:r>
      <w:r>
        <w:rPr>
          <w:rFonts w:hint="eastAsia" w:ascii="仿宋_GB2312" w:hAnsi="仿宋_GB2312" w:eastAsia="仿宋_GB2312" w:cs="仿宋_GB2312"/>
          <w:color w:val="auto"/>
          <w:sz w:val="32"/>
          <w:szCs w:val="32"/>
        </w:rPr>
        <w:t>增强制度的可操作性和可预期性。</w:t>
      </w:r>
      <w:r>
        <w:rPr>
          <w:rFonts w:hint="eastAsia" w:ascii="仿宋_GB2312" w:hAnsi="仿宋_GB2312" w:eastAsia="仿宋_GB2312" w:cs="仿宋_GB2312"/>
          <w:color w:val="auto"/>
          <w:sz w:val="32"/>
          <w:szCs w:val="32"/>
          <w:lang w:val="en-US" w:eastAsia="zh-CN"/>
        </w:rPr>
        <w:t>此外，要积极适应</w:t>
      </w:r>
      <w:r>
        <w:rPr>
          <w:rFonts w:hint="eastAsia" w:ascii="仿宋_GB2312" w:hAnsi="仿宋_GB2312" w:eastAsia="仿宋_GB2312" w:cs="仿宋_GB2312"/>
          <w:color w:val="auto"/>
          <w:sz w:val="32"/>
          <w:szCs w:val="32"/>
        </w:rPr>
        <w:t>数字经济、人工智能</w:t>
      </w:r>
      <w:r>
        <w:rPr>
          <w:rFonts w:hint="eastAsia" w:ascii="仿宋_GB2312" w:hAnsi="仿宋_GB2312" w:eastAsia="仿宋_GB2312" w:cs="仿宋_GB2312"/>
          <w:color w:val="auto"/>
          <w:sz w:val="32"/>
          <w:szCs w:val="32"/>
          <w:lang w:val="en-US" w:eastAsia="zh-CN"/>
        </w:rPr>
        <w:t>发展要求</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加大对</w:t>
      </w:r>
      <w:r>
        <w:rPr>
          <w:rFonts w:hint="eastAsia" w:ascii="仿宋_GB2312" w:hAnsi="仿宋_GB2312" w:eastAsia="仿宋_GB2312" w:cs="仿宋_GB2312"/>
          <w:color w:val="auto"/>
          <w:sz w:val="32"/>
          <w:szCs w:val="32"/>
        </w:rPr>
        <w:t>无形产品</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算法</w:t>
      </w:r>
      <w:r>
        <w:rPr>
          <w:rFonts w:hint="eastAsia" w:ascii="仿宋_GB2312" w:hAnsi="仿宋_GB2312" w:eastAsia="仿宋_GB2312" w:cs="仿宋_GB2312"/>
          <w:color w:val="auto"/>
          <w:sz w:val="32"/>
          <w:szCs w:val="32"/>
          <w:lang w:val="en-US" w:eastAsia="zh-CN"/>
        </w:rPr>
        <w:t>和模型、</w:t>
      </w:r>
      <w:r>
        <w:rPr>
          <w:rFonts w:hint="eastAsia" w:ascii="仿宋_GB2312" w:hAnsi="仿宋_GB2312" w:eastAsia="仿宋_GB2312" w:cs="仿宋_GB2312"/>
          <w:color w:val="auto"/>
          <w:sz w:val="32"/>
          <w:szCs w:val="32"/>
        </w:rPr>
        <w:t>自动驾驶责任</w:t>
      </w:r>
      <w:r>
        <w:rPr>
          <w:rFonts w:hint="eastAsia" w:ascii="仿宋_GB2312" w:hAnsi="仿宋_GB2312" w:eastAsia="仿宋_GB2312" w:cs="仿宋_GB2312"/>
          <w:color w:val="auto"/>
          <w:sz w:val="32"/>
          <w:szCs w:val="32"/>
          <w:lang w:val="en-US" w:eastAsia="zh-CN"/>
        </w:rPr>
        <w:t>等内容的基础性研究，进一步</w:t>
      </w:r>
      <w:r>
        <w:rPr>
          <w:rFonts w:hint="eastAsia" w:ascii="仿宋_GB2312" w:hAnsi="仿宋_GB2312" w:eastAsia="仿宋_GB2312" w:cs="仿宋_GB2312"/>
          <w:color w:val="auto"/>
          <w:sz w:val="32"/>
          <w:szCs w:val="32"/>
        </w:rPr>
        <w:t>充实完善新场景、新领域消费者权益保护制度和配套规则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更好地维护消费者合法权益</w:t>
      </w:r>
      <w:r>
        <w:rPr>
          <w:rFonts w:hint="eastAsia" w:ascii="仿宋_GB2312" w:hAnsi="仿宋_GB2312" w:eastAsia="仿宋_GB2312" w:cs="仿宋_GB2312"/>
          <w:color w:val="auto"/>
          <w:sz w:val="32"/>
          <w:szCs w:val="32"/>
        </w:rPr>
        <w:t>。</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二是借力数字技术发展，</w:t>
      </w:r>
      <w:r>
        <w:rPr>
          <w:rFonts w:hint="eastAsia" w:ascii="仿宋_GB2312" w:hAnsi="仿宋_GB2312" w:eastAsia="仿宋_GB2312" w:cs="仿宋_GB2312"/>
          <w:color w:val="auto"/>
          <w:sz w:val="32"/>
          <w:szCs w:val="32"/>
          <w:lang w:val="en-US" w:eastAsia="zh-CN"/>
        </w:rPr>
        <w:t>大力</w:t>
      </w:r>
      <w:r>
        <w:rPr>
          <w:rFonts w:hint="eastAsia" w:ascii="仿宋_GB2312" w:hAnsi="仿宋_GB2312" w:eastAsia="仿宋_GB2312" w:cs="仿宋_GB2312"/>
          <w:color w:val="auto"/>
          <w:sz w:val="32"/>
          <w:szCs w:val="32"/>
        </w:rPr>
        <w:t>提升消费维权部门的智慧监管水平，</w:t>
      </w:r>
      <w:r>
        <w:rPr>
          <w:rFonts w:hint="eastAsia" w:ascii="仿宋_GB2312" w:hAnsi="仿宋_GB2312" w:eastAsia="仿宋_GB2312" w:cs="仿宋_GB2312"/>
          <w:color w:val="auto"/>
          <w:sz w:val="32"/>
          <w:szCs w:val="32"/>
          <w:lang w:val="en-US" w:eastAsia="zh-CN"/>
        </w:rPr>
        <w:t>积极应对</w:t>
      </w:r>
      <w:r>
        <w:rPr>
          <w:rFonts w:hint="eastAsia" w:ascii="仿宋_GB2312" w:hAnsi="仿宋_GB2312" w:eastAsia="仿宋_GB2312" w:cs="仿宋_GB2312"/>
          <w:color w:val="auto"/>
          <w:sz w:val="32"/>
          <w:szCs w:val="32"/>
        </w:rPr>
        <w:t>大数据、人工智能、区块链等技术</w:t>
      </w:r>
      <w:r>
        <w:rPr>
          <w:rFonts w:hint="eastAsia" w:ascii="仿宋_GB2312" w:hAnsi="仿宋_GB2312" w:eastAsia="仿宋_GB2312" w:cs="仿宋_GB2312"/>
          <w:color w:val="auto"/>
          <w:sz w:val="32"/>
          <w:szCs w:val="32"/>
          <w:lang w:val="en-US" w:eastAsia="zh-CN"/>
        </w:rPr>
        <w:t>在消费场景中的应用所带来的监管挑战，不断完善</w:t>
      </w:r>
      <w:r>
        <w:rPr>
          <w:rFonts w:hint="eastAsia" w:ascii="仿宋_GB2312" w:hAnsi="仿宋_GB2312" w:eastAsia="仿宋_GB2312" w:cs="仿宋_GB2312"/>
          <w:color w:val="auto"/>
          <w:sz w:val="32"/>
          <w:szCs w:val="32"/>
        </w:rPr>
        <w:t>对</w:t>
      </w:r>
      <w:r>
        <w:rPr>
          <w:rFonts w:hint="eastAsia" w:ascii="仿宋_GB2312" w:hAnsi="仿宋_GB2312" w:eastAsia="仿宋_GB2312" w:cs="仿宋_GB2312"/>
          <w:color w:val="auto"/>
          <w:sz w:val="32"/>
          <w:szCs w:val="32"/>
          <w:lang w:val="en-US" w:eastAsia="zh-CN"/>
        </w:rPr>
        <w:t>网络交易</w:t>
      </w:r>
      <w:r>
        <w:rPr>
          <w:rFonts w:hint="eastAsia" w:ascii="仿宋_GB2312" w:hAnsi="仿宋_GB2312" w:eastAsia="仿宋_GB2312" w:cs="仿宋_GB2312"/>
          <w:color w:val="auto"/>
          <w:sz w:val="32"/>
          <w:szCs w:val="32"/>
        </w:rPr>
        <w:t>、专业性商品交易</w:t>
      </w:r>
      <w:r>
        <w:rPr>
          <w:rFonts w:hint="eastAsia" w:ascii="仿宋_GB2312" w:hAnsi="仿宋_GB2312" w:eastAsia="仿宋_GB2312" w:cs="仿宋_GB2312"/>
          <w:color w:val="auto"/>
          <w:sz w:val="32"/>
          <w:szCs w:val="32"/>
          <w:lang w:val="en-US" w:eastAsia="zh-CN"/>
        </w:rPr>
        <w:t>中存在的维权</w:t>
      </w:r>
      <w:r>
        <w:rPr>
          <w:rFonts w:hint="eastAsia" w:ascii="仿宋_GB2312" w:hAnsi="仿宋_GB2312" w:eastAsia="仿宋_GB2312" w:cs="仿宋_GB2312"/>
          <w:color w:val="auto"/>
          <w:sz w:val="32"/>
          <w:szCs w:val="32"/>
        </w:rPr>
        <w:t>盲区、责任链条复杂</w:t>
      </w:r>
      <w:r>
        <w:rPr>
          <w:rFonts w:hint="eastAsia" w:ascii="仿宋_GB2312" w:hAnsi="仿宋_GB2312" w:eastAsia="仿宋_GB2312" w:cs="仿宋_GB2312"/>
          <w:color w:val="auto"/>
          <w:sz w:val="32"/>
          <w:szCs w:val="32"/>
          <w:lang w:val="en-US" w:eastAsia="zh-CN"/>
        </w:rPr>
        <w:t>等情况的监管和维权工作</w:t>
      </w:r>
      <w:r>
        <w:rPr>
          <w:rFonts w:hint="eastAsia" w:ascii="仿宋_GB2312" w:hAnsi="仿宋_GB2312" w:eastAsia="仿宋_GB2312" w:cs="仿宋_GB2312"/>
          <w:color w:val="auto"/>
          <w:sz w:val="32"/>
          <w:szCs w:val="32"/>
        </w:rPr>
        <w:t>，筑牢技术驱动型消费环境下的权益保护屏障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持续推进建设</w:t>
      </w:r>
      <w:r>
        <w:rPr>
          <w:rFonts w:hint="eastAsia" w:ascii="仿宋_GB2312" w:hAnsi="仿宋_GB2312" w:eastAsia="仿宋_GB2312" w:cs="仿宋_GB2312"/>
          <w:color w:val="auto"/>
          <w:sz w:val="32"/>
          <w:szCs w:val="32"/>
        </w:rPr>
        <w:t>高效的信息共享与联合行动机制，</w:t>
      </w:r>
      <w:r>
        <w:rPr>
          <w:rFonts w:hint="eastAsia" w:ascii="仿宋_GB2312" w:hAnsi="仿宋_GB2312" w:eastAsia="仿宋_GB2312" w:cs="仿宋_GB2312"/>
          <w:color w:val="auto"/>
          <w:sz w:val="32"/>
          <w:szCs w:val="32"/>
          <w:lang w:val="en-US" w:eastAsia="zh-CN"/>
        </w:rPr>
        <w:t>在更广区域和部门间形成消费维权</w:t>
      </w:r>
      <w:r>
        <w:rPr>
          <w:rFonts w:hint="eastAsia" w:ascii="仿宋_GB2312" w:hAnsi="仿宋_GB2312" w:eastAsia="仿宋_GB2312" w:cs="仿宋_GB2312"/>
          <w:color w:val="auto"/>
          <w:sz w:val="32"/>
          <w:szCs w:val="32"/>
        </w:rPr>
        <w:t>合力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同时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要</w:t>
      </w:r>
      <w:r>
        <w:rPr>
          <w:rFonts w:hint="eastAsia" w:ascii="仿宋_GB2312" w:hAnsi="仿宋_GB2312" w:eastAsia="仿宋_GB2312" w:cs="仿宋_GB2312"/>
          <w:color w:val="auto"/>
          <w:sz w:val="32"/>
          <w:szCs w:val="32"/>
        </w:rPr>
        <w:t>压实平台审核、风险防控和售后保障责任，防止侵权行为在监管缝隙中反复滋生。</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三是</w:t>
      </w:r>
      <w:r>
        <w:rPr>
          <w:rFonts w:hint="eastAsia" w:ascii="仿宋_GB2312" w:hAnsi="仿宋_GB2312" w:eastAsia="仿宋_GB2312" w:cs="仿宋_GB2312"/>
          <w:color w:val="auto"/>
          <w:sz w:val="32"/>
          <w:szCs w:val="32"/>
          <w:lang w:val="en-US" w:eastAsia="zh-CN"/>
        </w:rPr>
        <w:t>积极</w:t>
      </w:r>
      <w:r>
        <w:rPr>
          <w:rFonts w:hint="eastAsia" w:ascii="仿宋_GB2312" w:hAnsi="仿宋_GB2312" w:eastAsia="仿宋_GB2312" w:cs="仿宋_GB2312"/>
          <w:color w:val="auto"/>
          <w:sz w:val="32"/>
          <w:szCs w:val="32"/>
        </w:rPr>
        <w:t>推动消费公益诉讼和集体诉讼在适用范围、证据规则方面</w:t>
      </w:r>
      <w:r>
        <w:rPr>
          <w:rFonts w:hint="eastAsia" w:ascii="仿宋_GB2312" w:hAnsi="仿宋_GB2312" w:eastAsia="仿宋_GB2312" w:cs="仿宋_GB2312"/>
          <w:color w:val="auto"/>
          <w:sz w:val="32"/>
          <w:szCs w:val="32"/>
          <w:lang w:val="en-US" w:eastAsia="zh-CN"/>
        </w:rPr>
        <w:t>的制度</w:t>
      </w:r>
      <w:r>
        <w:rPr>
          <w:rFonts w:hint="eastAsia" w:ascii="仿宋_GB2312" w:hAnsi="仿宋_GB2312" w:eastAsia="仿宋_GB2312" w:cs="仿宋_GB2312"/>
          <w:color w:val="auto"/>
          <w:sz w:val="32"/>
          <w:szCs w:val="32"/>
        </w:rPr>
        <w:t>完善，</w:t>
      </w:r>
      <w:r>
        <w:rPr>
          <w:rFonts w:hint="eastAsia" w:ascii="仿宋_GB2312" w:hAnsi="仿宋_GB2312" w:eastAsia="仿宋_GB2312" w:cs="仿宋_GB2312"/>
          <w:color w:val="auto"/>
          <w:sz w:val="32"/>
          <w:szCs w:val="32"/>
          <w:lang w:val="en-US" w:eastAsia="zh-CN"/>
        </w:rPr>
        <w:t>大力开展</w:t>
      </w:r>
      <w:r>
        <w:rPr>
          <w:rFonts w:hint="eastAsia" w:ascii="仿宋_GB2312" w:hAnsi="仿宋_GB2312" w:eastAsia="仿宋_GB2312" w:cs="仿宋_GB2312"/>
          <w:color w:val="auto"/>
          <w:sz w:val="32"/>
          <w:szCs w:val="32"/>
        </w:rPr>
        <w:t>诉讼实践创新，增强其在数字消费、金融消费等新型领域中的可用性，</w:t>
      </w:r>
      <w:r>
        <w:rPr>
          <w:rFonts w:hint="eastAsia" w:ascii="仿宋_GB2312" w:hAnsi="仿宋_GB2312" w:eastAsia="仿宋_GB2312" w:cs="仿宋_GB2312"/>
          <w:color w:val="auto"/>
          <w:sz w:val="32"/>
          <w:szCs w:val="32"/>
          <w:lang w:val="en-US" w:eastAsia="zh-CN"/>
        </w:rPr>
        <w:t>促进</w:t>
      </w:r>
      <w:r>
        <w:rPr>
          <w:rFonts w:hint="eastAsia" w:ascii="仿宋_GB2312" w:hAnsi="仿宋_GB2312" w:eastAsia="仿宋_GB2312" w:cs="仿宋_GB2312"/>
          <w:color w:val="auto"/>
          <w:sz w:val="32"/>
          <w:szCs w:val="32"/>
        </w:rPr>
        <w:t>消费公益诉讼和集体诉讼的</w:t>
      </w:r>
      <w:r>
        <w:rPr>
          <w:rFonts w:hint="eastAsia" w:ascii="仿宋_GB2312" w:hAnsi="仿宋_GB2312" w:eastAsia="仿宋_GB2312" w:cs="仿宋_GB2312"/>
          <w:color w:val="auto"/>
          <w:sz w:val="32"/>
          <w:szCs w:val="32"/>
          <w:lang w:val="en-US" w:eastAsia="zh-CN"/>
        </w:rPr>
        <w:t>应用</w:t>
      </w:r>
      <w:r>
        <w:rPr>
          <w:rFonts w:hint="eastAsia" w:ascii="仿宋_GB2312" w:hAnsi="仿宋_GB2312" w:eastAsia="仿宋_GB2312" w:cs="仿宋_GB2312"/>
          <w:color w:val="auto"/>
          <w:sz w:val="32"/>
          <w:szCs w:val="32"/>
        </w:rPr>
        <w:t>领域与数量</w:t>
      </w:r>
      <w:r>
        <w:rPr>
          <w:rFonts w:hint="eastAsia" w:ascii="仿宋_GB2312" w:hAnsi="仿宋_GB2312" w:eastAsia="仿宋_GB2312" w:cs="仿宋_GB2312"/>
          <w:color w:val="auto"/>
          <w:sz w:val="32"/>
          <w:szCs w:val="32"/>
          <w:lang w:val="en-US" w:eastAsia="zh-CN"/>
        </w:rPr>
        <w:t>提升；</w:t>
      </w:r>
      <w:r>
        <w:rPr>
          <w:rFonts w:hint="eastAsia" w:ascii="仿宋_GB2312" w:hAnsi="仿宋_GB2312" w:eastAsia="仿宋_GB2312" w:cs="仿宋_GB2312"/>
          <w:color w:val="auto"/>
          <w:sz w:val="32"/>
          <w:szCs w:val="32"/>
        </w:rPr>
        <w:t>强化跨部门联动与消检合作，推动协作机制创新</w:t>
      </w:r>
      <w:r>
        <w:rPr>
          <w:rFonts w:hint="eastAsia" w:ascii="仿宋_GB2312" w:hAnsi="仿宋_GB2312" w:eastAsia="仿宋_GB2312" w:cs="仿宋_GB2312"/>
          <w:color w:val="auto"/>
          <w:sz w:val="32"/>
          <w:szCs w:val="32"/>
          <w:lang w:val="en-US" w:eastAsia="zh-CN"/>
        </w:rPr>
        <w:t>和消费公益诉讼工作能力</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有效降低</w:t>
      </w:r>
      <w:r>
        <w:rPr>
          <w:rFonts w:hint="eastAsia" w:ascii="仿宋_GB2312" w:hAnsi="仿宋_GB2312" w:eastAsia="仿宋_GB2312" w:cs="仿宋_GB2312"/>
          <w:color w:val="auto"/>
          <w:sz w:val="32"/>
          <w:szCs w:val="32"/>
        </w:rPr>
        <w:t>诉讼门槛和成本</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让公益诉讼的维权彰显更大威力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探索</w:t>
      </w:r>
      <w:r>
        <w:rPr>
          <w:rFonts w:hint="eastAsia" w:ascii="仿宋_GB2312" w:hAnsi="仿宋_GB2312" w:eastAsia="仿宋_GB2312" w:cs="仿宋_GB2312"/>
          <w:color w:val="auto"/>
          <w:sz w:val="32"/>
          <w:szCs w:val="32"/>
        </w:rPr>
        <w:t>完善</w:t>
      </w:r>
      <w:r>
        <w:rPr>
          <w:rFonts w:hint="eastAsia" w:ascii="仿宋_GB2312" w:hAnsi="仿宋_GB2312" w:eastAsia="仿宋_GB2312" w:cs="仿宋_GB2312"/>
          <w:color w:val="auto"/>
          <w:sz w:val="32"/>
          <w:szCs w:val="32"/>
          <w:lang w:val="en-US" w:eastAsia="zh-CN"/>
        </w:rPr>
        <w:t>消费公益诉讼</w:t>
      </w:r>
      <w:r>
        <w:rPr>
          <w:rFonts w:hint="eastAsia" w:ascii="仿宋_GB2312" w:hAnsi="仿宋_GB2312" w:eastAsia="仿宋_GB2312" w:cs="仿宋_GB2312"/>
          <w:color w:val="auto"/>
          <w:sz w:val="32"/>
          <w:szCs w:val="32"/>
        </w:rPr>
        <w:t>赔偿分配机制，</w:t>
      </w:r>
      <w:r>
        <w:rPr>
          <w:rFonts w:hint="eastAsia" w:ascii="仿宋_GB2312" w:hAnsi="仿宋_GB2312" w:eastAsia="仿宋_GB2312" w:cs="仿宋_GB2312"/>
          <w:color w:val="auto"/>
          <w:sz w:val="32"/>
          <w:szCs w:val="32"/>
          <w:lang w:val="en-US" w:eastAsia="zh-CN"/>
        </w:rPr>
        <w:t>破解</w:t>
      </w:r>
      <w:r>
        <w:rPr>
          <w:rFonts w:hint="eastAsia" w:ascii="仿宋_GB2312" w:hAnsi="仿宋_GB2312" w:eastAsia="仿宋_GB2312" w:cs="仿宋_GB2312"/>
          <w:color w:val="auto"/>
          <w:sz w:val="32"/>
          <w:szCs w:val="32"/>
        </w:rPr>
        <w:t>公平合理分配款项存在</w:t>
      </w:r>
      <w:r>
        <w:rPr>
          <w:rFonts w:hint="eastAsia" w:ascii="仿宋_GB2312" w:hAnsi="仿宋_GB2312" w:eastAsia="仿宋_GB2312" w:cs="仿宋_GB2312"/>
          <w:color w:val="auto"/>
          <w:sz w:val="32"/>
          <w:szCs w:val="32"/>
          <w:lang w:val="en-US" w:eastAsia="zh-CN"/>
        </w:rPr>
        <w:t>的</w:t>
      </w:r>
      <w:r>
        <w:rPr>
          <w:rFonts w:hint="eastAsia" w:ascii="仿宋_GB2312" w:hAnsi="仿宋_GB2312" w:eastAsia="仿宋_GB2312" w:cs="仿宋_GB2312"/>
          <w:color w:val="auto"/>
          <w:sz w:val="32"/>
          <w:szCs w:val="32"/>
        </w:rPr>
        <w:t>实践难题，</w:t>
      </w:r>
      <w:r>
        <w:rPr>
          <w:rFonts w:hint="eastAsia" w:ascii="仿宋_GB2312" w:hAnsi="仿宋_GB2312" w:eastAsia="仿宋_GB2312" w:cs="仿宋_GB2312"/>
          <w:color w:val="auto"/>
          <w:sz w:val="32"/>
          <w:szCs w:val="32"/>
          <w:lang w:val="en-US" w:eastAsia="zh-CN"/>
        </w:rPr>
        <w:t>提升各</w:t>
      </w:r>
      <w:r>
        <w:rPr>
          <w:rFonts w:hint="eastAsia" w:ascii="仿宋_GB2312" w:hAnsi="仿宋_GB2312" w:eastAsia="仿宋_GB2312" w:cs="仿宋_GB2312"/>
          <w:color w:val="auto"/>
          <w:sz w:val="32"/>
          <w:szCs w:val="32"/>
        </w:rPr>
        <w:t>参与</w:t>
      </w:r>
      <w:r>
        <w:rPr>
          <w:rFonts w:hint="eastAsia" w:ascii="仿宋_GB2312" w:hAnsi="仿宋_GB2312" w:eastAsia="仿宋_GB2312" w:cs="仿宋_GB2312"/>
          <w:color w:val="auto"/>
          <w:sz w:val="32"/>
          <w:szCs w:val="32"/>
          <w:lang w:val="en-US" w:eastAsia="zh-CN"/>
        </w:rPr>
        <w:t>方的</w:t>
      </w:r>
      <w:r>
        <w:rPr>
          <w:rFonts w:hint="eastAsia" w:ascii="仿宋_GB2312" w:hAnsi="仿宋_GB2312" w:eastAsia="仿宋_GB2312" w:cs="仿宋_GB2312"/>
          <w:color w:val="auto"/>
          <w:sz w:val="32"/>
          <w:szCs w:val="32"/>
        </w:rPr>
        <w:t>积极性。</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四是</w:t>
      </w:r>
      <w:r>
        <w:rPr>
          <w:rFonts w:hint="eastAsia" w:ascii="仿宋_GB2312" w:hAnsi="仿宋_GB2312" w:eastAsia="仿宋_GB2312" w:cs="仿宋_GB2312"/>
          <w:color w:val="auto"/>
          <w:sz w:val="32"/>
          <w:szCs w:val="32"/>
          <w:lang w:val="en-US" w:eastAsia="zh-CN"/>
        </w:rPr>
        <w:t>持续推进</w:t>
      </w:r>
      <w:r>
        <w:rPr>
          <w:rFonts w:hint="eastAsia" w:ascii="仿宋_GB2312" w:hAnsi="仿宋_GB2312" w:eastAsia="仿宋_GB2312" w:cs="仿宋_GB2312"/>
          <w:color w:val="auto"/>
          <w:sz w:val="32"/>
          <w:szCs w:val="32"/>
        </w:rPr>
        <w:t>消费者权益保护社会</w:t>
      </w:r>
      <w:r>
        <w:rPr>
          <w:rFonts w:hint="eastAsia" w:ascii="仿宋_GB2312" w:hAnsi="仿宋_GB2312" w:eastAsia="仿宋_GB2312" w:cs="仿宋_GB2312"/>
          <w:color w:val="auto"/>
          <w:sz w:val="32"/>
          <w:szCs w:val="32"/>
          <w:lang w:val="en-US" w:eastAsia="zh-CN"/>
        </w:rPr>
        <w:t>共治，大力</w:t>
      </w:r>
      <w:r>
        <w:rPr>
          <w:rFonts w:hint="eastAsia" w:ascii="仿宋_GB2312" w:hAnsi="仿宋_GB2312" w:eastAsia="仿宋_GB2312" w:cs="仿宋_GB2312"/>
          <w:color w:val="auto"/>
          <w:sz w:val="32"/>
          <w:szCs w:val="32"/>
        </w:rPr>
        <w:t>构建职责清晰、协同联动、良性互动的现代化</w:t>
      </w:r>
      <w:r>
        <w:rPr>
          <w:rFonts w:hint="eastAsia" w:ascii="仿宋_GB2312" w:hAnsi="仿宋_GB2312" w:eastAsia="仿宋_GB2312" w:cs="仿宋_GB2312"/>
          <w:color w:val="auto"/>
          <w:sz w:val="32"/>
          <w:szCs w:val="32"/>
          <w:lang w:val="en-US" w:eastAsia="zh-CN"/>
        </w:rPr>
        <w:t>消费维权</w:t>
      </w:r>
      <w:r>
        <w:rPr>
          <w:rFonts w:hint="eastAsia" w:ascii="仿宋_GB2312" w:hAnsi="仿宋_GB2312" w:eastAsia="仿宋_GB2312" w:cs="仿宋_GB2312"/>
          <w:color w:val="auto"/>
          <w:sz w:val="32"/>
          <w:szCs w:val="32"/>
        </w:rPr>
        <w:t>治理体系，建立部门间、部门与社会各界之间协同治理的正向激励机制和负面约束机制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提升</w:t>
      </w:r>
      <w:r>
        <w:rPr>
          <w:rFonts w:hint="eastAsia" w:ascii="仿宋_GB2312" w:hAnsi="仿宋_GB2312" w:eastAsia="仿宋_GB2312" w:cs="仿宋_GB2312"/>
          <w:color w:val="auto"/>
          <w:sz w:val="32"/>
          <w:szCs w:val="32"/>
        </w:rPr>
        <w:t>共治效能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认真</w:t>
      </w:r>
      <w:r>
        <w:rPr>
          <w:rFonts w:hint="eastAsia" w:ascii="仿宋_GB2312" w:hAnsi="仿宋_GB2312" w:eastAsia="仿宋_GB2312" w:cs="仿宋_GB2312"/>
          <w:color w:val="auto"/>
          <w:sz w:val="32"/>
          <w:szCs w:val="32"/>
        </w:rPr>
        <w:t>落实《消保条例》的规定，对消协的组织协调职能的有效落实予以配套制度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机制等</w:t>
      </w:r>
      <w:r>
        <w:rPr>
          <w:rFonts w:hint="eastAsia" w:ascii="仿宋_GB2312" w:hAnsi="仿宋_GB2312" w:eastAsia="仿宋_GB2312" w:cs="仿宋_GB2312"/>
          <w:color w:val="auto"/>
          <w:sz w:val="32"/>
          <w:szCs w:val="32"/>
        </w:rPr>
        <w:t>保障，</w:t>
      </w:r>
      <w:r>
        <w:rPr>
          <w:rFonts w:hint="eastAsia" w:ascii="仿宋_GB2312" w:hAnsi="仿宋_GB2312" w:eastAsia="仿宋_GB2312" w:cs="仿宋_GB2312"/>
          <w:color w:val="auto"/>
          <w:sz w:val="32"/>
          <w:szCs w:val="32"/>
          <w:lang w:val="en-US" w:eastAsia="zh-CN"/>
        </w:rPr>
        <w:t>充分发挥好消协组织枢纽作用</w:t>
      </w:r>
      <w:r>
        <w:rPr>
          <w:rFonts w:hint="eastAsia" w:ascii="仿宋_GB2312" w:hAnsi="仿宋_GB2312" w:eastAsia="仿宋_GB2312" w:cs="仿宋_GB2312"/>
          <w:color w:val="auto"/>
          <w:sz w:val="32"/>
          <w:szCs w:val="32"/>
        </w:rPr>
        <w:t>。</w:t>
      </w:r>
    </w:p>
    <w:p>
      <w:pPr>
        <w:keepNext w:val="0"/>
        <w:keepLines w:val="0"/>
        <w:pageBreakBefore w:val="0"/>
        <w:numPr>
          <w:ilvl w:val="0"/>
          <w:numId w:val="1"/>
        </w:numPr>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lang w:val="en-US" w:eastAsia="zh-CN"/>
        </w:rPr>
      </w:pPr>
      <w:bookmarkStart w:id="136" w:name="_Toc27167"/>
      <w:bookmarkStart w:id="137" w:name="_Toc221610706"/>
      <w:bookmarkStart w:id="138" w:name="_Toc17998"/>
      <w:r>
        <w:rPr>
          <w:rFonts w:hint="eastAsia" w:ascii="黑体" w:hAnsi="黑体" w:eastAsia="黑体" w:cs="黑体"/>
          <w:bCs/>
          <w:color w:val="000000"/>
          <w:sz w:val="32"/>
          <w:szCs w:val="32"/>
          <w:lang w:val="en-US" w:eastAsia="zh-CN"/>
        </w:rPr>
        <w:t>坚持民生导向，持续加大对相关领域消费违法行为的打击力度</w:t>
      </w:r>
      <w:bookmarkEnd w:id="136"/>
      <w:bookmarkEnd w:id="137"/>
      <w:bookmarkEnd w:id="138"/>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一是切实提升生活服务设施安全保障水平。持续加强对燃气、电梯、特种设备等设施的常态化排查，压实经营主体安全生产责任，防止设施“带病运行”；充分利用各类教育渠道，加强消费教育，普及和提高消费者安全使用相关设施的知识和技能。建立健全新能源电动电池回收监管制度，强化对非法回收、暴力拆解和翻新流通行为的全链条监管，严厉打击无资质经营，防止问题电池流入消费市场。在公共场所、经营场所安全保障方面，应以系统治理为导向，防范风险叠加，对低概率、高危害公共安全风险保持高度警惕，补齐消费领域公共安全监管短板。切实推进旅游景区、大型商超、演出演唱场所、商品展览场所等人群聚集性营业场所的安全风险隐患排查，将安全保障合规要求嵌入日常运营、项目审批和部门监管全过程，强化对上述场所用电消防、疏散通道和设施维护的动态监管。</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二是严厉查处</w:t>
      </w:r>
      <w:r>
        <w:rPr>
          <w:rFonts w:hint="eastAsia" w:ascii="仿宋_GB2312" w:hAnsi="仿宋_GB2312" w:eastAsia="仿宋_GB2312" w:cs="仿宋_GB2312"/>
          <w:bCs w:val="0"/>
          <w:color w:val="auto"/>
          <w:sz w:val="32"/>
          <w:szCs w:val="32"/>
        </w:rPr>
        <w:t>医美、保健品行业</w:t>
      </w:r>
      <w:r>
        <w:rPr>
          <w:rFonts w:hint="eastAsia" w:ascii="仿宋_GB2312" w:hAnsi="仿宋_GB2312" w:eastAsia="仿宋_GB2312" w:cs="仿宋_GB2312"/>
          <w:bCs w:val="0"/>
          <w:color w:val="auto"/>
          <w:sz w:val="32"/>
          <w:szCs w:val="32"/>
          <w:lang w:val="en-US" w:eastAsia="zh-CN"/>
        </w:rPr>
        <w:t>违法行为</w:t>
      </w:r>
      <w:r>
        <w:rPr>
          <w:rFonts w:hint="eastAsia" w:ascii="仿宋_GB2312" w:hAnsi="仿宋_GB2312" w:eastAsia="仿宋_GB2312" w:cs="仿宋_GB2312"/>
          <w:bCs w:val="0"/>
          <w:color w:val="auto"/>
          <w:sz w:val="32"/>
          <w:szCs w:val="32"/>
        </w:rPr>
        <w:t>。</w:t>
      </w:r>
      <w:r>
        <w:rPr>
          <w:rFonts w:hint="eastAsia" w:ascii="仿宋_GB2312" w:hAnsi="仿宋_GB2312" w:eastAsia="仿宋_GB2312" w:cs="仿宋_GB2312"/>
          <w:color w:val="auto"/>
          <w:sz w:val="32"/>
          <w:szCs w:val="32"/>
          <w:lang w:val="en-US" w:eastAsia="zh-CN"/>
        </w:rPr>
        <w:t>严格落实《医疗机构管理条例》《医疗美容服务管理办法》《食品卫生法》等相关法律法规</w:t>
      </w:r>
      <w:r>
        <w:rPr>
          <w:rFonts w:hint="eastAsia" w:ascii="仿宋_GB2312" w:hAnsi="仿宋_GB2312" w:eastAsia="仿宋_GB2312" w:cs="仿宋_GB2312"/>
          <w:i w:val="0"/>
          <w:iCs w:val="0"/>
          <w:caps w:val="0"/>
          <w:color w:val="auto"/>
          <w:spacing w:val="0"/>
          <w:sz w:val="32"/>
          <w:szCs w:val="32"/>
          <w:shd w:val="clear" w:color="auto" w:fill="auto"/>
        </w:rPr>
        <w:t>，</w:t>
      </w:r>
      <w:r>
        <w:rPr>
          <w:rFonts w:hint="eastAsia" w:ascii="仿宋_GB2312" w:hAnsi="仿宋_GB2312" w:eastAsia="仿宋_GB2312" w:cs="仿宋_GB2312"/>
          <w:i w:val="0"/>
          <w:iCs w:val="0"/>
          <w:caps w:val="0"/>
          <w:color w:val="auto"/>
          <w:spacing w:val="0"/>
          <w:sz w:val="32"/>
          <w:szCs w:val="32"/>
          <w:shd w:val="clear" w:color="auto" w:fill="auto"/>
          <w:lang w:val="en-US" w:eastAsia="zh-CN"/>
        </w:rPr>
        <w:t>切实</w:t>
      </w:r>
      <w:r>
        <w:rPr>
          <w:rFonts w:hint="eastAsia" w:ascii="仿宋_GB2312" w:hAnsi="仿宋_GB2312" w:eastAsia="仿宋_GB2312" w:cs="仿宋_GB2312"/>
          <w:i w:val="0"/>
          <w:iCs w:val="0"/>
          <w:caps w:val="0"/>
          <w:color w:val="auto"/>
          <w:spacing w:val="0"/>
          <w:sz w:val="32"/>
          <w:szCs w:val="32"/>
          <w:shd w:val="clear" w:color="auto" w:fill="auto"/>
        </w:rPr>
        <w:t>保障</w:t>
      </w:r>
      <w:r>
        <w:rPr>
          <w:rFonts w:hint="eastAsia" w:ascii="仿宋_GB2312" w:hAnsi="仿宋_GB2312" w:eastAsia="仿宋_GB2312" w:cs="仿宋_GB2312"/>
          <w:i w:val="0"/>
          <w:iCs w:val="0"/>
          <w:caps w:val="0"/>
          <w:color w:val="auto"/>
          <w:spacing w:val="0"/>
          <w:sz w:val="32"/>
          <w:szCs w:val="32"/>
          <w:shd w:val="clear" w:color="auto" w:fill="auto"/>
          <w:lang w:val="en-US" w:eastAsia="zh-CN"/>
        </w:rPr>
        <w:t>广大消费者</w:t>
      </w:r>
      <w:r>
        <w:rPr>
          <w:rFonts w:hint="eastAsia" w:ascii="仿宋_GB2312" w:hAnsi="仿宋_GB2312" w:eastAsia="仿宋_GB2312" w:cs="仿宋_GB2312"/>
          <w:i w:val="0"/>
          <w:iCs w:val="0"/>
          <w:caps w:val="0"/>
          <w:color w:val="auto"/>
          <w:spacing w:val="0"/>
          <w:sz w:val="32"/>
          <w:szCs w:val="32"/>
          <w:shd w:val="clear" w:color="auto" w:fill="auto"/>
        </w:rPr>
        <w:t>生命健康</w:t>
      </w:r>
      <w:r>
        <w:rPr>
          <w:rFonts w:hint="eastAsia" w:ascii="仿宋_GB2312" w:hAnsi="仿宋_GB2312" w:eastAsia="仿宋_GB2312" w:cs="仿宋_GB2312"/>
          <w:i w:val="0"/>
          <w:iCs w:val="0"/>
          <w:caps w:val="0"/>
          <w:color w:val="auto"/>
          <w:spacing w:val="0"/>
          <w:sz w:val="32"/>
          <w:szCs w:val="32"/>
          <w:shd w:val="clear" w:color="auto" w:fill="auto"/>
          <w:lang w:val="en-US" w:eastAsia="zh-CN"/>
        </w:rPr>
        <w:t>和财产</w:t>
      </w:r>
      <w:r>
        <w:rPr>
          <w:rFonts w:hint="eastAsia" w:ascii="仿宋_GB2312" w:hAnsi="仿宋_GB2312" w:eastAsia="仿宋_GB2312" w:cs="仿宋_GB2312"/>
          <w:i w:val="0"/>
          <w:iCs w:val="0"/>
          <w:caps w:val="0"/>
          <w:color w:val="auto"/>
          <w:spacing w:val="0"/>
          <w:sz w:val="32"/>
          <w:szCs w:val="32"/>
          <w:shd w:val="clear" w:color="auto" w:fill="auto"/>
        </w:rPr>
        <w:t>安全</w:t>
      </w:r>
      <w:r>
        <w:rPr>
          <w:rFonts w:hint="eastAsia" w:ascii="仿宋_GB2312" w:hAnsi="仿宋_GB2312" w:eastAsia="仿宋_GB2312" w:cs="仿宋_GB2312"/>
          <w:color w:val="auto"/>
          <w:sz w:val="32"/>
          <w:szCs w:val="32"/>
          <w:lang w:val="en-US" w:eastAsia="zh-CN"/>
        </w:rPr>
        <w:t>；</w:t>
      </w:r>
      <w:r>
        <w:rPr>
          <w:rFonts w:hint="eastAsia" w:ascii="仿宋_GB2312" w:hAnsi="仿宋_GB2312" w:eastAsia="仿宋_GB2312" w:cs="仿宋_GB2312"/>
          <w:i w:val="0"/>
          <w:iCs w:val="0"/>
          <w:caps w:val="0"/>
          <w:color w:val="auto"/>
          <w:spacing w:val="0"/>
          <w:sz w:val="32"/>
          <w:szCs w:val="32"/>
          <w:shd w:val="clear" w:color="auto" w:fill="auto"/>
        </w:rPr>
        <w:t>持续保持严打高压态势，</w:t>
      </w:r>
      <w:r>
        <w:rPr>
          <w:rFonts w:hint="eastAsia" w:ascii="仿宋_GB2312" w:hAnsi="仿宋_GB2312" w:eastAsia="仿宋_GB2312" w:cs="仿宋_GB2312"/>
          <w:i w:val="0"/>
          <w:iCs w:val="0"/>
          <w:caps w:val="0"/>
          <w:color w:val="auto"/>
          <w:spacing w:val="0"/>
          <w:sz w:val="32"/>
          <w:szCs w:val="32"/>
          <w:shd w:val="clear" w:color="auto" w:fill="auto"/>
          <w:lang w:val="en-US" w:eastAsia="zh-CN"/>
        </w:rPr>
        <w:t>严厉打击</w:t>
      </w:r>
      <w:r>
        <w:rPr>
          <w:rFonts w:hint="eastAsia" w:ascii="仿宋_GB2312" w:hAnsi="仿宋_GB2312" w:eastAsia="仿宋_GB2312" w:cs="仿宋_GB2312"/>
          <w:i w:val="0"/>
          <w:iCs w:val="0"/>
          <w:caps w:val="0"/>
          <w:color w:val="auto"/>
          <w:spacing w:val="0"/>
          <w:sz w:val="32"/>
          <w:szCs w:val="32"/>
          <w:shd w:val="clear" w:color="auto" w:fill="auto"/>
        </w:rPr>
        <w:t>医美</w:t>
      </w:r>
      <w:r>
        <w:rPr>
          <w:rFonts w:hint="eastAsia" w:ascii="仿宋_GB2312" w:hAnsi="仿宋_GB2312" w:eastAsia="仿宋_GB2312" w:cs="仿宋_GB2312"/>
          <w:i w:val="0"/>
          <w:iCs w:val="0"/>
          <w:caps w:val="0"/>
          <w:color w:val="auto"/>
          <w:spacing w:val="0"/>
          <w:sz w:val="32"/>
          <w:szCs w:val="32"/>
          <w:shd w:val="clear" w:color="auto" w:fill="auto"/>
          <w:lang w:val="en-US" w:eastAsia="zh-CN"/>
        </w:rPr>
        <w:t>和保健品行业</w:t>
      </w:r>
      <w:r>
        <w:rPr>
          <w:rFonts w:hint="eastAsia" w:ascii="仿宋_GB2312" w:hAnsi="仿宋_GB2312" w:eastAsia="仿宋_GB2312" w:cs="仿宋_GB2312"/>
          <w:i w:val="0"/>
          <w:iCs w:val="0"/>
          <w:caps w:val="0"/>
          <w:color w:val="auto"/>
          <w:spacing w:val="0"/>
          <w:sz w:val="32"/>
          <w:szCs w:val="32"/>
          <w:shd w:val="clear" w:color="auto" w:fill="auto"/>
        </w:rPr>
        <w:t>中危害严重、人民群众反映强烈</w:t>
      </w:r>
      <w:r>
        <w:rPr>
          <w:rFonts w:hint="eastAsia" w:ascii="仿宋_GB2312" w:hAnsi="仿宋_GB2312" w:eastAsia="仿宋_GB2312" w:cs="仿宋_GB2312"/>
          <w:i w:val="0"/>
          <w:iCs w:val="0"/>
          <w:caps w:val="0"/>
          <w:color w:val="auto"/>
          <w:spacing w:val="0"/>
          <w:sz w:val="32"/>
          <w:szCs w:val="32"/>
          <w:shd w:val="clear" w:color="auto" w:fill="auto"/>
          <w:lang w:val="en-US" w:eastAsia="zh-CN"/>
        </w:rPr>
        <w:t>的</w:t>
      </w:r>
      <w:r>
        <w:rPr>
          <w:rFonts w:hint="eastAsia" w:ascii="仿宋_GB2312" w:hAnsi="仿宋_GB2312" w:eastAsia="仿宋_GB2312" w:cs="仿宋_GB2312"/>
          <w:i w:val="0"/>
          <w:iCs w:val="0"/>
          <w:caps w:val="0"/>
          <w:color w:val="auto"/>
          <w:spacing w:val="0"/>
          <w:sz w:val="32"/>
          <w:szCs w:val="32"/>
          <w:shd w:val="clear" w:color="auto" w:fill="auto"/>
        </w:rPr>
        <w:t>突出</w:t>
      </w:r>
      <w:r>
        <w:rPr>
          <w:rFonts w:hint="eastAsia" w:ascii="仿宋_GB2312" w:hAnsi="仿宋_GB2312" w:eastAsia="仿宋_GB2312" w:cs="仿宋_GB2312"/>
          <w:i w:val="0"/>
          <w:iCs w:val="0"/>
          <w:caps w:val="0"/>
          <w:color w:val="auto"/>
          <w:spacing w:val="0"/>
          <w:sz w:val="32"/>
          <w:szCs w:val="32"/>
          <w:shd w:val="clear" w:color="auto" w:fill="auto"/>
          <w:lang w:val="en-US" w:eastAsia="zh-CN"/>
        </w:rPr>
        <w:t>违法行为</w:t>
      </w:r>
      <w:r>
        <w:rPr>
          <w:rFonts w:hint="eastAsia" w:ascii="仿宋_GB2312" w:hAnsi="仿宋_GB2312" w:eastAsia="仿宋_GB2312" w:cs="仿宋_GB2312"/>
          <w:i w:val="0"/>
          <w:iCs w:val="0"/>
          <w:caps w:val="0"/>
          <w:color w:val="auto"/>
          <w:spacing w:val="0"/>
          <w:sz w:val="32"/>
          <w:szCs w:val="32"/>
          <w:shd w:val="clear" w:color="auto" w:fill="auto"/>
          <w:lang w:eastAsia="zh-CN"/>
        </w:rPr>
        <w:t>，</w:t>
      </w:r>
      <w:r>
        <w:rPr>
          <w:rFonts w:hint="eastAsia" w:ascii="仿宋_GB2312" w:hAnsi="仿宋_GB2312" w:eastAsia="仿宋_GB2312" w:cs="仿宋_GB2312"/>
          <w:i w:val="0"/>
          <w:iCs w:val="0"/>
          <w:caps w:val="0"/>
          <w:color w:val="auto"/>
          <w:spacing w:val="0"/>
          <w:sz w:val="32"/>
          <w:szCs w:val="32"/>
          <w:shd w:val="clear" w:color="auto" w:fill="auto"/>
        </w:rPr>
        <w:t>深挖彻查幕后组织网络和黑灰产业链</w:t>
      </w:r>
      <w:r>
        <w:rPr>
          <w:rFonts w:hint="eastAsia" w:ascii="仿宋_GB2312" w:hAnsi="仿宋_GB2312" w:eastAsia="仿宋_GB2312" w:cs="仿宋_GB2312"/>
          <w:i w:val="0"/>
          <w:iCs w:val="0"/>
          <w:caps w:val="0"/>
          <w:color w:val="auto"/>
          <w:spacing w:val="0"/>
          <w:sz w:val="32"/>
          <w:szCs w:val="32"/>
          <w:shd w:val="clear" w:color="auto" w:fill="auto"/>
          <w:lang w:eastAsia="zh-CN"/>
        </w:rPr>
        <w:t>；</w:t>
      </w:r>
      <w:r>
        <w:rPr>
          <w:rFonts w:hint="eastAsia" w:ascii="仿宋_GB2312" w:hAnsi="仿宋_GB2312" w:eastAsia="仿宋_GB2312" w:cs="仿宋_GB2312"/>
          <w:bCs w:val="0"/>
          <w:color w:val="auto"/>
          <w:sz w:val="32"/>
          <w:szCs w:val="32"/>
          <w:lang w:val="en-US" w:eastAsia="zh-CN"/>
        </w:rPr>
        <w:t>综合</w:t>
      </w:r>
      <w:r>
        <w:rPr>
          <w:rFonts w:hint="eastAsia" w:ascii="仿宋_GB2312" w:hAnsi="仿宋_GB2312" w:eastAsia="仿宋_GB2312" w:cs="仿宋_GB2312"/>
          <w:i w:val="0"/>
          <w:iCs w:val="0"/>
          <w:caps w:val="0"/>
          <w:color w:val="auto"/>
          <w:spacing w:val="0"/>
          <w:sz w:val="32"/>
          <w:szCs w:val="32"/>
          <w:shd w:val="clear" w:color="auto" w:fill="auto"/>
        </w:rPr>
        <w:t>运用大数据溯源、跨区域联动等现代化</w:t>
      </w:r>
      <w:r>
        <w:rPr>
          <w:rFonts w:hint="eastAsia" w:ascii="仿宋_GB2312" w:hAnsi="仿宋_GB2312" w:eastAsia="仿宋_GB2312" w:cs="仿宋_GB2312"/>
          <w:i w:val="0"/>
          <w:iCs w:val="0"/>
          <w:caps w:val="0"/>
          <w:color w:val="auto"/>
          <w:spacing w:val="0"/>
          <w:sz w:val="32"/>
          <w:szCs w:val="32"/>
          <w:shd w:val="clear" w:color="auto" w:fill="auto"/>
          <w:lang w:val="en-US" w:eastAsia="zh-CN"/>
        </w:rPr>
        <w:t>监管</w:t>
      </w:r>
      <w:r>
        <w:rPr>
          <w:rFonts w:hint="eastAsia" w:ascii="仿宋_GB2312" w:hAnsi="仿宋_GB2312" w:eastAsia="仿宋_GB2312" w:cs="仿宋_GB2312"/>
          <w:i w:val="0"/>
          <w:iCs w:val="0"/>
          <w:caps w:val="0"/>
          <w:color w:val="auto"/>
          <w:spacing w:val="0"/>
          <w:sz w:val="32"/>
          <w:szCs w:val="32"/>
          <w:shd w:val="clear" w:color="auto" w:fill="auto"/>
        </w:rPr>
        <w:t>手段，重点打击</w:t>
      </w:r>
      <w:r>
        <w:rPr>
          <w:rFonts w:hint="eastAsia" w:ascii="仿宋_GB2312" w:hAnsi="仿宋_GB2312" w:eastAsia="仿宋_GB2312" w:cs="仿宋_GB2312"/>
          <w:color w:val="auto"/>
          <w:sz w:val="32"/>
          <w:szCs w:val="32"/>
        </w:rPr>
        <w:t>虚假宣传、假冒伪劣、价格欺诈等</w:t>
      </w:r>
      <w:r>
        <w:rPr>
          <w:rFonts w:hint="eastAsia" w:ascii="仿宋_GB2312" w:hAnsi="仿宋_GB2312" w:eastAsia="仿宋_GB2312" w:cs="仿宋_GB2312"/>
          <w:color w:val="auto"/>
          <w:sz w:val="32"/>
          <w:szCs w:val="32"/>
          <w:lang w:val="en-US" w:eastAsia="zh-CN"/>
        </w:rPr>
        <w:t>高发</w:t>
      </w:r>
      <w:r>
        <w:rPr>
          <w:rFonts w:hint="eastAsia" w:ascii="仿宋_GB2312" w:hAnsi="仿宋_GB2312" w:eastAsia="仿宋_GB2312" w:cs="仿宋_GB2312"/>
          <w:i w:val="0"/>
          <w:iCs w:val="0"/>
          <w:caps w:val="0"/>
          <w:color w:val="auto"/>
          <w:spacing w:val="0"/>
          <w:sz w:val="32"/>
          <w:szCs w:val="32"/>
          <w:shd w:val="clear" w:color="auto" w:fill="auto"/>
        </w:rPr>
        <w:t>违法行为</w:t>
      </w:r>
      <w:r>
        <w:rPr>
          <w:rFonts w:hint="eastAsia" w:ascii="仿宋_GB2312" w:hAnsi="仿宋_GB2312" w:eastAsia="仿宋_GB2312" w:cs="仿宋_GB2312"/>
          <w:color w:val="auto"/>
          <w:sz w:val="32"/>
          <w:szCs w:val="32"/>
        </w:rPr>
        <w:t>，提升整治效果</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i w:val="0"/>
          <w:iCs w:val="0"/>
          <w:caps w:val="0"/>
          <w:color w:val="auto"/>
          <w:spacing w:val="0"/>
          <w:sz w:val="32"/>
          <w:szCs w:val="32"/>
          <w:shd w:val="clear" w:color="auto" w:fill="auto"/>
        </w:rPr>
        <w:t>采取多种形式开展宣传倡导，</w:t>
      </w:r>
      <w:r>
        <w:rPr>
          <w:rFonts w:hint="eastAsia" w:ascii="仿宋_GB2312" w:hAnsi="仿宋_GB2312" w:eastAsia="仿宋_GB2312" w:cs="仿宋_GB2312"/>
          <w:color w:val="auto"/>
          <w:sz w:val="32"/>
          <w:szCs w:val="32"/>
          <w:lang w:eastAsia="zh-CN"/>
        </w:rPr>
        <w:t>鼓励广大消费者拍摄涉嫌违法行为并及时向</w:t>
      </w:r>
      <w:r>
        <w:rPr>
          <w:rFonts w:hint="eastAsia" w:ascii="仿宋_GB2312" w:hAnsi="仿宋_GB2312" w:eastAsia="仿宋_GB2312" w:cs="仿宋_GB2312"/>
          <w:color w:val="auto"/>
          <w:sz w:val="32"/>
          <w:szCs w:val="32"/>
          <w:lang w:val="en-US" w:eastAsia="zh-CN"/>
        </w:rPr>
        <w:t>相关</w:t>
      </w:r>
      <w:r>
        <w:rPr>
          <w:rFonts w:hint="eastAsia" w:ascii="仿宋_GB2312" w:hAnsi="仿宋_GB2312" w:eastAsia="仿宋_GB2312" w:cs="仿宋_GB2312"/>
          <w:color w:val="auto"/>
          <w:sz w:val="32"/>
          <w:szCs w:val="32"/>
          <w:lang w:eastAsia="zh-CN"/>
        </w:rPr>
        <w:t>部门举报，</w:t>
      </w:r>
      <w:r>
        <w:rPr>
          <w:rFonts w:hint="eastAsia" w:ascii="仿宋_GB2312" w:hAnsi="仿宋_GB2312" w:eastAsia="仿宋_GB2312" w:cs="仿宋_GB2312"/>
          <w:i w:val="0"/>
          <w:iCs w:val="0"/>
          <w:caps w:val="0"/>
          <w:color w:val="auto"/>
          <w:spacing w:val="0"/>
          <w:sz w:val="32"/>
          <w:szCs w:val="32"/>
          <w:shd w:val="clear" w:color="auto" w:fill="auto"/>
        </w:rPr>
        <w:t>营造</w:t>
      </w:r>
      <w:r>
        <w:rPr>
          <w:rFonts w:hint="eastAsia" w:ascii="仿宋_GB2312" w:hAnsi="仿宋_GB2312" w:eastAsia="仿宋_GB2312" w:cs="仿宋_GB2312"/>
          <w:i w:val="0"/>
          <w:iCs w:val="0"/>
          <w:caps w:val="0"/>
          <w:color w:val="auto"/>
          <w:spacing w:val="0"/>
          <w:sz w:val="32"/>
          <w:szCs w:val="32"/>
          <w:shd w:val="clear" w:color="auto" w:fill="auto"/>
          <w:lang w:val="en-US" w:eastAsia="zh-CN"/>
        </w:rPr>
        <w:t>积极</w:t>
      </w:r>
      <w:r>
        <w:rPr>
          <w:rFonts w:hint="eastAsia" w:ascii="仿宋_GB2312" w:hAnsi="仿宋_GB2312" w:eastAsia="仿宋_GB2312" w:cs="仿宋_GB2312"/>
          <w:i w:val="0"/>
          <w:iCs w:val="0"/>
          <w:caps w:val="0"/>
          <w:color w:val="auto"/>
          <w:spacing w:val="0"/>
          <w:sz w:val="32"/>
          <w:szCs w:val="32"/>
          <w:shd w:val="clear" w:color="auto" w:fill="auto"/>
        </w:rPr>
        <w:t>打击</w:t>
      </w:r>
      <w:r>
        <w:rPr>
          <w:rFonts w:hint="eastAsia" w:ascii="仿宋_GB2312" w:hAnsi="仿宋_GB2312" w:eastAsia="仿宋_GB2312" w:cs="仿宋_GB2312"/>
          <w:bCs w:val="0"/>
          <w:color w:val="auto"/>
          <w:sz w:val="32"/>
          <w:szCs w:val="32"/>
        </w:rPr>
        <w:t>医美、</w:t>
      </w:r>
      <w:r>
        <w:rPr>
          <w:rFonts w:hint="eastAsia" w:ascii="仿宋_GB2312" w:hAnsi="仿宋_GB2312" w:eastAsia="仿宋_GB2312" w:cs="仿宋_GB2312"/>
          <w:i w:val="0"/>
          <w:iCs w:val="0"/>
          <w:caps w:val="0"/>
          <w:color w:val="auto"/>
          <w:spacing w:val="0"/>
          <w:sz w:val="32"/>
          <w:szCs w:val="32"/>
          <w:shd w:val="clear" w:color="auto" w:fill="auto"/>
        </w:rPr>
        <w:t>保健品市场不正当竞争的社会氛围</w:t>
      </w:r>
      <w:r>
        <w:rPr>
          <w:rFonts w:hint="eastAsia" w:ascii="仿宋_GB2312" w:hAnsi="仿宋_GB2312" w:eastAsia="仿宋_GB2312" w:cs="仿宋_GB2312"/>
          <w:i w:val="0"/>
          <w:iCs w:val="0"/>
          <w:caps w:val="0"/>
          <w:color w:val="auto"/>
          <w:spacing w:val="0"/>
          <w:sz w:val="32"/>
          <w:szCs w:val="32"/>
          <w:shd w:val="clear" w:color="auto" w:fill="auto"/>
          <w:lang w:eastAsia="zh-CN"/>
        </w:rPr>
        <w:t>，</w:t>
      </w:r>
      <w:r>
        <w:rPr>
          <w:rFonts w:hint="eastAsia" w:ascii="仿宋_GB2312" w:hAnsi="仿宋_GB2312" w:eastAsia="仿宋_GB2312" w:cs="仿宋_GB2312"/>
          <w:color w:val="auto"/>
          <w:sz w:val="32"/>
          <w:szCs w:val="32"/>
          <w:lang w:val="en-US" w:eastAsia="zh-CN"/>
        </w:rPr>
        <w:t>切实</w:t>
      </w:r>
      <w:r>
        <w:rPr>
          <w:rFonts w:hint="eastAsia" w:ascii="仿宋_GB2312" w:hAnsi="仿宋_GB2312" w:eastAsia="仿宋_GB2312" w:cs="仿宋_GB2312"/>
          <w:i w:val="0"/>
          <w:iCs w:val="0"/>
          <w:caps w:val="0"/>
          <w:color w:val="auto"/>
          <w:spacing w:val="0"/>
          <w:sz w:val="32"/>
          <w:szCs w:val="32"/>
          <w:shd w:val="clear" w:color="auto" w:fill="auto"/>
        </w:rPr>
        <w:t>增强</w:t>
      </w:r>
      <w:r>
        <w:rPr>
          <w:rFonts w:hint="eastAsia" w:ascii="仿宋_GB2312" w:hAnsi="仿宋_GB2312" w:eastAsia="仿宋_GB2312" w:cs="仿宋_GB2312"/>
          <w:i w:val="0"/>
          <w:iCs w:val="0"/>
          <w:caps w:val="0"/>
          <w:color w:val="auto"/>
          <w:spacing w:val="0"/>
          <w:sz w:val="32"/>
          <w:szCs w:val="32"/>
          <w:shd w:val="clear" w:color="auto" w:fill="auto"/>
          <w:lang w:val="en-US" w:eastAsia="zh-CN"/>
        </w:rPr>
        <w:t>消费者</w:t>
      </w:r>
      <w:r>
        <w:rPr>
          <w:rFonts w:hint="eastAsia" w:ascii="仿宋_GB2312" w:hAnsi="仿宋_GB2312" w:eastAsia="仿宋_GB2312" w:cs="仿宋_GB2312"/>
          <w:i w:val="0"/>
          <w:iCs w:val="0"/>
          <w:caps w:val="0"/>
          <w:color w:val="auto"/>
          <w:spacing w:val="0"/>
          <w:sz w:val="32"/>
          <w:szCs w:val="32"/>
          <w:shd w:val="clear" w:color="auto" w:fill="auto"/>
        </w:rPr>
        <w:t>防范意识和</w:t>
      </w:r>
      <w:r>
        <w:rPr>
          <w:rFonts w:hint="eastAsia" w:ascii="仿宋_GB2312" w:hAnsi="仿宋_GB2312" w:eastAsia="仿宋_GB2312" w:cs="仿宋_GB2312"/>
          <w:i w:val="0"/>
          <w:iCs w:val="0"/>
          <w:caps w:val="0"/>
          <w:color w:val="auto"/>
          <w:spacing w:val="0"/>
          <w:sz w:val="32"/>
          <w:szCs w:val="32"/>
          <w:shd w:val="clear" w:color="auto" w:fill="auto"/>
          <w:lang w:val="en-US" w:eastAsia="zh-CN"/>
        </w:rPr>
        <w:t>维权</w:t>
      </w:r>
      <w:r>
        <w:rPr>
          <w:rFonts w:hint="eastAsia" w:ascii="仿宋_GB2312" w:hAnsi="仿宋_GB2312" w:eastAsia="仿宋_GB2312" w:cs="仿宋_GB2312"/>
          <w:i w:val="0"/>
          <w:iCs w:val="0"/>
          <w:caps w:val="0"/>
          <w:color w:val="auto"/>
          <w:spacing w:val="0"/>
          <w:sz w:val="32"/>
          <w:szCs w:val="32"/>
          <w:shd w:val="clear" w:color="auto" w:fill="auto"/>
        </w:rPr>
        <w:t>能力。</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三</w:t>
      </w:r>
      <w:r>
        <w:rPr>
          <w:rFonts w:hint="eastAsia" w:ascii="仿宋_GB2312" w:hAnsi="仿宋_GB2312" w:eastAsia="仿宋_GB2312" w:cs="仿宋_GB2312"/>
          <w:color w:val="auto"/>
          <w:sz w:val="32"/>
          <w:szCs w:val="32"/>
        </w:rPr>
        <w:t>是针对服务消费领域价格欺诈、天价收费和强制消费问题多发、反复的问题，以“提高违法成本”为抓手，推动服务消费价格秩序由被动整治向主动约束转变。在家装、维修等高频投诉行业，加大监管力度，对设置项目陷阱恶意增项、使用假冒伪劣材料、索要高额费用等行为，降低市场监管与治安管理受理门槛，畅通行政救济</w:t>
      </w:r>
      <w:r>
        <w:rPr>
          <w:rFonts w:hint="eastAsia" w:ascii="仿宋_GB2312" w:hAnsi="仿宋_GB2312" w:eastAsia="仿宋_GB2312" w:cs="仿宋_GB2312"/>
          <w:color w:val="auto"/>
          <w:sz w:val="32"/>
          <w:szCs w:val="32"/>
          <w:lang w:val="en-US" w:eastAsia="zh-CN"/>
        </w:rPr>
        <w:t>和社会救济</w:t>
      </w:r>
      <w:r>
        <w:rPr>
          <w:rFonts w:hint="eastAsia" w:ascii="仿宋_GB2312" w:hAnsi="仿宋_GB2312" w:eastAsia="仿宋_GB2312" w:cs="仿宋_GB2312"/>
          <w:color w:val="auto"/>
          <w:sz w:val="32"/>
          <w:szCs w:val="32"/>
        </w:rPr>
        <w:t>，切实解决维权成本高</w:t>
      </w:r>
      <w:r>
        <w:rPr>
          <w:rFonts w:hint="eastAsia" w:ascii="仿宋_GB2312" w:hAnsi="仿宋_GB2312" w:eastAsia="仿宋_GB2312" w:cs="仿宋_GB2312"/>
          <w:color w:val="auto"/>
          <w:sz w:val="32"/>
          <w:szCs w:val="32"/>
          <w:lang w:val="en-US" w:eastAsia="zh-CN"/>
        </w:rPr>
        <w:t>而</w:t>
      </w:r>
      <w:r>
        <w:rPr>
          <w:rFonts w:hint="eastAsia" w:ascii="仿宋_GB2312" w:hAnsi="仿宋_GB2312" w:eastAsia="仿宋_GB2312" w:cs="仿宋_GB2312"/>
          <w:color w:val="auto"/>
          <w:sz w:val="32"/>
          <w:szCs w:val="32"/>
        </w:rPr>
        <w:t>违法成本低的问题。在</w:t>
      </w:r>
      <w:r>
        <w:rPr>
          <w:rFonts w:hint="eastAsia" w:ascii="仿宋_GB2312" w:hAnsi="仿宋_GB2312" w:eastAsia="仿宋_GB2312" w:cs="仿宋_GB2312"/>
          <w:color w:val="auto"/>
          <w:sz w:val="32"/>
          <w:szCs w:val="32"/>
          <w:lang w:val="en-US" w:eastAsia="zh-CN"/>
        </w:rPr>
        <w:t>交通服务</w:t>
      </w:r>
      <w:r>
        <w:rPr>
          <w:rFonts w:hint="eastAsia" w:ascii="仿宋_GB2312" w:hAnsi="仿宋_GB2312" w:eastAsia="仿宋_GB2312" w:cs="仿宋_GB2312"/>
          <w:color w:val="auto"/>
          <w:sz w:val="32"/>
          <w:szCs w:val="32"/>
        </w:rPr>
        <w:t>等专业性和信息高度不对称的服务领域，应加强对价格形成机制和宣传行为的监管，严厉打击隐瞒计价规则</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设置“阴阳价格”等行为，降低消费者举证和维权难度。对于文旅消费中</w:t>
      </w:r>
      <w:r>
        <w:rPr>
          <w:rFonts w:hint="eastAsia" w:ascii="仿宋_GB2312" w:hAnsi="仿宋_GB2312" w:eastAsia="仿宋_GB2312" w:cs="仿宋_GB2312"/>
          <w:color w:val="auto"/>
          <w:sz w:val="32"/>
          <w:szCs w:val="32"/>
          <w:lang w:val="en-US" w:eastAsia="zh-CN"/>
        </w:rPr>
        <w:t>存在</w:t>
      </w:r>
      <w:r>
        <w:rPr>
          <w:rFonts w:hint="eastAsia" w:ascii="仿宋_GB2312" w:hAnsi="仿宋_GB2312" w:eastAsia="仿宋_GB2312" w:cs="仿宋_GB2312"/>
          <w:color w:val="auto"/>
          <w:sz w:val="32"/>
          <w:szCs w:val="32"/>
        </w:rPr>
        <w:t>的价格欺诈、强制购物和“宰客”乱象，应强化快速响应执法机制，提高失信成本。</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lang w:val="en-US" w:eastAsia="zh-CN"/>
        </w:rPr>
      </w:pPr>
      <w:bookmarkStart w:id="139" w:name="_Toc221610707"/>
      <w:bookmarkStart w:id="140" w:name="_Toc12824"/>
      <w:bookmarkStart w:id="141" w:name="_Toc26980"/>
      <w:r>
        <w:rPr>
          <w:rFonts w:hint="eastAsia" w:ascii="黑体" w:hAnsi="黑体" w:eastAsia="黑体" w:cs="黑体"/>
          <w:bCs/>
          <w:color w:val="000000"/>
          <w:sz w:val="32"/>
          <w:szCs w:val="32"/>
          <w:lang w:val="en-US" w:eastAsia="zh-CN"/>
        </w:rPr>
        <w:t>四、聚焦难点堵点问题，有效提升网络消费中侵害消费者权益治理效果</w:t>
      </w:r>
      <w:bookmarkEnd w:id="139"/>
      <w:bookmarkEnd w:id="140"/>
      <w:bookmarkEnd w:id="141"/>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 w:cs="仿宋_GB2312"/>
          <w:color w:val="auto"/>
          <w:sz w:val="32"/>
          <w:szCs w:val="32"/>
          <w:lang w:eastAsia="zh-CN"/>
        </w:rPr>
      </w:pPr>
      <w:r>
        <w:rPr>
          <w:rFonts w:hint="eastAsia" w:ascii="仿宋_GB2312" w:hAnsi="仿宋_GB2312" w:eastAsia="仿宋_GB2312" w:cs="仿宋_GB2312"/>
          <w:color w:val="auto"/>
          <w:sz w:val="32"/>
          <w:szCs w:val="32"/>
          <w:lang w:val="en-US" w:eastAsia="zh-CN"/>
        </w:rPr>
        <w:t>一</w:t>
      </w:r>
      <w:r>
        <w:rPr>
          <w:rFonts w:hint="eastAsia" w:ascii="仿宋_GB2312" w:hAnsi="仿宋_GB2312" w:eastAsia="仿宋_GB2312" w:cs="仿宋_GB2312"/>
          <w:color w:val="auto"/>
          <w:sz w:val="32"/>
          <w:szCs w:val="32"/>
        </w:rPr>
        <w:t>是</w:t>
      </w:r>
      <w:r>
        <w:rPr>
          <w:rFonts w:hint="eastAsia" w:ascii="仿宋_GB2312" w:hAnsi="仿宋_GB2312" w:eastAsia="仿宋_GB2312" w:cs="仿宋_GB2312"/>
          <w:color w:val="auto"/>
          <w:sz w:val="32"/>
          <w:szCs w:val="32"/>
          <w:lang w:val="en-US" w:eastAsia="zh-CN"/>
        </w:rPr>
        <w:t>严格落实好</w:t>
      </w:r>
      <w:r>
        <w:rPr>
          <w:rFonts w:hint="eastAsia" w:ascii="仿宋_GB2312" w:hAnsi="仿宋_GB2312" w:eastAsia="仿宋_GB2312" w:cs="仿宋_GB2312"/>
          <w:color w:val="auto"/>
          <w:sz w:val="32"/>
          <w:szCs w:val="32"/>
        </w:rPr>
        <w:t>《直播电商监督管理办法》</w:t>
      </w:r>
      <w:r>
        <w:rPr>
          <w:rFonts w:hint="eastAsia" w:ascii="仿宋" w:hAnsi="仿宋" w:eastAsia="仿宋" w:cs="方正小标宋简体"/>
          <w:color w:val="auto"/>
          <w:sz w:val="32"/>
          <w:szCs w:val="28"/>
          <w:lang w:eastAsia="zh-CN"/>
        </w:rPr>
        <w:t>《</w:t>
      </w:r>
      <w:bookmarkStart w:id="142" w:name="OLE_LINK46"/>
      <w:r>
        <w:rPr>
          <w:rFonts w:hint="eastAsia" w:ascii="仿宋" w:hAnsi="仿宋" w:eastAsia="仿宋" w:cs="方正小标宋简体"/>
          <w:i w:val="0"/>
          <w:iCs w:val="0"/>
          <w:caps w:val="0"/>
          <w:color w:val="auto"/>
          <w:spacing w:val="0"/>
          <w:sz w:val="32"/>
          <w:szCs w:val="28"/>
          <w:shd w:val="clear"/>
        </w:rPr>
        <w:t>直播电商经营者落实食品安全主体责任监督管理规</w:t>
      </w:r>
      <w:r>
        <w:rPr>
          <w:rFonts w:hint="eastAsia" w:ascii="仿宋_GB2312" w:hAnsi="仿宋_GB2312" w:eastAsia="仿宋_GB2312" w:cs="仿宋_GB2312"/>
          <w:color w:val="auto"/>
          <w:sz w:val="32"/>
          <w:szCs w:val="32"/>
        </w:rPr>
        <w:t>定</w:t>
      </w:r>
      <w:bookmarkEnd w:id="142"/>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等规范性文件要求</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督促平台建立内部信用评价与优化退出机制，</w:t>
      </w:r>
      <w:r>
        <w:rPr>
          <w:rFonts w:hint="eastAsia" w:ascii="仿宋_GB2312" w:hAnsi="仿宋_GB2312" w:eastAsia="仿宋_GB2312" w:cs="仿宋_GB2312"/>
          <w:color w:val="auto"/>
          <w:sz w:val="32"/>
          <w:szCs w:val="32"/>
        </w:rPr>
        <w:t>完善基于“销货量、退换货率、投诉量、违规记录”等多维度的内部信用评价体系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压实</w:t>
      </w:r>
      <w:r>
        <w:rPr>
          <w:rFonts w:hint="eastAsia" w:ascii="仿宋_GB2312" w:hAnsi="仿宋_GB2312" w:eastAsia="仿宋_GB2312" w:cs="仿宋_GB2312"/>
          <w:color w:val="auto"/>
          <w:sz w:val="32"/>
          <w:szCs w:val="32"/>
        </w:rPr>
        <w:t>平台</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入驻商家、</w:t>
      </w:r>
      <w:r>
        <w:rPr>
          <w:rFonts w:hint="eastAsia" w:ascii="仿宋_GB2312" w:hAnsi="仿宋_GB2312" w:eastAsia="仿宋_GB2312" w:cs="仿宋_GB2312"/>
          <w:color w:val="auto"/>
          <w:sz w:val="32"/>
          <w:szCs w:val="32"/>
        </w:rPr>
        <w:t>主播及其团队</w:t>
      </w:r>
      <w:r>
        <w:rPr>
          <w:rFonts w:hint="eastAsia" w:ascii="仿宋_GB2312" w:hAnsi="仿宋_GB2312" w:eastAsia="仿宋_GB2312" w:cs="仿宋_GB2312"/>
          <w:color w:val="auto"/>
          <w:sz w:val="32"/>
          <w:szCs w:val="32"/>
          <w:lang w:val="en-US" w:eastAsia="zh-CN"/>
        </w:rPr>
        <w:t>等各方</w:t>
      </w:r>
      <w:r>
        <w:rPr>
          <w:rFonts w:hint="eastAsia" w:ascii="仿宋_GB2312" w:hAnsi="仿宋_GB2312" w:eastAsia="仿宋_GB2312" w:cs="仿宋_GB2312"/>
          <w:color w:val="auto"/>
          <w:sz w:val="32"/>
          <w:szCs w:val="32"/>
        </w:rPr>
        <w:t>主体责任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提升</w:t>
      </w:r>
      <w:r>
        <w:rPr>
          <w:rFonts w:hint="eastAsia" w:ascii="仿宋_GB2312" w:hAnsi="仿宋_GB2312" w:eastAsia="仿宋_GB2312" w:cs="仿宋_GB2312"/>
          <w:color w:val="auto"/>
          <w:sz w:val="32"/>
          <w:szCs w:val="32"/>
          <w:lang w:val="en-US" w:eastAsia="zh-CN"/>
        </w:rPr>
        <w:t>相关部门</w:t>
      </w:r>
      <w:r>
        <w:rPr>
          <w:rFonts w:hint="eastAsia" w:ascii="仿宋_GB2312" w:hAnsi="仿宋_GB2312" w:eastAsia="仿宋_GB2312" w:cs="仿宋_GB2312"/>
          <w:color w:val="auto"/>
          <w:sz w:val="32"/>
          <w:szCs w:val="32"/>
        </w:rPr>
        <w:t>监管技术和能力，运用大数据、人工智能等技术识别异常流量、虚假评价和批量生成内容，提升违法行为的可识别性和可追责性，依法追究幕后操纵者责任，切断黑灰色链条</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sz w:val="32"/>
          <w:szCs w:val="32"/>
          <w:lang w:val="en-US" w:eastAsia="zh-CN"/>
        </w:rPr>
        <w:t>强化部门协同，</w:t>
      </w:r>
      <w:r>
        <w:rPr>
          <w:rFonts w:hint="eastAsia" w:ascii="仿宋" w:hAnsi="仿宋" w:eastAsia="仿宋" w:cs="方正小标宋简体"/>
          <w:sz w:val="32"/>
          <w:szCs w:val="28"/>
        </w:rPr>
        <w:t>打破传统的条块分割式监管模式，构建一个协同高效、覆盖事前事中事后全链条的动态监管网络</w:t>
      </w:r>
      <w:r>
        <w:rPr>
          <w:rFonts w:hint="eastAsia" w:ascii="仿宋" w:hAnsi="仿宋" w:eastAsia="仿宋" w:cs="方正小标宋简体"/>
          <w:color w:val="auto"/>
          <w:sz w:val="32"/>
          <w:szCs w:val="28"/>
        </w:rPr>
        <w:t>，根治直播</w:t>
      </w:r>
      <w:r>
        <w:rPr>
          <w:rFonts w:hint="eastAsia" w:ascii="仿宋" w:hAnsi="仿宋" w:eastAsia="仿宋" w:cs="方正小标宋简体"/>
          <w:color w:val="auto"/>
          <w:sz w:val="32"/>
          <w:szCs w:val="28"/>
          <w:lang w:val="en-US" w:eastAsia="zh-CN"/>
        </w:rPr>
        <w:t>电商领域</w:t>
      </w:r>
      <w:r>
        <w:rPr>
          <w:rFonts w:hint="eastAsia" w:ascii="仿宋" w:hAnsi="仿宋" w:eastAsia="仿宋" w:cs="方正小标宋简体"/>
          <w:color w:val="auto"/>
          <w:sz w:val="32"/>
          <w:szCs w:val="28"/>
        </w:rPr>
        <w:t>虚假宣传等顽疾，护航</w:t>
      </w:r>
      <w:r>
        <w:rPr>
          <w:rFonts w:hint="eastAsia" w:ascii="仿宋" w:hAnsi="仿宋" w:eastAsia="仿宋" w:cs="方正小标宋简体"/>
          <w:color w:val="auto"/>
          <w:sz w:val="32"/>
          <w:szCs w:val="28"/>
          <w:lang w:val="en-US" w:eastAsia="zh-CN"/>
        </w:rPr>
        <w:t>行业</w:t>
      </w:r>
      <w:r>
        <w:rPr>
          <w:rFonts w:hint="eastAsia" w:ascii="仿宋" w:hAnsi="仿宋" w:eastAsia="仿宋" w:cs="方正小标宋简体"/>
          <w:color w:val="auto"/>
          <w:sz w:val="32"/>
          <w:szCs w:val="28"/>
        </w:rPr>
        <w:t>健康发展</w:t>
      </w:r>
      <w:r>
        <w:rPr>
          <w:rFonts w:hint="eastAsia" w:ascii="仿宋" w:hAnsi="仿宋" w:eastAsia="仿宋" w:cs="方正小标宋简体"/>
          <w:color w:val="auto"/>
          <w:sz w:val="32"/>
          <w:szCs w:val="28"/>
          <w:lang w:eastAsia="zh-CN"/>
        </w:rPr>
        <w:t>；</w:t>
      </w:r>
      <w:r>
        <w:rPr>
          <w:rFonts w:hint="eastAsia" w:ascii="仿宋" w:hAnsi="仿宋" w:eastAsia="仿宋"/>
          <w:color w:val="auto"/>
          <w:sz w:val="32"/>
          <w:szCs w:val="24"/>
        </w:rPr>
        <w:t>探索建立</w:t>
      </w:r>
      <w:r>
        <w:rPr>
          <w:rFonts w:hint="eastAsia" w:ascii="仿宋" w:hAnsi="仿宋" w:eastAsia="仿宋"/>
          <w:color w:val="auto"/>
          <w:sz w:val="32"/>
          <w:szCs w:val="24"/>
          <w:lang w:val="en-US" w:eastAsia="zh-CN"/>
        </w:rPr>
        <w:t>直播电商领域</w:t>
      </w:r>
      <w:r>
        <w:rPr>
          <w:rFonts w:hint="eastAsia" w:ascii="仿宋" w:hAnsi="仿宋" w:eastAsia="仿宋"/>
          <w:color w:val="auto"/>
          <w:sz w:val="32"/>
          <w:szCs w:val="24"/>
        </w:rPr>
        <w:t>“吹哨人”制度与公益监督员机制，</w:t>
      </w:r>
      <w:r>
        <w:rPr>
          <w:rFonts w:hint="eastAsia" w:ascii="仿宋_GB2312" w:hAnsi="仿宋_GB2312" w:eastAsia="仿宋_GB2312" w:cs="仿宋_GB2312"/>
          <w:sz w:val="32"/>
          <w:szCs w:val="32"/>
          <w:lang w:val="en-US" w:eastAsia="zh-CN"/>
        </w:rPr>
        <w:t>推动协同共治。</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二是</w:t>
      </w:r>
      <w:bookmarkStart w:id="143" w:name="OLE_LINK5"/>
      <w:r>
        <w:rPr>
          <w:rFonts w:hint="eastAsia" w:ascii="仿宋_GB2312" w:hAnsi="仿宋_GB2312" w:eastAsia="仿宋_GB2312" w:cs="仿宋_GB2312"/>
          <w:color w:val="auto"/>
          <w:sz w:val="32"/>
          <w:szCs w:val="32"/>
          <w:lang w:val="en-US" w:eastAsia="zh-CN"/>
        </w:rPr>
        <w:t>持续加大对诱导消费等侵害消费者权益行为的打击力度</w:t>
      </w:r>
      <w:bookmarkEnd w:id="143"/>
      <w:r>
        <w:rPr>
          <w:rFonts w:hint="eastAsia" w:ascii="仿宋_GB2312" w:hAnsi="仿宋_GB2312" w:eastAsia="仿宋_GB2312" w:cs="仿宋_GB2312"/>
          <w:color w:val="auto"/>
          <w:sz w:val="32"/>
          <w:szCs w:val="32"/>
        </w:rPr>
        <w:t>，以技术治理与制度规制相互补充，精准提升治理效能</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推动</w:t>
      </w:r>
      <w:r>
        <w:rPr>
          <w:rFonts w:hint="eastAsia" w:ascii="仿宋_GB2312" w:hAnsi="仿宋_GB2312" w:eastAsia="仿宋_GB2312" w:cs="仿宋_GB2312"/>
          <w:color w:val="auto"/>
          <w:sz w:val="32"/>
          <w:szCs w:val="32"/>
        </w:rPr>
        <w:t>平台、推广营销主体、商品销售者等经营者</w:t>
      </w:r>
      <w:r>
        <w:rPr>
          <w:rFonts w:hint="eastAsia" w:ascii="仿宋_GB2312" w:hAnsi="仿宋_GB2312" w:eastAsia="仿宋_GB2312" w:cs="仿宋_GB2312"/>
          <w:color w:val="auto"/>
          <w:sz w:val="32"/>
          <w:szCs w:val="32"/>
          <w:lang w:val="en-US" w:eastAsia="zh-CN"/>
        </w:rPr>
        <w:t>严格执行《</w:t>
      </w:r>
      <w:bookmarkStart w:id="144" w:name="OLE_LINK4"/>
      <w:r>
        <w:rPr>
          <w:rFonts w:hint="eastAsia" w:ascii="仿宋_GB2312" w:hAnsi="仿宋_GB2312" w:eastAsia="仿宋_GB2312" w:cs="仿宋_GB2312"/>
          <w:color w:val="auto"/>
          <w:sz w:val="32"/>
          <w:szCs w:val="32"/>
          <w:lang w:val="en-US" w:eastAsia="zh-CN"/>
        </w:rPr>
        <w:t>电子商务法</w:t>
      </w:r>
      <w:bookmarkEnd w:id="144"/>
      <w:r>
        <w:rPr>
          <w:rFonts w:hint="eastAsia" w:ascii="仿宋_GB2312" w:hAnsi="仿宋_GB2312" w:eastAsia="仿宋_GB2312" w:cs="仿宋_GB2312"/>
          <w:color w:val="auto"/>
          <w:sz w:val="32"/>
          <w:szCs w:val="32"/>
          <w:lang w:val="en-US" w:eastAsia="zh-CN"/>
        </w:rPr>
        <w:t>》《网络交易监督管理办法》《关于推动网络交易平台企业落实合规管理主体责任的指导意见》</w:t>
      </w:r>
      <w:r>
        <w:rPr>
          <w:rFonts w:hint="eastAsia" w:ascii="仿宋_GB2312" w:hAnsi="仿宋_GB2312" w:eastAsia="仿宋_GB2312" w:cs="仿宋_GB2312"/>
          <w:color w:val="auto"/>
          <w:sz w:val="32"/>
          <w:szCs w:val="32"/>
        </w:rPr>
        <w:t>等相关法律制度</w:t>
      </w:r>
      <w:r>
        <w:rPr>
          <w:rFonts w:hint="eastAsia" w:ascii="仿宋_GB2312" w:hAnsi="仿宋_GB2312" w:eastAsia="仿宋_GB2312" w:cs="仿宋_GB2312"/>
          <w:color w:val="auto"/>
          <w:sz w:val="32"/>
          <w:szCs w:val="32"/>
          <w:lang w:val="en-US" w:eastAsia="zh-CN"/>
        </w:rPr>
        <w:t>中</w:t>
      </w:r>
      <w:r>
        <w:rPr>
          <w:rFonts w:hint="eastAsia" w:ascii="仿宋_GB2312" w:hAnsi="仿宋_GB2312" w:eastAsia="仿宋_GB2312" w:cs="仿宋_GB2312"/>
          <w:color w:val="auto"/>
          <w:sz w:val="32"/>
          <w:szCs w:val="32"/>
        </w:rPr>
        <w:t>的</w:t>
      </w:r>
      <w:r>
        <w:rPr>
          <w:rFonts w:hint="eastAsia" w:ascii="仿宋_GB2312" w:hAnsi="仿宋_GB2312" w:eastAsia="仿宋_GB2312" w:cs="仿宋_GB2312"/>
          <w:color w:val="auto"/>
          <w:sz w:val="32"/>
          <w:szCs w:val="32"/>
          <w:lang w:val="en-US" w:eastAsia="zh-CN"/>
        </w:rPr>
        <w:t>规定</w:t>
      </w:r>
      <w:r>
        <w:rPr>
          <w:rFonts w:hint="eastAsia"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val="en-US" w:eastAsia="zh-CN"/>
        </w:rPr>
        <w:t>加强对侵害消费者权益行为的源头防范</w:t>
      </w:r>
      <w:r>
        <w:rPr>
          <w:rFonts w:hint="eastAsia" w:ascii="仿宋_GB2312" w:hAnsi="仿宋_GB2312" w:eastAsia="仿宋_GB2312" w:cs="仿宋_GB2312"/>
          <w:color w:val="auto"/>
          <w:sz w:val="32"/>
          <w:szCs w:val="32"/>
        </w:rPr>
        <w:t>。</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val="en-US" w:eastAsia="zh-CN"/>
        </w:rPr>
        <w:t>三是</w:t>
      </w:r>
      <w:r>
        <w:rPr>
          <w:rFonts w:hint="eastAsia" w:ascii="仿宋_GB2312" w:hAnsi="仿宋_GB2312" w:eastAsia="仿宋_GB2312" w:cs="仿宋_GB2312"/>
          <w:color w:val="auto"/>
          <w:sz w:val="32"/>
          <w:szCs w:val="32"/>
        </w:rPr>
        <w:t>对于AI生成内容、新型支付模式及跨境电商等领域</w:t>
      </w:r>
      <w:r>
        <w:rPr>
          <w:rFonts w:hint="eastAsia" w:ascii="仿宋_GB2312" w:hAnsi="仿宋_GB2312" w:eastAsia="仿宋_GB2312" w:cs="仿宋_GB2312"/>
          <w:color w:val="auto"/>
          <w:sz w:val="32"/>
          <w:szCs w:val="32"/>
          <w:lang w:val="en-US" w:eastAsia="zh-CN"/>
        </w:rPr>
        <w:t>消费</w:t>
      </w:r>
      <w:r>
        <w:rPr>
          <w:rFonts w:hint="eastAsia" w:ascii="仿宋_GB2312" w:hAnsi="仿宋_GB2312" w:eastAsia="仿宋_GB2312" w:cs="仿宋_GB2312"/>
          <w:color w:val="auto"/>
          <w:sz w:val="32"/>
          <w:szCs w:val="32"/>
        </w:rPr>
        <w:t>风险，应强化穿透式监管、适老化保护、技术治理与金融协同。</w:t>
      </w:r>
      <w:r>
        <w:rPr>
          <w:rFonts w:hint="eastAsia" w:ascii="仿宋_GB2312" w:hAnsi="仿宋_GB2312" w:eastAsia="仿宋_GB2312" w:cs="仿宋_GB2312"/>
          <w:color w:val="auto"/>
          <w:sz w:val="32"/>
          <w:szCs w:val="32"/>
          <w:lang w:val="en-US" w:eastAsia="zh-CN"/>
        </w:rPr>
        <w:t>持续</w:t>
      </w:r>
      <w:r>
        <w:rPr>
          <w:rFonts w:hint="eastAsia" w:ascii="仿宋_GB2312" w:hAnsi="仿宋_GB2312" w:eastAsia="仿宋_GB2312" w:cs="仿宋_GB2312"/>
          <w:color w:val="auto"/>
          <w:sz w:val="32"/>
          <w:szCs w:val="32"/>
        </w:rPr>
        <w:t>完善监管规则，解决封闭操作下信息不透明</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维权难、监管难的问题；明确平台及AI服务提供者对利用人工智能技术虚假宣传及其他欺诈行为的主动识别控制义务；规范“先用后付”等新型支付模式，实行开通、关闭流程及风险提示，强化平台与金融机构合作监管和风险预警；完善跨境电商保健食品销售领域监管机制，切实防范和</w:t>
      </w:r>
      <w:r>
        <w:rPr>
          <w:rFonts w:hint="eastAsia" w:ascii="仿宋_GB2312" w:hAnsi="仿宋_GB2312" w:eastAsia="仿宋_GB2312" w:cs="仿宋_GB2312"/>
          <w:color w:val="auto"/>
          <w:sz w:val="32"/>
          <w:szCs w:val="32"/>
          <w:lang w:val="en-US" w:eastAsia="zh-CN"/>
        </w:rPr>
        <w:t>打击</w:t>
      </w:r>
      <w:r>
        <w:rPr>
          <w:rFonts w:hint="eastAsia" w:ascii="仿宋_GB2312" w:hAnsi="仿宋_GB2312" w:eastAsia="仿宋_GB2312" w:cs="仿宋_GB2312"/>
          <w:color w:val="auto"/>
          <w:sz w:val="32"/>
          <w:szCs w:val="32"/>
        </w:rPr>
        <w:t>国内生产、单据空转等假进口</w:t>
      </w:r>
      <w:r>
        <w:rPr>
          <w:rFonts w:hint="eastAsia" w:ascii="仿宋_GB2312" w:hAnsi="仿宋_GB2312" w:eastAsia="仿宋_GB2312" w:cs="仿宋_GB2312"/>
          <w:color w:val="auto"/>
          <w:sz w:val="32"/>
          <w:szCs w:val="32"/>
          <w:lang w:val="en-US" w:eastAsia="zh-CN"/>
        </w:rPr>
        <w:t>现象</w:t>
      </w:r>
      <w:r>
        <w:rPr>
          <w:rFonts w:hint="eastAsia" w:ascii="仿宋_GB2312" w:hAnsi="仿宋_GB2312" w:eastAsia="仿宋_GB2312" w:cs="仿宋_GB2312"/>
          <w:color w:val="auto"/>
          <w:sz w:val="32"/>
          <w:szCs w:val="32"/>
        </w:rPr>
        <w:t>；健全免密支付安全和风险防范责任，将免密支付纳入重点风险防控范围。围绕盗刷责任认定不清的问题，应推动明确支付机构、平台与银行在免密支付场景下的风险防控和赔付责任，完善异常交易实时拦截和事后快速止付、先行赔付机制。</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lang w:eastAsia="zh-CN"/>
        </w:rPr>
      </w:pPr>
      <w:r>
        <w:rPr>
          <w:rFonts w:hint="eastAsia" w:ascii="仿宋_GB2312" w:hAnsi="仿宋_GB2312" w:eastAsia="仿宋_GB2312" w:cs="仿宋_GB2312"/>
          <w:color w:val="auto"/>
          <w:sz w:val="32"/>
          <w:szCs w:val="32"/>
          <w:lang w:val="en-US" w:eastAsia="zh-CN"/>
        </w:rPr>
        <w:t>四是持续加强消费教育。</w:t>
      </w:r>
      <w:r>
        <w:rPr>
          <w:rFonts w:hint="eastAsia" w:ascii="仿宋_GB2312" w:hAnsi="仿宋_GB2312" w:eastAsia="仿宋_GB2312" w:cs="仿宋_GB2312"/>
          <w:color w:val="auto"/>
          <w:sz w:val="32"/>
          <w:szCs w:val="32"/>
        </w:rPr>
        <w:t>推动</w:t>
      </w:r>
      <w:r>
        <w:rPr>
          <w:rFonts w:hint="eastAsia" w:ascii="仿宋_GB2312" w:hAnsi="仿宋_GB2312" w:eastAsia="仿宋_GB2312" w:cs="仿宋_GB2312"/>
          <w:color w:val="auto"/>
          <w:sz w:val="32"/>
          <w:szCs w:val="32"/>
          <w:lang w:val="en-US" w:eastAsia="zh-CN"/>
        </w:rPr>
        <w:t>消费</w:t>
      </w:r>
      <w:r>
        <w:rPr>
          <w:rFonts w:hint="eastAsia" w:ascii="仿宋_GB2312" w:hAnsi="仿宋_GB2312" w:eastAsia="仿宋_GB2312" w:cs="仿宋_GB2312"/>
          <w:color w:val="auto"/>
          <w:sz w:val="32"/>
          <w:szCs w:val="32"/>
        </w:rPr>
        <w:t>教育从单纯的风险警示向“赋能式”教育升级，使消费者不仅成为</w:t>
      </w:r>
      <w:r>
        <w:rPr>
          <w:rFonts w:hint="eastAsia" w:ascii="仿宋_GB2312" w:hAnsi="仿宋_GB2312" w:eastAsia="仿宋_GB2312" w:cs="仿宋_GB2312"/>
          <w:color w:val="auto"/>
          <w:sz w:val="32"/>
          <w:szCs w:val="32"/>
          <w:lang w:val="en-US" w:eastAsia="zh-CN"/>
        </w:rPr>
        <w:t>成熟</w:t>
      </w:r>
      <w:r>
        <w:rPr>
          <w:rFonts w:hint="eastAsia" w:ascii="仿宋_GB2312" w:hAnsi="仿宋_GB2312" w:eastAsia="仿宋_GB2312" w:cs="仿宋_GB2312"/>
          <w:color w:val="auto"/>
          <w:sz w:val="32"/>
          <w:szCs w:val="32"/>
        </w:rPr>
        <w:t>理性的购买者，更能成为具备证据意识、熟知维权路径的</w:t>
      </w:r>
      <w:r>
        <w:rPr>
          <w:rFonts w:hint="eastAsia" w:ascii="仿宋_GB2312" w:hAnsi="仿宋_GB2312" w:eastAsia="仿宋_GB2312" w:cs="仿宋_GB2312"/>
          <w:color w:val="auto"/>
          <w:sz w:val="32"/>
          <w:szCs w:val="32"/>
          <w:lang w:val="en-US" w:eastAsia="zh-CN"/>
        </w:rPr>
        <w:t>维权者与监督者</w:t>
      </w:r>
      <w:r>
        <w:rPr>
          <w:rFonts w:hint="eastAsia" w:ascii="仿宋_GB2312" w:hAnsi="仿宋_GB2312" w:eastAsia="仿宋_GB2312" w:cs="仿宋_GB2312"/>
          <w:color w:val="auto"/>
          <w:sz w:val="32"/>
          <w:szCs w:val="32"/>
        </w:rPr>
        <w:t>，从需求侧形成对市场行为的有效约束</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持续优化消费教育方式和内容，</w:t>
      </w:r>
      <w:r>
        <w:rPr>
          <w:rFonts w:hint="eastAsia" w:ascii="仿宋_GB2312" w:hAnsi="仿宋_GB2312" w:eastAsia="仿宋_GB2312" w:cs="仿宋_GB2312"/>
          <w:color w:val="auto"/>
          <w:sz w:val="32"/>
          <w:szCs w:val="32"/>
        </w:rPr>
        <w:t>使维权知识更易触达、更广覆盖</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持续提升消费者的维权意识，</w:t>
      </w:r>
      <w:r>
        <w:rPr>
          <w:rFonts w:hint="eastAsia" w:ascii="仿宋_GB2312" w:hAnsi="仿宋_GB2312" w:eastAsia="仿宋_GB2312" w:cs="仿宋_GB2312"/>
          <w:color w:val="auto"/>
          <w:sz w:val="32"/>
          <w:szCs w:val="32"/>
        </w:rPr>
        <w:t>增强消费者依法维权的信心与能力</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重点关注“一老一少”</w:t>
      </w:r>
      <w:r>
        <w:rPr>
          <w:rFonts w:hint="eastAsia" w:ascii="仿宋_GB2312" w:hAnsi="仿宋_GB2312" w:eastAsia="仿宋_GB2312" w:cs="仿宋_GB2312"/>
          <w:color w:val="auto"/>
          <w:sz w:val="32"/>
          <w:szCs w:val="32"/>
          <w:lang w:val="en-US" w:eastAsia="zh-CN"/>
        </w:rPr>
        <w:t>等弱势</w:t>
      </w:r>
      <w:r>
        <w:rPr>
          <w:rFonts w:hint="eastAsia" w:ascii="仿宋_GB2312" w:hAnsi="仿宋_GB2312" w:eastAsia="仿宋_GB2312" w:cs="仿宋_GB2312"/>
          <w:color w:val="auto"/>
          <w:sz w:val="32"/>
          <w:szCs w:val="32"/>
        </w:rPr>
        <w:t>群体，联合社区、学校开展针对性</w:t>
      </w:r>
      <w:r>
        <w:rPr>
          <w:rFonts w:hint="eastAsia" w:ascii="仿宋_GB2312" w:hAnsi="仿宋_GB2312" w:eastAsia="仿宋_GB2312" w:cs="仿宋_GB2312"/>
          <w:color w:val="auto"/>
          <w:sz w:val="32"/>
          <w:szCs w:val="32"/>
          <w:lang w:val="en-US" w:eastAsia="zh-CN"/>
        </w:rPr>
        <w:t>消费教育</w:t>
      </w:r>
      <w:r>
        <w:rPr>
          <w:rFonts w:hint="eastAsia" w:ascii="仿宋_GB2312" w:hAnsi="仿宋_GB2312" w:eastAsia="仿宋_GB2312" w:cs="仿宋_GB2312"/>
          <w:color w:val="auto"/>
          <w:sz w:val="32"/>
          <w:szCs w:val="32"/>
        </w:rPr>
        <w:t>活动，如在学校课程中融入消费维权内容</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在社区组织讲座与现场咨询</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lang w:eastAsia="zh-CN"/>
        </w:rPr>
        <w:t>。</w:t>
      </w:r>
      <w:bookmarkStart w:id="145" w:name="_Toc221610708"/>
      <w:bookmarkStart w:id="146" w:name="_Toc10744"/>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outlineLvl w:val="2"/>
        <w:rPr>
          <w:rFonts w:hint="eastAsia" w:ascii="黑体" w:hAnsi="黑体" w:eastAsia="黑体" w:cs="黑体"/>
          <w:bCs/>
          <w:color w:val="000000"/>
          <w:sz w:val="32"/>
          <w:szCs w:val="32"/>
          <w:lang w:val="en-US" w:eastAsia="zh-CN"/>
        </w:rPr>
      </w:pPr>
      <w:bookmarkStart w:id="147" w:name="_Toc25753"/>
      <w:r>
        <w:rPr>
          <w:rFonts w:hint="eastAsia" w:ascii="黑体" w:hAnsi="黑体" w:eastAsia="黑体" w:cs="黑体"/>
          <w:bCs/>
          <w:color w:val="000000"/>
          <w:sz w:val="32"/>
          <w:szCs w:val="32"/>
          <w:lang w:val="en-US" w:eastAsia="zh-CN"/>
        </w:rPr>
        <w:t>五、强化制度供给，健全新型消费领域的权益保障</w:t>
      </w:r>
      <w:bookmarkEnd w:id="145"/>
      <w:bookmarkEnd w:id="146"/>
      <w:bookmarkEnd w:id="147"/>
      <w:r>
        <w:rPr>
          <w:rFonts w:hint="eastAsia" w:ascii="黑体" w:hAnsi="黑体" w:eastAsia="黑体" w:cs="黑体"/>
          <w:bCs/>
          <w:color w:val="000000"/>
          <w:sz w:val="32"/>
          <w:szCs w:val="32"/>
          <w:lang w:val="en-US" w:eastAsia="zh-CN"/>
        </w:rPr>
        <w:t>规制</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一是完善潮玩消费中寄售、预售等交易规则，推动建立更加合理的举证责任分配和售后保障机制，明确平台在验真、保管、举证和违约处理中的责任边界，防止因规则模糊导致责任向消费者转移</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对带有明显投机属性、算法不透明、诱导高频付费的“福袋”等玩法，应加强合规审查和风险提示，依法防范其演变为变相赌博行为，维护正常消费秩序。</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二是围绕智能驾驶技术边界和责任划分</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完善规则供给，明确辅助驾驶系统的功能定位和适用条件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对于系统失效、功能降级等</w:t>
      </w:r>
      <w:r>
        <w:rPr>
          <w:rFonts w:hint="eastAsia" w:ascii="仿宋_GB2312" w:hAnsi="仿宋_GB2312" w:eastAsia="仿宋_GB2312" w:cs="仿宋_GB2312"/>
          <w:color w:val="auto"/>
          <w:sz w:val="32"/>
          <w:szCs w:val="32"/>
          <w:lang w:val="en-US" w:eastAsia="zh-CN"/>
        </w:rPr>
        <w:t>消费</w:t>
      </w:r>
      <w:r>
        <w:rPr>
          <w:rFonts w:hint="eastAsia" w:ascii="仿宋_GB2312" w:hAnsi="仿宋_GB2312" w:eastAsia="仿宋_GB2312" w:cs="仿宋_GB2312"/>
          <w:color w:val="auto"/>
          <w:sz w:val="32"/>
          <w:szCs w:val="32"/>
        </w:rPr>
        <w:t>争议高发问题，推动完善质量责任、信息披露和售后保障制度，探索建立事故数据留存和责任认定支持机制，减少因责任不清引发的纠纷和安全隐患</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同时</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加强对消费者的真实、充分风险告知，防止企业夸大技术能力误导消费者过度依赖。</w:t>
      </w:r>
    </w:p>
    <w:p>
      <w:pPr>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三是加快厘清疗愈经济服务边界，推动建立基本的</w:t>
      </w:r>
      <w:r>
        <w:rPr>
          <w:rFonts w:hint="eastAsia" w:ascii="仿宋_GB2312" w:hAnsi="仿宋_GB2312" w:eastAsia="仿宋_GB2312" w:cs="仿宋_GB2312"/>
          <w:color w:val="auto"/>
          <w:sz w:val="32"/>
          <w:szCs w:val="32"/>
          <w:lang w:val="en-US" w:eastAsia="zh-CN"/>
        </w:rPr>
        <w:t>管理制度</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lang w:val="en-US" w:eastAsia="zh-CN"/>
        </w:rPr>
        <w:t>行业标准</w:t>
      </w:r>
      <w:r>
        <w:rPr>
          <w:rFonts w:hint="eastAsia" w:ascii="仿宋_GB2312" w:hAnsi="仿宋_GB2312" w:eastAsia="仿宋_GB2312" w:cs="仿宋_GB2312"/>
          <w:color w:val="auto"/>
          <w:sz w:val="32"/>
          <w:szCs w:val="32"/>
        </w:rPr>
        <w:t>和负面清单</w:t>
      </w:r>
      <w:r>
        <w:rPr>
          <w:rFonts w:hint="eastAsia" w:ascii="仿宋_GB2312" w:hAnsi="仿宋_GB2312" w:eastAsia="仿宋_GB2312" w:cs="仿宋_GB2312"/>
          <w:color w:val="auto"/>
          <w:sz w:val="32"/>
          <w:szCs w:val="32"/>
          <w:lang w:val="en-US" w:eastAsia="zh-CN"/>
        </w:rPr>
        <w:t>等</w:t>
      </w:r>
      <w:r>
        <w:rPr>
          <w:rFonts w:hint="eastAsia" w:ascii="仿宋_GB2312" w:hAnsi="仿宋_GB2312" w:eastAsia="仿宋_GB2312" w:cs="仿宋_GB2312"/>
          <w:color w:val="auto"/>
          <w:sz w:val="32"/>
          <w:szCs w:val="32"/>
        </w:rPr>
        <w:t>，规范</w:t>
      </w:r>
      <w:r>
        <w:rPr>
          <w:rFonts w:hint="eastAsia" w:ascii="仿宋_GB2312" w:hAnsi="仿宋_GB2312" w:eastAsia="仿宋_GB2312" w:cs="仿宋_GB2312"/>
          <w:color w:val="auto"/>
          <w:sz w:val="32"/>
          <w:szCs w:val="32"/>
          <w:lang w:val="en-US" w:eastAsia="zh-CN"/>
        </w:rPr>
        <w:t>经营者的</w:t>
      </w:r>
      <w:r>
        <w:rPr>
          <w:rFonts w:hint="eastAsia" w:ascii="仿宋_GB2312" w:hAnsi="仿宋_GB2312" w:eastAsia="仿宋_GB2312" w:cs="仿宋_GB2312"/>
          <w:color w:val="auto"/>
          <w:sz w:val="32"/>
          <w:szCs w:val="32"/>
        </w:rPr>
        <w:t>宣传</w:t>
      </w:r>
      <w:r>
        <w:rPr>
          <w:rFonts w:hint="eastAsia" w:ascii="仿宋_GB2312" w:hAnsi="仿宋_GB2312" w:eastAsia="仿宋_GB2312" w:cs="仿宋_GB2312"/>
          <w:color w:val="auto"/>
          <w:sz w:val="32"/>
          <w:szCs w:val="32"/>
          <w:lang w:val="en-US" w:eastAsia="zh-CN"/>
        </w:rPr>
        <w:t>推广、疗愈服务等经营</w:t>
      </w:r>
      <w:r>
        <w:rPr>
          <w:rFonts w:hint="eastAsia" w:ascii="仿宋_GB2312" w:hAnsi="仿宋_GB2312" w:eastAsia="仿宋_GB2312" w:cs="仿宋_GB2312"/>
          <w:color w:val="auto"/>
          <w:sz w:val="32"/>
          <w:szCs w:val="32"/>
        </w:rPr>
        <w:t>行为</w:t>
      </w:r>
      <w:r>
        <w:rPr>
          <w:rFonts w:hint="eastAsia" w:ascii="仿宋_GB2312" w:hAnsi="仿宋_GB2312" w:eastAsia="仿宋_GB2312" w:cs="仿宋_GB2312"/>
          <w:color w:val="auto"/>
          <w:sz w:val="32"/>
          <w:szCs w:val="32"/>
          <w:lang w:eastAsia="zh-CN"/>
        </w:rPr>
        <w:t>，防止不具备资质或能力的机构和个人进入市场，避免因门槛过低，造成服务质量良莠不齐。</w:t>
      </w:r>
      <w:r>
        <w:rPr>
          <w:rFonts w:hint="eastAsia" w:ascii="仿宋_GB2312" w:hAnsi="仿宋_GB2312" w:eastAsia="仿宋_GB2312" w:cs="仿宋_GB2312"/>
          <w:color w:val="auto"/>
          <w:sz w:val="32"/>
          <w:szCs w:val="32"/>
        </w:rPr>
        <w:t>严厉打击虚假宣传和误导性营销行为，切实防范精神操控和“精神传销”等风险，维护消费者</w:t>
      </w:r>
      <w:r>
        <w:rPr>
          <w:rFonts w:hint="eastAsia" w:ascii="仿宋_GB2312" w:hAnsi="仿宋_GB2312" w:eastAsia="仿宋_GB2312" w:cs="仿宋_GB2312"/>
          <w:color w:val="auto"/>
          <w:sz w:val="32"/>
          <w:szCs w:val="32"/>
          <w:lang w:val="en-US" w:eastAsia="zh-CN"/>
        </w:rPr>
        <w:t>合法</w:t>
      </w:r>
      <w:r>
        <w:rPr>
          <w:rFonts w:hint="eastAsia" w:ascii="仿宋_GB2312" w:hAnsi="仿宋_GB2312" w:eastAsia="仿宋_GB2312" w:cs="仿宋_GB2312"/>
          <w:color w:val="auto"/>
          <w:sz w:val="32"/>
          <w:szCs w:val="32"/>
        </w:rPr>
        <w:t>权益。</w:t>
      </w:r>
      <w:r>
        <w:rPr>
          <w:rFonts w:hint="eastAsia" w:ascii="仿宋_GB2312" w:hAnsi="仿宋_GB2312" w:eastAsia="仿宋_GB2312" w:cs="仿宋_GB2312"/>
          <w:color w:val="auto"/>
          <w:sz w:val="32"/>
          <w:szCs w:val="32"/>
          <w:lang w:val="en-US" w:eastAsia="zh-CN"/>
        </w:rPr>
        <w:t>通过多种渠道，</w:t>
      </w:r>
      <w:r>
        <w:rPr>
          <w:rFonts w:hint="eastAsia" w:ascii="仿宋_GB2312" w:hAnsi="仿宋_GB2312" w:eastAsia="仿宋_GB2312" w:cs="仿宋_GB2312"/>
          <w:color w:val="auto"/>
          <w:sz w:val="32"/>
          <w:szCs w:val="32"/>
        </w:rPr>
        <w:t>向消费者普及心理健康和疗愈知识，并</w:t>
      </w:r>
      <w:r>
        <w:rPr>
          <w:rFonts w:hint="eastAsia" w:ascii="仿宋_GB2312" w:hAnsi="仿宋_GB2312" w:eastAsia="仿宋_GB2312" w:cs="仿宋_GB2312"/>
          <w:color w:val="auto"/>
          <w:sz w:val="32"/>
          <w:szCs w:val="32"/>
          <w:lang w:val="en-US" w:eastAsia="zh-CN"/>
        </w:rPr>
        <w:t>对经营者</w:t>
      </w:r>
      <w:r>
        <w:rPr>
          <w:rFonts w:hint="eastAsia" w:ascii="仿宋_GB2312" w:hAnsi="仿宋_GB2312" w:eastAsia="仿宋_GB2312" w:cs="仿宋_GB2312"/>
          <w:color w:val="auto"/>
          <w:sz w:val="32"/>
          <w:szCs w:val="32"/>
        </w:rPr>
        <w:t>在开展疗愈服务时提示说明义务</w:t>
      </w:r>
      <w:r>
        <w:rPr>
          <w:rFonts w:hint="eastAsia" w:ascii="仿宋_GB2312" w:hAnsi="仿宋_GB2312" w:eastAsia="仿宋_GB2312" w:cs="仿宋_GB2312"/>
          <w:color w:val="auto"/>
          <w:sz w:val="32"/>
          <w:szCs w:val="32"/>
          <w:lang w:val="en-US" w:eastAsia="zh-CN"/>
        </w:rPr>
        <w:t>做出明确规定</w:t>
      </w:r>
      <w:r>
        <w:rPr>
          <w:rFonts w:hint="eastAsia" w:ascii="仿宋_GB2312" w:hAnsi="仿宋_GB2312" w:eastAsia="仿宋_GB2312" w:cs="仿宋_GB2312"/>
          <w:color w:val="auto"/>
          <w:sz w:val="32"/>
          <w:szCs w:val="32"/>
        </w:rPr>
        <w:t>，避免</w:t>
      </w:r>
      <w:r>
        <w:rPr>
          <w:rFonts w:hint="eastAsia" w:ascii="仿宋_GB2312" w:hAnsi="仿宋_GB2312" w:eastAsia="仿宋_GB2312" w:cs="仿宋_GB2312"/>
          <w:color w:val="auto"/>
          <w:sz w:val="32"/>
          <w:szCs w:val="32"/>
          <w:lang w:val="en-US" w:eastAsia="zh-CN"/>
        </w:rPr>
        <w:t>消费者</w:t>
      </w:r>
      <w:r>
        <w:rPr>
          <w:rFonts w:hint="eastAsia" w:ascii="仿宋_GB2312" w:hAnsi="仿宋_GB2312" w:eastAsia="仿宋_GB2312" w:cs="仿宋_GB2312"/>
          <w:color w:val="auto"/>
          <w:sz w:val="32"/>
          <w:szCs w:val="32"/>
        </w:rPr>
        <w:t>误解。</w:t>
      </w:r>
    </w:p>
    <w:p>
      <w:pPr>
        <w:ind w:firstLine="640" w:firstLineChars="200"/>
        <w:rPr>
          <w:rFonts w:hint="eastAsia" w:ascii="仿宋_GB2312" w:hAnsi="仿宋_GB2312" w:eastAsia="仿宋_GB2312" w:cs="仿宋_GB2312"/>
          <w:sz w:val="32"/>
          <w:szCs w:val="32"/>
        </w:rPr>
      </w:pPr>
    </w:p>
    <w:p>
      <w:pPr>
        <w:widowControl w:val="0"/>
        <w:wordWrap/>
        <w:adjustRightInd/>
        <w:snapToGrid/>
        <w:spacing w:before="468" w:beforeLines="150" w:after="312" w:afterLines="100" w:line="640" w:lineRule="exact"/>
        <w:ind w:left="0" w:leftChars="0" w:right="0" w:firstLine="0" w:firstLineChars="0"/>
        <w:jc w:val="center"/>
        <w:textAlignment w:val="auto"/>
        <w:outlineLvl w:val="0"/>
        <w:rPr>
          <w:rFonts w:hint="eastAsia" w:ascii="方正小标宋简体" w:hAnsi="方正小标宋简体" w:eastAsia="方正小标宋简体" w:cs="方正小标宋简体"/>
          <w:b w:val="0"/>
          <w:bCs/>
          <w:color w:val="000000"/>
          <w:w w:val="95"/>
          <w:sz w:val="44"/>
          <w:szCs w:val="44"/>
        </w:rPr>
      </w:pPr>
      <w:r>
        <w:rPr>
          <w:rFonts w:hint="eastAsia" w:ascii="方正小标宋简体" w:hAnsi="方正小标宋简体" w:eastAsia="方正小标宋简体" w:cs="方正小标宋简体"/>
          <w:b w:val="0"/>
          <w:bCs/>
          <w:color w:val="000000"/>
          <w:w w:val="95"/>
          <w:sz w:val="44"/>
          <w:szCs w:val="44"/>
        </w:rPr>
        <w:br w:type="page"/>
      </w:r>
      <w:bookmarkStart w:id="148" w:name="_Toc221610709"/>
      <w:bookmarkStart w:id="149" w:name="_Toc10790"/>
      <w:bookmarkStart w:id="150" w:name="_Toc7616"/>
      <w:r>
        <w:rPr>
          <w:rFonts w:hint="eastAsia" w:ascii="方正小标宋简体" w:hAnsi="方正小标宋简体" w:eastAsia="方正小标宋简体" w:cs="方正小标宋简体"/>
          <w:b w:val="0"/>
          <w:bCs/>
          <w:color w:val="000000"/>
          <w:w w:val="95"/>
          <w:sz w:val="44"/>
          <w:szCs w:val="44"/>
        </w:rPr>
        <w:t>2025年消费者权益保护工作大事记</w:t>
      </w:r>
      <w:bookmarkEnd w:id="148"/>
      <w:bookmarkEnd w:id="149"/>
      <w:bookmarkEnd w:id="150"/>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一月</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000000"/>
          <w:sz w:val="32"/>
          <w:szCs w:val="32"/>
        </w:rPr>
      </w:pPr>
      <w:bookmarkStart w:id="151" w:name="_Toc215265312"/>
      <w:r>
        <w:rPr>
          <w:rFonts w:hint="eastAsia" w:ascii="仿宋_GB2312" w:hAnsi="仿宋_GB2312" w:eastAsia="仿宋_GB2312" w:cs="仿宋_GB2312"/>
          <w:color w:val="000000"/>
          <w:sz w:val="32"/>
          <w:szCs w:val="32"/>
        </w:rPr>
        <w:t>1月3日，国务院办公厅发布《关于全面深化药品医疗器械监管改革促进医药产业高质量发展的意见》。</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1月5日，国家发展改革委、财政部发布《关于2025年加力扩围实施大规模设备更新和消费品以旧换新政策的通知》。</w:t>
      </w:r>
    </w:p>
    <w:bookmarkEnd w:id="151"/>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1月13日，国务院办公厅印发《关于进一步培育新增长点繁荣文化和旅游消费的若干措施》。</w:t>
      </w:r>
    </w:p>
    <w:p>
      <w:pPr>
        <w:keepNext w:val="0"/>
        <w:keepLines w:val="0"/>
        <w:pageBreakBefore w:val="0"/>
        <w:widowControl/>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1月13日，国务院公布《公共安全视频图像信息系统管理条例》。</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1月13日，工业和信息化部等五部门修订发布强制性国家标准《电动自行车安全技术规范》。</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1月13日，商务部等四部门发布《关于深化改革加强监管促进新能源车险高质量发展的指导意见》。</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 w:val="0"/>
          <w:bCs w:val="0"/>
          <w:color w:val="000000"/>
          <w:sz w:val="32"/>
          <w:szCs w:val="32"/>
        </w:rPr>
      </w:pPr>
      <w:r>
        <w:rPr>
          <w:rFonts w:hint="eastAsia" w:ascii="仿宋_GB2312" w:hAnsi="仿宋_GB2312" w:eastAsia="仿宋_GB2312" w:cs="仿宋_GB2312"/>
          <w:color w:val="000000"/>
          <w:sz w:val="32"/>
          <w:szCs w:val="32"/>
          <w:shd w:val="clear" w:color="auto" w:fill="FFFFFF"/>
        </w:rPr>
        <w:t>1月13日，中消协针对民航选座额外收费问题发表观点</w:t>
      </w:r>
      <w:r>
        <w:rPr>
          <w:rFonts w:hint="eastAsia" w:ascii="仿宋_GB2312" w:hAnsi="仿宋_GB2312" w:eastAsia="仿宋_GB2312" w:cs="仿宋_GB2312"/>
          <w:b w:val="0"/>
          <w:bCs w:val="0"/>
          <w:color w:val="000000"/>
          <w:sz w:val="32"/>
          <w:szCs w:val="32"/>
          <w:shd w:val="clear" w:color="auto" w:fill="FFFFFF"/>
        </w:rPr>
        <w:t>，指出</w:t>
      </w:r>
      <w:r>
        <w:rPr>
          <w:rStyle w:val="20"/>
          <w:rFonts w:hint="eastAsia" w:ascii="仿宋_GB2312" w:hAnsi="仿宋_GB2312" w:eastAsia="仿宋_GB2312" w:cs="仿宋_GB2312"/>
          <w:b w:val="0"/>
          <w:bCs w:val="0"/>
          <w:color w:val="000000"/>
          <w:spacing w:val="8"/>
          <w:sz w:val="32"/>
          <w:szCs w:val="32"/>
          <w:shd w:val="clear" w:color="auto" w:fill="FFFFFF"/>
        </w:rPr>
        <w:t>民航“加价选座”不应成为“行业惯例”。</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1月14日，国务院食安办等部门印发通知，进一步加强校园食品安全工作。</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b/>
          <w:color w:val="000000"/>
          <w:sz w:val="32"/>
          <w:szCs w:val="32"/>
        </w:rPr>
      </w:pPr>
      <w:r>
        <w:rPr>
          <w:rStyle w:val="20"/>
          <w:rFonts w:hint="eastAsia" w:ascii="仿宋_GB2312" w:hAnsi="仿宋_GB2312" w:eastAsia="仿宋_GB2312" w:cs="仿宋_GB2312"/>
          <w:b w:val="0"/>
          <w:color w:val="000000"/>
          <w:sz w:val="32"/>
          <w:szCs w:val="32"/>
          <w:shd w:val="clear" w:color="auto" w:fill="FFFFFF"/>
        </w:rPr>
        <w:t>1月14日，商务部等八部门办公厅</w:t>
      </w:r>
      <w:r>
        <w:rPr>
          <w:rStyle w:val="20"/>
          <w:rFonts w:hint="eastAsia" w:ascii="仿宋_GB2312" w:hAnsi="仿宋_GB2312" w:eastAsia="仿宋_GB2312" w:cs="仿宋_GB2312"/>
          <w:b w:val="0"/>
          <w:color w:val="000000"/>
          <w:sz w:val="32"/>
          <w:szCs w:val="32"/>
          <w:shd w:val="clear" w:color="auto" w:fill="FFFFFF"/>
          <w:lang w:val="en-US" w:eastAsia="zh-CN"/>
        </w:rPr>
        <w:t>发布</w:t>
      </w:r>
      <w:r>
        <w:rPr>
          <w:rStyle w:val="20"/>
          <w:rFonts w:hint="eastAsia" w:ascii="仿宋_GB2312" w:hAnsi="仿宋_GB2312" w:eastAsia="仿宋_GB2312" w:cs="仿宋_GB2312"/>
          <w:b w:val="0"/>
          <w:color w:val="000000"/>
          <w:sz w:val="32"/>
          <w:szCs w:val="32"/>
          <w:shd w:val="clear" w:color="auto" w:fill="FFFFFF"/>
          <w:lang w:eastAsia="zh-CN"/>
        </w:rPr>
        <w:t>《</w:t>
      </w:r>
      <w:r>
        <w:rPr>
          <w:rStyle w:val="20"/>
          <w:rFonts w:hint="eastAsia" w:ascii="仿宋_GB2312" w:hAnsi="仿宋_GB2312" w:eastAsia="仿宋_GB2312" w:cs="仿宋_GB2312"/>
          <w:b w:val="0"/>
          <w:color w:val="000000"/>
          <w:sz w:val="32"/>
          <w:szCs w:val="32"/>
          <w:shd w:val="clear" w:color="auto" w:fill="FFFFFF"/>
        </w:rPr>
        <w:t>关于做好2025年汽车以旧换新工作的通知</w:t>
      </w:r>
      <w:r>
        <w:rPr>
          <w:rStyle w:val="20"/>
          <w:rFonts w:hint="eastAsia" w:ascii="仿宋_GB2312" w:hAnsi="仿宋_GB2312" w:eastAsia="仿宋_GB2312" w:cs="仿宋_GB2312"/>
          <w:b w:val="0"/>
          <w:color w:val="000000"/>
          <w:sz w:val="32"/>
          <w:szCs w:val="32"/>
          <w:shd w:val="clear" w:color="auto" w:fill="FFFFFF"/>
          <w:lang w:eastAsia="zh-CN"/>
        </w:rPr>
        <w:t>》</w:t>
      </w:r>
      <w:r>
        <w:rPr>
          <w:rStyle w:val="20"/>
          <w:rFonts w:hint="eastAsia" w:ascii="仿宋_GB2312" w:hAnsi="仿宋_GB2312" w:eastAsia="仿宋_GB2312" w:cs="仿宋_GB2312"/>
          <w:b w:val="0"/>
          <w:color w:val="000000"/>
          <w:sz w:val="32"/>
          <w:szCs w:val="32"/>
          <w:shd w:val="clear" w:color="auto" w:fill="FFFFFF"/>
        </w:rPr>
        <w:t>。</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1月15日，商务部等四部门发布《关于做好2025年家电以旧换新工作的通知》。</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1月16日，商务部等</w:t>
      </w:r>
      <w:r>
        <w:rPr>
          <w:rFonts w:hint="eastAsia" w:ascii="仿宋_GB2312" w:hAnsi="仿宋_GB2312" w:eastAsia="仿宋_GB2312" w:cs="仿宋_GB2312"/>
          <w:color w:val="000000"/>
          <w:sz w:val="32"/>
          <w:szCs w:val="32"/>
          <w:lang w:val="en-US" w:eastAsia="zh-CN"/>
        </w:rPr>
        <w:t>九</w:t>
      </w:r>
      <w:r>
        <w:rPr>
          <w:rFonts w:hint="eastAsia" w:ascii="仿宋_GB2312" w:hAnsi="仿宋_GB2312" w:eastAsia="仿宋_GB2312" w:cs="仿宋_GB2312"/>
          <w:color w:val="000000"/>
          <w:sz w:val="32"/>
          <w:szCs w:val="32"/>
        </w:rPr>
        <w:t>部门印发《关于增开银发旅游列车促进服务消费发展的行动计划》。</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1月22日，中消协公布2025年消费维权年主题：“共筑满意消费”。</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1月26日，商务部等六部门发布《关于做好家装厨卫‘焕新’工作的通知》</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二月</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rPr>
        <w:t>2月10日，国务院常务会议研究提振消费有关工作。</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2月14日，国家互联网信息办公室发布《个人信息保护合规审计管理办法》。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2月17日，市场监管总局、国家发展改革委、工业和信息化部、商务部、文化和旅游部联合印发《优化消费环境三年行动方案（2025—2027年）》。</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2月20日，国家发展改革委等部门印发《促进普惠养老服务高质量发展的若干措施》。</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2月21日，中央网信办发布2025年“清朗”系列专项行动整治重点。</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2月22日，“2025年全国消费促进月暨京津冀消费季”在河北省石家庄市启动。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2月24日，最高人民法院公布电信网络诈骗及其关联犯罪典型案例。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2月28日，《市场监管总局关于推动网络交易平台企业落实合规管理主体责任的指导意见》发布。</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三月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000000"/>
          <w:sz w:val="32"/>
          <w:szCs w:val="32"/>
          <w:shd w:val="clear" w:color="auto" w:fill="FFFFFF"/>
        </w:rPr>
        <w:t>3月5日，《政府工作报告》提出，大力提振消费、提高投资效益，全方位扩</w:t>
      </w:r>
      <w:r>
        <w:rPr>
          <w:rFonts w:hint="eastAsia" w:ascii="仿宋_GB2312" w:hAnsi="仿宋_GB2312" w:eastAsia="仿宋_GB2312" w:cs="仿宋_GB2312"/>
          <w:color w:val="auto"/>
          <w:sz w:val="32"/>
          <w:szCs w:val="32"/>
          <w:shd w:val="clear" w:color="auto" w:fill="FFFFFF"/>
        </w:rPr>
        <w:t>大国内需求。</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shd w:val="clear" w:color="auto" w:fill="FFFFFF"/>
        </w:rPr>
        <w:t>3月6日，国家发展改革委等部门印发《关于促进可再生能源绿色电力证书市场高质量发展的意见》。</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3月7日，国家网信办等部门联合发布《人工智能生成合成内容标识办法》。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3月13日，住房和城乡建设部发布强制性国家标准《住宅项目规范》。</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rPr>
        <w:t>3月13日，国家网信办、公安部发布《人脸识别技术应用安全管理办法》。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3月14日，最高人民法院发布《关于审理预付式消费民事纠纷案件适用法律若干问题的解释》及涉预付式消费典型案例。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3月14日，最高人民检察院发布检察机关依法惩治制售伪劣商品犯罪典型案例。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3月14日，工业和信息化部部署开展2025年信息通信业行风建设和纠风工作</w:t>
      </w:r>
      <w:r>
        <w:rPr>
          <w:rFonts w:hint="eastAsia" w:ascii="仿宋_GB2312" w:hAnsi="仿宋_GB2312" w:eastAsia="仿宋_GB2312" w:cs="仿宋_GB2312"/>
          <w:color w:val="000000"/>
          <w:sz w:val="32"/>
          <w:szCs w:val="32"/>
          <w:shd w:val="clear" w:color="auto" w:fill="FFFFFF"/>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3月15日，中消协在北京举办2025年“3·15国际消费者权益日”主题活动，正式上线“全国消协智慧315平台”。</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3月15日，最高人民检察院与</w:t>
      </w:r>
      <w:r>
        <w:rPr>
          <w:rFonts w:hint="eastAsia" w:ascii="仿宋_GB2312" w:hAnsi="仿宋_GB2312" w:eastAsia="仿宋_GB2312" w:cs="仿宋_GB2312"/>
          <w:color w:val="000000"/>
          <w:sz w:val="32"/>
          <w:szCs w:val="32"/>
          <w:lang w:val="en-US" w:eastAsia="zh-CN"/>
        </w:rPr>
        <w:t>中消协</w:t>
      </w:r>
      <w:r>
        <w:rPr>
          <w:rFonts w:hint="eastAsia" w:ascii="仿宋_GB2312" w:hAnsi="仿宋_GB2312" w:eastAsia="仿宋_GB2312" w:cs="仿宋_GB2312"/>
          <w:color w:val="000000"/>
          <w:sz w:val="32"/>
          <w:szCs w:val="32"/>
        </w:rPr>
        <w:t>首次联合发布10件消费者权益保护公益诉讼典型案例。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3月15日，市场监管总局印发《2025年产品质量国家监督抽查计划》。</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3月15日，中央广播电视总台第35届“3·15”晚会举办。晚会聚焦“共铸诚信 提振消费”主题，关注食品安全、公共安全、金融安全、数据安全等领域，曝光消费领域严重违法侵权行为。</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3月15日，市场监管总局等部门部署严查央视3·15晚会曝光的消费领域违法行为。</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3月16日，中共中央办公厅、国务院办公厅印发《提振消费专项行动方案》。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3月17日，全国总工会办公厅印发《关于加大工会经费投入力度助力职工文化旅游消费十项措施》。</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3月19日，中共中央办公厅、国务院办公厅发布《关于进一步强化食品安全全链条监管的意见》。</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3月19日，农业农村部、最高人民法院、最高人民检察院、工业和信息化部、公安部、市场监管总局、供销合作总社等部门召开2025年春耕备耕农资打假工作视频会议，开展春耕备耕农资打假工作。</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default"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3月19日，公安部公布7起打击制售假劣农资犯罪典型案例。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3月21日，国家互联网信息办公室、公安部联合公布《人脸识别技术应用安全管理办法》</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3月24日，中消协发布不公平格式条款消费提示，全年共发布“免密支付”风险、防范“保健品”诈骗老年人、警惕私域风险等消费提示警示27件。</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Cs/>
          <w:color w:val="000000"/>
          <w:sz w:val="32"/>
          <w:szCs w:val="32"/>
        </w:rPr>
        <w:t>3月26日，国务院办公厅转发商务部《关于支持国际消费中心城市培育建设的若干措施》的通知</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3月27日，国家卫生健康委、市场监管总局公布59项食品安全国家标准及修改单。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
          <w:color w:val="000000"/>
          <w:sz w:val="32"/>
          <w:szCs w:val="32"/>
        </w:rPr>
      </w:pPr>
      <w:r>
        <w:rPr>
          <w:rStyle w:val="20"/>
          <w:rFonts w:hint="eastAsia" w:ascii="仿宋_GB2312" w:hAnsi="仿宋_GB2312" w:eastAsia="仿宋_GB2312" w:cs="仿宋_GB2312"/>
          <w:b w:val="0"/>
          <w:color w:val="000000"/>
          <w:sz w:val="32"/>
          <w:szCs w:val="32"/>
          <w:shd w:val="clear" w:color="auto" w:fill="FFFFFF"/>
        </w:rPr>
        <w:t>3月27日，农业农村部印发通知，部署开展2025年“绿剑护粮安”执法行动。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3月27日，市场监管总局发布《食品标识监督管理办法》。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rPr>
        <w:t>3月28日，强制性国家标准《电动汽车用动力蓄电池安全要求》（GB38031－2025）发布，要求</w:t>
      </w:r>
      <w:r>
        <w:rPr>
          <w:rFonts w:hint="eastAsia" w:ascii="仿宋_GB2312" w:hAnsi="仿宋_GB2312" w:eastAsia="仿宋_GB2312" w:cs="仿宋_GB2312"/>
          <w:color w:val="000000"/>
          <w:sz w:val="32"/>
          <w:szCs w:val="32"/>
          <w:shd w:val="clear" w:color="auto" w:fill="FFFFFF"/>
        </w:rPr>
        <w:t>“不起火、不爆炸”。</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
          <w:color w:val="000000"/>
          <w:sz w:val="32"/>
          <w:szCs w:val="32"/>
          <w:lang w:eastAsia="zh-CN"/>
        </w:rPr>
      </w:pPr>
      <w:r>
        <w:rPr>
          <w:rStyle w:val="20"/>
          <w:rFonts w:hint="eastAsia" w:ascii="仿宋_GB2312" w:hAnsi="仿宋_GB2312" w:eastAsia="仿宋_GB2312" w:cs="仿宋_GB2312"/>
          <w:b w:val="0"/>
          <w:color w:val="000000"/>
          <w:sz w:val="32"/>
          <w:szCs w:val="32"/>
          <w:shd w:val="clear" w:color="auto" w:fill="FFFFFF"/>
        </w:rPr>
        <w:t>3月28日，金融监管总局等三部门发布《关于推进金融纠纷调解工作高质量发展的意见》</w:t>
      </w:r>
      <w:r>
        <w:rPr>
          <w:rStyle w:val="20"/>
          <w:rFonts w:hint="eastAsia" w:ascii="仿宋_GB2312" w:hAnsi="仿宋_GB2312" w:eastAsia="仿宋_GB2312" w:cs="仿宋_GB2312"/>
          <w:b w:val="0"/>
          <w:color w:val="000000"/>
          <w:sz w:val="32"/>
          <w:szCs w:val="32"/>
          <w:shd w:val="clear" w:color="auto" w:fill="FFFFFF"/>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3月28日，中央网信办</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公安部</w:t>
      </w:r>
      <w:r>
        <w:rPr>
          <w:rFonts w:hint="eastAsia" w:ascii="仿宋_GB2312" w:hAnsi="仿宋_GB2312" w:eastAsia="仿宋_GB2312" w:cs="仿宋_GB2312"/>
          <w:color w:val="000000"/>
          <w:sz w:val="32"/>
          <w:szCs w:val="32"/>
        </w:rPr>
        <w:t>等四部门开展2025年个人信息保护系列专项行动。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黑体" w:hAnsi="黑体" w:eastAsia="黑体" w:cs="黑体"/>
          <w:b w:val="0"/>
          <w:bCs w:val="0"/>
          <w:color w:val="000000"/>
          <w:sz w:val="32"/>
          <w:szCs w:val="32"/>
        </w:rPr>
      </w:pPr>
      <w:r>
        <w:rPr>
          <w:rFonts w:hint="eastAsia" w:ascii="仿宋_GB2312" w:hAnsi="仿宋_GB2312" w:eastAsia="仿宋_GB2312" w:cs="仿宋_GB2312"/>
          <w:color w:val="000000"/>
          <w:sz w:val="32"/>
          <w:szCs w:val="32"/>
        </w:rPr>
        <w:t>3月31日，最高人民法院遴选发布四件“农资打假”典型案例。</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四月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4月2日，市场监管总局发布《食品生产经营企业落实食品安全主体责任监督管理规定》和《集中用餐单位落实食品安全主体责任监督管理规定》。</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4月7日，市场监管总局部署开展老年人药品、保健品虚假宣传等4项专项整治工作</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4月8日，市场监管总局发布《第一批食品安全行政执法指导性案例》。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000000"/>
          <w:kern w:val="36"/>
          <w:sz w:val="32"/>
          <w:szCs w:val="32"/>
          <w:lang w:eastAsia="zh-CN"/>
        </w:rPr>
      </w:pPr>
      <w:r>
        <w:rPr>
          <w:rFonts w:hint="eastAsia" w:ascii="仿宋_GB2312" w:hAnsi="仿宋_GB2312" w:eastAsia="仿宋_GB2312" w:cs="仿宋_GB2312"/>
          <w:bCs/>
          <w:color w:val="000000"/>
          <w:kern w:val="36"/>
          <w:sz w:val="32"/>
          <w:szCs w:val="32"/>
        </w:rPr>
        <w:t>4月8日，国家网信办印发通知，开展“清朗·整治短视频领域恶意营销乱象”专项行动</w:t>
      </w:r>
      <w:r>
        <w:rPr>
          <w:rFonts w:hint="eastAsia" w:ascii="仿宋_GB2312" w:hAnsi="仿宋_GB2312" w:eastAsia="仿宋_GB2312" w:cs="仿宋_GB2312"/>
          <w:bCs/>
          <w:color w:val="000000"/>
          <w:kern w:val="36"/>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Cs/>
          <w:color w:val="000000"/>
          <w:kern w:val="36"/>
          <w:sz w:val="32"/>
          <w:szCs w:val="32"/>
          <w:lang w:val="en-US" w:eastAsia="zh-CN"/>
        </w:rPr>
      </w:pPr>
      <w:r>
        <w:rPr>
          <w:rFonts w:hint="eastAsia" w:ascii="仿宋_GB2312" w:hAnsi="仿宋_GB2312" w:eastAsia="仿宋_GB2312" w:cs="仿宋_GB2312"/>
          <w:bCs/>
          <w:color w:val="000000"/>
          <w:kern w:val="36"/>
          <w:sz w:val="32"/>
          <w:szCs w:val="32"/>
        </w:rPr>
        <w:t>4月8日，</w:t>
      </w:r>
      <w:r>
        <w:rPr>
          <w:rFonts w:hint="eastAsia" w:ascii="仿宋_GB2312" w:hAnsi="仿宋_GB2312" w:eastAsia="仿宋_GB2312" w:cs="仿宋_GB2312"/>
          <w:bCs/>
          <w:color w:val="000000"/>
          <w:kern w:val="36"/>
          <w:sz w:val="32"/>
          <w:szCs w:val="32"/>
          <w:lang w:val="en-US" w:eastAsia="zh-CN"/>
        </w:rPr>
        <w:t>交通运输部印发《城市轨道交通客运组织与服务管理办法》。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4月9日，文化和旅游部等三部门发布《边境旅游管理办法》。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4月9日，商务部、国家卫生健康委等十二部门联合印发《促进健康消费专项行动方案》。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Style w:val="20"/>
          <w:rFonts w:hint="eastAsia" w:ascii="仿宋_GB2312" w:hAnsi="仿宋_GB2312" w:eastAsia="仿宋_GB2312" w:cs="仿宋_GB2312"/>
          <w:b w:val="0"/>
          <w:color w:val="000000"/>
          <w:sz w:val="32"/>
          <w:szCs w:val="32"/>
          <w:shd w:val="clear" w:color="auto" w:fill="FFFFFF"/>
        </w:rPr>
      </w:pPr>
      <w:r>
        <w:rPr>
          <w:rStyle w:val="20"/>
          <w:rFonts w:hint="eastAsia" w:ascii="仿宋_GB2312" w:hAnsi="仿宋_GB2312" w:eastAsia="仿宋_GB2312" w:cs="仿宋_GB2312"/>
          <w:b w:val="0"/>
          <w:color w:val="000000"/>
          <w:sz w:val="32"/>
          <w:szCs w:val="32"/>
          <w:shd w:val="clear" w:color="auto" w:fill="FFFFFF"/>
        </w:rPr>
        <w:t>4月11日，商务部等六部门印发通知，组织开展“购在中国”系列活动。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4月13日，</w:t>
      </w:r>
      <w:r>
        <w:rPr>
          <w:rFonts w:hint="eastAsia" w:ascii="仿宋_GB2312" w:hAnsi="仿宋_GB2312" w:eastAsia="仿宋_GB2312" w:cs="仿宋_GB2312"/>
          <w:color w:val="000000"/>
          <w:sz w:val="32"/>
          <w:szCs w:val="32"/>
          <w:lang w:val="en-US" w:eastAsia="zh-CN"/>
        </w:rPr>
        <w:t>国务院公布《国务院关于修改〈快递暂行条例〉的决定》</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4月16日，商务部等九部门联合印发《服务消费提质惠民行动2025年工作方案》。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4月18日，国务院食安办等六部门联合开展食品添加剂滥用问题综合治理。</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4月18日，商务部等九部门发布《关于促进家政服务消费扩容升级若干措施的通知》。</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4月18日，市场监管总局集中发布一批直播电商领域典型案例（全年共发布四批）。</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4月21日，工业和信息化部发布2025年第一批侵害用户权益行为的APP（SDK）通报（全年陆续发布八批）</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4月23日，2025年全国文化和旅游消费促进活动在河南郑州启动，全国“五一”文化和旅游消费周同时启动。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4月24日，最高人民法院、最高人民检察院发布《关于办理侵犯知识产权刑事案件适用法律若干问题的解释》</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同日，发布9个知识产权刑事保护典型案例</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4月25日，中共中央政治局召开会议，会议指出要大力发展服务消费，增强消费对经济增长的拉动作用，尽快清理消费领域限制性措施，扩围实施“两新”政策。</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4月25日，农业农村部等七部门印发《2025年全国农资打假和监管工作要点》。</w:t>
      </w:r>
    </w:p>
    <w:p>
      <w:pPr>
        <w:keepNext w:val="0"/>
        <w:keepLines w:val="0"/>
        <w:pageBreakBefore w:val="0"/>
        <w:kinsoku/>
        <w:wordWrap/>
        <w:overflowPunct/>
        <w:topLinePunct w:val="0"/>
        <w:autoSpaceDE/>
        <w:autoSpaceDN/>
        <w:bidi w:val="0"/>
        <w:adjustRightInd/>
        <w:snapToGrid/>
        <w:spacing w:line="594" w:lineRule="exact"/>
        <w:ind w:firstLine="672" w:firstLineChars="200"/>
        <w:textAlignment w:val="auto"/>
        <w:rPr>
          <w:rFonts w:hint="eastAsia" w:ascii="仿宋_GB2312" w:hAnsi="仿宋_GB2312" w:eastAsia="仿宋_GB2312" w:cs="仿宋_GB2312"/>
          <w:color w:val="000000"/>
          <w:spacing w:val="8"/>
          <w:sz w:val="32"/>
          <w:szCs w:val="32"/>
          <w:shd w:val="clear" w:color="auto" w:fill="FFFFFF"/>
        </w:rPr>
      </w:pPr>
      <w:r>
        <w:rPr>
          <w:rFonts w:hint="eastAsia" w:ascii="仿宋_GB2312" w:hAnsi="仿宋_GB2312" w:eastAsia="仿宋_GB2312" w:cs="仿宋_GB2312"/>
          <w:color w:val="000000"/>
          <w:spacing w:val="8"/>
          <w:sz w:val="32"/>
          <w:szCs w:val="32"/>
          <w:shd w:val="clear" w:color="auto" w:fill="FFFFFF"/>
        </w:rPr>
        <w:t>4月25日，国家质量强国建设协调推进领导小组办公室发布《中国打击侵权假冒工作年度报告（2024）》。</w:t>
      </w:r>
    </w:p>
    <w:p>
      <w:pPr>
        <w:keepNext w:val="0"/>
        <w:keepLines w:val="0"/>
        <w:pageBreakBefore w:val="0"/>
        <w:kinsoku/>
        <w:wordWrap/>
        <w:overflowPunct/>
        <w:topLinePunct w:val="0"/>
        <w:autoSpaceDE/>
        <w:autoSpaceDN/>
        <w:bidi w:val="0"/>
        <w:adjustRightInd/>
        <w:snapToGrid/>
        <w:spacing w:line="594" w:lineRule="exact"/>
        <w:ind w:firstLine="672" w:firstLineChars="200"/>
        <w:textAlignment w:val="auto"/>
        <w:rPr>
          <w:rFonts w:hint="eastAsia" w:ascii="仿宋_GB2312" w:hAnsi="仿宋_GB2312" w:eastAsia="仿宋_GB2312" w:cs="仿宋_GB2312"/>
          <w:color w:val="000000"/>
          <w:spacing w:val="8"/>
          <w:sz w:val="32"/>
          <w:szCs w:val="32"/>
          <w:shd w:val="clear" w:color="auto" w:fill="FFFFFF"/>
          <w:lang w:eastAsia="zh-CN"/>
        </w:rPr>
      </w:pPr>
      <w:r>
        <w:rPr>
          <w:rFonts w:hint="eastAsia" w:ascii="仿宋_GB2312" w:hAnsi="仿宋_GB2312" w:eastAsia="仿宋_GB2312" w:cs="仿宋_GB2312"/>
          <w:color w:val="000000"/>
          <w:spacing w:val="8"/>
          <w:sz w:val="32"/>
          <w:szCs w:val="32"/>
          <w:shd w:val="clear" w:color="auto" w:fill="FFFFFF"/>
        </w:rPr>
        <w:t>4月26日，商务部等</w:t>
      </w:r>
      <w:r>
        <w:rPr>
          <w:rFonts w:hint="eastAsia" w:ascii="仿宋_GB2312" w:hAnsi="仿宋_GB2312" w:eastAsia="仿宋_GB2312" w:cs="仿宋_GB2312"/>
          <w:color w:val="000000"/>
          <w:spacing w:val="8"/>
          <w:sz w:val="32"/>
          <w:szCs w:val="32"/>
          <w:shd w:val="clear" w:color="auto" w:fill="FFFFFF"/>
          <w:lang w:val="en-US" w:eastAsia="zh-CN"/>
        </w:rPr>
        <w:t>六</w:t>
      </w:r>
      <w:r>
        <w:rPr>
          <w:rFonts w:hint="eastAsia" w:ascii="仿宋_GB2312" w:hAnsi="仿宋_GB2312" w:eastAsia="仿宋_GB2312" w:cs="仿宋_GB2312"/>
          <w:color w:val="000000"/>
          <w:spacing w:val="8"/>
          <w:sz w:val="32"/>
          <w:szCs w:val="32"/>
          <w:shd w:val="clear" w:color="auto" w:fill="FFFFFF"/>
        </w:rPr>
        <w:t>部门印发《关于进一步优化离境退税政策扩大入境消费的通知》</w:t>
      </w:r>
      <w:r>
        <w:rPr>
          <w:rFonts w:hint="eastAsia" w:ascii="仿宋_GB2312" w:hAnsi="仿宋_GB2312" w:eastAsia="仿宋_GB2312" w:cs="仿宋_GB2312"/>
          <w:color w:val="000000"/>
          <w:spacing w:val="8"/>
          <w:sz w:val="32"/>
          <w:szCs w:val="32"/>
          <w:shd w:val="clear" w:color="auto" w:fill="FFFFFF"/>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4月29日，海关总署发布《海关总署关于明确跨境电商销毁退运有关事项的公告》</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rPr>
        <w:t>4月30日，中央网信办印发通知，在全国范围内部署开展 “清朗·整治AI技术滥用”专项行动。</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五月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5月1日，商务部、中央广播电视总台、上海市人民政府启动2025国际消费季。</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5月6日，国务院食安办等六部门联合印发《食品添加剂滥用问题综合治理方案》，部署开展食品添加剂滥用问题综合治理行动。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5月7日，市场监管总局部署在全国开展整治制售假劣肉制品专项行动。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5月7日，</w:t>
      </w:r>
      <w:r>
        <w:rPr>
          <w:rFonts w:hint="eastAsia" w:ascii="仿宋_GB2312" w:hAnsi="仿宋_GB2312" w:eastAsia="仿宋_GB2312" w:cs="仿宋_GB2312"/>
          <w:color w:val="000000"/>
          <w:sz w:val="32"/>
          <w:szCs w:val="32"/>
          <w:lang w:val="en-US" w:eastAsia="zh-CN"/>
        </w:rPr>
        <w:t>中消协</w:t>
      </w:r>
      <w:r>
        <w:rPr>
          <w:rFonts w:hint="eastAsia" w:ascii="仿宋_GB2312" w:hAnsi="仿宋_GB2312" w:eastAsia="仿宋_GB2312" w:cs="仿宋_GB2312"/>
          <w:color w:val="000000"/>
          <w:sz w:val="32"/>
          <w:szCs w:val="32"/>
        </w:rPr>
        <w:t>开发的线下无理由退货商家查询平台——“消费查”上线试运行。</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5月9日，公安部部署开展“昆仑-2025”专项工作，依法严厉打击环食药和知识产权领域突出犯罪。</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5月13日，市场监管总局等五部门约谈外卖平台企业，要求相关平台企业严格遵守法律法规规定，严格落实主体责任。</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shd w:val="clear" w:color="auto" w:fill="FFFFFF"/>
        </w:rPr>
        <w:t>5月17日，工业和信息化部指导发布“信息通信暖心服务十件实事”</w:t>
      </w:r>
      <w:r>
        <w:rPr>
          <w:rFonts w:hint="eastAsia" w:ascii="仿宋_GB2312" w:hAnsi="仿宋_GB2312" w:eastAsia="仿宋_GB2312" w:cs="仿宋_GB2312"/>
          <w:color w:val="000000"/>
          <w:sz w:val="32"/>
          <w:szCs w:val="32"/>
          <w:shd w:val="clear" w:color="auto" w:fill="FFFFFF"/>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5月23日，市场监管总局部署在全国范围开展移动式大型游乐设施专项整治。</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5月28日，市场监管总局部署开展老年人药品、保健品虚假宣传专项整治。</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5月至11月，国家版权局等四部门联合启动打击网络侵权盗版“剑网2025”专项行动。</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六月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6月4日，市场监管总局会同国家网信办发布《网络交易平台规则监督管理办法》（征求意见稿），向社会公开征求意见。</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6月10日，国家质量强国建设协调推进领导小组办公室与市场监管总局联合组织开展2025年侵权假冒伪劣商品全国统一销毁行动。</w:t>
      </w:r>
    </w:p>
    <w:p>
      <w:pPr>
        <w:pStyle w:val="23"/>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6月11日，中消协联合多个行业协会发布《</w:t>
      </w:r>
      <w:r>
        <w:rPr>
          <w:rFonts w:hint="eastAsia" w:ascii="仿宋_GB2312" w:hAnsi="仿宋_GB2312" w:eastAsia="仿宋_GB2312" w:cs="仿宋_GB2312"/>
          <w:color w:val="000000"/>
          <w:sz w:val="32"/>
          <w:szCs w:val="32"/>
        </w:rPr>
        <w:t>反对商品过度包装 推动绿色文明消费倡议书》。</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6月13日，工业和信息化部召开信息通信行业防范治理电信网络诈骗工作推进会。</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6月16日，最高人民法院发布网络消费民事典型案例。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6月16日，国家广播电视总局实施针对互联网电视自动续费服务的专项规范管理措施。</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6月19日，市场监管总局批准发布一批摩托车强制性国家标准。</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6月19日，中国人民银行等六部门发布《关于金融支持提振和扩大消费的指导意见》。</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6月20日，公安部部署开展2025年“净网”“护网”专项</w:t>
      </w:r>
      <w:r>
        <w:rPr>
          <w:rFonts w:hint="eastAsia" w:ascii="仿宋_GB2312" w:hAnsi="仿宋_GB2312" w:eastAsia="仿宋_GB2312" w:cs="仿宋_GB2312"/>
          <w:color w:val="000000"/>
          <w:sz w:val="32"/>
          <w:szCs w:val="32"/>
          <w:lang w:val="en-US" w:eastAsia="zh-CN"/>
        </w:rPr>
        <w:t>工作</w:t>
      </w:r>
      <w:r>
        <w:rPr>
          <w:rFonts w:hint="eastAsia" w:ascii="仿宋_GB2312" w:hAnsi="仿宋_GB2312" w:eastAsia="仿宋_GB2312" w:cs="仿宋_GB2312"/>
          <w:color w:val="000000"/>
          <w:sz w:val="32"/>
          <w:szCs w:val="32"/>
        </w:rPr>
        <w:t>。</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2C2C2C"/>
          <w:sz w:val="32"/>
          <w:szCs w:val="32"/>
          <w:shd w:val="clear" w:color="auto" w:fill="FFFFFF"/>
        </w:rPr>
        <w:t>6月26日，民航局发布通知，自6月28日起禁止旅客携带没有</w:t>
      </w:r>
      <w:r>
        <w:rPr>
          <w:rFonts w:hint="eastAsia" w:ascii="仿宋_GB2312" w:hAnsi="仿宋_GB2312" w:eastAsia="仿宋_GB2312" w:cs="仿宋_GB2312"/>
          <w:color w:val="2C2C2C"/>
          <w:sz w:val="32"/>
          <w:szCs w:val="32"/>
          <w:shd w:val="clear" w:color="auto" w:fill="FFFFFF"/>
          <w:lang w:val="en-US" w:eastAsia="zh-CN"/>
        </w:rPr>
        <w:t>CCC</w:t>
      </w:r>
      <w:r>
        <w:rPr>
          <w:rFonts w:hint="eastAsia" w:ascii="仿宋_GB2312" w:hAnsi="仿宋_GB2312" w:eastAsia="仿宋_GB2312" w:cs="仿宋_GB2312"/>
          <w:color w:val="2C2C2C"/>
          <w:sz w:val="32"/>
          <w:szCs w:val="32"/>
          <w:shd w:val="clear" w:color="auto" w:fill="FFFFFF"/>
        </w:rPr>
        <w:t>标识、</w:t>
      </w:r>
      <w:r>
        <w:rPr>
          <w:rFonts w:hint="eastAsia" w:ascii="仿宋_GB2312" w:hAnsi="仿宋_GB2312" w:eastAsia="仿宋_GB2312" w:cs="仿宋_GB2312"/>
          <w:color w:val="2C2C2C"/>
          <w:sz w:val="32"/>
          <w:szCs w:val="32"/>
          <w:shd w:val="clear" w:color="auto" w:fill="FFFFFF"/>
          <w:lang w:val="en-US" w:eastAsia="zh-CN"/>
        </w:rPr>
        <w:t>CCC</w:t>
      </w:r>
      <w:r>
        <w:rPr>
          <w:rFonts w:hint="eastAsia" w:ascii="仿宋_GB2312" w:hAnsi="仿宋_GB2312" w:eastAsia="仿宋_GB2312" w:cs="仿宋_GB2312"/>
          <w:color w:val="2C2C2C"/>
          <w:sz w:val="32"/>
          <w:szCs w:val="32"/>
          <w:shd w:val="clear" w:color="auto" w:fill="FFFFFF"/>
        </w:rPr>
        <w:t>标识不清晰、被召回型号或批次的充电宝乘坐境内航班。</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6月27日，《中华人民共和国反不正当竞争法》</w:t>
      </w:r>
      <w:r>
        <w:rPr>
          <w:rFonts w:hint="eastAsia" w:ascii="仿宋_GB2312" w:hAnsi="仿宋_GB2312" w:eastAsia="仿宋_GB2312" w:cs="仿宋_GB2312"/>
          <w:color w:val="000000"/>
          <w:sz w:val="32"/>
          <w:szCs w:val="32"/>
          <w:lang w:val="en-US" w:eastAsia="zh-CN"/>
        </w:rPr>
        <w:t>再</w:t>
      </w:r>
      <w:r>
        <w:rPr>
          <w:rFonts w:hint="eastAsia" w:ascii="仿宋_GB2312" w:hAnsi="仿宋_GB2312" w:eastAsia="仿宋_GB2312" w:cs="仿宋_GB2312"/>
          <w:color w:val="000000"/>
          <w:sz w:val="32"/>
          <w:szCs w:val="32"/>
        </w:rPr>
        <w:t>次修订。</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七月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7月4日，市场监管总局印发《〈中华人民共和国广告法〉适用问题执法指南（一）》。</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7月9日，文化和旅游部联合公安部、市场监管总局印发通知，整治强迫购物，促进旅游市场健康发展。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7月11日，金融监管总局发布《金融机构产品适当性管理办法》。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7月14日，《中共中央关于加强新时代审判工作的意见》发布。</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7月15日，市场监管总局召开专项整治直播电商突出问题部署推进会。</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7月18日，工业和信息化部等部门联合召开新能源汽车行业座谈会，部署进一步规范新能源汽车产业竞争秩序工作。</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7月18日，市场监管总局召开2025年直播带货食品安全行政指导会。</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7月21日，国务院公布《住房租赁条例》。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7月21日，市场监管总局发布《校园配餐服务企业管理指南》国家标准。</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lang w:val="en-US" w:eastAsia="zh-CN"/>
        </w:rPr>
        <w:t>7月22日，国家疾控局等五部门印发《关于加强卫生巾等卫生用品质量安全管理的通知》。</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7月23日，民政部、财政部联合印发《关于实施向中度以上失能老年人发放养老服务消费补贴项目的通知》。</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7月24日，国家发展改革委、市场监管总局发布《中华人民共和国价格法修正草案(征求意见稿)》，向社会公开征求意见。</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7月24日，工业和信息化部等四部门发布《关于强化电动自行车强制性国家标准实施 加快新产品供应的意见》。</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7月25日，文化和旅游部制定发布《文化和旅游部行政复议和应诉办法》</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7月27日，农业农村部等十部门联合印发《促进农产品消费实施方案》。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7月28日，最高人民法院、最高人民检察院、公安部联合发布《</w:t>
      </w:r>
      <w:bookmarkStart w:id="152" w:name="OLE_LINK90"/>
      <w:r>
        <w:rPr>
          <w:rFonts w:hint="eastAsia" w:ascii="仿宋_GB2312" w:hAnsi="仿宋_GB2312" w:eastAsia="仿宋_GB2312" w:cs="仿宋_GB2312"/>
          <w:color w:val="000000"/>
          <w:sz w:val="32"/>
          <w:szCs w:val="32"/>
        </w:rPr>
        <w:t>关于办理帮助信息网络犯罪活动等刑事案件有关问题的意见</w:t>
      </w:r>
      <w:bookmarkEnd w:id="152"/>
      <w:r>
        <w:rPr>
          <w:rFonts w:hint="eastAsia"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同日，发布7个依法惩治帮助信息网络犯罪活动及相关犯罪典型案例</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7月29日，市场监管总局召开食品安全专题新闻发布会，通报5起食品安全典型案例</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7月31日，市场监管总局发布《网络交易平台收费行为合规指南》。</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八月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8月11日，公安部公布五起养老领域非法集资犯罪典型案例。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8月12日，财政部等三部门公布《个人消费贷款财政贴息政策实施方案》。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kern w:val="36"/>
          <w:sz w:val="32"/>
          <w:szCs w:val="32"/>
        </w:rPr>
      </w:pPr>
      <w:r>
        <w:rPr>
          <w:rFonts w:hint="eastAsia" w:ascii="仿宋_GB2312" w:hAnsi="仿宋_GB2312" w:eastAsia="仿宋_GB2312" w:cs="仿宋_GB2312"/>
          <w:color w:val="000000"/>
          <w:kern w:val="36"/>
          <w:sz w:val="32"/>
          <w:szCs w:val="32"/>
        </w:rPr>
        <w:t>8月16日，市场监管总局印发《关于新时代加强知识产权执法的意见》</w:t>
      </w:r>
      <w:r>
        <w:rPr>
          <w:rFonts w:hint="eastAsia" w:ascii="仿宋_GB2312" w:hAnsi="仿宋_GB2312" w:eastAsia="仿宋_GB2312" w:cs="仿宋_GB2312"/>
          <w:color w:val="000000"/>
          <w:sz w:val="32"/>
          <w:szCs w:val="32"/>
          <w:shd w:val="clear" w:color="auto" w:fill="FFFFFF"/>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8月23日，市场监管总局公布2025“守护消费”铁拳行动典型案例（第一批，全年公布两批）。</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8月26日，国务院发布《关于深入实施“人工智能+”行动的意见》，其中提出实施“人工智能+”消费提质行动</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8月28日，最高人民法院发布数据权益司法保护专题指导性案例。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8月28日，市场监管总局召开综合整治市场竞争秩序防范非理性竞争部署推进会。</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九月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9月1日，商务部等12部门联合开展2025年“诚信兴商宣传月”活动。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9月1日，市场监管总局等26个部门联合开展2025年全国“质量月”活动。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9月4日，国务院办公厅发布《关于释放体育消费潜力进一步推进体育产业高质量发展的意见》。</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9月5日，商务部等九部门印发《关于扩大服务消费的若干政策措施》的通知。</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9月8日，最高人民法院发布2025年人民法院反不正当竞争典型案例。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9月8日，市场监管总局印发《重点工业产品质量安全隐患排查治理三年行动方案（2025—2027年）》。</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9月9日，市场监管总局举办全国“绿色产品认证与标识宣传周”启动仪式。</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9月10日，金融监管总局印发《金融机构消费者权益保护监管评价办法》。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9月10日，工业和信息化部等六部门联合印发通知，开展汽车行业网络乱象专项整治行动。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9月10日，最高人民法院发布2025年人民法院反垄断典型案例。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9月11日，公安部正式上线“全国环境资源和食品药品犯罪线索举报平台”。</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9月11日，国务院办公厅发布《关于进一步加强旅游市场综合监管的通知》</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9月12日，《中华人民共和国食品安全法》第四次修改。</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9月15日，金融监管总局、公安部联合发布金融领域“黑灰产”违法犯罪典型案例。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shd w:val="clear" w:color="auto" w:fill="FFFFFF"/>
          <w:lang w:val="en-US" w:eastAsia="zh-CN"/>
        </w:rPr>
      </w:pPr>
      <w:r>
        <w:rPr>
          <w:rFonts w:hint="eastAsia" w:ascii="仿宋_GB2312" w:hAnsi="仿宋_GB2312" w:eastAsia="仿宋_GB2312" w:cs="仿宋_GB2312"/>
          <w:color w:val="000000"/>
          <w:sz w:val="32"/>
          <w:szCs w:val="32"/>
          <w:shd w:val="clear" w:color="auto" w:fill="FFFFFF"/>
        </w:rPr>
        <w:t>9月15日，</w:t>
      </w:r>
      <w:bookmarkStart w:id="153" w:name="OLE_LINK7"/>
      <w:r>
        <w:rPr>
          <w:rFonts w:hint="eastAsia" w:ascii="仿宋_GB2312" w:hAnsi="仿宋_GB2312" w:eastAsia="仿宋_GB2312" w:cs="仿宋_GB2312"/>
          <w:color w:val="000000"/>
          <w:sz w:val="32"/>
          <w:szCs w:val="32"/>
          <w:shd w:val="clear" w:color="auto" w:fill="FFFFFF"/>
        </w:rPr>
        <w:t>2025年“3·15金秋购物节”公益活动启动仪式在北京市举</w:t>
      </w:r>
      <w:bookmarkEnd w:id="153"/>
      <w:r>
        <w:rPr>
          <w:rFonts w:hint="eastAsia" w:ascii="仿宋_GB2312" w:hAnsi="仿宋_GB2312" w:eastAsia="仿宋_GB2312" w:cs="仿宋_GB2312"/>
          <w:color w:val="000000"/>
          <w:sz w:val="32"/>
          <w:szCs w:val="32"/>
          <w:shd w:val="clear" w:color="auto" w:fill="FFFFFF"/>
          <w:lang w:val="en-US" w:eastAsia="zh-CN"/>
        </w:rPr>
        <w:t>办</w:t>
      </w:r>
      <w:r>
        <w:rPr>
          <w:rFonts w:hint="eastAsia" w:ascii="仿宋_GB2312" w:hAnsi="仿宋_GB2312" w:eastAsia="仿宋_GB2312" w:cs="仿宋_GB2312"/>
          <w:color w:val="000000"/>
          <w:sz w:val="32"/>
          <w:szCs w:val="32"/>
          <w:shd w:val="clear" w:color="auto" w:fill="FFFFFF"/>
        </w:rPr>
        <w:t>。“3·15金秋购物节”由中消协联合全国消协组织举办，以诚信好、质量好、性价比好、购物体验好、售后服务好、投诉处理好“六好”为特色，向广大消费者提供丰富的产品和服务</w:t>
      </w:r>
      <w:r>
        <w:rPr>
          <w:rFonts w:hint="eastAsia" w:ascii="仿宋_GB2312" w:hAnsi="仿宋_GB2312" w:eastAsia="仿宋_GB2312" w:cs="仿宋_GB2312"/>
          <w:color w:val="000000"/>
          <w:sz w:val="32"/>
          <w:szCs w:val="32"/>
        </w:rPr>
        <w:t>。</w:t>
      </w:r>
      <w:bookmarkStart w:id="154" w:name="_GoBack"/>
      <w:bookmarkEnd w:id="154"/>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9月17日，最高人民检察院与中国残疾人联合会、民政部联合发布无障碍和适老化检察公益诉讼典型案例。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shd w:val="clear" w:color="auto" w:fill="FFFFFF"/>
        </w:rPr>
        <w:t>9月19日，市场监管总局依法对成都快购科技有限公司涉嫌违反《中华人民共和国电子商务法》等法律法规的行为立案调查。</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9月24日，商务部等八部门联合印发《关于大力发展数字消费共创数字时代美好生活的指导意见》。</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9月26日，市场监管总局召开促进网络餐饮外卖行业健康发展座谈会。</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9月28日，市场监管总局发布《餐饮服务连锁企业落实食品安全主体责任监督管理规定》</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9月28日，财政部、商务部发布《关于开展消费新业态新模式新场景试点工作的通知》。</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9月29日，司法部</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公安部</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市场监管总局联合部署开展规范法律咨询服务机构专项行动。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9月30日，商务部等9部门印发《关于促进住宿业高质量发展的指导意见》</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9月30日，金融监管总局发布《关于推动健康保险高质量发展的指导意见》。</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9月30日，《海南自由贸易港旅游条例》公布。</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十月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shd w:val="clear" w:color="auto" w:fill="FFFFFF"/>
        </w:rPr>
        <w:t>10月5日，《玩具安全》系列强制性国家标准发布。</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10月12日，市场监管总局公布一批产品质量领域违法典型案例。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10月14日，国家网信办、市场监管总局发布《个人信息出境认证办法》。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10月16日，市场监管总局公布十起互联网违法广告典型案例。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10月24日，“一键和解跨域共建 放心消费多元共享”主题活动在浙江杭州举行，启动“一键和解”跨域共建合作。</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10月28日，《中共中央关于制定国民经济和社会发展第十五个五年规划的建议》发布，明确提出</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大力提振消费</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lang w:val="en-US" w:eastAsia="zh-CN"/>
        </w:rPr>
        <w:t>强化消费者权益保护</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10月28日，《中华人民共和国网络安全法》修改。</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10月29日，市场监管总局公布七起老年人药品、保健品虚假宣传典型案例。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10月29日，最高人民法院发布五件老年人权益保护典型案例，着力解决老年人权益保护中的法律适用难题。</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10月29日，市场监管总局等十三个部门联合发出通知，部署开展2025年全国“优化消费环境月”活动。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b/>
          <w:bCs/>
          <w:color w:val="000000"/>
          <w:sz w:val="32"/>
          <w:szCs w:val="32"/>
        </w:rPr>
      </w:pPr>
      <w:r>
        <w:rPr>
          <w:rFonts w:hint="eastAsia" w:ascii="仿宋_GB2312" w:hAnsi="仿宋_GB2312" w:eastAsia="仿宋_GB2312" w:cs="仿宋_GB2312"/>
          <w:color w:val="000000"/>
          <w:sz w:val="32"/>
          <w:szCs w:val="32"/>
          <w:shd w:val="clear" w:color="auto" w:fill="FFFFFF"/>
        </w:rPr>
        <w:t>10月</w:t>
      </w:r>
      <w:r>
        <w:rPr>
          <w:rFonts w:hint="eastAsia" w:ascii="仿宋_GB2312" w:hAnsi="仿宋_GB2312" w:eastAsia="仿宋_GB2312" w:cs="仿宋_GB2312"/>
          <w:color w:val="000000"/>
          <w:sz w:val="32"/>
          <w:szCs w:val="32"/>
          <w:shd w:val="clear" w:color="auto" w:fill="FFFFFF"/>
          <w:lang w:val="en-US" w:eastAsia="zh-CN"/>
        </w:rPr>
        <w:t>29</w:t>
      </w:r>
      <w:r>
        <w:rPr>
          <w:rFonts w:hint="eastAsia" w:ascii="仿宋_GB2312" w:hAnsi="仿宋_GB2312" w:eastAsia="仿宋_GB2312" w:cs="仿宋_GB2312"/>
          <w:color w:val="000000"/>
          <w:sz w:val="32"/>
          <w:szCs w:val="32"/>
          <w:shd w:val="clear" w:color="auto" w:fill="FFFFFF"/>
        </w:rPr>
        <w:t>日，财政部、商务部、文化和旅游部、海关总署、税务总局印发《关于完善免税店政策支持提振消费的通知》。</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十一月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11月5日，商务部在上海启动</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购在中国2025精品消费月</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11月10日，市场监管总局向主要电商平台发布《“双十一”网络集中促销合规提示》。</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lang w:val="en-US" w:eastAsia="zh-CN"/>
        </w:rPr>
        <w:t>11</w:t>
      </w:r>
      <w:r>
        <w:rPr>
          <w:rFonts w:hint="eastAsia" w:ascii="仿宋_GB2312" w:hAnsi="仿宋_GB2312" w:eastAsia="仿宋_GB2312" w:cs="仿宋_GB2312"/>
          <w:color w:val="000000"/>
          <w:sz w:val="32"/>
          <w:szCs w:val="32"/>
        </w:rPr>
        <w:t>月17日，国家知识产权局办公室印发《关于加强商标使用管理的通知》</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11月25日，《烟花爆竹 安全与质量》强制性国家标准。</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11月25日，工业和信息化部等六部门联合印发《关于增强消费品供需适配性进一步促进消费的实施方案》。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11月26日，2025年全国“优化消费环境月”主场活动在湖北武汉举行。</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11月26日，市场监管总局在广东深圳对手机和手机应用平台企业开展反不正当竞争合规指导。</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11月26日，民政部、中国残联召开全国重度残疾人托养照护服务工作推进视频会。</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11月27日，最高人民检察院印发《人民检察院办理未成年人保护公益诉讼案件工作指引》。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11月28日，文化和旅游部、中国民航局印发《文化和旅游与民航业融合发展行动方案》。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11月28日，中国人民银行、金融监管总局、中国证监会联合发布《金融机构客户尽职调查和客户身份资料及交易记录保存管理办法》。</w:t>
      </w:r>
    </w:p>
    <w:p>
      <w:pPr>
        <w:keepNext w:val="0"/>
        <w:keepLines w:val="0"/>
        <w:pageBreakBefore w:val="0"/>
        <w:kinsoku/>
        <w:wordWrap/>
        <w:overflowPunct/>
        <w:topLinePunct w:val="0"/>
        <w:autoSpaceDE/>
        <w:autoSpaceDN/>
        <w:bidi w:val="0"/>
        <w:adjustRightInd/>
        <w:snapToGrid/>
        <w:spacing w:line="594" w:lineRule="exact"/>
        <w:textAlignment w:val="auto"/>
        <w:rPr>
          <w:rFonts w:hint="eastAsia" w:ascii="黑体" w:hAnsi="黑体" w:eastAsia="黑体" w:cs="黑体"/>
          <w:b w:val="0"/>
          <w:bCs w:val="0"/>
          <w:color w:val="000000"/>
          <w:sz w:val="32"/>
          <w:szCs w:val="32"/>
        </w:rPr>
      </w:pPr>
      <w:r>
        <w:rPr>
          <w:rFonts w:hint="eastAsia" w:ascii="黑体" w:hAnsi="黑体" w:eastAsia="黑体" w:cs="黑体"/>
          <w:b w:val="0"/>
          <w:bCs w:val="0"/>
          <w:color w:val="000000"/>
          <w:sz w:val="32"/>
          <w:szCs w:val="32"/>
        </w:rPr>
        <w:t>十二月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12月2日，市场监管总局发布《国家食品安全事故应急预案（征求意见稿）》，向社会公开征求意见。</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12月3日，海关总署、国家卫生健康委、市场监管总局、国家药监局发布公告，决定对部分食药物质试点实施进口分类管理。</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12月4日，市场监管总局发布《外卖平台服务管理基本要求》推荐性国家标准。</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12月8日，最高人民法院发布五个物业服务合同纠纷典型案例。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 xml:space="preserve">12月12日，市场监管总局等十部门联合印发《关于提升网络交易平台产品和服务质量的指导意见》。   </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12月14日，商务部、中国人民银行、金融监管总局联合印发《关于加强商务和金融协同 更大力度提振消费的通知》。</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12月17日，商务部会同财政部召开“三新”试点工作部署推进会。</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val="en-US" w:eastAsia="zh-CN"/>
        </w:rPr>
      </w:pPr>
      <w:r>
        <w:rPr>
          <w:rFonts w:hint="eastAsia" w:ascii="仿宋_GB2312" w:hAnsi="仿宋_GB2312" w:eastAsia="仿宋_GB2312" w:cs="仿宋_GB2312"/>
          <w:color w:val="000000"/>
          <w:sz w:val="32"/>
          <w:szCs w:val="32"/>
        </w:rPr>
        <w:t>12月18日</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市场监管总局发布、国家互联网信息办公室</w:t>
      </w:r>
      <w:r>
        <w:rPr>
          <w:rFonts w:hint="eastAsia" w:ascii="仿宋_GB2312" w:hAnsi="仿宋_GB2312" w:eastAsia="仿宋_GB2312" w:cs="仿宋_GB2312"/>
          <w:color w:val="000000"/>
          <w:sz w:val="32"/>
          <w:szCs w:val="32"/>
          <w:lang w:val="en-US" w:eastAsia="zh-CN"/>
        </w:rPr>
        <w:t>联合发布《网络交易平台规则监督管理办法》《直播电商监督管理办法》。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12月19日，市场监管总局发布《城镇供水供电供气公用企业价格行为合规指南》。</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color w:val="000000"/>
          <w:sz w:val="32"/>
          <w:szCs w:val="32"/>
        </w:rPr>
        <w:t>12月1</w:t>
      </w:r>
      <w:r>
        <w:rPr>
          <w:rFonts w:hint="eastAsia" w:ascii="仿宋_GB2312" w:hAnsi="仿宋_GB2312" w:eastAsia="仿宋_GB2312" w:cs="仿宋_GB2312"/>
          <w:color w:val="auto"/>
          <w:sz w:val="32"/>
          <w:szCs w:val="32"/>
        </w:rPr>
        <w:t>9日，市场监管总局公布五起民生领域私域直播虚假宣传典型案例。</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kern w:val="36"/>
          <w:sz w:val="32"/>
          <w:szCs w:val="32"/>
        </w:rPr>
      </w:pPr>
      <w:r>
        <w:rPr>
          <w:rFonts w:hint="eastAsia" w:ascii="仿宋_GB2312" w:hAnsi="仿宋_GB2312" w:eastAsia="仿宋_GB2312" w:cs="仿宋_GB2312"/>
          <w:color w:val="auto"/>
          <w:sz w:val="32"/>
          <w:szCs w:val="32"/>
        </w:rPr>
        <w:t>12月19日，国家发展改革委</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水利部</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市场监管总局印发《中华人民共和国实行水效标识的产品目录（2025年版）》及相关实施规</w:t>
      </w:r>
      <w:r>
        <w:rPr>
          <w:rFonts w:hint="eastAsia" w:ascii="仿宋_GB2312" w:hAnsi="仿宋_GB2312" w:eastAsia="仿宋_GB2312" w:cs="仿宋_GB2312"/>
          <w:color w:val="auto"/>
          <w:kern w:val="36"/>
          <w:sz w:val="32"/>
          <w:szCs w:val="32"/>
        </w:rPr>
        <w:t>则。</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12月20日，国家发展改革委、市场监管总局、国家网信办联合发布《互联网平台价格行为规则》。</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kern w:val="36"/>
          <w:sz w:val="32"/>
          <w:szCs w:val="32"/>
        </w:rPr>
      </w:pPr>
      <w:r>
        <w:rPr>
          <w:rFonts w:hint="eastAsia" w:ascii="仿宋_GB2312" w:hAnsi="仿宋_GB2312" w:eastAsia="仿宋_GB2312" w:cs="仿宋_GB2312"/>
          <w:sz w:val="32"/>
          <w:szCs w:val="32"/>
        </w:rPr>
        <w:t>12月22日，市场监管总局对充电宝等高风险产品实施CCC认证标志试点改革</w:t>
      </w:r>
      <w:r>
        <w:rPr>
          <w:rFonts w:hint="eastAsia" w:ascii="仿宋_GB2312" w:hAnsi="仿宋_GB2312" w:eastAsia="仿宋_GB2312" w:cs="仿宋_GB2312"/>
          <w:color w:val="auto"/>
          <w:kern w:val="36"/>
          <w:sz w:val="32"/>
          <w:szCs w:val="32"/>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12月23日，市场监管总局制定出台《食品销售连锁企业落实食品安全主体责任监督管理规定》。</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auto"/>
          <w:sz w:val="32"/>
          <w:szCs w:val="32"/>
          <w:shd w:val="clear" w:color="auto" w:fill="FFFFFF"/>
        </w:rPr>
      </w:pPr>
      <w:r>
        <w:rPr>
          <w:rFonts w:hint="eastAsia" w:ascii="仿宋_GB2312" w:hAnsi="仿宋_GB2312" w:eastAsia="仿宋_GB2312" w:cs="仿宋_GB2312"/>
          <w:color w:val="auto"/>
          <w:sz w:val="32"/>
          <w:szCs w:val="32"/>
        </w:rPr>
        <w:t>12月23日，市场监管总局发布</w:t>
      </w:r>
      <w:r>
        <w:rPr>
          <w:rFonts w:hint="eastAsia" w:ascii="仿宋_GB2312" w:hAnsi="仿宋_GB2312" w:eastAsia="仿宋_GB2312" w:cs="仿宋_GB2312"/>
          <w:color w:val="auto"/>
          <w:sz w:val="32"/>
          <w:szCs w:val="32"/>
          <w:shd w:val="clear" w:color="auto" w:fill="FFFFFF"/>
        </w:rPr>
        <w:t>《网络销售重点工业产品质量安全监督管理规定》。</w:t>
      </w:r>
    </w:p>
    <w:p>
      <w:pPr>
        <w:keepNext w:val="0"/>
        <w:keepLines w:val="0"/>
        <w:pageBreakBefore w:val="0"/>
        <w:widowControl/>
        <w:kinsoku/>
        <w:wordWrap/>
        <w:overflowPunct/>
        <w:topLinePunct w:val="0"/>
        <w:autoSpaceDE/>
        <w:autoSpaceDN/>
        <w:bidi w:val="0"/>
        <w:adjustRightInd/>
        <w:snapToGrid/>
        <w:spacing w:line="594" w:lineRule="exact"/>
        <w:ind w:firstLine="640" w:firstLineChars="200"/>
        <w:jc w:val="left"/>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Cs/>
          <w:color w:val="auto"/>
          <w:sz w:val="32"/>
          <w:szCs w:val="32"/>
          <w:shd w:val="clear" w:color="auto" w:fill="FFFFFF"/>
        </w:rPr>
        <w:t>12月23日，国家发展改革委等部门印发通知，发布《再生材料应用推广行动方案》。</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shd w:val="clear" w:color="auto" w:fill="FFFFFF"/>
        </w:rPr>
      </w:pPr>
      <w:r>
        <w:rPr>
          <w:rFonts w:hint="eastAsia" w:ascii="仿宋_GB2312" w:hAnsi="仿宋_GB2312" w:eastAsia="仿宋_GB2312" w:cs="仿宋_GB2312"/>
          <w:color w:val="000000"/>
          <w:sz w:val="32"/>
          <w:szCs w:val="32"/>
          <w:shd w:val="clear" w:color="auto" w:fill="FFFFFF"/>
        </w:rPr>
        <w:t>12月24日，市场监管总局等十四部门联合印发《网售工业产品质量安全专项治理行动方案（2025—2027年）》，部署开展专项治理行动。</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shd w:val="clear" w:color="auto" w:fill="FFFFFF"/>
          <w:lang w:eastAsia="zh-CN"/>
        </w:rPr>
      </w:pPr>
      <w:r>
        <w:rPr>
          <w:rFonts w:hint="eastAsia" w:ascii="仿宋_GB2312" w:hAnsi="仿宋_GB2312" w:eastAsia="仿宋_GB2312" w:cs="仿宋_GB2312"/>
          <w:color w:val="000000"/>
          <w:sz w:val="32"/>
          <w:szCs w:val="32"/>
          <w:shd w:val="clear" w:color="auto" w:fill="FFFFFF"/>
        </w:rPr>
        <w:t>12月25日</w:t>
      </w:r>
      <w:r>
        <w:rPr>
          <w:rFonts w:hint="eastAsia" w:ascii="仿宋_GB2312" w:hAnsi="仿宋_GB2312" w:eastAsia="仿宋_GB2312" w:cs="仿宋_GB2312"/>
          <w:color w:val="000000"/>
          <w:sz w:val="32"/>
          <w:szCs w:val="32"/>
          <w:shd w:val="clear" w:color="auto" w:fill="FFFFFF"/>
          <w:lang w:eastAsia="zh-CN"/>
        </w:rPr>
        <w:t>，</w:t>
      </w:r>
      <w:r>
        <w:rPr>
          <w:rFonts w:hint="eastAsia" w:ascii="仿宋_GB2312" w:hAnsi="仿宋_GB2312" w:eastAsia="仿宋_GB2312" w:cs="仿宋_GB2312"/>
          <w:color w:val="000000"/>
          <w:sz w:val="32"/>
          <w:szCs w:val="32"/>
        </w:rPr>
        <w:t>市场监管总局发布</w:t>
      </w:r>
      <w:r>
        <w:rPr>
          <w:rFonts w:hint="eastAsia" w:ascii="仿宋_GB2312" w:hAnsi="仿宋_GB2312" w:eastAsia="仿宋_GB2312" w:cs="仿宋_GB2312"/>
          <w:color w:val="000000"/>
          <w:sz w:val="32"/>
          <w:szCs w:val="32"/>
          <w:lang w:eastAsia="zh-CN"/>
        </w:rPr>
        <w:t>《纤维制品质量监督管理办法》。</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12月29日，市场监管总局发布《食品委托生产监督管理办法》</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12月</w:t>
      </w:r>
      <w:r>
        <w:rPr>
          <w:rFonts w:hint="eastAsia" w:ascii="仿宋_GB2312" w:hAnsi="仿宋_GB2312" w:eastAsia="仿宋_GB2312" w:cs="仿宋_GB2312"/>
          <w:color w:val="000000"/>
          <w:sz w:val="32"/>
          <w:szCs w:val="32"/>
          <w:lang w:val="en-US" w:eastAsia="zh-CN"/>
        </w:rPr>
        <w:t>30日</w:t>
      </w:r>
      <w:r>
        <w:rPr>
          <w:rFonts w:hint="eastAsia" w:ascii="仿宋_GB2312" w:hAnsi="仿宋_GB2312" w:eastAsia="仿宋_GB2312" w:cs="仿宋_GB2312"/>
          <w:color w:val="000000"/>
          <w:sz w:val="32"/>
          <w:szCs w:val="32"/>
        </w:rPr>
        <w:t>，市场监管总局发布《市场监督管理投诉举报处理办法》</w:t>
      </w:r>
      <w:r>
        <w:rPr>
          <w:rFonts w:hint="eastAsia" w:ascii="仿宋_GB2312" w:hAnsi="仿宋_GB2312" w:eastAsia="仿宋_GB2312" w:cs="仿宋_GB2312"/>
          <w:color w:val="000000"/>
          <w:sz w:val="32"/>
          <w:szCs w:val="32"/>
          <w:lang w:eastAsia="zh-CN"/>
        </w:rPr>
        <w:t>。</w:t>
      </w:r>
    </w:p>
    <w:p>
      <w:pPr>
        <w:keepNext w:val="0"/>
        <w:keepLines w:val="0"/>
        <w:pageBreakBefore w:val="0"/>
        <w:kinsoku/>
        <w:wordWrap/>
        <w:overflowPunct/>
        <w:topLinePunct w:val="0"/>
        <w:autoSpaceDE/>
        <w:autoSpaceDN/>
        <w:bidi w:val="0"/>
        <w:adjustRightInd/>
        <w:snapToGrid/>
        <w:spacing w:line="594" w:lineRule="exact"/>
        <w:ind w:firstLine="640" w:firstLineChars="200"/>
        <w:textAlignment w:val="auto"/>
        <w:rPr>
          <w:rFonts w:hint="eastAsia" w:ascii="仿宋_GB2312" w:hAnsi="仿宋_GB2312" w:eastAsia="仿宋_GB2312" w:cs="仿宋_GB2312"/>
          <w:color w:val="000000"/>
          <w:sz w:val="32"/>
          <w:szCs w:val="32"/>
          <w:lang w:eastAsia="zh-CN"/>
        </w:rPr>
      </w:pPr>
      <w:r>
        <w:rPr>
          <w:rFonts w:hint="eastAsia" w:ascii="仿宋_GB2312" w:hAnsi="仿宋_GB2312" w:eastAsia="仿宋_GB2312" w:cs="仿宋_GB2312"/>
          <w:color w:val="000000"/>
          <w:sz w:val="32"/>
          <w:szCs w:val="32"/>
        </w:rPr>
        <w:t>12月30日，中华全国总工会</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文化和旅游部</w:t>
      </w:r>
      <w:r>
        <w:rPr>
          <w:rFonts w:hint="eastAsia" w:ascii="仿宋_GB2312" w:hAnsi="仿宋_GB2312" w:eastAsia="仿宋_GB2312" w:cs="仿宋_GB2312"/>
          <w:color w:val="000000"/>
          <w:sz w:val="32"/>
          <w:szCs w:val="32"/>
          <w:lang w:val="en-US" w:eastAsia="zh-CN"/>
        </w:rPr>
        <w:t>、国</w:t>
      </w:r>
      <w:r>
        <w:rPr>
          <w:rFonts w:hint="eastAsia" w:ascii="仿宋_GB2312" w:hAnsi="仿宋_GB2312" w:eastAsia="仿宋_GB2312" w:cs="仿宋_GB2312"/>
          <w:color w:val="000000"/>
          <w:sz w:val="32"/>
          <w:szCs w:val="32"/>
        </w:rPr>
        <w:t>家电影局</w:t>
      </w:r>
      <w:r>
        <w:rPr>
          <w:rFonts w:hint="eastAsia" w:ascii="仿宋_GB2312" w:hAnsi="仿宋_GB2312" w:eastAsia="仿宋_GB2312" w:cs="仿宋_GB2312"/>
          <w:color w:val="000000"/>
          <w:sz w:val="32"/>
          <w:szCs w:val="32"/>
          <w:lang w:eastAsia="zh-CN"/>
        </w:rPr>
        <w:t>、</w:t>
      </w:r>
      <w:r>
        <w:rPr>
          <w:rFonts w:hint="eastAsia" w:ascii="仿宋_GB2312" w:hAnsi="仿宋_GB2312" w:eastAsia="仿宋_GB2312" w:cs="仿宋_GB2312"/>
          <w:color w:val="000000"/>
          <w:sz w:val="32"/>
          <w:szCs w:val="32"/>
        </w:rPr>
        <w:t>国家体育总局</w:t>
      </w:r>
      <w:r>
        <w:rPr>
          <w:rFonts w:hint="eastAsia" w:ascii="仿宋_GB2312" w:hAnsi="仿宋_GB2312" w:eastAsia="仿宋_GB2312" w:cs="仿宋_GB2312"/>
          <w:color w:val="000000"/>
          <w:sz w:val="32"/>
          <w:szCs w:val="32"/>
          <w:lang w:val="en-US" w:eastAsia="zh-CN"/>
        </w:rPr>
        <w:t>联合</w:t>
      </w:r>
      <w:r>
        <w:rPr>
          <w:rFonts w:hint="eastAsia" w:ascii="仿宋_GB2312" w:hAnsi="仿宋_GB2312" w:eastAsia="仿宋_GB2312" w:cs="仿宋_GB2312"/>
          <w:color w:val="000000"/>
          <w:sz w:val="32"/>
          <w:szCs w:val="32"/>
        </w:rPr>
        <w:t>印发《关于深入推进新时代职工文体工作高质量发展 扩大职工文体消费的意见》</w:t>
      </w:r>
      <w:r>
        <w:rPr>
          <w:rFonts w:hint="eastAsia" w:ascii="仿宋_GB2312" w:hAnsi="仿宋_GB2312" w:eastAsia="仿宋_GB2312" w:cs="仿宋_GB2312"/>
          <w:color w:val="000000"/>
          <w:sz w:val="32"/>
          <w:szCs w:val="32"/>
          <w:lang w:eastAsia="zh-CN"/>
        </w:rPr>
        <w:t>。</w:t>
      </w:r>
    </w:p>
    <w:bookmarkEnd w:id="8"/>
    <w:p>
      <w:pPr>
        <w:rPr>
          <w:rFonts w:hint="eastAsia" w:ascii="方正小标宋简体" w:hAnsi="方正小标宋简体" w:eastAsia="方正小标宋简体" w:cs="方正小标宋简体"/>
          <w:b w:val="0"/>
          <w:bCs/>
          <w:color w:val="000000"/>
          <w:w w:val="95"/>
          <w:sz w:val="44"/>
          <w:szCs w:val="44"/>
        </w:rPr>
      </w:pPr>
    </w:p>
    <w:sectPr>
      <w:footerReference r:id="rId7" w:type="default"/>
      <w:pgSz w:w="11906" w:h="16157"/>
      <w:pgMar w:top="1587" w:right="1474" w:bottom="1417" w:left="1474" w:header="851" w:footer="992" w:gutter="0"/>
      <w:pgBorders>
        <w:top w:val="none" w:sz="0" w:space="0"/>
        <w:left w:val="none" w:sz="0" w:space="0"/>
        <w:bottom w:val="none" w:sz="0" w:space="0"/>
        <w:right w:val="none" w:sz="0" w:space="0"/>
      </w:pgBorders>
      <w:pgNumType w:fmt="decimal" w:start="1"/>
      <w:cols w:space="72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auto"/>
    <w:pitch w:val="default"/>
    <w:sig w:usb0="00000000" w:usb1="00000000" w:usb2="00000000" w:usb3="00000000" w:csb0="00040000" w:csb1="00000000"/>
  </w:font>
  <w:font w:name="方正小标宋简体">
    <w:altName w:val="方正舒体"/>
    <w:panose1 w:val="03000509000000000000"/>
    <w:charset w:val="86"/>
    <w:family w:val="auto"/>
    <w:pitch w:val="default"/>
    <w:sig w:usb0="00000000" w:usb1="00000000" w:usb2="00000000" w:usb3="00000000" w:csb0="00040000" w:csb1="00000000"/>
  </w:font>
  <w:font w:name="等线">
    <w:panose1 w:val="02010600030101010101"/>
    <w:charset w:val="86"/>
    <w:family w:val="auto"/>
    <w:pitch w:val="default"/>
    <w:sig w:usb0="A00002BF" w:usb1="38CF7CFA" w:usb2="00000016" w:usb3="00000000" w:csb0="0004000F"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舒体">
    <w:panose1 w:val="02010601030101010101"/>
    <w:charset w:val="86"/>
    <w:family w:val="auto"/>
    <w:pitch w:val="default"/>
    <w:sig w:usb0="00000003" w:usb1="080E0000" w:usb2="00000000" w:usb3="00000000" w:csb0="00040000" w:csb1="00000000"/>
  </w:font>
  <w:font w:name="MS PGothic">
    <w:panose1 w:val="020B0600070205080204"/>
    <w:charset w:val="80"/>
    <w:family w:val="auto"/>
    <w:pitch w:val="default"/>
    <w:sig w:usb0="E00002FF" w:usb1="6AC7FDFB" w:usb2="08000012" w:usb3="00000000" w:csb0="4002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tabs>
        <w:tab w:val="left" w:pos="4735"/>
        <w:tab w:val="clear" w:pos="4153"/>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rFonts w:ascii="Calibri" w:hAnsi="Calibri" w:eastAsia="宋体" w:cs="Arial"/>
        <w:kern w:val="2"/>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3"/>
              <wp:cNvGraphicFramePr/>
              <a:graphic xmlns:a="http://schemas.openxmlformats.org/drawingml/2006/main">
                <a:graphicData uri="http://schemas.microsoft.com/office/word/2010/wordprocessingShape">
                  <wps:wsp>
                    <wps:cNvSpPr/>
                    <wps:spPr>
                      <a:xfrm>
                        <a:off x="0" y="0"/>
                        <a:ext cx="1828800" cy="1828800"/>
                      </a:xfrm>
                      <a:prstGeom prst="rect">
                        <a:avLst/>
                      </a:prstGeom>
                      <a:noFill/>
                      <a:ln>
                        <a:noFill/>
                      </a:ln>
                    </wps:spPr>
                    <wps:txbx>
                      <w:txbxContent>
                        <w:p>
                          <w:pPr>
                            <w:pStyle w:val="10"/>
                            <w:rPr>
                              <w:rFonts w:hint="default" w:ascii="宋体" w:hAnsi="宋体" w:eastAsia="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102</w:t>
                          </w:r>
                          <w:r>
                            <w:rPr>
                              <w:rFonts w:hint="eastAsia" w:ascii="宋体" w:hAnsi="宋体" w:cs="宋体"/>
                              <w:sz w:val="28"/>
                              <w:szCs w:val="28"/>
                            </w:rPr>
                            <w:fldChar w:fldCharType="end"/>
                          </w:r>
                          <w:r>
                            <w:rPr>
                              <w:rFonts w:hint="eastAsia" w:ascii="宋体" w:hAnsi="宋体" w:cs="宋体"/>
                              <w:sz w:val="28"/>
                              <w:szCs w:val="28"/>
                              <w:lang w:val="en-US" w:eastAsia="zh-CN"/>
                            </w:rPr>
                            <w:t xml:space="preserve"> -</w:t>
                          </w:r>
                        </w:p>
                      </w:txbxContent>
                    </wps:txbx>
                    <wps:bodyPr wrap="none" lIns="0" tIns="0" rIns="0" bIns="0" upright="0">
                      <a:spAutoFit/>
                    </wps:bodyPr>
                  </wps:wsp>
                </a:graphicData>
              </a:graphic>
            </wp:anchor>
          </w:drawing>
        </mc:Choice>
        <mc:Fallback>
          <w:pict>
            <v:rect id="文本框 3" o:spid="_x0000_s1026" o:spt="1"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C5dblS0AAAAAUBAAAPAAAAAAAAAAEAIAAAACIAAABkcnMvZG93bnJldi54bWxQSwEC&#10;FAAUAAAACACHTuJAkkO5acMBAACPAwAADgAAAAAAAAABACAAAAAfAQAAZHJzL2Uyb0RvYy54bWxQ&#10;SwUGAAAAAAYABgBZAQAAVAUAAAAA&#10;">
              <v:fill on="f" focussize="0,0"/>
              <v:stroke on="f"/>
              <v:imagedata o:title=""/>
              <o:lock v:ext="edit" aspectratio="f"/>
              <v:textbox inset="0mm,0mm,0mm,0mm" style="mso-fit-shape-to-text:t;">
                <w:txbxContent>
                  <w:p>
                    <w:pPr>
                      <w:pStyle w:val="10"/>
                      <w:rPr>
                        <w:rFonts w:hint="default" w:ascii="宋体" w:hAnsi="宋体" w:eastAsia="宋体" w:cs="宋体"/>
                        <w:sz w:val="28"/>
                        <w:szCs w:val="28"/>
                        <w:lang w:val="en-US" w:eastAsia="zh-CN"/>
                      </w:rPr>
                    </w:pPr>
                    <w:r>
                      <w:rPr>
                        <w:rFonts w:hint="eastAsia" w:ascii="宋体" w:hAnsi="宋体" w:cs="宋体"/>
                        <w:sz w:val="28"/>
                        <w:szCs w:val="28"/>
                        <w:lang w:val="en-US" w:eastAsia="zh-CN"/>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102</w:t>
                    </w:r>
                    <w:r>
                      <w:rPr>
                        <w:rFonts w:hint="eastAsia" w:ascii="宋体" w:hAnsi="宋体" w:cs="宋体"/>
                        <w:sz w:val="28"/>
                        <w:szCs w:val="28"/>
                      </w:rPr>
                      <w:fldChar w:fldCharType="end"/>
                    </w:r>
                    <w:r>
                      <w:rPr>
                        <w:rFonts w:hint="eastAsia" w:ascii="宋体" w:hAnsi="宋体" w:cs="宋体"/>
                        <w:sz w:val="28"/>
                        <w:szCs w:val="28"/>
                        <w:lang w:val="en-US" w:eastAsia="zh-CN"/>
                      </w:rPr>
                      <w:t xml:space="preserve"> -</w:t>
                    </w:r>
                  </w:p>
                </w:txbxContent>
              </v:textbox>
            </v:rect>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E562E31"/>
    <w:multiLevelType w:val="singleLevel"/>
    <w:tmpl w:val="9E562E31"/>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0"/>
  <w:bordersDoNotSurroundFooter w:val="0"/>
  <w:documentProtection w:enforcement="0"/>
  <w:defaultTabStop w:val="421"/>
  <w:drawingGridHorizontalSpacing w:val="104"/>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EwNTM5NzYwMDRjMzkwZTVkZjY2ODkwMGIxNGU0OTUifQ=="/>
    <w:docVar w:name="KSO_WPS_MARK_KEY" w:val="b9f48b54-d2e4-4a63-9189-d0d6ae2e9a75"/>
  </w:docVars>
  <w:rsids>
    <w:rsidRoot w:val="00793055"/>
    <w:rsid w:val="00020AD7"/>
    <w:rsid w:val="00043C12"/>
    <w:rsid w:val="00093766"/>
    <w:rsid w:val="000B6281"/>
    <w:rsid w:val="000C2AE7"/>
    <w:rsid w:val="000E75B1"/>
    <w:rsid w:val="00114D1E"/>
    <w:rsid w:val="00120506"/>
    <w:rsid w:val="00162AE5"/>
    <w:rsid w:val="00175174"/>
    <w:rsid w:val="0018303C"/>
    <w:rsid w:val="001C7B5F"/>
    <w:rsid w:val="001F07C2"/>
    <w:rsid w:val="00207BA3"/>
    <w:rsid w:val="00224350"/>
    <w:rsid w:val="00237A6E"/>
    <w:rsid w:val="00255AE4"/>
    <w:rsid w:val="00292FBD"/>
    <w:rsid w:val="002B21C1"/>
    <w:rsid w:val="002B247F"/>
    <w:rsid w:val="002D0023"/>
    <w:rsid w:val="002E1504"/>
    <w:rsid w:val="00321224"/>
    <w:rsid w:val="0033228E"/>
    <w:rsid w:val="00333A2A"/>
    <w:rsid w:val="00356244"/>
    <w:rsid w:val="00377F0E"/>
    <w:rsid w:val="0039314C"/>
    <w:rsid w:val="003A5E3C"/>
    <w:rsid w:val="003B5AFA"/>
    <w:rsid w:val="003B6CC8"/>
    <w:rsid w:val="003B7729"/>
    <w:rsid w:val="004479E5"/>
    <w:rsid w:val="0045119E"/>
    <w:rsid w:val="00476156"/>
    <w:rsid w:val="00477BEF"/>
    <w:rsid w:val="004C1093"/>
    <w:rsid w:val="004F50AC"/>
    <w:rsid w:val="004F7A9A"/>
    <w:rsid w:val="00501289"/>
    <w:rsid w:val="0053067D"/>
    <w:rsid w:val="00572C84"/>
    <w:rsid w:val="00583DC8"/>
    <w:rsid w:val="0058523E"/>
    <w:rsid w:val="005D5FDF"/>
    <w:rsid w:val="00602932"/>
    <w:rsid w:val="006035DD"/>
    <w:rsid w:val="00604587"/>
    <w:rsid w:val="00637F95"/>
    <w:rsid w:val="00660D1D"/>
    <w:rsid w:val="006848D4"/>
    <w:rsid w:val="0069738E"/>
    <w:rsid w:val="006A74A0"/>
    <w:rsid w:val="00733E26"/>
    <w:rsid w:val="007450D3"/>
    <w:rsid w:val="00770AC1"/>
    <w:rsid w:val="00773916"/>
    <w:rsid w:val="007872CC"/>
    <w:rsid w:val="00791243"/>
    <w:rsid w:val="00793055"/>
    <w:rsid w:val="007D7C2F"/>
    <w:rsid w:val="008100CE"/>
    <w:rsid w:val="0084423B"/>
    <w:rsid w:val="008751FF"/>
    <w:rsid w:val="008770C2"/>
    <w:rsid w:val="00980AD8"/>
    <w:rsid w:val="009A1BAA"/>
    <w:rsid w:val="009D3F4B"/>
    <w:rsid w:val="009E6C7C"/>
    <w:rsid w:val="009F5638"/>
    <w:rsid w:val="00A24653"/>
    <w:rsid w:val="00A566D5"/>
    <w:rsid w:val="00AD2171"/>
    <w:rsid w:val="00AE651C"/>
    <w:rsid w:val="00AE6E1E"/>
    <w:rsid w:val="00AF5E06"/>
    <w:rsid w:val="00B53239"/>
    <w:rsid w:val="00B95CE3"/>
    <w:rsid w:val="00BA7CA7"/>
    <w:rsid w:val="00C01DA0"/>
    <w:rsid w:val="00C90F00"/>
    <w:rsid w:val="00CC5504"/>
    <w:rsid w:val="00CD3EF9"/>
    <w:rsid w:val="00CE0EB2"/>
    <w:rsid w:val="00D069F1"/>
    <w:rsid w:val="00D23242"/>
    <w:rsid w:val="00D44772"/>
    <w:rsid w:val="00D703AB"/>
    <w:rsid w:val="00D80F76"/>
    <w:rsid w:val="00D83D3C"/>
    <w:rsid w:val="00D95DD7"/>
    <w:rsid w:val="00DD02AA"/>
    <w:rsid w:val="00E20709"/>
    <w:rsid w:val="00E56371"/>
    <w:rsid w:val="00E645F8"/>
    <w:rsid w:val="00E8641A"/>
    <w:rsid w:val="00E865C2"/>
    <w:rsid w:val="00EA6E24"/>
    <w:rsid w:val="00ED3808"/>
    <w:rsid w:val="00F04BEA"/>
    <w:rsid w:val="00F41BA0"/>
    <w:rsid w:val="00F65EC4"/>
    <w:rsid w:val="00FE3F2B"/>
    <w:rsid w:val="010F56E4"/>
    <w:rsid w:val="011B0745"/>
    <w:rsid w:val="011C09C2"/>
    <w:rsid w:val="01352CD2"/>
    <w:rsid w:val="013D4B60"/>
    <w:rsid w:val="014063FE"/>
    <w:rsid w:val="01513B44"/>
    <w:rsid w:val="01583748"/>
    <w:rsid w:val="01596D62"/>
    <w:rsid w:val="015C4CBF"/>
    <w:rsid w:val="017E2A82"/>
    <w:rsid w:val="0183453D"/>
    <w:rsid w:val="01DD3C4D"/>
    <w:rsid w:val="01E46D89"/>
    <w:rsid w:val="020E11B2"/>
    <w:rsid w:val="02427F54"/>
    <w:rsid w:val="02663C42"/>
    <w:rsid w:val="02905887"/>
    <w:rsid w:val="02B524D4"/>
    <w:rsid w:val="02B733AF"/>
    <w:rsid w:val="02C74830"/>
    <w:rsid w:val="02D2446C"/>
    <w:rsid w:val="02D87DD2"/>
    <w:rsid w:val="02DC07C0"/>
    <w:rsid w:val="02DF3E35"/>
    <w:rsid w:val="02EA4873"/>
    <w:rsid w:val="0317189E"/>
    <w:rsid w:val="03217B69"/>
    <w:rsid w:val="032D4760"/>
    <w:rsid w:val="03345AEF"/>
    <w:rsid w:val="034D7BC7"/>
    <w:rsid w:val="03707B46"/>
    <w:rsid w:val="03887BE8"/>
    <w:rsid w:val="039447DF"/>
    <w:rsid w:val="039557E5"/>
    <w:rsid w:val="03A33D0F"/>
    <w:rsid w:val="03A8554F"/>
    <w:rsid w:val="03B958B2"/>
    <w:rsid w:val="03BD49BA"/>
    <w:rsid w:val="03CE7CF1"/>
    <w:rsid w:val="03E721E9"/>
    <w:rsid w:val="04041603"/>
    <w:rsid w:val="042518DB"/>
    <w:rsid w:val="04504BAA"/>
    <w:rsid w:val="047343F5"/>
    <w:rsid w:val="04844854"/>
    <w:rsid w:val="048903A6"/>
    <w:rsid w:val="048E122E"/>
    <w:rsid w:val="049525BD"/>
    <w:rsid w:val="049A0D49"/>
    <w:rsid w:val="049A7F93"/>
    <w:rsid w:val="04B0389B"/>
    <w:rsid w:val="04C153A9"/>
    <w:rsid w:val="04E4501A"/>
    <w:rsid w:val="04E85698"/>
    <w:rsid w:val="04F63980"/>
    <w:rsid w:val="050D469A"/>
    <w:rsid w:val="05115F00"/>
    <w:rsid w:val="051756C8"/>
    <w:rsid w:val="05326241"/>
    <w:rsid w:val="0539563E"/>
    <w:rsid w:val="054B3173"/>
    <w:rsid w:val="05504C12"/>
    <w:rsid w:val="055204AE"/>
    <w:rsid w:val="05784549"/>
    <w:rsid w:val="057E5747"/>
    <w:rsid w:val="05963173"/>
    <w:rsid w:val="05B06221"/>
    <w:rsid w:val="05B2719F"/>
    <w:rsid w:val="05BE1FE7"/>
    <w:rsid w:val="05E44F75"/>
    <w:rsid w:val="06022AF2"/>
    <w:rsid w:val="06052CB4"/>
    <w:rsid w:val="063127B9"/>
    <w:rsid w:val="063302DF"/>
    <w:rsid w:val="06475B39"/>
    <w:rsid w:val="064B0456"/>
    <w:rsid w:val="06764670"/>
    <w:rsid w:val="06791ACE"/>
    <w:rsid w:val="06CA0D8A"/>
    <w:rsid w:val="06D70A3D"/>
    <w:rsid w:val="06D762C8"/>
    <w:rsid w:val="06E31D05"/>
    <w:rsid w:val="06ED4932"/>
    <w:rsid w:val="06EE4206"/>
    <w:rsid w:val="06F537E7"/>
    <w:rsid w:val="07075919"/>
    <w:rsid w:val="07081A92"/>
    <w:rsid w:val="071023CF"/>
    <w:rsid w:val="07114922"/>
    <w:rsid w:val="072D4D2F"/>
    <w:rsid w:val="074B28E3"/>
    <w:rsid w:val="074D5959"/>
    <w:rsid w:val="07505C76"/>
    <w:rsid w:val="075C73C2"/>
    <w:rsid w:val="075E138C"/>
    <w:rsid w:val="075E73EC"/>
    <w:rsid w:val="07825F0E"/>
    <w:rsid w:val="07837045"/>
    <w:rsid w:val="079B25E0"/>
    <w:rsid w:val="079B7DD0"/>
    <w:rsid w:val="079E5C2C"/>
    <w:rsid w:val="07AD151E"/>
    <w:rsid w:val="07BA182C"/>
    <w:rsid w:val="07CC09EB"/>
    <w:rsid w:val="07DA0255"/>
    <w:rsid w:val="07E50177"/>
    <w:rsid w:val="07FE491D"/>
    <w:rsid w:val="081609BC"/>
    <w:rsid w:val="0822060B"/>
    <w:rsid w:val="08252962"/>
    <w:rsid w:val="082A15C4"/>
    <w:rsid w:val="083E2F6B"/>
    <w:rsid w:val="085E53BC"/>
    <w:rsid w:val="08716E9D"/>
    <w:rsid w:val="087475CF"/>
    <w:rsid w:val="088E5CA1"/>
    <w:rsid w:val="088E7A4F"/>
    <w:rsid w:val="08902440"/>
    <w:rsid w:val="0891753F"/>
    <w:rsid w:val="089B5884"/>
    <w:rsid w:val="08AB0B44"/>
    <w:rsid w:val="08B40E6D"/>
    <w:rsid w:val="08B46187"/>
    <w:rsid w:val="08B80F70"/>
    <w:rsid w:val="08CB2A51"/>
    <w:rsid w:val="08CB4963"/>
    <w:rsid w:val="08CE78BD"/>
    <w:rsid w:val="08DD6D78"/>
    <w:rsid w:val="08F60194"/>
    <w:rsid w:val="09012917"/>
    <w:rsid w:val="09194617"/>
    <w:rsid w:val="09434CDD"/>
    <w:rsid w:val="09560280"/>
    <w:rsid w:val="097101B9"/>
    <w:rsid w:val="098F785E"/>
    <w:rsid w:val="09A137B2"/>
    <w:rsid w:val="09A90B64"/>
    <w:rsid w:val="09E10052"/>
    <w:rsid w:val="09FC1466"/>
    <w:rsid w:val="09FD1169"/>
    <w:rsid w:val="0A120031"/>
    <w:rsid w:val="0A2906E6"/>
    <w:rsid w:val="0A432061"/>
    <w:rsid w:val="0A4860CC"/>
    <w:rsid w:val="0A4A1699"/>
    <w:rsid w:val="0A717628"/>
    <w:rsid w:val="0A9458FA"/>
    <w:rsid w:val="0AD4630C"/>
    <w:rsid w:val="0AF85654"/>
    <w:rsid w:val="0B033BB2"/>
    <w:rsid w:val="0B1C1BCC"/>
    <w:rsid w:val="0B1F52D6"/>
    <w:rsid w:val="0B204BAA"/>
    <w:rsid w:val="0B226B74"/>
    <w:rsid w:val="0B252620"/>
    <w:rsid w:val="0B316F09"/>
    <w:rsid w:val="0B37269C"/>
    <w:rsid w:val="0B5A4560"/>
    <w:rsid w:val="0B5A4FC8"/>
    <w:rsid w:val="0B5A630E"/>
    <w:rsid w:val="0B642CE9"/>
    <w:rsid w:val="0B6B4077"/>
    <w:rsid w:val="0B7A42BB"/>
    <w:rsid w:val="0B7C6DB1"/>
    <w:rsid w:val="0B7F7B23"/>
    <w:rsid w:val="0B927856"/>
    <w:rsid w:val="0BAB0918"/>
    <w:rsid w:val="0BB73761"/>
    <w:rsid w:val="0BBC48D3"/>
    <w:rsid w:val="0BC820E2"/>
    <w:rsid w:val="0BE04A65"/>
    <w:rsid w:val="0BE3645F"/>
    <w:rsid w:val="0BFC1637"/>
    <w:rsid w:val="0BFC73C5"/>
    <w:rsid w:val="0C0F6BDD"/>
    <w:rsid w:val="0C122745"/>
    <w:rsid w:val="0C244AC8"/>
    <w:rsid w:val="0C26461A"/>
    <w:rsid w:val="0C2A7A8F"/>
    <w:rsid w:val="0C465358"/>
    <w:rsid w:val="0C5745FC"/>
    <w:rsid w:val="0C60355A"/>
    <w:rsid w:val="0C762CD4"/>
    <w:rsid w:val="0C8A49D1"/>
    <w:rsid w:val="0C931AD8"/>
    <w:rsid w:val="0CA23AC9"/>
    <w:rsid w:val="0CAC7682"/>
    <w:rsid w:val="0CAD06C0"/>
    <w:rsid w:val="0CBD27CE"/>
    <w:rsid w:val="0CC003F3"/>
    <w:rsid w:val="0CC72195"/>
    <w:rsid w:val="0CDA7707"/>
    <w:rsid w:val="0CF747DF"/>
    <w:rsid w:val="0D1F511A"/>
    <w:rsid w:val="0D3B0FD3"/>
    <w:rsid w:val="0D4B4161"/>
    <w:rsid w:val="0D4E75B4"/>
    <w:rsid w:val="0D757F40"/>
    <w:rsid w:val="0D7D62E4"/>
    <w:rsid w:val="0D815DD4"/>
    <w:rsid w:val="0D9C49BC"/>
    <w:rsid w:val="0DC108C7"/>
    <w:rsid w:val="0DCE6B40"/>
    <w:rsid w:val="0DD00B0A"/>
    <w:rsid w:val="0DFA472C"/>
    <w:rsid w:val="0E3C42C8"/>
    <w:rsid w:val="0E4137B5"/>
    <w:rsid w:val="0E59149D"/>
    <w:rsid w:val="0E594461"/>
    <w:rsid w:val="0E5E6115"/>
    <w:rsid w:val="0E6059EA"/>
    <w:rsid w:val="0E76520D"/>
    <w:rsid w:val="0E7B6CC7"/>
    <w:rsid w:val="0E855450"/>
    <w:rsid w:val="0E884F40"/>
    <w:rsid w:val="0EA578A0"/>
    <w:rsid w:val="0EC8358F"/>
    <w:rsid w:val="0EDF52B2"/>
    <w:rsid w:val="0EE859DF"/>
    <w:rsid w:val="0EF3685E"/>
    <w:rsid w:val="0EFE3455"/>
    <w:rsid w:val="0F1F5BAF"/>
    <w:rsid w:val="0F2509E1"/>
    <w:rsid w:val="0F56503F"/>
    <w:rsid w:val="0F786D63"/>
    <w:rsid w:val="0F7C3725"/>
    <w:rsid w:val="0F977DB5"/>
    <w:rsid w:val="0FA8634F"/>
    <w:rsid w:val="0FCF7AFD"/>
    <w:rsid w:val="0FDA2117"/>
    <w:rsid w:val="0FE21574"/>
    <w:rsid w:val="10020AB6"/>
    <w:rsid w:val="103B12B6"/>
    <w:rsid w:val="1042040C"/>
    <w:rsid w:val="1043262A"/>
    <w:rsid w:val="10441EBC"/>
    <w:rsid w:val="105B7B98"/>
    <w:rsid w:val="10725EA8"/>
    <w:rsid w:val="1097254B"/>
    <w:rsid w:val="109914F0"/>
    <w:rsid w:val="109D1177"/>
    <w:rsid w:val="10A006DD"/>
    <w:rsid w:val="10BC2049"/>
    <w:rsid w:val="10CF32FA"/>
    <w:rsid w:val="10D53010"/>
    <w:rsid w:val="11064D98"/>
    <w:rsid w:val="11184903"/>
    <w:rsid w:val="1127310F"/>
    <w:rsid w:val="113C38DE"/>
    <w:rsid w:val="11477335"/>
    <w:rsid w:val="11742DB9"/>
    <w:rsid w:val="117B0D8C"/>
    <w:rsid w:val="118F4F87"/>
    <w:rsid w:val="11A55E09"/>
    <w:rsid w:val="11B04EDA"/>
    <w:rsid w:val="11C62593"/>
    <w:rsid w:val="11D706B9"/>
    <w:rsid w:val="11DA3D05"/>
    <w:rsid w:val="11E132E5"/>
    <w:rsid w:val="11F052D6"/>
    <w:rsid w:val="11F316E6"/>
    <w:rsid w:val="1207125C"/>
    <w:rsid w:val="120E267D"/>
    <w:rsid w:val="121D3BF2"/>
    <w:rsid w:val="121F51AF"/>
    <w:rsid w:val="1220511C"/>
    <w:rsid w:val="122344D0"/>
    <w:rsid w:val="12267AD6"/>
    <w:rsid w:val="1235718D"/>
    <w:rsid w:val="1244176A"/>
    <w:rsid w:val="1254464C"/>
    <w:rsid w:val="126637EB"/>
    <w:rsid w:val="12732D05"/>
    <w:rsid w:val="129E7C96"/>
    <w:rsid w:val="129F2270"/>
    <w:rsid w:val="12CB645E"/>
    <w:rsid w:val="12CD73C6"/>
    <w:rsid w:val="12CF313E"/>
    <w:rsid w:val="12E04A49"/>
    <w:rsid w:val="1300663F"/>
    <w:rsid w:val="13550837"/>
    <w:rsid w:val="135E4DFA"/>
    <w:rsid w:val="13676A08"/>
    <w:rsid w:val="13880167"/>
    <w:rsid w:val="13A60E47"/>
    <w:rsid w:val="13AE1F3B"/>
    <w:rsid w:val="13B54A2A"/>
    <w:rsid w:val="141A7D6B"/>
    <w:rsid w:val="14207305"/>
    <w:rsid w:val="143C0CA7"/>
    <w:rsid w:val="143C4622"/>
    <w:rsid w:val="145853B5"/>
    <w:rsid w:val="145D29CB"/>
    <w:rsid w:val="14611AF6"/>
    <w:rsid w:val="146B50E8"/>
    <w:rsid w:val="14B05B25"/>
    <w:rsid w:val="14B46D8E"/>
    <w:rsid w:val="14DD78F7"/>
    <w:rsid w:val="14E01329"/>
    <w:rsid w:val="14E46C49"/>
    <w:rsid w:val="14E8498B"/>
    <w:rsid w:val="15015A4D"/>
    <w:rsid w:val="150870B3"/>
    <w:rsid w:val="150D2643"/>
    <w:rsid w:val="150E00B9"/>
    <w:rsid w:val="151237B6"/>
    <w:rsid w:val="15194B44"/>
    <w:rsid w:val="152721D8"/>
    <w:rsid w:val="152808BF"/>
    <w:rsid w:val="152D01E4"/>
    <w:rsid w:val="1556521D"/>
    <w:rsid w:val="1566478B"/>
    <w:rsid w:val="15A873D4"/>
    <w:rsid w:val="15AB60E4"/>
    <w:rsid w:val="15B14A2C"/>
    <w:rsid w:val="15BD1974"/>
    <w:rsid w:val="15E769F0"/>
    <w:rsid w:val="160B4486"/>
    <w:rsid w:val="16174245"/>
    <w:rsid w:val="161B669A"/>
    <w:rsid w:val="162E71F3"/>
    <w:rsid w:val="164125A5"/>
    <w:rsid w:val="16470ADA"/>
    <w:rsid w:val="16532A01"/>
    <w:rsid w:val="166D4C9E"/>
    <w:rsid w:val="16775FC6"/>
    <w:rsid w:val="16790431"/>
    <w:rsid w:val="167C182F"/>
    <w:rsid w:val="16985F3D"/>
    <w:rsid w:val="16A560A0"/>
    <w:rsid w:val="16D03928"/>
    <w:rsid w:val="16DE1BA1"/>
    <w:rsid w:val="16E86EC4"/>
    <w:rsid w:val="16EA5511"/>
    <w:rsid w:val="170553BC"/>
    <w:rsid w:val="17092996"/>
    <w:rsid w:val="171750B3"/>
    <w:rsid w:val="173124F4"/>
    <w:rsid w:val="17326590"/>
    <w:rsid w:val="17487963"/>
    <w:rsid w:val="1767428D"/>
    <w:rsid w:val="176F4EEF"/>
    <w:rsid w:val="1774236A"/>
    <w:rsid w:val="17822E75"/>
    <w:rsid w:val="1799126F"/>
    <w:rsid w:val="17DA4A5F"/>
    <w:rsid w:val="17EB6C6C"/>
    <w:rsid w:val="181920C4"/>
    <w:rsid w:val="183A374F"/>
    <w:rsid w:val="185D3751"/>
    <w:rsid w:val="187824D1"/>
    <w:rsid w:val="18956BD8"/>
    <w:rsid w:val="189F35B2"/>
    <w:rsid w:val="18A60DE5"/>
    <w:rsid w:val="18BA0EA0"/>
    <w:rsid w:val="18C96881"/>
    <w:rsid w:val="18E45469"/>
    <w:rsid w:val="19053D5D"/>
    <w:rsid w:val="19073061"/>
    <w:rsid w:val="191C2E55"/>
    <w:rsid w:val="192561AE"/>
    <w:rsid w:val="19257F5C"/>
    <w:rsid w:val="19392391"/>
    <w:rsid w:val="195645B9"/>
    <w:rsid w:val="196D1144"/>
    <w:rsid w:val="19766A09"/>
    <w:rsid w:val="197902A7"/>
    <w:rsid w:val="19837390"/>
    <w:rsid w:val="1987620B"/>
    <w:rsid w:val="199402BF"/>
    <w:rsid w:val="19A60971"/>
    <w:rsid w:val="19AF0C88"/>
    <w:rsid w:val="19AF6B1B"/>
    <w:rsid w:val="19B27315"/>
    <w:rsid w:val="19B9117F"/>
    <w:rsid w:val="19C109D2"/>
    <w:rsid w:val="19DF45AE"/>
    <w:rsid w:val="19E07263"/>
    <w:rsid w:val="19F31E08"/>
    <w:rsid w:val="1A1678A4"/>
    <w:rsid w:val="1A3A7A37"/>
    <w:rsid w:val="1A3D7527"/>
    <w:rsid w:val="1A3F329F"/>
    <w:rsid w:val="1A402B73"/>
    <w:rsid w:val="1A5708A1"/>
    <w:rsid w:val="1A654388"/>
    <w:rsid w:val="1A69031C"/>
    <w:rsid w:val="1A7171D0"/>
    <w:rsid w:val="1A7E7140"/>
    <w:rsid w:val="1A9908DC"/>
    <w:rsid w:val="1AC63078"/>
    <w:rsid w:val="1AD02149"/>
    <w:rsid w:val="1B261D69"/>
    <w:rsid w:val="1B55264E"/>
    <w:rsid w:val="1B5C578B"/>
    <w:rsid w:val="1B697EA8"/>
    <w:rsid w:val="1B850A80"/>
    <w:rsid w:val="1B9D24C1"/>
    <w:rsid w:val="1BA11ABD"/>
    <w:rsid w:val="1BA477C3"/>
    <w:rsid w:val="1BA535D6"/>
    <w:rsid w:val="1BAE5697"/>
    <w:rsid w:val="1BB90E2F"/>
    <w:rsid w:val="1BC05D1A"/>
    <w:rsid w:val="1BD21EF1"/>
    <w:rsid w:val="1C0C243F"/>
    <w:rsid w:val="1C25283A"/>
    <w:rsid w:val="1C364BA9"/>
    <w:rsid w:val="1C4526C3"/>
    <w:rsid w:val="1C5648D0"/>
    <w:rsid w:val="1C7D1303"/>
    <w:rsid w:val="1C982595"/>
    <w:rsid w:val="1CA90EA4"/>
    <w:rsid w:val="1CAB1624"/>
    <w:rsid w:val="1CBB4733"/>
    <w:rsid w:val="1D1D1BD9"/>
    <w:rsid w:val="1D2624F4"/>
    <w:rsid w:val="1D2815CA"/>
    <w:rsid w:val="1D29146A"/>
    <w:rsid w:val="1D5A2F81"/>
    <w:rsid w:val="1DA11B7B"/>
    <w:rsid w:val="1DA67191"/>
    <w:rsid w:val="1DD67A76"/>
    <w:rsid w:val="1DF71A39"/>
    <w:rsid w:val="1DFE5A77"/>
    <w:rsid w:val="1E131427"/>
    <w:rsid w:val="1E19315B"/>
    <w:rsid w:val="1E4A3FC0"/>
    <w:rsid w:val="1E557950"/>
    <w:rsid w:val="1E592455"/>
    <w:rsid w:val="1E906E56"/>
    <w:rsid w:val="1EA27958"/>
    <w:rsid w:val="1EA665BA"/>
    <w:rsid w:val="1EAE1B29"/>
    <w:rsid w:val="1EB12291"/>
    <w:rsid w:val="1EB311F8"/>
    <w:rsid w:val="1EB454C1"/>
    <w:rsid w:val="1EDB74D9"/>
    <w:rsid w:val="1EE91A2B"/>
    <w:rsid w:val="1EF65EF6"/>
    <w:rsid w:val="1EFF2FFD"/>
    <w:rsid w:val="1F163F76"/>
    <w:rsid w:val="1F305C94"/>
    <w:rsid w:val="1F3B4C2B"/>
    <w:rsid w:val="1F494278"/>
    <w:rsid w:val="1F681339"/>
    <w:rsid w:val="1F822226"/>
    <w:rsid w:val="1F8D0609"/>
    <w:rsid w:val="1FB44E66"/>
    <w:rsid w:val="1FC102B2"/>
    <w:rsid w:val="1FC41032"/>
    <w:rsid w:val="1FD75D28"/>
    <w:rsid w:val="1FE10954"/>
    <w:rsid w:val="1FF70178"/>
    <w:rsid w:val="201F10D7"/>
    <w:rsid w:val="206A3C01"/>
    <w:rsid w:val="20796DDF"/>
    <w:rsid w:val="207D242B"/>
    <w:rsid w:val="209A3CFB"/>
    <w:rsid w:val="20A11F4F"/>
    <w:rsid w:val="20C95670"/>
    <w:rsid w:val="20D81D57"/>
    <w:rsid w:val="20E24984"/>
    <w:rsid w:val="20F6042F"/>
    <w:rsid w:val="2108530A"/>
    <w:rsid w:val="210E7527"/>
    <w:rsid w:val="211B2738"/>
    <w:rsid w:val="21442F49"/>
    <w:rsid w:val="21556F04"/>
    <w:rsid w:val="217355DC"/>
    <w:rsid w:val="21A32365"/>
    <w:rsid w:val="21A861B5"/>
    <w:rsid w:val="21B14BD7"/>
    <w:rsid w:val="21B31E7D"/>
    <w:rsid w:val="21BA320B"/>
    <w:rsid w:val="21C164C2"/>
    <w:rsid w:val="21DE15EF"/>
    <w:rsid w:val="21E80C13"/>
    <w:rsid w:val="220152DE"/>
    <w:rsid w:val="220F79FB"/>
    <w:rsid w:val="225A6BB9"/>
    <w:rsid w:val="22731050"/>
    <w:rsid w:val="22737F8A"/>
    <w:rsid w:val="22810675"/>
    <w:rsid w:val="22837AA1"/>
    <w:rsid w:val="22851A6B"/>
    <w:rsid w:val="22983650"/>
    <w:rsid w:val="22A55C69"/>
    <w:rsid w:val="22C62D67"/>
    <w:rsid w:val="22D80C0E"/>
    <w:rsid w:val="230B4211"/>
    <w:rsid w:val="232748D0"/>
    <w:rsid w:val="2350475F"/>
    <w:rsid w:val="235356C5"/>
    <w:rsid w:val="2378512C"/>
    <w:rsid w:val="23873F2D"/>
    <w:rsid w:val="239C07D8"/>
    <w:rsid w:val="23C71C0F"/>
    <w:rsid w:val="241527C5"/>
    <w:rsid w:val="24183588"/>
    <w:rsid w:val="241C1A43"/>
    <w:rsid w:val="24247062"/>
    <w:rsid w:val="2435301D"/>
    <w:rsid w:val="245142FB"/>
    <w:rsid w:val="24613E12"/>
    <w:rsid w:val="247578BD"/>
    <w:rsid w:val="247E195A"/>
    <w:rsid w:val="2483647E"/>
    <w:rsid w:val="249F5100"/>
    <w:rsid w:val="24A361D8"/>
    <w:rsid w:val="24B108F5"/>
    <w:rsid w:val="24D969D7"/>
    <w:rsid w:val="24E902AD"/>
    <w:rsid w:val="24F1163A"/>
    <w:rsid w:val="2500362B"/>
    <w:rsid w:val="2500655F"/>
    <w:rsid w:val="25140E84"/>
    <w:rsid w:val="252A78C1"/>
    <w:rsid w:val="25332BBA"/>
    <w:rsid w:val="25585215"/>
    <w:rsid w:val="257148C1"/>
    <w:rsid w:val="25A16BBC"/>
    <w:rsid w:val="25A20AAE"/>
    <w:rsid w:val="25AC5561"/>
    <w:rsid w:val="25CD381F"/>
    <w:rsid w:val="25D03B9B"/>
    <w:rsid w:val="26033542"/>
    <w:rsid w:val="26213859"/>
    <w:rsid w:val="26273941"/>
    <w:rsid w:val="26345C82"/>
    <w:rsid w:val="265A6D6B"/>
    <w:rsid w:val="265B1622"/>
    <w:rsid w:val="266A16A4"/>
    <w:rsid w:val="266A1AC6"/>
    <w:rsid w:val="26865DB2"/>
    <w:rsid w:val="26A821CC"/>
    <w:rsid w:val="26AC719A"/>
    <w:rsid w:val="26B4291F"/>
    <w:rsid w:val="26C2328E"/>
    <w:rsid w:val="26C8461C"/>
    <w:rsid w:val="26D134D1"/>
    <w:rsid w:val="26D93DA6"/>
    <w:rsid w:val="26DC3C24"/>
    <w:rsid w:val="26ED7272"/>
    <w:rsid w:val="26FB67A0"/>
    <w:rsid w:val="271635D9"/>
    <w:rsid w:val="27167136"/>
    <w:rsid w:val="271D2DD5"/>
    <w:rsid w:val="27201D62"/>
    <w:rsid w:val="27252BF1"/>
    <w:rsid w:val="273C518D"/>
    <w:rsid w:val="2759183D"/>
    <w:rsid w:val="276C4FA7"/>
    <w:rsid w:val="27813425"/>
    <w:rsid w:val="27815FB5"/>
    <w:rsid w:val="27A30E65"/>
    <w:rsid w:val="27A50B7C"/>
    <w:rsid w:val="27BF5A1F"/>
    <w:rsid w:val="27E51A3D"/>
    <w:rsid w:val="27F43225"/>
    <w:rsid w:val="27F7697A"/>
    <w:rsid w:val="27FD02F5"/>
    <w:rsid w:val="280A4C76"/>
    <w:rsid w:val="281E00FC"/>
    <w:rsid w:val="283A6E54"/>
    <w:rsid w:val="283F446A"/>
    <w:rsid w:val="286839C1"/>
    <w:rsid w:val="288D6E28"/>
    <w:rsid w:val="289724F8"/>
    <w:rsid w:val="289B1FE8"/>
    <w:rsid w:val="28A6600A"/>
    <w:rsid w:val="28F95D99"/>
    <w:rsid w:val="28FD1F7D"/>
    <w:rsid w:val="29057462"/>
    <w:rsid w:val="2914398C"/>
    <w:rsid w:val="291624C7"/>
    <w:rsid w:val="292024ED"/>
    <w:rsid w:val="29241374"/>
    <w:rsid w:val="29312005"/>
    <w:rsid w:val="29325D7D"/>
    <w:rsid w:val="293E463F"/>
    <w:rsid w:val="294208BC"/>
    <w:rsid w:val="294A6DC7"/>
    <w:rsid w:val="295415A3"/>
    <w:rsid w:val="29715187"/>
    <w:rsid w:val="297840D8"/>
    <w:rsid w:val="29B314B5"/>
    <w:rsid w:val="29C016B3"/>
    <w:rsid w:val="29CC79B5"/>
    <w:rsid w:val="29CD27F7"/>
    <w:rsid w:val="29D532D8"/>
    <w:rsid w:val="29DB01C2"/>
    <w:rsid w:val="29E277A3"/>
    <w:rsid w:val="29F440B1"/>
    <w:rsid w:val="2A151926"/>
    <w:rsid w:val="2A5F0DF4"/>
    <w:rsid w:val="2A6759EA"/>
    <w:rsid w:val="2A73664D"/>
    <w:rsid w:val="2A7C6900"/>
    <w:rsid w:val="2A7C7947"/>
    <w:rsid w:val="2A9C5BA4"/>
    <w:rsid w:val="2AA33B03"/>
    <w:rsid w:val="2AB75E53"/>
    <w:rsid w:val="2ABA5D17"/>
    <w:rsid w:val="2ABD43F8"/>
    <w:rsid w:val="2ABE3D22"/>
    <w:rsid w:val="2AC454C3"/>
    <w:rsid w:val="2AD453A6"/>
    <w:rsid w:val="2B011EAB"/>
    <w:rsid w:val="2B157704"/>
    <w:rsid w:val="2B193698"/>
    <w:rsid w:val="2B2362C5"/>
    <w:rsid w:val="2B267B93"/>
    <w:rsid w:val="2B4C0B44"/>
    <w:rsid w:val="2B4D390D"/>
    <w:rsid w:val="2B500672"/>
    <w:rsid w:val="2B65243A"/>
    <w:rsid w:val="2B6F5066"/>
    <w:rsid w:val="2B8063C7"/>
    <w:rsid w:val="2BA9559E"/>
    <w:rsid w:val="2BAC0068"/>
    <w:rsid w:val="2BB533C1"/>
    <w:rsid w:val="2BC96E6C"/>
    <w:rsid w:val="2BCC4267"/>
    <w:rsid w:val="2BCF59A5"/>
    <w:rsid w:val="2BD355F5"/>
    <w:rsid w:val="2BF176A3"/>
    <w:rsid w:val="2BF63632"/>
    <w:rsid w:val="2BFC5296"/>
    <w:rsid w:val="2C013B28"/>
    <w:rsid w:val="2C065E70"/>
    <w:rsid w:val="2C176AE0"/>
    <w:rsid w:val="2C2916B9"/>
    <w:rsid w:val="2C3E306D"/>
    <w:rsid w:val="2C4071A7"/>
    <w:rsid w:val="2C510E4D"/>
    <w:rsid w:val="2C526E62"/>
    <w:rsid w:val="2C6C77F8"/>
    <w:rsid w:val="2C6E3570"/>
    <w:rsid w:val="2C7548FE"/>
    <w:rsid w:val="2C8B5980"/>
    <w:rsid w:val="2C937E9A"/>
    <w:rsid w:val="2C9A71EB"/>
    <w:rsid w:val="2C9D5C03"/>
    <w:rsid w:val="2CA60F5C"/>
    <w:rsid w:val="2CBA4A07"/>
    <w:rsid w:val="2CD26499"/>
    <w:rsid w:val="2CE13D42"/>
    <w:rsid w:val="2D0774E8"/>
    <w:rsid w:val="2D14258E"/>
    <w:rsid w:val="2D1C715A"/>
    <w:rsid w:val="2D2D342B"/>
    <w:rsid w:val="2D3B78F6"/>
    <w:rsid w:val="2D430559"/>
    <w:rsid w:val="2D483AF4"/>
    <w:rsid w:val="2D486A1B"/>
    <w:rsid w:val="2D557195"/>
    <w:rsid w:val="2D594220"/>
    <w:rsid w:val="2D763784"/>
    <w:rsid w:val="2D800808"/>
    <w:rsid w:val="2D8D3DCE"/>
    <w:rsid w:val="2D8D45D6"/>
    <w:rsid w:val="2DA60AE7"/>
    <w:rsid w:val="2DA63409"/>
    <w:rsid w:val="2DAA4A7C"/>
    <w:rsid w:val="2DC31699"/>
    <w:rsid w:val="2DCC054E"/>
    <w:rsid w:val="2DE24215"/>
    <w:rsid w:val="2DEB71E0"/>
    <w:rsid w:val="2DFC1163"/>
    <w:rsid w:val="2E0E6DB8"/>
    <w:rsid w:val="2E341F8D"/>
    <w:rsid w:val="2E370DBD"/>
    <w:rsid w:val="2E3A59CF"/>
    <w:rsid w:val="2E496043"/>
    <w:rsid w:val="2E620E25"/>
    <w:rsid w:val="2E695B0A"/>
    <w:rsid w:val="2E7D7726"/>
    <w:rsid w:val="2E840E29"/>
    <w:rsid w:val="2EBF00B3"/>
    <w:rsid w:val="2EEF6BEA"/>
    <w:rsid w:val="2EF44200"/>
    <w:rsid w:val="2F103332"/>
    <w:rsid w:val="2F137B8C"/>
    <w:rsid w:val="2F1403FE"/>
    <w:rsid w:val="2F17377A"/>
    <w:rsid w:val="2F191EB9"/>
    <w:rsid w:val="2F3736B1"/>
    <w:rsid w:val="2F3A33EB"/>
    <w:rsid w:val="2F7075FF"/>
    <w:rsid w:val="2F8A06C1"/>
    <w:rsid w:val="2FAA688A"/>
    <w:rsid w:val="2FAD2F52"/>
    <w:rsid w:val="2FCD67FF"/>
    <w:rsid w:val="2FDB378B"/>
    <w:rsid w:val="2FF15A31"/>
    <w:rsid w:val="2FFB336C"/>
    <w:rsid w:val="3002294D"/>
    <w:rsid w:val="30030473"/>
    <w:rsid w:val="30057BE4"/>
    <w:rsid w:val="30073ABF"/>
    <w:rsid w:val="301B5180"/>
    <w:rsid w:val="30240B15"/>
    <w:rsid w:val="30274E71"/>
    <w:rsid w:val="306B6744"/>
    <w:rsid w:val="306C6018"/>
    <w:rsid w:val="30850E88"/>
    <w:rsid w:val="308E2A36"/>
    <w:rsid w:val="30942EB1"/>
    <w:rsid w:val="309C1E01"/>
    <w:rsid w:val="30AE46CA"/>
    <w:rsid w:val="30B31E99"/>
    <w:rsid w:val="30B5176D"/>
    <w:rsid w:val="30B75106"/>
    <w:rsid w:val="30C220DC"/>
    <w:rsid w:val="30CB2D3F"/>
    <w:rsid w:val="30CF78F8"/>
    <w:rsid w:val="30DA5678"/>
    <w:rsid w:val="30DD2DF8"/>
    <w:rsid w:val="311C4665"/>
    <w:rsid w:val="31434FCB"/>
    <w:rsid w:val="31552F50"/>
    <w:rsid w:val="31556AAC"/>
    <w:rsid w:val="315A2315"/>
    <w:rsid w:val="316311C9"/>
    <w:rsid w:val="316867E0"/>
    <w:rsid w:val="31787686"/>
    <w:rsid w:val="3181203C"/>
    <w:rsid w:val="318D6246"/>
    <w:rsid w:val="319677F1"/>
    <w:rsid w:val="31A94CC1"/>
    <w:rsid w:val="31B77767"/>
    <w:rsid w:val="31E16592"/>
    <w:rsid w:val="320A3BCC"/>
    <w:rsid w:val="320C3A92"/>
    <w:rsid w:val="321F5742"/>
    <w:rsid w:val="32285F6F"/>
    <w:rsid w:val="32333292"/>
    <w:rsid w:val="32361BEB"/>
    <w:rsid w:val="32373AB9"/>
    <w:rsid w:val="32491C72"/>
    <w:rsid w:val="325B6344"/>
    <w:rsid w:val="325E27F4"/>
    <w:rsid w:val="32843AED"/>
    <w:rsid w:val="32891103"/>
    <w:rsid w:val="32A54A80"/>
    <w:rsid w:val="32D22AAA"/>
    <w:rsid w:val="32D978AB"/>
    <w:rsid w:val="32EA3FE2"/>
    <w:rsid w:val="32EF3DF8"/>
    <w:rsid w:val="32F3657D"/>
    <w:rsid w:val="331462D9"/>
    <w:rsid w:val="332E1B08"/>
    <w:rsid w:val="3338749A"/>
    <w:rsid w:val="333D3C9C"/>
    <w:rsid w:val="334212B2"/>
    <w:rsid w:val="335214F5"/>
    <w:rsid w:val="33580E71"/>
    <w:rsid w:val="338200D6"/>
    <w:rsid w:val="338A6AEE"/>
    <w:rsid w:val="338D313B"/>
    <w:rsid w:val="33AA066F"/>
    <w:rsid w:val="33BC1520"/>
    <w:rsid w:val="33CB12A8"/>
    <w:rsid w:val="33CB74FA"/>
    <w:rsid w:val="33D41C57"/>
    <w:rsid w:val="33DB57DF"/>
    <w:rsid w:val="33E177DF"/>
    <w:rsid w:val="33F40E3E"/>
    <w:rsid w:val="34232E92"/>
    <w:rsid w:val="34237336"/>
    <w:rsid w:val="34390B48"/>
    <w:rsid w:val="34655258"/>
    <w:rsid w:val="346A286F"/>
    <w:rsid w:val="34774E8C"/>
    <w:rsid w:val="34854635"/>
    <w:rsid w:val="34873421"/>
    <w:rsid w:val="34A57D4B"/>
    <w:rsid w:val="34AB5DBE"/>
    <w:rsid w:val="34DA207D"/>
    <w:rsid w:val="34E40E8C"/>
    <w:rsid w:val="352019B5"/>
    <w:rsid w:val="35223149"/>
    <w:rsid w:val="35246EC1"/>
    <w:rsid w:val="358931C8"/>
    <w:rsid w:val="3592207D"/>
    <w:rsid w:val="359E6C74"/>
    <w:rsid w:val="35C70732"/>
    <w:rsid w:val="35DF103A"/>
    <w:rsid w:val="35E046CF"/>
    <w:rsid w:val="35E548A3"/>
    <w:rsid w:val="35E83F69"/>
    <w:rsid w:val="35ED74AD"/>
    <w:rsid w:val="36020CB9"/>
    <w:rsid w:val="3631499A"/>
    <w:rsid w:val="363323F5"/>
    <w:rsid w:val="36486BE0"/>
    <w:rsid w:val="36643C9F"/>
    <w:rsid w:val="366C37E6"/>
    <w:rsid w:val="366D4898"/>
    <w:rsid w:val="36946687"/>
    <w:rsid w:val="36982A7F"/>
    <w:rsid w:val="36A06A1C"/>
    <w:rsid w:val="36AB1C62"/>
    <w:rsid w:val="372C6501"/>
    <w:rsid w:val="374049B2"/>
    <w:rsid w:val="3756532C"/>
    <w:rsid w:val="375A12C0"/>
    <w:rsid w:val="375B28D3"/>
    <w:rsid w:val="37694BEA"/>
    <w:rsid w:val="376D0FF4"/>
    <w:rsid w:val="37790F12"/>
    <w:rsid w:val="37A147F9"/>
    <w:rsid w:val="37A60062"/>
    <w:rsid w:val="37A83712"/>
    <w:rsid w:val="37AE5168"/>
    <w:rsid w:val="37B20750"/>
    <w:rsid w:val="37B409D1"/>
    <w:rsid w:val="37BC1633"/>
    <w:rsid w:val="37C87950"/>
    <w:rsid w:val="37D526F5"/>
    <w:rsid w:val="37DF3E15"/>
    <w:rsid w:val="37E8067A"/>
    <w:rsid w:val="37F92FAA"/>
    <w:rsid w:val="37FF3385"/>
    <w:rsid w:val="382471D8"/>
    <w:rsid w:val="382F43FF"/>
    <w:rsid w:val="38345EB1"/>
    <w:rsid w:val="38416679"/>
    <w:rsid w:val="384653A1"/>
    <w:rsid w:val="384E4731"/>
    <w:rsid w:val="3853641F"/>
    <w:rsid w:val="38545D10"/>
    <w:rsid w:val="385E26EA"/>
    <w:rsid w:val="388C561A"/>
    <w:rsid w:val="388F6D48"/>
    <w:rsid w:val="389348CC"/>
    <w:rsid w:val="38934A8A"/>
    <w:rsid w:val="38A85780"/>
    <w:rsid w:val="38AC5B4C"/>
    <w:rsid w:val="38E86458"/>
    <w:rsid w:val="38E946AA"/>
    <w:rsid w:val="38F06979"/>
    <w:rsid w:val="3902576C"/>
    <w:rsid w:val="39094D4C"/>
    <w:rsid w:val="39116FAA"/>
    <w:rsid w:val="3922196A"/>
    <w:rsid w:val="393D5605"/>
    <w:rsid w:val="394A0943"/>
    <w:rsid w:val="39636C22"/>
    <w:rsid w:val="398B39B3"/>
    <w:rsid w:val="398E0DAD"/>
    <w:rsid w:val="399C32F4"/>
    <w:rsid w:val="39A06E9D"/>
    <w:rsid w:val="39A14A8C"/>
    <w:rsid w:val="39A64349"/>
    <w:rsid w:val="39A770F0"/>
    <w:rsid w:val="39BE5A37"/>
    <w:rsid w:val="39FA28E7"/>
    <w:rsid w:val="39FF3B21"/>
    <w:rsid w:val="3A045513"/>
    <w:rsid w:val="3A0E4CE1"/>
    <w:rsid w:val="3A1B4BE6"/>
    <w:rsid w:val="3A2E433E"/>
    <w:rsid w:val="3A52002D"/>
    <w:rsid w:val="3A52627F"/>
    <w:rsid w:val="3A687850"/>
    <w:rsid w:val="3A995C5C"/>
    <w:rsid w:val="3AA1695C"/>
    <w:rsid w:val="3AA60379"/>
    <w:rsid w:val="3AAF21A5"/>
    <w:rsid w:val="3AC4344A"/>
    <w:rsid w:val="3AE00879"/>
    <w:rsid w:val="3AE30D66"/>
    <w:rsid w:val="3AE72E6B"/>
    <w:rsid w:val="3AFB2D80"/>
    <w:rsid w:val="3B0E2921"/>
    <w:rsid w:val="3B392F9B"/>
    <w:rsid w:val="3B464036"/>
    <w:rsid w:val="3B5A5B0E"/>
    <w:rsid w:val="3B8701AA"/>
    <w:rsid w:val="3B872C5B"/>
    <w:rsid w:val="3B8E32E7"/>
    <w:rsid w:val="3B9308FD"/>
    <w:rsid w:val="3B950B19"/>
    <w:rsid w:val="3B9C3EF5"/>
    <w:rsid w:val="3BAD02A6"/>
    <w:rsid w:val="3BB6283D"/>
    <w:rsid w:val="3BBF7944"/>
    <w:rsid w:val="3BFF2436"/>
    <w:rsid w:val="3BFF41E4"/>
    <w:rsid w:val="3C1A101E"/>
    <w:rsid w:val="3C1A7270"/>
    <w:rsid w:val="3C253C7A"/>
    <w:rsid w:val="3C2854E9"/>
    <w:rsid w:val="3C395BEF"/>
    <w:rsid w:val="3C437C1F"/>
    <w:rsid w:val="3C4E2A76"/>
    <w:rsid w:val="3C5F6A31"/>
    <w:rsid w:val="3C974EAE"/>
    <w:rsid w:val="3C9A445E"/>
    <w:rsid w:val="3C9C7C85"/>
    <w:rsid w:val="3CA52FDE"/>
    <w:rsid w:val="3CB37D57"/>
    <w:rsid w:val="3CB43533"/>
    <w:rsid w:val="3CB7686D"/>
    <w:rsid w:val="3CB97B86"/>
    <w:rsid w:val="3CD43F35"/>
    <w:rsid w:val="3CE358B4"/>
    <w:rsid w:val="3CFD4BC8"/>
    <w:rsid w:val="3D21063A"/>
    <w:rsid w:val="3D2E2FD3"/>
    <w:rsid w:val="3D4445A5"/>
    <w:rsid w:val="3D4D4BB2"/>
    <w:rsid w:val="3D6E011A"/>
    <w:rsid w:val="3DA977CF"/>
    <w:rsid w:val="3DB37AC7"/>
    <w:rsid w:val="3DB42DAD"/>
    <w:rsid w:val="3DB652AD"/>
    <w:rsid w:val="3DC47494"/>
    <w:rsid w:val="3DC76F84"/>
    <w:rsid w:val="3DCB0822"/>
    <w:rsid w:val="3DD01567"/>
    <w:rsid w:val="3E032AB2"/>
    <w:rsid w:val="3E0D7BB8"/>
    <w:rsid w:val="3E15389D"/>
    <w:rsid w:val="3E32264F"/>
    <w:rsid w:val="3E371A14"/>
    <w:rsid w:val="3E3B3DF4"/>
    <w:rsid w:val="3E3E537B"/>
    <w:rsid w:val="3E4405D4"/>
    <w:rsid w:val="3E6559FC"/>
    <w:rsid w:val="3E66679D"/>
    <w:rsid w:val="3E68709A"/>
    <w:rsid w:val="3E8250E7"/>
    <w:rsid w:val="3E854E75"/>
    <w:rsid w:val="3E8B7FB1"/>
    <w:rsid w:val="3E9C21BE"/>
    <w:rsid w:val="3ED177D2"/>
    <w:rsid w:val="3EDD4E0B"/>
    <w:rsid w:val="3F006868"/>
    <w:rsid w:val="3F0544F1"/>
    <w:rsid w:val="3F073ADC"/>
    <w:rsid w:val="3F16732F"/>
    <w:rsid w:val="3F186394"/>
    <w:rsid w:val="3F1D32FF"/>
    <w:rsid w:val="3F23643C"/>
    <w:rsid w:val="3F281CA4"/>
    <w:rsid w:val="3F3603B6"/>
    <w:rsid w:val="3F3B7CA8"/>
    <w:rsid w:val="3F931EC6"/>
    <w:rsid w:val="3F961673"/>
    <w:rsid w:val="3F9B5FD2"/>
    <w:rsid w:val="3F9D1D4A"/>
    <w:rsid w:val="3F9E5AC2"/>
    <w:rsid w:val="3FA04C43"/>
    <w:rsid w:val="3FB53538"/>
    <w:rsid w:val="3FBD419A"/>
    <w:rsid w:val="3FDA025F"/>
    <w:rsid w:val="3FE47979"/>
    <w:rsid w:val="3FF72381"/>
    <w:rsid w:val="3FFD2F82"/>
    <w:rsid w:val="400537C5"/>
    <w:rsid w:val="401D4C7F"/>
    <w:rsid w:val="402416EC"/>
    <w:rsid w:val="403326AF"/>
    <w:rsid w:val="403703F1"/>
    <w:rsid w:val="40485EC4"/>
    <w:rsid w:val="406E7B8B"/>
    <w:rsid w:val="4078089B"/>
    <w:rsid w:val="407D4418"/>
    <w:rsid w:val="408353E4"/>
    <w:rsid w:val="40905D53"/>
    <w:rsid w:val="40923879"/>
    <w:rsid w:val="409D6CDF"/>
    <w:rsid w:val="40A435AC"/>
    <w:rsid w:val="40B547E7"/>
    <w:rsid w:val="40B90E06"/>
    <w:rsid w:val="40C17CBA"/>
    <w:rsid w:val="4125649B"/>
    <w:rsid w:val="41284851"/>
    <w:rsid w:val="41412C9A"/>
    <w:rsid w:val="415B3C6B"/>
    <w:rsid w:val="416F7716"/>
    <w:rsid w:val="417D0085"/>
    <w:rsid w:val="41847666"/>
    <w:rsid w:val="41B44B8F"/>
    <w:rsid w:val="41B4777F"/>
    <w:rsid w:val="41BD4926"/>
    <w:rsid w:val="41CF6407"/>
    <w:rsid w:val="41E974C9"/>
    <w:rsid w:val="42144D68"/>
    <w:rsid w:val="42240501"/>
    <w:rsid w:val="423276C8"/>
    <w:rsid w:val="423F533B"/>
    <w:rsid w:val="42701998"/>
    <w:rsid w:val="4278084D"/>
    <w:rsid w:val="42927B60"/>
    <w:rsid w:val="42B62821"/>
    <w:rsid w:val="42BE717E"/>
    <w:rsid w:val="42D95E20"/>
    <w:rsid w:val="42F870E4"/>
    <w:rsid w:val="4301028A"/>
    <w:rsid w:val="43095949"/>
    <w:rsid w:val="431B5DA8"/>
    <w:rsid w:val="432D7889"/>
    <w:rsid w:val="434D335C"/>
    <w:rsid w:val="4359242C"/>
    <w:rsid w:val="4379487C"/>
    <w:rsid w:val="437B6846"/>
    <w:rsid w:val="438F22F2"/>
    <w:rsid w:val="439671DC"/>
    <w:rsid w:val="43C24475"/>
    <w:rsid w:val="43C95804"/>
    <w:rsid w:val="43D321DE"/>
    <w:rsid w:val="43DD4E0B"/>
    <w:rsid w:val="43E22422"/>
    <w:rsid w:val="43E450FE"/>
    <w:rsid w:val="43ED173A"/>
    <w:rsid w:val="440F6F8F"/>
    <w:rsid w:val="441445A5"/>
    <w:rsid w:val="44181159"/>
    <w:rsid w:val="44322831"/>
    <w:rsid w:val="44384737"/>
    <w:rsid w:val="444A1499"/>
    <w:rsid w:val="44692B43"/>
    <w:rsid w:val="448C05DF"/>
    <w:rsid w:val="449A5C5A"/>
    <w:rsid w:val="449D369B"/>
    <w:rsid w:val="44DA5B8C"/>
    <w:rsid w:val="44EA23A6"/>
    <w:rsid w:val="44FA19ED"/>
    <w:rsid w:val="454304E6"/>
    <w:rsid w:val="4561381A"/>
    <w:rsid w:val="457C0654"/>
    <w:rsid w:val="459E681C"/>
    <w:rsid w:val="45AB585D"/>
    <w:rsid w:val="45CD0EAF"/>
    <w:rsid w:val="45CF4804"/>
    <w:rsid w:val="45D872AB"/>
    <w:rsid w:val="45EA380F"/>
    <w:rsid w:val="45ED68FD"/>
    <w:rsid w:val="45ED6AF1"/>
    <w:rsid w:val="45FC3543"/>
    <w:rsid w:val="46116FEE"/>
    <w:rsid w:val="461D5993"/>
    <w:rsid w:val="464C230A"/>
    <w:rsid w:val="464E0242"/>
    <w:rsid w:val="464F779D"/>
    <w:rsid w:val="46517D32"/>
    <w:rsid w:val="465422D4"/>
    <w:rsid w:val="465D0485"/>
    <w:rsid w:val="46761547"/>
    <w:rsid w:val="467F0504"/>
    <w:rsid w:val="46AE4652"/>
    <w:rsid w:val="46B02CAB"/>
    <w:rsid w:val="46B75DE7"/>
    <w:rsid w:val="46B83644"/>
    <w:rsid w:val="46C70A25"/>
    <w:rsid w:val="46E025D7"/>
    <w:rsid w:val="46E2098A"/>
    <w:rsid w:val="46FF4B7E"/>
    <w:rsid w:val="470471FE"/>
    <w:rsid w:val="470628CB"/>
    <w:rsid w:val="47321912"/>
    <w:rsid w:val="47680E90"/>
    <w:rsid w:val="478A0E65"/>
    <w:rsid w:val="47947ED7"/>
    <w:rsid w:val="47A0687C"/>
    <w:rsid w:val="47A22C9A"/>
    <w:rsid w:val="47CF7161"/>
    <w:rsid w:val="47D74267"/>
    <w:rsid w:val="47DE1AAB"/>
    <w:rsid w:val="47DE73A4"/>
    <w:rsid w:val="47E77230"/>
    <w:rsid w:val="480108C7"/>
    <w:rsid w:val="4802059D"/>
    <w:rsid w:val="48024364"/>
    <w:rsid w:val="480675E8"/>
    <w:rsid w:val="48166B3E"/>
    <w:rsid w:val="48185E64"/>
    <w:rsid w:val="481C26D0"/>
    <w:rsid w:val="483D0338"/>
    <w:rsid w:val="48575181"/>
    <w:rsid w:val="48587156"/>
    <w:rsid w:val="48A72109"/>
    <w:rsid w:val="48B33C17"/>
    <w:rsid w:val="48BF2D31"/>
    <w:rsid w:val="48ED5C06"/>
    <w:rsid w:val="49075A1C"/>
    <w:rsid w:val="49247038"/>
    <w:rsid w:val="495042D1"/>
    <w:rsid w:val="49575660"/>
    <w:rsid w:val="49634005"/>
    <w:rsid w:val="49675177"/>
    <w:rsid w:val="49697141"/>
    <w:rsid w:val="496D5FA4"/>
    <w:rsid w:val="49784423"/>
    <w:rsid w:val="49920446"/>
    <w:rsid w:val="49AB1508"/>
    <w:rsid w:val="49B7712F"/>
    <w:rsid w:val="49B95336"/>
    <w:rsid w:val="49C16F7D"/>
    <w:rsid w:val="49CA7BE0"/>
    <w:rsid w:val="49CB243D"/>
    <w:rsid w:val="49DA3B9B"/>
    <w:rsid w:val="49E60786"/>
    <w:rsid w:val="49FC1D63"/>
    <w:rsid w:val="4A0351CC"/>
    <w:rsid w:val="4A037596"/>
    <w:rsid w:val="4A306DE5"/>
    <w:rsid w:val="4A407EA2"/>
    <w:rsid w:val="4A453A70"/>
    <w:rsid w:val="4A62250E"/>
    <w:rsid w:val="4A6A4F1F"/>
    <w:rsid w:val="4A89557F"/>
    <w:rsid w:val="4A8E3303"/>
    <w:rsid w:val="4A9E67FA"/>
    <w:rsid w:val="4AA30431"/>
    <w:rsid w:val="4AD26932"/>
    <w:rsid w:val="4AD77D6D"/>
    <w:rsid w:val="4ADB7BCB"/>
    <w:rsid w:val="4AF8077D"/>
    <w:rsid w:val="4B0E7FA0"/>
    <w:rsid w:val="4B215F25"/>
    <w:rsid w:val="4B223A4B"/>
    <w:rsid w:val="4B251502"/>
    <w:rsid w:val="4B2B6DA4"/>
    <w:rsid w:val="4B395C62"/>
    <w:rsid w:val="4B3A1EF9"/>
    <w:rsid w:val="4B402A1C"/>
    <w:rsid w:val="4B431C35"/>
    <w:rsid w:val="4B9D30D2"/>
    <w:rsid w:val="4BA055CD"/>
    <w:rsid w:val="4BAA5956"/>
    <w:rsid w:val="4BAB1C93"/>
    <w:rsid w:val="4BB072A9"/>
    <w:rsid w:val="4BBE7505"/>
    <w:rsid w:val="4BC13264"/>
    <w:rsid w:val="4BC44B03"/>
    <w:rsid w:val="4BD258F2"/>
    <w:rsid w:val="4BE04899"/>
    <w:rsid w:val="4BE17463"/>
    <w:rsid w:val="4BE331DB"/>
    <w:rsid w:val="4BEB02E1"/>
    <w:rsid w:val="4BF76C86"/>
    <w:rsid w:val="4C0A0767"/>
    <w:rsid w:val="4C2C2DD4"/>
    <w:rsid w:val="4C331A88"/>
    <w:rsid w:val="4C341C88"/>
    <w:rsid w:val="4C4D4AF8"/>
    <w:rsid w:val="4C673E0C"/>
    <w:rsid w:val="4CAA019C"/>
    <w:rsid w:val="4CB35983"/>
    <w:rsid w:val="4CBA152B"/>
    <w:rsid w:val="4CBE1552"/>
    <w:rsid w:val="4D096C71"/>
    <w:rsid w:val="4D0B4E4D"/>
    <w:rsid w:val="4D0E266A"/>
    <w:rsid w:val="4D147273"/>
    <w:rsid w:val="4D195D2A"/>
    <w:rsid w:val="4D44414D"/>
    <w:rsid w:val="4D453129"/>
    <w:rsid w:val="4D783DF7"/>
    <w:rsid w:val="4D7A4454"/>
    <w:rsid w:val="4D7D06BE"/>
    <w:rsid w:val="4D826C05"/>
    <w:rsid w:val="4D901140"/>
    <w:rsid w:val="4DA644C0"/>
    <w:rsid w:val="4DC42B98"/>
    <w:rsid w:val="4DCA28A4"/>
    <w:rsid w:val="4DE31D2B"/>
    <w:rsid w:val="4DE70833"/>
    <w:rsid w:val="4DED0A58"/>
    <w:rsid w:val="4DFB1B37"/>
    <w:rsid w:val="4E270724"/>
    <w:rsid w:val="4E3F43C7"/>
    <w:rsid w:val="4E636855"/>
    <w:rsid w:val="4E6D1482"/>
    <w:rsid w:val="4E710F72"/>
    <w:rsid w:val="4E850579"/>
    <w:rsid w:val="4E946A0E"/>
    <w:rsid w:val="4E994025"/>
    <w:rsid w:val="4EA43238"/>
    <w:rsid w:val="4EB66985"/>
    <w:rsid w:val="4EBC11F7"/>
    <w:rsid w:val="4EE2777A"/>
    <w:rsid w:val="4EE61FFA"/>
    <w:rsid w:val="4EEF633A"/>
    <w:rsid w:val="4F075432"/>
    <w:rsid w:val="4F0A6CD0"/>
    <w:rsid w:val="4F1A7D50"/>
    <w:rsid w:val="4F29214E"/>
    <w:rsid w:val="4F2C7344"/>
    <w:rsid w:val="4F3E44B0"/>
    <w:rsid w:val="4F4641AC"/>
    <w:rsid w:val="4F6C34E7"/>
    <w:rsid w:val="4F6F09B6"/>
    <w:rsid w:val="4F775B47"/>
    <w:rsid w:val="4F9842DC"/>
    <w:rsid w:val="4FAA2338"/>
    <w:rsid w:val="4FBA06F6"/>
    <w:rsid w:val="4FBD3D43"/>
    <w:rsid w:val="4FE57305"/>
    <w:rsid w:val="4FF9121F"/>
    <w:rsid w:val="4FFA4F97"/>
    <w:rsid w:val="50045CBF"/>
    <w:rsid w:val="502A5210"/>
    <w:rsid w:val="50306CAD"/>
    <w:rsid w:val="503C0C40"/>
    <w:rsid w:val="504C0DC2"/>
    <w:rsid w:val="505521CD"/>
    <w:rsid w:val="508F2714"/>
    <w:rsid w:val="50974594"/>
    <w:rsid w:val="50A218B6"/>
    <w:rsid w:val="50AD4092"/>
    <w:rsid w:val="50C52E81"/>
    <w:rsid w:val="50CC21E5"/>
    <w:rsid w:val="50D21A70"/>
    <w:rsid w:val="50D96F51"/>
    <w:rsid w:val="50E21CB3"/>
    <w:rsid w:val="50E36EE4"/>
    <w:rsid w:val="50E76C87"/>
    <w:rsid w:val="50ED2406"/>
    <w:rsid w:val="50F413DD"/>
    <w:rsid w:val="50F73284"/>
    <w:rsid w:val="50FE0AB7"/>
    <w:rsid w:val="51031C29"/>
    <w:rsid w:val="512336DC"/>
    <w:rsid w:val="51334ADB"/>
    <w:rsid w:val="515801C7"/>
    <w:rsid w:val="516054F2"/>
    <w:rsid w:val="5174080F"/>
    <w:rsid w:val="517448D5"/>
    <w:rsid w:val="518C126E"/>
    <w:rsid w:val="51AC0513"/>
    <w:rsid w:val="51C43BEC"/>
    <w:rsid w:val="51CD3C5C"/>
    <w:rsid w:val="51E541F9"/>
    <w:rsid w:val="51E7154B"/>
    <w:rsid w:val="51E92A62"/>
    <w:rsid w:val="51F64CB1"/>
    <w:rsid w:val="51F86065"/>
    <w:rsid w:val="51F9745D"/>
    <w:rsid w:val="520108E8"/>
    <w:rsid w:val="5207633E"/>
    <w:rsid w:val="521B7236"/>
    <w:rsid w:val="52284604"/>
    <w:rsid w:val="52285DEB"/>
    <w:rsid w:val="522C110C"/>
    <w:rsid w:val="52302EF2"/>
    <w:rsid w:val="524331A6"/>
    <w:rsid w:val="52450470"/>
    <w:rsid w:val="52483D98"/>
    <w:rsid w:val="526861E8"/>
    <w:rsid w:val="527453B4"/>
    <w:rsid w:val="52882FA3"/>
    <w:rsid w:val="529E1C09"/>
    <w:rsid w:val="52B70144"/>
    <w:rsid w:val="52BF5CBB"/>
    <w:rsid w:val="52CB49C9"/>
    <w:rsid w:val="52D7511B"/>
    <w:rsid w:val="52EA12F3"/>
    <w:rsid w:val="52EF5A3B"/>
    <w:rsid w:val="531B1964"/>
    <w:rsid w:val="53277ED6"/>
    <w:rsid w:val="53464B79"/>
    <w:rsid w:val="534704F3"/>
    <w:rsid w:val="534B691D"/>
    <w:rsid w:val="534C3D5B"/>
    <w:rsid w:val="53530E39"/>
    <w:rsid w:val="535701AC"/>
    <w:rsid w:val="53575126"/>
    <w:rsid w:val="535A7D9D"/>
    <w:rsid w:val="53656BCB"/>
    <w:rsid w:val="53687639"/>
    <w:rsid w:val="53733096"/>
    <w:rsid w:val="537C374F"/>
    <w:rsid w:val="53A03719"/>
    <w:rsid w:val="53B11E10"/>
    <w:rsid w:val="53CD03D2"/>
    <w:rsid w:val="53D63625"/>
    <w:rsid w:val="53F65229"/>
    <w:rsid w:val="54143355"/>
    <w:rsid w:val="54352A41"/>
    <w:rsid w:val="54526EAF"/>
    <w:rsid w:val="545C1D7C"/>
    <w:rsid w:val="546E7D01"/>
    <w:rsid w:val="547746FC"/>
    <w:rsid w:val="548B440F"/>
    <w:rsid w:val="54927D67"/>
    <w:rsid w:val="54AD4386"/>
    <w:rsid w:val="54B020C8"/>
    <w:rsid w:val="54B94CE5"/>
    <w:rsid w:val="54C142D5"/>
    <w:rsid w:val="54D20290"/>
    <w:rsid w:val="54E7647B"/>
    <w:rsid w:val="54F27FDD"/>
    <w:rsid w:val="55000C8A"/>
    <w:rsid w:val="55020B76"/>
    <w:rsid w:val="551729D5"/>
    <w:rsid w:val="5517705D"/>
    <w:rsid w:val="55183EAB"/>
    <w:rsid w:val="551B1C37"/>
    <w:rsid w:val="55766AEE"/>
    <w:rsid w:val="55780E38"/>
    <w:rsid w:val="557C2DD2"/>
    <w:rsid w:val="558C6691"/>
    <w:rsid w:val="55C53951"/>
    <w:rsid w:val="55CB540B"/>
    <w:rsid w:val="55D55D03"/>
    <w:rsid w:val="55DA564E"/>
    <w:rsid w:val="55EF461C"/>
    <w:rsid w:val="55F3226C"/>
    <w:rsid w:val="55F83D27"/>
    <w:rsid w:val="560E0735"/>
    <w:rsid w:val="560F139F"/>
    <w:rsid w:val="563C1B09"/>
    <w:rsid w:val="564F7AAB"/>
    <w:rsid w:val="56632351"/>
    <w:rsid w:val="56925E96"/>
    <w:rsid w:val="56AB52C9"/>
    <w:rsid w:val="56C105BC"/>
    <w:rsid w:val="56D4209E"/>
    <w:rsid w:val="56D46542"/>
    <w:rsid w:val="56E04EE6"/>
    <w:rsid w:val="56E209C5"/>
    <w:rsid w:val="570D015C"/>
    <w:rsid w:val="570F1328"/>
    <w:rsid w:val="57236B81"/>
    <w:rsid w:val="572B5C20"/>
    <w:rsid w:val="57460AC2"/>
    <w:rsid w:val="57536629"/>
    <w:rsid w:val="576A47B0"/>
    <w:rsid w:val="577B076B"/>
    <w:rsid w:val="578D47E6"/>
    <w:rsid w:val="579655A5"/>
    <w:rsid w:val="57A44FAF"/>
    <w:rsid w:val="57B91294"/>
    <w:rsid w:val="57C55E8A"/>
    <w:rsid w:val="57C74156"/>
    <w:rsid w:val="57CE522D"/>
    <w:rsid w:val="57E46CA6"/>
    <w:rsid w:val="57FD5624"/>
    <w:rsid w:val="580746F5"/>
    <w:rsid w:val="58085D3D"/>
    <w:rsid w:val="581035A9"/>
    <w:rsid w:val="58275A9A"/>
    <w:rsid w:val="58450D79"/>
    <w:rsid w:val="584F6029"/>
    <w:rsid w:val="58507E4A"/>
    <w:rsid w:val="586A79B6"/>
    <w:rsid w:val="586E0A36"/>
    <w:rsid w:val="587753D7"/>
    <w:rsid w:val="587F072F"/>
    <w:rsid w:val="588D3D90"/>
    <w:rsid w:val="589C29AC"/>
    <w:rsid w:val="589E290C"/>
    <w:rsid w:val="58B62318"/>
    <w:rsid w:val="58CC43C2"/>
    <w:rsid w:val="58CD3249"/>
    <w:rsid w:val="58D2260D"/>
    <w:rsid w:val="58D5293F"/>
    <w:rsid w:val="58D75E75"/>
    <w:rsid w:val="58DC502F"/>
    <w:rsid w:val="58DE5456"/>
    <w:rsid w:val="58E10AA2"/>
    <w:rsid w:val="58E26980"/>
    <w:rsid w:val="58E97957"/>
    <w:rsid w:val="58EB1AE5"/>
    <w:rsid w:val="58FC38CA"/>
    <w:rsid w:val="59044790"/>
    <w:rsid w:val="590E6C01"/>
    <w:rsid w:val="59100A74"/>
    <w:rsid w:val="59280AFA"/>
    <w:rsid w:val="59305585"/>
    <w:rsid w:val="593D5A74"/>
    <w:rsid w:val="59532A04"/>
    <w:rsid w:val="59701E26"/>
    <w:rsid w:val="598002BB"/>
    <w:rsid w:val="59814033"/>
    <w:rsid w:val="59860DDC"/>
    <w:rsid w:val="598A2EE8"/>
    <w:rsid w:val="59E75344"/>
    <w:rsid w:val="59F21B1A"/>
    <w:rsid w:val="59F359C5"/>
    <w:rsid w:val="59FD5DAF"/>
    <w:rsid w:val="5A0C1B4F"/>
    <w:rsid w:val="5A117165"/>
    <w:rsid w:val="5A2055FA"/>
    <w:rsid w:val="5A252C10"/>
    <w:rsid w:val="5A407A4A"/>
    <w:rsid w:val="5A44753A"/>
    <w:rsid w:val="5A6220B6"/>
    <w:rsid w:val="5A9D6C4B"/>
    <w:rsid w:val="5AAA368E"/>
    <w:rsid w:val="5AC32B55"/>
    <w:rsid w:val="5AC41895"/>
    <w:rsid w:val="5AD65882"/>
    <w:rsid w:val="5AEB4D41"/>
    <w:rsid w:val="5AF10470"/>
    <w:rsid w:val="5AF90236"/>
    <w:rsid w:val="5B0371F6"/>
    <w:rsid w:val="5B0647F0"/>
    <w:rsid w:val="5B107C9C"/>
    <w:rsid w:val="5B174656"/>
    <w:rsid w:val="5B3A6B8F"/>
    <w:rsid w:val="5B467A81"/>
    <w:rsid w:val="5B4E6197"/>
    <w:rsid w:val="5B555777"/>
    <w:rsid w:val="5B5714EF"/>
    <w:rsid w:val="5B726329"/>
    <w:rsid w:val="5B9A710D"/>
    <w:rsid w:val="5BB1410F"/>
    <w:rsid w:val="5BBF06A3"/>
    <w:rsid w:val="5BC03B6B"/>
    <w:rsid w:val="5BC30933"/>
    <w:rsid w:val="5BE07737"/>
    <w:rsid w:val="5BE82147"/>
    <w:rsid w:val="5C125416"/>
    <w:rsid w:val="5C1358B5"/>
    <w:rsid w:val="5C163158"/>
    <w:rsid w:val="5C3B3338"/>
    <w:rsid w:val="5C583771"/>
    <w:rsid w:val="5C5A5A2D"/>
    <w:rsid w:val="5C5F50E3"/>
    <w:rsid w:val="5C6A020A"/>
    <w:rsid w:val="5C720816"/>
    <w:rsid w:val="5C8C341B"/>
    <w:rsid w:val="5CDA4186"/>
    <w:rsid w:val="5CDD5A24"/>
    <w:rsid w:val="5CF36FF6"/>
    <w:rsid w:val="5CF96053"/>
    <w:rsid w:val="5D047DC7"/>
    <w:rsid w:val="5D3E3772"/>
    <w:rsid w:val="5DA12EF6"/>
    <w:rsid w:val="5DA87473"/>
    <w:rsid w:val="5DDA641E"/>
    <w:rsid w:val="5DEA439C"/>
    <w:rsid w:val="5E0C2A7C"/>
    <w:rsid w:val="5E102DF1"/>
    <w:rsid w:val="5E111E29"/>
    <w:rsid w:val="5E3E0745"/>
    <w:rsid w:val="5E3E4826"/>
    <w:rsid w:val="5E4D2736"/>
    <w:rsid w:val="5E6051A9"/>
    <w:rsid w:val="5E7D74BF"/>
    <w:rsid w:val="5E8E3203"/>
    <w:rsid w:val="5E912ACB"/>
    <w:rsid w:val="5EAD270C"/>
    <w:rsid w:val="5EBA426F"/>
    <w:rsid w:val="5EED5D96"/>
    <w:rsid w:val="5EF62DCD"/>
    <w:rsid w:val="5EFA19B0"/>
    <w:rsid w:val="5F2B6F1B"/>
    <w:rsid w:val="5F2E6A0B"/>
    <w:rsid w:val="5F37766E"/>
    <w:rsid w:val="5F3C2ED6"/>
    <w:rsid w:val="5F410EC2"/>
    <w:rsid w:val="5F4143E7"/>
    <w:rsid w:val="5F473629"/>
    <w:rsid w:val="5F4973A1"/>
    <w:rsid w:val="5F630463"/>
    <w:rsid w:val="5F70492E"/>
    <w:rsid w:val="5F7A39FE"/>
    <w:rsid w:val="5F7B059A"/>
    <w:rsid w:val="5F8108E9"/>
    <w:rsid w:val="5F971F42"/>
    <w:rsid w:val="5FB83819"/>
    <w:rsid w:val="5FBC4017"/>
    <w:rsid w:val="5FD046FC"/>
    <w:rsid w:val="5FD055B8"/>
    <w:rsid w:val="5FDB53D3"/>
    <w:rsid w:val="5FDE5D3B"/>
    <w:rsid w:val="5FEB2206"/>
    <w:rsid w:val="5FF437B1"/>
    <w:rsid w:val="60136C47"/>
    <w:rsid w:val="6014175D"/>
    <w:rsid w:val="60172113"/>
    <w:rsid w:val="602045A6"/>
    <w:rsid w:val="60211A34"/>
    <w:rsid w:val="60430294"/>
    <w:rsid w:val="60AC0D1D"/>
    <w:rsid w:val="60C34F31"/>
    <w:rsid w:val="60D672B7"/>
    <w:rsid w:val="60DD4245"/>
    <w:rsid w:val="60F5158E"/>
    <w:rsid w:val="61001CE1"/>
    <w:rsid w:val="610E2FA3"/>
    <w:rsid w:val="61204131"/>
    <w:rsid w:val="612E2E3F"/>
    <w:rsid w:val="6148673D"/>
    <w:rsid w:val="61804D52"/>
    <w:rsid w:val="619F774C"/>
    <w:rsid w:val="61BA4586"/>
    <w:rsid w:val="61BB4C0A"/>
    <w:rsid w:val="61BE3783"/>
    <w:rsid w:val="61CC087E"/>
    <w:rsid w:val="621023F8"/>
    <w:rsid w:val="621C6331"/>
    <w:rsid w:val="623413FA"/>
    <w:rsid w:val="623720B9"/>
    <w:rsid w:val="6281442D"/>
    <w:rsid w:val="628A21AA"/>
    <w:rsid w:val="628D57F7"/>
    <w:rsid w:val="62953EF9"/>
    <w:rsid w:val="62CA07F9"/>
    <w:rsid w:val="62E660A8"/>
    <w:rsid w:val="62F34AE7"/>
    <w:rsid w:val="630E06E5"/>
    <w:rsid w:val="631A170A"/>
    <w:rsid w:val="634E4F86"/>
    <w:rsid w:val="635B76A3"/>
    <w:rsid w:val="63772D5E"/>
    <w:rsid w:val="637864A7"/>
    <w:rsid w:val="638229B1"/>
    <w:rsid w:val="6390709E"/>
    <w:rsid w:val="63956573"/>
    <w:rsid w:val="63C11BFC"/>
    <w:rsid w:val="63DD3441"/>
    <w:rsid w:val="6405643E"/>
    <w:rsid w:val="641A33C9"/>
    <w:rsid w:val="642108EC"/>
    <w:rsid w:val="6421269A"/>
    <w:rsid w:val="643E324C"/>
    <w:rsid w:val="644D16E1"/>
    <w:rsid w:val="64790728"/>
    <w:rsid w:val="6488096B"/>
    <w:rsid w:val="64A2372D"/>
    <w:rsid w:val="64A54380"/>
    <w:rsid w:val="64A743BD"/>
    <w:rsid w:val="64C66D2B"/>
    <w:rsid w:val="64DE0B89"/>
    <w:rsid w:val="64EE6A81"/>
    <w:rsid w:val="65147750"/>
    <w:rsid w:val="651915C4"/>
    <w:rsid w:val="65283023"/>
    <w:rsid w:val="65374CB3"/>
    <w:rsid w:val="65387F06"/>
    <w:rsid w:val="65516FAF"/>
    <w:rsid w:val="656971DE"/>
    <w:rsid w:val="65842EE1"/>
    <w:rsid w:val="6589332B"/>
    <w:rsid w:val="658E5B0E"/>
    <w:rsid w:val="65A00478"/>
    <w:rsid w:val="65C47781"/>
    <w:rsid w:val="65D75707"/>
    <w:rsid w:val="65DE4CE7"/>
    <w:rsid w:val="65E93A2A"/>
    <w:rsid w:val="65F0098F"/>
    <w:rsid w:val="65F71905"/>
    <w:rsid w:val="66012783"/>
    <w:rsid w:val="66355B16"/>
    <w:rsid w:val="6638543B"/>
    <w:rsid w:val="66386A97"/>
    <w:rsid w:val="66560D21"/>
    <w:rsid w:val="666351EC"/>
    <w:rsid w:val="666734AC"/>
    <w:rsid w:val="666F593F"/>
    <w:rsid w:val="667F5AE1"/>
    <w:rsid w:val="6686576C"/>
    <w:rsid w:val="669D5583"/>
    <w:rsid w:val="66B23A7E"/>
    <w:rsid w:val="66B95299"/>
    <w:rsid w:val="66BD6B7E"/>
    <w:rsid w:val="66D02725"/>
    <w:rsid w:val="66D33649"/>
    <w:rsid w:val="66DD52BA"/>
    <w:rsid w:val="66DE4873"/>
    <w:rsid w:val="66EF6A80"/>
    <w:rsid w:val="66F72914"/>
    <w:rsid w:val="66FF1E88"/>
    <w:rsid w:val="670E33AA"/>
    <w:rsid w:val="67134B24"/>
    <w:rsid w:val="67156787"/>
    <w:rsid w:val="6716225F"/>
    <w:rsid w:val="672B3808"/>
    <w:rsid w:val="67652B95"/>
    <w:rsid w:val="676B07FC"/>
    <w:rsid w:val="677F6056"/>
    <w:rsid w:val="67A61834"/>
    <w:rsid w:val="67B77730"/>
    <w:rsid w:val="67C33C2C"/>
    <w:rsid w:val="67DF4D46"/>
    <w:rsid w:val="67F56318"/>
    <w:rsid w:val="67F73E3E"/>
    <w:rsid w:val="681A7B2C"/>
    <w:rsid w:val="6825218D"/>
    <w:rsid w:val="68313297"/>
    <w:rsid w:val="684B606A"/>
    <w:rsid w:val="685513E8"/>
    <w:rsid w:val="68701E42"/>
    <w:rsid w:val="68703BF0"/>
    <w:rsid w:val="68721717"/>
    <w:rsid w:val="68725BBA"/>
    <w:rsid w:val="6881195A"/>
    <w:rsid w:val="68A45975"/>
    <w:rsid w:val="68A85056"/>
    <w:rsid w:val="68B02D52"/>
    <w:rsid w:val="68BA3A0C"/>
    <w:rsid w:val="68E021F0"/>
    <w:rsid w:val="68E36170"/>
    <w:rsid w:val="68F04F40"/>
    <w:rsid w:val="692077CC"/>
    <w:rsid w:val="692A3D9F"/>
    <w:rsid w:val="692F13B6"/>
    <w:rsid w:val="692F6ACE"/>
    <w:rsid w:val="69313380"/>
    <w:rsid w:val="694470B8"/>
    <w:rsid w:val="695B21AB"/>
    <w:rsid w:val="69616496"/>
    <w:rsid w:val="69845BA5"/>
    <w:rsid w:val="69877444"/>
    <w:rsid w:val="698C2CAC"/>
    <w:rsid w:val="698D0D6B"/>
    <w:rsid w:val="69A51678"/>
    <w:rsid w:val="69AF73B8"/>
    <w:rsid w:val="69B63885"/>
    <w:rsid w:val="69C73CE4"/>
    <w:rsid w:val="69D01A3D"/>
    <w:rsid w:val="69D92947"/>
    <w:rsid w:val="69EA7FA1"/>
    <w:rsid w:val="69F2393E"/>
    <w:rsid w:val="69F61ED3"/>
    <w:rsid w:val="69F640FE"/>
    <w:rsid w:val="69FA19C4"/>
    <w:rsid w:val="6A002D52"/>
    <w:rsid w:val="6A0665BA"/>
    <w:rsid w:val="6A301889"/>
    <w:rsid w:val="6A362A14"/>
    <w:rsid w:val="6A4229AA"/>
    <w:rsid w:val="6A59620E"/>
    <w:rsid w:val="6A6908F7"/>
    <w:rsid w:val="6A694D9B"/>
    <w:rsid w:val="6A6C0858"/>
    <w:rsid w:val="6A7A48B2"/>
    <w:rsid w:val="6A891C37"/>
    <w:rsid w:val="6A9144CF"/>
    <w:rsid w:val="6A967721"/>
    <w:rsid w:val="6A9A681C"/>
    <w:rsid w:val="6AAD2EDA"/>
    <w:rsid w:val="6AAD6A36"/>
    <w:rsid w:val="6AB029CA"/>
    <w:rsid w:val="6ACD70D8"/>
    <w:rsid w:val="6AD777B4"/>
    <w:rsid w:val="6AEC311A"/>
    <w:rsid w:val="6AF80B9B"/>
    <w:rsid w:val="6B0A52D4"/>
    <w:rsid w:val="6B0B19AE"/>
    <w:rsid w:val="6B1D005F"/>
    <w:rsid w:val="6B250115"/>
    <w:rsid w:val="6B2A713F"/>
    <w:rsid w:val="6B3017BF"/>
    <w:rsid w:val="6B326417"/>
    <w:rsid w:val="6B3C7DBA"/>
    <w:rsid w:val="6B4750DC"/>
    <w:rsid w:val="6B481681"/>
    <w:rsid w:val="6B526213"/>
    <w:rsid w:val="6B5F6CBC"/>
    <w:rsid w:val="6B6712DB"/>
    <w:rsid w:val="6B696C8B"/>
    <w:rsid w:val="6B6F63E1"/>
    <w:rsid w:val="6B7632CC"/>
    <w:rsid w:val="6B8C6F93"/>
    <w:rsid w:val="6B947495"/>
    <w:rsid w:val="6BAE0CB8"/>
    <w:rsid w:val="6BB77989"/>
    <w:rsid w:val="6BBB2455"/>
    <w:rsid w:val="6BBF5037"/>
    <w:rsid w:val="6BCA61D7"/>
    <w:rsid w:val="6BE97F42"/>
    <w:rsid w:val="6BEF75DA"/>
    <w:rsid w:val="6C016918"/>
    <w:rsid w:val="6C100350"/>
    <w:rsid w:val="6C1238A1"/>
    <w:rsid w:val="6C260708"/>
    <w:rsid w:val="6C27128A"/>
    <w:rsid w:val="6C2F050B"/>
    <w:rsid w:val="6C3513D9"/>
    <w:rsid w:val="6C7A6DEC"/>
    <w:rsid w:val="6C891569"/>
    <w:rsid w:val="6C9E2AA2"/>
    <w:rsid w:val="6CA6751F"/>
    <w:rsid w:val="6CB26586"/>
    <w:rsid w:val="6CC87B57"/>
    <w:rsid w:val="6CC938CF"/>
    <w:rsid w:val="6CCB7647"/>
    <w:rsid w:val="6CCE0EE6"/>
    <w:rsid w:val="6CDA3B04"/>
    <w:rsid w:val="6CEE3336"/>
    <w:rsid w:val="6CEF77DA"/>
    <w:rsid w:val="6D1D3FAA"/>
    <w:rsid w:val="6D201BB4"/>
    <w:rsid w:val="6D345FD2"/>
    <w:rsid w:val="6D4A0EB4"/>
    <w:rsid w:val="6D767E66"/>
    <w:rsid w:val="6D7D4DE5"/>
    <w:rsid w:val="6D8C327A"/>
    <w:rsid w:val="6D8E6C2C"/>
    <w:rsid w:val="6D8F04DF"/>
    <w:rsid w:val="6D9E6B0A"/>
    <w:rsid w:val="6DA42B5B"/>
    <w:rsid w:val="6DAD677E"/>
    <w:rsid w:val="6DAE4CA8"/>
    <w:rsid w:val="6DC412AC"/>
    <w:rsid w:val="6DDE15FC"/>
    <w:rsid w:val="6DE65D62"/>
    <w:rsid w:val="6E0F5663"/>
    <w:rsid w:val="6E2A65EF"/>
    <w:rsid w:val="6E325480"/>
    <w:rsid w:val="6E3556C0"/>
    <w:rsid w:val="6E786E93"/>
    <w:rsid w:val="6E826D74"/>
    <w:rsid w:val="6E91666F"/>
    <w:rsid w:val="6ECF624C"/>
    <w:rsid w:val="6ED33475"/>
    <w:rsid w:val="6EED5F9B"/>
    <w:rsid w:val="6EF30321"/>
    <w:rsid w:val="6EF70F13"/>
    <w:rsid w:val="6EF8049C"/>
    <w:rsid w:val="6EF971A6"/>
    <w:rsid w:val="6EFE1F56"/>
    <w:rsid w:val="6F150341"/>
    <w:rsid w:val="6F170586"/>
    <w:rsid w:val="6F204F34"/>
    <w:rsid w:val="6F2614AD"/>
    <w:rsid w:val="6F3237D5"/>
    <w:rsid w:val="6F4077B7"/>
    <w:rsid w:val="6F4A1255"/>
    <w:rsid w:val="6F614293"/>
    <w:rsid w:val="6F655B31"/>
    <w:rsid w:val="6F6B0C0B"/>
    <w:rsid w:val="6F86196C"/>
    <w:rsid w:val="6F92269E"/>
    <w:rsid w:val="6FA6433B"/>
    <w:rsid w:val="6FBA6C24"/>
    <w:rsid w:val="6FBD1E7A"/>
    <w:rsid w:val="6FBD6CD1"/>
    <w:rsid w:val="6FFB4570"/>
    <w:rsid w:val="701B2694"/>
    <w:rsid w:val="701C15D3"/>
    <w:rsid w:val="70291255"/>
    <w:rsid w:val="705160B5"/>
    <w:rsid w:val="705471E8"/>
    <w:rsid w:val="7060279C"/>
    <w:rsid w:val="706347FA"/>
    <w:rsid w:val="707F0E75"/>
    <w:rsid w:val="70932B72"/>
    <w:rsid w:val="70A26911"/>
    <w:rsid w:val="70C218D9"/>
    <w:rsid w:val="70C70149"/>
    <w:rsid w:val="70DE6F19"/>
    <w:rsid w:val="70DF2E13"/>
    <w:rsid w:val="70E03ACE"/>
    <w:rsid w:val="70E84C6C"/>
    <w:rsid w:val="711B7BED"/>
    <w:rsid w:val="712627BF"/>
    <w:rsid w:val="71290DE0"/>
    <w:rsid w:val="712F081C"/>
    <w:rsid w:val="714078B6"/>
    <w:rsid w:val="71453E6C"/>
    <w:rsid w:val="71630796"/>
    <w:rsid w:val="71702B61"/>
    <w:rsid w:val="717B522D"/>
    <w:rsid w:val="71852E55"/>
    <w:rsid w:val="71881FAB"/>
    <w:rsid w:val="719135DB"/>
    <w:rsid w:val="71970440"/>
    <w:rsid w:val="71977DF0"/>
    <w:rsid w:val="719B650A"/>
    <w:rsid w:val="71C50B09"/>
    <w:rsid w:val="71C56D5B"/>
    <w:rsid w:val="71D47E0D"/>
    <w:rsid w:val="71D60F68"/>
    <w:rsid w:val="71D96BFC"/>
    <w:rsid w:val="71E73175"/>
    <w:rsid w:val="71F25676"/>
    <w:rsid w:val="71F43367"/>
    <w:rsid w:val="72013C93"/>
    <w:rsid w:val="720E0702"/>
    <w:rsid w:val="721A1A47"/>
    <w:rsid w:val="72276EBD"/>
    <w:rsid w:val="72336654"/>
    <w:rsid w:val="723B4E5B"/>
    <w:rsid w:val="72477710"/>
    <w:rsid w:val="72486789"/>
    <w:rsid w:val="72627969"/>
    <w:rsid w:val="726F4F19"/>
    <w:rsid w:val="727644F9"/>
    <w:rsid w:val="728B1D53"/>
    <w:rsid w:val="72A2006A"/>
    <w:rsid w:val="72B648F6"/>
    <w:rsid w:val="72BA0D33"/>
    <w:rsid w:val="72C55C24"/>
    <w:rsid w:val="72C769F9"/>
    <w:rsid w:val="72E476B5"/>
    <w:rsid w:val="72FA20F1"/>
    <w:rsid w:val="72FF004B"/>
    <w:rsid w:val="731E7FAE"/>
    <w:rsid w:val="731F235A"/>
    <w:rsid w:val="734A25E8"/>
    <w:rsid w:val="73561FBC"/>
    <w:rsid w:val="73665047"/>
    <w:rsid w:val="737729BA"/>
    <w:rsid w:val="738C04BF"/>
    <w:rsid w:val="739015EB"/>
    <w:rsid w:val="73B82192"/>
    <w:rsid w:val="73C3376E"/>
    <w:rsid w:val="73C560FE"/>
    <w:rsid w:val="73CA68AB"/>
    <w:rsid w:val="73CB7E46"/>
    <w:rsid w:val="73D41765"/>
    <w:rsid w:val="73E62FB9"/>
    <w:rsid w:val="73EF3B37"/>
    <w:rsid w:val="73F57961"/>
    <w:rsid w:val="7443040B"/>
    <w:rsid w:val="744E4DC5"/>
    <w:rsid w:val="74561EEC"/>
    <w:rsid w:val="74626AE3"/>
    <w:rsid w:val="74650381"/>
    <w:rsid w:val="746B6A7E"/>
    <w:rsid w:val="746C10C3"/>
    <w:rsid w:val="747E44E0"/>
    <w:rsid w:val="748850B7"/>
    <w:rsid w:val="74933140"/>
    <w:rsid w:val="74AA0C93"/>
    <w:rsid w:val="74BE2394"/>
    <w:rsid w:val="74C0380A"/>
    <w:rsid w:val="74C90910"/>
    <w:rsid w:val="74CA5FCA"/>
    <w:rsid w:val="74CB28DA"/>
    <w:rsid w:val="74CC4A13"/>
    <w:rsid w:val="751713A4"/>
    <w:rsid w:val="751F2C26"/>
    <w:rsid w:val="75301310"/>
    <w:rsid w:val="75371D1E"/>
    <w:rsid w:val="753A79B9"/>
    <w:rsid w:val="754C32F8"/>
    <w:rsid w:val="75705230"/>
    <w:rsid w:val="758D5DE2"/>
    <w:rsid w:val="75970A0E"/>
    <w:rsid w:val="75CA4C66"/>
    <w:rsid w:val="75D67789"/>
    <w:rsid w:val="75FC6AC3"/>
    <w:rsid w:val="760D3C86"/>
    <w:rsid w:val="76530DD9"/>
    <w:rsid w:val="766A1F37"/>
    <w:rsid w:val="766C0F95"/>
    <w:rsid w:val="7677439C"/>
    <w:rsid w:val="769E5CA3"/>
    <w:rsid w:val="76BF5A2B"/>
    <w:rsid w:val="76D37824"/>
    <w:rsid w:val="76E557A9"/>
    <w:rsid w:val="76F81981"/>
    <w:rsid w:val="77020109"/>
    <w:rsid w:val="770518F3"/>
    <w:rsid w:val="770E4D00"/>
    <w:rsid w:val="773D55E5"/>
    <w:rsid w:val="774D1C68"/>
    <w:rsid w:val="775B5A6C"/>
    <w:rsid w:val="776E579F"/>
    <w:rsid w:val="77737259"/>
    <w:rsid w:val="7783749C"/>
    <w:rsid w:val="779553F4"/>
    <w:rsid w:val="77A41228"/>
    <w:rsid w:val="77AB254F"/>
    <w:rsid w:val="77B07A2E"/>
    <w:rsid w:val="77C37BF5"/>
    <w:rsid w:val="77C83101"/>
    <w:rsid w:val="77E15F71"/>
    <w:rsid w:val="77E85551"/>
    <w:rsid w:val="77EB6DF0"/>
    <w:rsid w:val="77FC2DAB"/>
    <w:rsid w:val="780874B3"/>
    <w:rsid w:val="780A196C"/>
    <w:rsid w:val="781D0955"/>
    <w:rsid w:val="783B2235"/>
    <w:rsid w:val="784F55D0"/>
    <w:rsid w:val="78500CC2"/>
    <w:rsid w:val="78515E73"/>
    <w:rsid w:val="78666CB0"/>
    <w:rsid w:val="786747FF"/>
    <w:rsid w:val="78941235"/>
    <w:rsid w:val="78B77851"/>
    <w:rsid w:val="78C24DA9"/>
    <w:rsid w:val="78DB3308"/>
    <w:rsid w:val="79237F98"/>
    <w:rsid w:val="792C61C2"/>
    <w:rsid w:val="793C2903"/>
    <w:rsid w:val="794168E7"/>
    <w:rsid w:val="7956298E"/>
    <w:rsid w:val="79606C1D"/>
    <w:rsid w:val="79752E15"/>
    <w:rsid w:val="79764DDF"/>
    <w:rsid w:val="79780B57"/>
    <w:rsid w:val="797B7075"/>
    <w:rsid w:val="79984D53"/>
    <w:rsid w:val="79B871A5"/>
    <w:rsid w:val="79C02B5B"/>
    <w:rsid w:val="79C1605A"/>
    <w:rsid w:val="79CA45F3"/>
    <w:rsid w:val="79D03B1A"/>
    <w:rsid w:val="79E32474"/>
    <w:rsid w:val="79EE2BC7"/>
    <w:rsid w:val="79F24156"/>
    <w:rsid w:val="79F569B1"/>
    <w:rsid w:val="7A48677B"/>
    <w:rsid w:val="7A765096"/>
    <w:rsid w:val="7A7F1A0A"/>
    <w:rsid w:val="7A9C2623"/>
    <w:rsid w:val="7A9F00BD"/>
    <w:rsid w:val="7AB23BF5"/>
    <w:rsid w:val="7AC8623E"/>
    <w:rsid w:val="7AD26045"/>
    <w:rsid w:val="7AD973D3"/>
    <w:rsid w:val="7AF701BA"/>
    <w:rsid w:val="7AFA57B1"/>
    <w:rsid w:val="7AFF4998"/>
    <w:rsid w:val="7B1D4FDB"/>
    <w:rsid w:val="7B3D733B"/>
    <w:rsid w:val="7B4F429F"/>
    <w:rsid w:val="7B65510B"/>
    <w:rsid w:val="7B670810"/>
    <w:rsid w:val="7B676AD6"/>
    <w:rsid w:val="7B827A6B"/>
    <w:rsid w:val="7B890DF9"/>
    <w:rsid w:val="7B8A2A65"/>
    <w:rsid w:val="7BB120FE"/>
    <w:rsid w:val="7BB310BF"/>
    <w:rsid w:val="7BE40E8F"/>
    <w:rsid w:val="7BEA317E"/>
    <w:rsid w:val="7BFA22B1"/>
    <w:rsid w:val="7C0B35E0"/>
    <w:rsid w:val="7C176405"/>
    <w:rsid w:val="7C3A0345"/>
    <w:rsid w:val="7C4A6335"/>
    <w:rsid w:val="7C594D0E"/>
    <w:rsid w:val="7C896BD7"/>
    <w:rsid w:val="7C910170"/>
    <w:rsid w:val="7CAA54CB"/>
    <w:rsid w:val="7CAC102E"/>
    <w:rsid w:val="7CD073A3"/>
    <w:rsid w:val="7CD10256"/>
    <w:rsid w:val="7CD2057E"/>
    <w:rsid w:val="7CD24A22"/>
    <w:rsid w:val="7CFA3B8F"/>
    <w:rsid w:val="7CFC3742"/>
    <w:rsid w:val="7D0A7D18"/>
    <w:rsid w:val="7D1B0177"/>
    <w:rsid w:val="7D1C5B8A"/>
    <w:rsid w:val="7D2F777E"/>
    <w:rsid w:val="7D442589"/>
    <w:rsid w:val="7D5C493C"/>
    <w:rsid w:val="7D5D1C61"/>
    <w:rsid w:val="7D7777F4"/>
    <w:rsid w:val="7D7D673C"/>
    <w:rsid w:val="7D8E7831"/>
    <w:rsid w:val="7D955142"/>
    <w:rsid w:val="7DAB3CA8"/>
    <w:rsid w:val="7DAB7DD2"/>
    <w:rsid w:val="7DDA593C"/>
    <w:rsid w:val="7DDC28F6"/>
    <w:rsid w:val="7E105802"/>
    <w:rsid w:val="7E1318DE"/>
    <w:rsid w:val="7E195E3C"/>
    <w:rsid w:val="7E282F37"/>
    <w:rsid w:val="7E325195"/>
    <w:rsid w:val="7E435B33"/>
    <w:rsid w:val="7E4C1555"/>
    <w:rsid w:val="7E720471"/>
    <w:rsid w:val="7E843AFA"/>
    <w:rsid w:val="7E8A55B4"/>
    <w:rsid w:val="7EAF0E69"/>
    <w:rsid w:val="7F080287"/>
    <w:rsid w:val="7F2873FC"/>
    <w:rsid w:val="7F290BBB"/>
    <w:rsid w:val="7F3478C3"/>
    <w:rsid w:val="7F376DBE"/>
    <w:rsid w:val="7F3A57B2"/>
    <w:rsid w:val="7F506EF2"/>
    <w:rsid w:val="7F525799"/>
    <w:rsid w:val="7F673200"/>
    <w:rsid w:val="7F6D0330"/>
    <w:rsid w:val="7F792F33"/>
    <w:rsid w:val="7F7F0B3B"/>
    <w:rsid w:val="7FA06711"/>
    <w:rsid w:val="7FA33145"/>
    <w:rsid w:val="7FBE43E0"/>
    <w:rsid w:val="7FCA378E"/>
    <w:rsid w:val="7FCD3E4E"/>
    <w:rsid w:val="7FD86EE9"/>
    <w:rsid w:val="7FE26D2A"/>
    <w:rsid w:val="7FF657E7"/>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semiHidden="0"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nhideWhenUsed="0" w:uiPriority="0" w:semiHidden="0" w:name="caption"/>
    <w:lsdException w:uiPriority="99" w:name="table of figures"/>
    <w:lsdException w:uiPriority="99" w:name="envelope address"/>
    <w:lsdException w:uiPriority="99" w:name="envelope return"/>
    <w:lsdException w:qFormat="1"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2"/>
      <w:lang w:val="en-US" w:eastAsia="zh-CN" w:bidi="ar-SA"/>
    </w:rPr>
  </w:style>
  <w:style w:type="paragraph" w:styleId="2">
    <w:name w:val="heading 1"/>
    <w:basedOn w:val="1"/>
    <w:next w:val="1"/>
    <w:qFormat/>
    <w:uiPriority w:val="0"/>
    <w:pPr>
      <w:keepNext/>
      <w:keepLines/>
      <w:spacing w:before="480" w:after="80"/>
      <w:jc w:val="center"/>
      <w:outlineLvl w:val="0"/>
    </w:pPr>
    <w:rPr>
      <w:rFonts w:ascii="等线 Light" w:hAnsi="等线 Light" w:cs="黑体"/>
      <w:b/>
      <w:sz w:val="32"/>
      <w:szCs w:val="48"/>
    </w:rPr>
  </w:style>
  <w:style w:type="paragraph" w:styleId="3">
    <w:name w:val="heading 2"/>
    <w:basedOn w:val="1"/>
    <w:next w:val="1"/>
    <w:unhideWhenUsed/>
    <w:qFormat/>
    <w:uiPriority w:val="9"/>
    <w:pPr>
      <w:keepNext/>
      <w:keepLines/>
      <w:spacing w:before="160" w:after="80"/>
      <w:ind w:firstLine="200" w:firstLineChars="200"/>
      <w:jc w:val="left"/>
      <w:outlineLvl w:val="1"/>
    </w:pPr>
    <w:rPr>
      <w:rFonts w:ascii="等线 Light" w:hAnsi="等线 Light" w:cs="黑体"/>
      <w:b/>
      <w:sz w:val="28"/>
      <w:szCs w:val="40"/>
    </w:rPr>
  </w:style>
  <w:style w:type="paragraph" w:styleId="4">
    <w:name w:val="heading 3"/>
    <w:basedOn w:val="1"/>
    <w:next w:val="1"/>
    <w:unhideWhenUsed/>
    <w:qFormat/>
    <w:uiPriority w:val="9"/>
    <w:pPr>
      <w:keepNext/>
      <w:keepLines/>
      <w:spacing w:before="160" w:after="80"/>
      <w:ind w:firstLine="200" w:firstLineChars="200"/>
      <w:outlineLvl w:val="2"/>
    </w:pPr>
    <w:rPr>
      <w:rFonts w:ascii="等线 Light" w:hAnsi="等线 Light" w:cs="黑体"/>
      <w:b/>
      <w:sz w:val="28"/>
      <w:szCs w:val="32"/>
    </w:rPr>
  </w:style>
  <w:style w:type="character" w:default="1" w:styleId="19">
    <w:name w:val="Default Paragraph Font"/>
    <w:unhideWhenUsed/>
    <w:qFormat/>
    <w:uiPriority w:val="1"/>
  </w:style>
  <w:style w:type="table" w:default="1" w:styleId="17">
    <w:name w:val="Normal Table"/>
    <w:unhideWhenUsed/>
    <w:qFormat/>
    <w:uiPriority w:val="99"/>
    <w:tblPr>
      <w:tblCellMar>
        <w:top w:w="0" w:type="dxa"/>
        <w:left w:w="108" w:type="dxa"/>
        <w:bottom w:w="0" w:type="dxa"/>
        <w:right w:w="108" w:type="dxa"/>
      </w:tblCellMar>
    </w:tblPr>
  </w:style>
  <w:style w:type="paragraph" w:styleId="5">
    <w:name w:val="caption"/>
    <w:basedOn w:val="1"/>
    <w:next w:val="1"/>
    <w:qFormat/>
    <w:uiPriority w:val="0"/>
    <w:pPr>
      <w:spacing w:line="360" w:lineRule="auto"/>
      <w:ind w:firstLine="420" w:firstLineChars="200"/>
    </w:pPr>
    <w:rPr>
      <w:rFonts w:ascii="Arial" w:hAnsi="Arial" w:eastAsia="黑体" w:cs="Times New Roman"/>
      <w:kern w:val="2"/>
      <w:sz w:val="20"/>
      <w:szCs w:val="20"/>
      <w:lang w:val="en-US" w:eastAsia="zh-CN" w:bidi="ar-SA"/>
    </w:rPr>
  </w:style>
  <w:style w:type="paragraph" w:styleId="6">
    <w:name w:val="annotation text"/>
    <w:basedOn w:val="1"/>
    <w:unhideWhenUsed/>
    <w:qFormat/>
    <w:uiPriority w:val="99"/>
    <w:pPr>
      <w:jc w:val="left"/>
    </w:pPr>
  </w:style>
  <w:style w:type="paragraph" w:styleId="7">
    <w:name w:val="Body Text"/>
    <w:basedOn w:val="1"/>
    <w:link w:val="34"/>
    <w:semiHidden/>
    <w:qFormat/>
    <w:uiPriority w:val="0"/>
    <w:pPr>
      <w:widowControl/>
      <w:kinsoku w:val="0"/>
      <w:autoSpaceDE w:val="0"/>
      <w:autoSpaceDN w:val="0"/>
      <w:adjustRightInd w:val="0"/>
      <w:snapToGrid w:val="0"/>
      <w:jc w:val="left"/>
      <w:textAlignment w:val="baseline"/>
    </w:pPr>
    <w:rPr>
      <w:rFonts w:ascii="仿宋" w:hAnsi="仿宋" w:eastAsia="仿宋" w:cs="仿宋"/>
      <w:snapToGrid w:val="0"/>
      <w:color w:val="000000"/>
      <w:kern w:val="0"/>
      <w:sz w:val="29"/>
      <w:szCs w:val="29"/>
      <w:lang w:eastAsia="en-US"/>
    </w:rPr>
  </w:style>
  <w:style w:type="paragraph" w:styleId="8">
    <w:name w:val="toc 3"/>
    <w:basedOn w:val="1"/>
    <w:next w:val="1"/>
    <w:unhideWhenUsed/>
    <w:qFormat/>
    <w:uiPriority w:val="39"/>
    <w:pPr>
      <w:ind w:left="840" w:leftChars="400"/>
    </w:pPr>
  </w:style>
  <w:style w:type="paragraph" w:styleId="9">
    <w:name w:val="Balloon Text"/>
    <w:basedOn w:val="1"/>
    <w:link w:val="33"/>
    <w:unhideWhenUsed/>
    <w:qFormat/>
    <w:uiPriority w:val="99"/>
    <w:rPr>
      <w:sz w:val="18"/>
      <w:szCs w:val="18"/>
    </w:rPr>
  </w:style>
  <w:style w:type="paragraph" w:styleId="10">
    <w:name w:val="footer"/>
    <w:basedOn w:val="1"/>
    <w:link w:val="32"/>
    <w:unhideWhenUsed/>
    <w:qFormat/>
    <w:uiPriority w:val="99"/>
    <w:pPr>
      <w:tabs>
        <w:tab w:val="center" w:pos="4153"/>
        <w:tab w:val="right" w:pos="8306"/>
      </w:tabs>
      <w:snapToGrid w:val="0"/>
      <w:jc w:val="left"/>
    </w:pPr>
    <w:rPr>
      <w:sz w:val="18"/>
      <w:szCs w:val="18"/>
    </w:rPr>
  </w:style>
  <w:style w:type="paragraph" w:styleId="11">
    <w:name w:val="header"/>
    <w:basedOn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tabs>
        <w:tab w:val="right" w:leader="dot" w:pos="8296"/>
      </w:tabs>
      <w:ind w:firstLine="643" w:firstLineChars="200"/>
    </w:pPr>
    <w:rPr>
      <w:rFonts w:ascii="仿宋" w:hAnsi="仿宋" w:eastAsia="仿宋" w:cs="黑体"/>
      <w:b/>
      <w:sz w:val="32"/>
      <w:szCs w:val="32"/>
    </w:rPr>
  </w:style>
  <w:style w:type="paragraph" w:styleId="13">
    <w:name w:val="footnote text"/>
    <w:basedOn w:val="1"/>
    <w:link w:val="29"/>
    <w:unhideWhenUsed/>
    <w:qFormat/>
    <w:uiPriority w:val="99"/>
    <w:pPr>
      <w:snapToGrid w:val="0"/>
      <w:ind w:left="641"/>
      <w:jc w:val="left"/>
    </w:pPr>
    <w:rPr>
      <w:rFonts w:ascii="仿宋" w:hAnsi="仿宋" w:eastAsia="仿宋" w:cs="Times New Roman"/>
      <w:b/>
      <w:bCs/>
      <w:sz w:val="18"/>
      <w:szCs w:val="18"/>
    </w:rPr>
  </w:style>
  <w:style w:type="paragraph" w:styleId="14">
    <w:name w:val="toc 2"/>
    <w:basedOn w:val="1"/>
    <w:next w:val="1"/>
    <w:unhideWhenUsed/>
    <w:qFormat/>
    <w:uiPriority w:val="39"/>
    <w:pPr>
      <w:ind w:left="420" w:leftChars="200"/>
    </w:pPr>
  </w:style>
  <w:style w:type="paragraph" w:styleId="15">
    <w:name w:val="Body Text 2"/>
    <w:basedOn w:val="1"/>
    <w:qFormat/>
    <w:uiPriority w:val="0"/>
    <w:pPr>
      <w:spacing w:after="120" w:line="480" w:lineRule="auto"/>
    </w:pPr>
    <w:rPr>
      <w:szCs w:val="22"/>
    </w:rPr>
  </w:style>
  <w:style w:type="paragraph" w:styleId="16">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table" w:styleId="18">
    <w:name w:val="Table Grid"/>
    <w:basedOn w:val="17"/>
    <w:qFormat/>
    <w:uiPriority w:val="0"/>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0">
    <w:name w:val="Strong"/>
    <w:basedOn w:val="19"/>
    <w:qFormat/>
    <w:uiPriority w:val="22"/>
    <w:rPr>
      <w:b/>
      <w:bCs/>
    </w:rPr>
  </w:style>
  <w:style w:type="character" w:styleId="21">
    <w:name w:val="Emphasis"/>
    <w:basedOn w:val="19"/>
    <w:qFormat/>
    <w:uiPriority w:val="20"/>
    <w:rPr>
      <w:i/>
    </w:rPr>
  </w:style>
  <w:style w:type="character" w:styleId="22">
    <w:name w:val="footnote reference"/>
    <w:basedOn w:val="19"/>
    <w:qFormat/>
    <w:uiPriority w:val="99"/>
    <w:rPr>
      <w:vertAlign w:val="superscript"/>
    </w:rPr>
  </w:style>
  <w:style w:type="paragraph" w:customStyle="1" w:styleId="23">
    <w:name w:val="No Spacing"/>
    <w:qFormat/>
    <w:uiPriority w:val="1"/>
    <w:pPr>
      <w:widowControl w:val="0"/>
      <w:jc w:val="both"/>
    </w:pPr>
    <w:rPr>
      <w:rFonts w:ascii="Calibri" w:hAnsi="Calibri" w:eastAsia="宋体" w:cs="Times New Roman"/>
      <w:kern w:val="2"/>
      <w:sz w:val="21"/>
      <w:szCs w:val="22"/>
      <w:lang w:val="en-US" w:eastAsia="zh-CN" w:bidi="ar-SA"/>
    </w:rPr>
  </w:style>
  <w:style w:type="paragraph" w:customStyle="1" w:styleId="24">
    <w:name w:val="无间隔1"/>
    <w:qFormat/>
    <w:uiPriority w:val="1"/>
    <w:pPr>
      <w:widowControl w:val="0"/>
      <w:ind w:firstLine="640" w:firstLineChars="200"/>
      <w:jc w:val="center"/>
    </w:pPr>
    <w:rPr>
      <w:rFonts w:ascii="黑体" w:hAnsi="黑体" w:eastAsia="黑体" w:cs="Arial"/>
      <w:kern w:val="2"/>
      <w:sz w:val="32"/>
      <w:szCs w:val="32"/>
      <w:shd w:val="clear" w:color="auto" w:fill="FFFFFF"/>
      <w:lang w:val="en-US" w:eastAsia="zh-CN" w:bidi="ar-SA"/>
    </w:rPr>
  </w:style>
  <w:style w:type="paragraph" w:customStyle="1" w:styleId="25">
    <w:name w:val="style"/>
    <w:basedOn w:val="1"/>
    <w:qFormat/>
    <w:uiPriority w:val="0"/>
    <w:pPr>
      <w:overflowPunct w:val="0"/>
      <w:topLinePunct/>
    </w:pPr>
    <w:rPr>
      <w:rFonts w:ascii="Times New Roman" w:hAnsi="Times New Roman" w:eastAsia="仿宋_GB2312" w:cs="Times New Roman"/>
      <w:sz w:val="32"/>
      <w:szCs w:val="24"/>
    </w:rPr>
  </w:style>
  <w:style w:type="paragraph" w:customStyle="1" w:styleId="26">
    <w:name w:val="WPSOffice手动目录 1"/>
    <w:qFormat/>
    <w:uiPriority w:val="0"/>
    <w:pPr>
      <w:ind w:leftChars="0"/>
    </w:pPr>
    <w:rPr>
      <w:rFonts w:ascii="Times New Roman" w:hAnsi="Times New Roman" w:eastAsia="宋体" w:cs="Times New Roman"/>
      <w:sz w:val="20"/>
      <w:szCs w:val="20"/>
      <w:lang w:val="en-US" w:eastAsia="zh-CN" w:bidi="ar-SA"/>
    </w:rPr>
  </w:style>
  <w:style w:type="paragraph" w:customStyle="1" w:styleId="27">
    <w:name w:val="WPSOffice手动目录 2"/>
    <w:qFormat/>
    <w:uiPriority w:val="0"/>
    <w:pPr>
      <w:ind w:leftChars="200"/>
    </w:pPr>
    <w:rPr>
      <w:rFonts w:ascii="Times New Roman" w:hAnsi="Times New Roman" w:eastAsia="宋体" w:cs="Times New Roman"/>
      <w:sz w:val="20"/>
      <w:szCs w:val="20"/>
      <w:lang w:val="en-US" w:eastAsia="zh-CN" w:bidi="ar-SA"/>
    </w:rPr>
  </w:style>
  <w:style w:type="paragraph" w:customStyle="1" w:styleId="28">
    <w:name w:val="WPSOffice手动目录 3"/>
    <w:qFormat/>
    <w:uiPriority w:val="0"/>
    <w:pPr>
      <w:ind w:leftChars="400"/>
    </w:pPr>
    <w:rPr>
      <w:rFonts w:ascii="Times New Roman" w:hAnsi="Times New Roman" w:eastAsia="宋体" w:cs="Times New Roman"/>
      <w:sz w:val="20"/>
      <w:szCs w:val="20"/>
      <w:lang w:val="en-US" w:eastAsia="zh-CN" w:bidi="ar-SA"/>
    </w:rPr>
  </w:style>
  <w:style w:type="character" w:customStyle="1" w:styleId="29">
    <w:name w:val="脚注文本 字符"/>
    <w:basedOn w:val="19"/>
    <w:link w:val="13"/>
    <w:semiHidden/>
    <w:qFormat/>
    <w:uiPriority w:val="99"/>
    <w:rPr>
      <w:rFonts w:ascii="仿宋" w:hAnsi="仿宋" w:eastAsia="仿宋" w:cs="Times New Roman"/>
      <w:b/>
      <w:bCs/>
      <w:sz w:val="18"/>
      <w:szCs w:val="18"/>
    </w:rPr>
  </w:style>
  <w:style w:type="character" w:customStyle="1" w:styleId="30">
    <w:name w:val="text-tag"/>
    <w:basedOn w:val="19"/>
    <w:qFormat/>
    <w:uiPriority w:val="0"/>
  </w:style>
  <w:style w:type="character" w:customStyle="1" w:styleId="31">
    <w:name w:val="页眉 字符"/>
    <w:basedOn w:val="19"/>
    <w:link w:val="11"/>
    <w:qFormat/>
    <w:uiPriority w:val="99"/>
    <w:rPr>
      <w:rFonts w:ascii="Calibri" w:hAnsi="Calibri" w:eastAsia="宋体" w:cs="Arial"/>
      <w:sz w:val="18"/>
      <w:szCs w:val="18"/>
    </w:rPr>
  </w:style>
  <w:style w:type="character" w:customStyle="1" w:styleId="32">
    <w:name w:val="页脚 字符"/>
    <w:basedOn w:val="19"/>
    <w:link w:val="10"/>
    <w:qFormat/>
    <w:uiPriority w:val="99"/>
    <w:rPr>
      <w:rFonts w:ascii="Calibri" w:hAnsi="Calibri" w:eastAsia="宋体" w:cs="Arial"/>
      <w:sz w:val="18"/>
      <w:szCs w:val="18"/>
    </w:rPr>
  </w:style>
  <w:style w:type="character" w:customStyle="1" w:styleId="33">
    <w:name w:val="批注框文本 字符"/>
    <w:basedOn w:val="19"/>
    <w:link w:val="9"/>
    <w:semiHidden/>
    <w:qFormat/>
    <w:uiPriority w:val="99"/>
    <w:rPr>
      <w:rFonts w:ascii="Calibri" w:hAnsi="Calibri" w:eastAsia="宋体" w:cs="Arial"/>
      <w:kern w:val="2"/>
      <w:sz w:val="18"/>
      <w:szCs w:val="18"/>
    </w:rPr>
  </w:style>
  <w:style w:type="character" w:customStyle="1" w:styleId="34">
    <w:name w:val="正文文本 字符"/>
    <w:basedOn w:val="19"/>
    <w:link w:val="7"/>
    <w:semiHidden/>
    <w:qFormat/>
    <w:uiPriority w:val="0"/>
    <w:rPr>
      <w:rFonts w:ascii="仿宋" w:hAnsi="仿宋" w:eastAsia="仿宋" w:cs="仿宋"/>
      <w:snapToGrid w:val="0"/>
      <w:color w:val="000000"/>
      <w:sz w:val="29"/>
      <w:szCs w:val="29"/>
      <w:lang w:eastAsia="en-US"/>
    </w:rPr>
  </w:style>
</w:styles>
</file>

<file path=word/_rels/document.xml.rels><?xml version="1.0" encoding="UTF-8" standalone="yes"?>
<Relationships xmlns="http://schemas.openxmlformats.org/package/2006/relationships"><Relationship Id="rId9" Type="http://schemas.openxmlformats.org/officeDocument/2006/relationships/oleObject" Target="embeddings/oleObject1.bin"/><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image" Target="media/image1.e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105</Pages>
  <Words>54920</Words>
  <Characters>56479</Characters>
  <Lines>478</Lines>
  <Paragraphs>134</Paragraphs>
  <TotalTime>0</TotalTime>
  <ScaleCrop>false</ScaleCrop>
  <LinksUpToDate>false</LinksUpToDate>
  <CharactersWithSpaces>56611</CharactersWithSpaces>
  <Application>WPS Office_12.1.0.16929_F1E327BC-269C-435d-A152-05C5408002CA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2025-03-21T07:05:00Z</dcterms:created>
  <dc:creator>lenovo</dc:creator>
  <cp:lastModifiedBy>徐东升</cp:lastModifiedBy>
  <cp:lastPrinted>2026-05-07T08:36:00Z</cp:lastPrinted>
  <dcterms:modified xsi:type="dcterms:W3CDTF">2026-06-02T10:45:35Z</dcterms:modified>
  <dc:title>前  言</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2052-12.1.0.16929</vt:lpwstr>
  </property>
  <property fmtid="{D5CDD505-2E9C-101B-9397-08002B2CF9AE}" pid="3" name="ICV">
    <vt:lpwstr>2E73B28F7C0C4114B32FF5B9CC536538_13</vt:lpwstr>
  </property>
  <property fmtid="{D5CDD505-2E9C-101B-9397-08002B2CF9AE}" pid="4" name="KSOTemplateDocerSaveRecord">
    <vt:lpwstr>eyJoZGlkIjoiYjdkMDE5MDNkNjU1ZDBmOGY2N2U4ODQ0NDgzOTEwYzEiLCJ1c2VySWQiOiI1NDA2OTYwMzcifQ==</vt:lpwstr>
  </property>
</Properties>
</file>