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sz w:val="72"/>
          <w:szCs w:val="72"/>
        </w:rPr>
      </w:pPr>
      <w:r>
        <w:rPr>
          <w:rFonts w:hint="eastAsia" w:ascii="宋体" w:hAnsi="宋体" w:eastAsia="宋体" w:cs="宋体"/>
          <w:sz w:val="56"/>
          <w:szCs w:val="56"/>
        </w:rPr>
        <w:t xml:space="preserve"> 智能水表</w:t>
      </w:r>
    </w:p>
    <w:p>
      <w:pPr>
        <w:spacing w:line="600" w:lineRule="auto"/>
        <w:jc w:val="center"/>
        <w:rPr>
          <w:rFonts w:ascii="宋体" w:hAnsi="宋体" w:eastAsia="宋体" w:cs="宋体"/>
          <w:sz w:val="48"/>
          <w:szCs w:val="72"/>
        </w:rPr>
      </w:pPr>
      <w:r>
        <w:rPr>
          <w:rFonts w:hint="eastAsia" w:ascii="宋体" w:hAnsi="宋体" w:eastAsia="宋体" w:cs="宋体"/>
          <w:sz w:val="44"/>
          <w:szCs w:val="56"/>
        </w:rPr>
        <w:t>（LoRa无线远传大口径）</w:t>
      </w:r>
    </w:p>
    <w:p>
      <w:pPr>
        <w:spacing w:line="600" w:lineRule="auto"/>
        <w:jc w:val="center"/>
        <w:rPr>
          <w:rFonts w:hint="eastAsia" w:ascii="隶书" w:hAnsi="宋体" w:eastAsia="隶书" w:cs="宋体"/>
          <w:b/>
          <w:sz w:val="72"/>
          <w:szCs w:val="72"/>
        </w:rPr>
      </w:pPr>
      <w:r>
        <w:rPr>
          <w:rFonts w:hint="eastAsia" w:ascii="隶书" w:hAnsi="宋体" w:eastAsia="隶书" w:cs="宋体"/>
          <w:b/>
          <w:sz w:val="72"/>
          <w:szCs w:val="72"/>
        </w:rPr>
        <w:t>使用说明书</w:t>
      </w:r>
    </w:p>
    <w:p>
      <w:pPr>
        <w:spacing w:line="600" w:lineRule="auto"/>
        <w:jc w:val="center"/>
        <w:rPr>
          <w:rFonts w:hint="eastAsia" w:ascii="隶书" w:hAnsi="宋体" w:eastAsia="隶书" w:cs="宋体"/>
          <w:b/>
          <w:sz w:val="72"/>
          <w:szCs w:val="72"/>
        </w:rPr>
      </w:pPr>
    </w:p>
    <w:p>
      <w:pPr>
        <w:spacing w:line="600" w:lineRule="auto"/>
        <w:jc w:val="center"/>
        <w:rPr>
          <w:rFonts w:hint="eastAsia" w:ascii="隶书" w:hAnsi="宋体" w:eastAsia="隶书" w:cs="宋体"/>
          <w:b/>
          <w:sz w:val="72"/>
          <w:szCs w:val="72"/>
        </w:rPr>
      </w:pPr>
    </w:p>
    <w:p>
      <w:pPr>
        <w:spacing w:line="600" w:lineRule="auto"/>
        <w:jc w:val="center"/>
        <w:rPr>
          <w:rFonts w:hint="eastAsia" w:ascii="隶书" w:hAnsi="宋体" w:eastAsia="隶书" w:cs="宋体"/>
          <w:b/>
          <w:sz w:val="72"/>
          <w:szCs w:val="72"/>
        </w:rPr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(YM228-V1.2)</w:t>
      </w:r>
    </w:p>
    <w:p>
      <w:pPr>
        <w:rPr>
          <w:rFonts w:hint="eastAsia"/>
          <w:sz w:val="32"/>
          <w:szCs w:val="32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81915</wp:posOffset>
            </wp:positionH>
            <wp:positionV relativeFrom="paragraph">
              <wp:posOffset>374015</wp:posOffset>
            </wp:positionV>
            <wp:extent cx="4394835" cy="420370"/>
            <wp:effectExtent l="0" t="0" r="5715" b="0"/>
            <wp:wrapNone/>
            <wp:docPr id="2" name="图片 2" descr="L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94835" cy="42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/>
          <w:sz w:val="32"/>
          <w:szCs w:val="32"/>
        </w:rPr>
      </w:pPr>
    </w:p>
    <w:p>
      <w:pPr>
        <w:jc w:val="right"/>
        <w:rPr>
          <w:sz w:val="32"/>
          <w:szCs w:val="38"/>
        </w:rPr>
      </w:pPr>
      <w:r>
        <w:rPr>
          <w:sz w:val="32"/>
          <w:szCs w:val="38"/>
        </w:rPr>
        <w:t>MM0102</w:t>
      </w:r>
      <w:r>
        <w:rPr>
          <w:rFonts w:hint="eastAsia"/>
          <w:sz w:val="32"/>
          <w:szCs w:val="38"/>
        </w:rPr>
        <w:t>84</w:t>
      </w:r>
    </w:p>
    <w:sdt>
      <w:sdtPr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 w:val="20"/>
          <w:szCs w:val="21"/>
          <w:lang w:val="zh-CN"/>
        </w:rPr>
        <w:id w:val="388615478"/>
      </w:sdtPr>
      <w:sdtEndPr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 w:val="21"/>
          <w:szCs w:val="22"/>
          <w:lang w:val="zh-CN"/>
        </w:rPr>
      </w:sdtEndPr>
      <w:sdtContent>
        <w:p>
          <w:pPr>
            <w:pStyle w:val="15"/>
            <w:jc w:val="center"/>
            <w:rPr>
              <w:rFonts w:asciiTheme="minorHAnsi" w:hAnsiTheme="minorHAnsi" w:eastAsiaTheme="minorEastAsia" w:cstheme="minorBidi"/>
              <w:b w:val="0"/>
              <w:bCs w:val="0"/>
              <w:color w:val="auto"/>
              <w:kern w:val="2"/>
              <w:sz w:val="20"/>
              <w:szCs w:val="21"/>
              <w:lang w:val="zh-CN"/>
            </w:rPr>
          </w:pPr>
        </w:p>
        <w:p>
          <w:pPr>
            <w:pStyle w:val="15"/>
            <w:jc w:val="center"/>
            <w:rPr>
              <w:color w:val="auto"/>
              <w:sz w:val="40"/>
              <w:szCs w:val="40"/>
              <w:lang w:val="zh-CN"/>
            </w:rPr>
          </w:pPr>
          <w:r>
            <w:rPr>
              <w:color w:val="auto"/>
              <w:sz w:val="40"/>
              <w:szCs w:val="40"/>
              <w:lang w:val="zh-CN"/>
            </w:rPr>
            <w:t>目录</w:t>
          </w:r>
        </w:p>
        <w:p>
          <w:pPr>
            <w:rPr>
              <w:sz w:val="20"/>
              <w:szCs w:val="21"/>
              <w:lang w:val="zh-CN"/>
            </w:rPr>
          </w:pPr>
        </w:p>
        <w:p>
          <w:pPr>
            <w:pStyle w:val="6"/>
            <w:tabs>
              <w:tab w:val="right" w:leader="dot" w:pos="6885"/>
            </w:tabs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TOC \o "1-3" \h \z \u </w:instrText>
          </w:r>
          <w:r>
            <w:rPr>
              <w:sz w:val="24"/>
              <w:szCs w:val="24"/>
            </w:rPr>
            <w:fldChar w:fldCharType="separate"/>
          </w:r>
          <w:r>
            <w:fldChar w:fldCharType="begin"/>
          </w:r>
          <w:r>
            <w:instrText xml:space="preserve"> HYPERLINK \l "_Toc11225492" </w:instrText>
          </w:r>
          <w:r>
            <w:fldChar w:fldCharType="separate"/>
          </w:r>
          <w:r>
            <w:rPr>
              <w:rStyle w:val="9"/>
              <w:rFonts w:hint="eastAsia"/>
            </w:rPr>
            <w:t>一、概述</w:t>
          </w:r>
          <w:r>
            <w:tab/>
          </w:r>
          <w:r>
            <w:fldChar w:fldCharType="begin"/>
          </w:r>
          <w:r>
            <w:instrText xml:space="preserve"> PAGEREF _Toc11225492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6885"/>
            </w:tabs>
          </w:pPr>
          <w:r>
            <w:fldChar w:fldCharType="begin"/>
          </w:r>
          <w:r>
            <w:instrText xml:space="preserve"> HYPERLINK \l "_Toc11225493" </w:instrText>
          </w:r>
          <w:r>
            <w:fldChar w:fldCharType="separate"/>
          </w:r>
          <w:r>
            <w:rPr>
              <w:rStyle w:val="9"/>
              <w:rFonts w:hint="eastAsia"/>
            </w:rPr>
            <w:t>二、特点</w:t>
          </w:r>
          <w:r>
            <w:tab/>
          </w:r>
          <w:r>
            <w:fldChar w:fldCharType="begin"/>
          </w:r>
          <w:r>
            <w:instrText xml:space="preserve"> PAGEREF _Toc11225493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6885"/>
            </w:tabs>
          </w:pPr>
          <w:r>
            <w:fldChar w:fldCharType="begin"/>
          </w:r>
          <w:r>
            <w:instrText xml:space="preserve"> HYPERLINK \l "_Toc11225494" </w:instrText>
          </w:r>
          <w:r>
            <w:fldChar w:fldCharType="separate"/>
          </w:r>
          <w:r>
            <w:rPr>
              <w:rStyle w:val="9"/>
              <w:rFonts w:hint="eastAsia"/>
            </w:rPr>
            <w:t>三、使用条件</w:t>
          </w:r>
          <w:r>
            <w:tab/>
          </w:r>
          <w:r>
            <w:fldChar w:fldCharType="begin"/>
          </w:r>
          <w:r>
            <w:instrText xml:space="preserve"> PAGEREF _Toc11225494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6885"/>
            </w:tabs>
          </w:pPr>
          <w:r>
            <w:fldChar w:fldCharType="begin"/>
          </w:r>
          <w:r>
            <w:instrText xml:space="preserve"> HYPERLINK \l "_Toc11225495" </w:instrText>
          </w:r>
          <w:r>
            <w:fldChar w:fldCharType="separate"/>
          </w:r>
          <w:r>
            <w:rPr>
              <w:rStyle w:val="9"/>
              <w:rFonts w:hint="eastAsia"/>
            </w:rPr>
            <w:t>四、主要技术参数</w:t>
          </w:r>
          <w:r>
            <w:tab/>
          </w:r>
          <w:r>
            <w:fldChar w:fldCharType="begin"/>
          </w:r>
          <w:r>
            <w:instrText xml:space="preserve"> PAGEREF _Toc11225495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6885"/>
            </w:tabs>
          </w:pPr>
          <w:r>
            <w:fldChar w:fldCharType="begin"/>
          </w:r>
          <w:r>
            <w:instrText xml:space="preserve"> HYPERLINK \l "_Toc11225496" </w:instrText>
          </w:r>
          <w:r>
            <w:fldChar w:fldCharType="separate"/>
          </w:r>
          <w:r>
            <w:rPr>
              <w:rStyle w:val="9"/>
              <w:rFonts w:hint="eastAsia"/>
            </w:rPr>
            <w:t>五、使用方法</w:t>
          </w:r>
          <w:r>
            <w:tab/>
          </w:r>
          <w:r>
            <w:fldChar w:fldCharType="begin"/>
          </w:r>
          <w:r>
            <w:instrText xml:space="preserve"> PAGEREF _Toc11225496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6885"/>
            </w:tabs>
          </w:pPr>
          <w:r>
            <w:fldChar w:fldCharType="begin"/>
          </w:r>
          <w:r>
            <w:instrText xml:space="preserve"> HYPERLINK \l "_Toc11225497" </w:instrText>
          </w:r>
          <w:r>
            <w:fldChar w:fldCharType="separate"/>
          </w:r>
          <w:r>
            <w:rPr>
              <w:rStyle w:val="9"/>
              <w:rFonts w:hint="eastAsia"/>
            </w:rPr>
            <w:t>六、安装注意事项</w:t>
          </w:r>
          <w:r>
            <w:tab/>
          </w:r>
          <w:r>
            <w:fldChar w:fldCharType="begin"/>
          </w:r>
          <w:r>
            <w:instrText xml:space="preserve"> PAGEREF _Toc11225497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6885"/>
            </w:tabs>
          </w:pPr>
          <w:r>
            <w:fldChar w:fldCharType="begin"/>
          </w:r>
          <w:r>
            <w:instrText xml:space="preserve"> HYPERLINK \l "_Toc11225498" </w:instrText>
          </w:r>
          <w:r>
            <w:fldChar w:fldCharType="separate"/>
          </w:r>
          <w:r>
            <w:rPr>
              <w:rStyle w:val="9"/>
              <w:rFonts w:hint="eastAsia"/>
            </w:rPr>
            <w:t>七、声明</w:t>
          </w:r>
          <w:r>
            <w:tab/>
          </w:r>
          <w:r>
            <w:fldChar w:fldCharType="begin"/>
          </w:r>
          <w:r>
            <w:instrText xml:space="preserve"> PAGEREF _Toc11225498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spacing w:line="480" w:lineRule="auto"/>
            <w:sectPr>
              <w:headerReference r:id="rId3" w:type="default"/>
              <w:footerReference r:id="rId5" w:type="default"/>
              <w:headerReference r:id="rId4" w:type="even"/>
              <w:pgSz w:w="8335" w:h="11850"/>
              <w:pgMar w:top="720" w:right="720" w:bottom="720" w:left="720" w:header="851" w:footer="992" w:gutter="0"/>
              <w:cols w:space="425" w:num="1"/>
              <w:docGrid w:type="lines" w:linePitch="312" w:charSpace="0"/>
            </w:sectPr>
          </w:pPr>
          <w:r>
            <w:rPr>
              <w:b/>
              <w:bCs/>
              <w:szCs w:val="24"/>
              <w:lang w:val="zh-CN"/>
            </w:rPr>
            <w:fldChar w:fldCharType="end"/>
          </w:r>
          <w:bookmarkStart w:id="7" w:name="_GoBack"/>
          <w:bookmarkEnd w:id="7"/>
        </w:p>
      </w:sdtContent>
    </w:sdt>
    <w:p>
      <w:pPr>
        <w:pStyle w:val="2"/>
        <w:spacing w:before="0" w:after="0" w:line="480" w:lineRule="auto"/>
        <w:rPr>
          <w:sz w:val="24"/>
          <w:szCs w:val="24"/>
        </w:rPr>
      </w:pPr>
      <w:bookmarkStart w:id="0" w:name="_Toc11225492"/>
      <w:r>
        <w:rPr>
          <w:rFonts w:hint="eastAsia"/>
          <w:sz w:val="24"/>
          <w:szCs w:val="24"/>
        </w:rPr>
        <w:t>一、概述</w:t>
      </w:r>
      <w:bookmarkEnd w:id="0"/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我司远传水表系统由 3 个层次构成，每一层的信息传输方式均采用无线传输：第一层是具有无线传输功能的智能远传水表，第二层无线采集器和集中器，第三层管理计算机。无线远传水表是该系统的基本测量仪表。</w:t>
      </w:r>
    </w:p>
    <w:p>
      <w:pPr>
        <w:ind w:firstLine="420"/>
        <w:rPr>
          <w:szCs w:val="21"/>
        </w:rPr>
      </w:pPr>
      <w:r>
        <w:rPr>
          <w:rFonts w:hint="eastAsia"/>
          <w:szCs w:val="21"/>
        </w:rPr>
        <w:t>无线远传抄表使用“物联网组网计数技术”实现，采用国家许可的 470MHz 专用抄表频率，能够自动组网和手动组网，在可靠通讯与低功耗之间达到一个最佳平衡点。智能远传水表模块采用目前超低功耗的 MCU 、RF芯片和LoRa扩频跳频技术,使其在低能耗的基础上发射效率有很大的提高，空旷的传输距离达到2~5km。</w:t>
      </w:r>
    </w:p>
    <w:p>
      <w:pPr>
        <w:ind w:firstLine="420"/>
        <w:rPr>
          <w:szCs w:val="21"/>
        </w:rPr>
      </w:pPr>
    </w:p>
    <w:p>
      <w:pPr>
        <w:pStyle w:val="2"/>
        <w:spacing w:before="0" w:after="0" w:line="480" w:lineRule="auto"/>
        <w:rPr>
          <w:sz w:val="24"/>
          <w:szCs w:val="24"/>
        </w:rPr>
      </w:pPr>
      <w:bookmarkStart w:id="1" w:name="_Toc11225493"/>
      <w:r>
        <w:rPr>
          <w:rFonts w:hint="eastAsia"/>
          <w:sz w:val="24"/>
          <w:szCs w:val="24"/>
        </w:rPr>
        <w:t>二、特点</w:t>
      </w:r>
      <w:bookmarkEnd w:id="1"/>
    </w:p>
    <w:p>
      <w:pPr>
        <w:pStyle w:val="14"/>
        <w:ind w:firstLine="0" w:firstLineChars="0"/>
        <w:rPr>
          <w:szCs w:val="21"/>
        </w:rPr>
      </w:pPr>
      <w:r>
        <w:rPr>
          <w:rFonts w:hint="eastAsia"/>
          <w:szCs w:val="21"/>
        </w:rPr>
        <w:t>1. 远传水表利用先进的无线传输技术实现远传水表与采集器集中器、计算机的远程集抄，无需布线，施工简单、便捷，有效解决抄表难的问题。</w:t>
      </w:r>
    </w:p>
    <w:p>
      <w:pPr>
        <w:pStyle w:val="14"/>
        <w:ind w:firstLine="0" w:firstLineChars="0"/>
        <w:rPr>
          <w:szCs w:val="21"/>
        </w:rPr>
      </w:pPr>
      <w:r>
        <w:rPr>
          <w:rFonts w:hint="eastAsia"/>
          <w:szCs w:val="21"/>
        </w:rPr>
        <w:t>2. 远传水表耐腐蚀、不结垢，使用寿命长，可免除管道结垢堵塞和黄斑锈迹。自来水长期不用也不影响表内水质。</w:t>
      </w:r>
    </w:p>
    <w:p>
      <w:pPr>
        <w:pStyle w:val="14"/>
        <w:ind w:firstLine="0" w:firstLineChars="0"/>
        <w:rPr>
          <w:szCs w:val="21"/>
        </w:rPr>
      </w:pPr>
      <w:r>
        <w:rPr>
          <w:rFonts w:hint="eastAsia"/>
          <w:szCs w:val="21"/>
        </w:rPr>
        <w:t>3. 远传水表利用表具无线组网，信号无间隙覆盖，无抄表盲点。</w:t>
      </w:r>
    </w:p>
    <w:p>
      <w:pPr>
        <w:pStyle w:val="14"/>
        <w:ind w:firstLine="0" w:firstLineChars="0"/>
        <w:rPr>
          <w:szCs w:val="21"/>
        </w:rPr>
      </w:pPr>
      <w:r>
        <w:rPr>
          <w:rFonts w:hint="eastAsia"/>
          <w:szCs w:val="21"/>
        </w:rPr>
        <w:t>4. 远传水表外形美观、尺寸合理、内壁光滑压力损失小。</w:t>
      </w:r>
    </w:p>
    <w:p>
      <w:pPr>
        <w:pStyle w:val="14"/>
        <w:ind w:firstLine="0" w:firstLineChars="0"/>
        <w:rPr>
          <w:szCs w:val="21"/>
        </w:rPr>
      </w:pPr>
      <w:r>
        <w:rPr>
          <w:rFonts w:hint="eastAsia"/>
          <w:szCs w:val="21"/>
        </w:rPr>
        <w:t>5. 远传水表有普通型，节水型两种，根据用户需求可进行选择。</w:t>
      </w:r>
    </w:p>
    <w:p>
      <w:pPr>
        <w:pStyle w:val="14"/>
        <w:ind w:firstLine="0" w:firstLineChars="0"/>
        <w:rPr>
          <w:szCs w:val="21"/>
        </w:rPr>
      </w:pPr>
      <w:r>
        <w:rPr>
          <w:szCs w:val="21"/>
        </w:rPr>
        <w:t xml:space="preserve">6. </w:t>
      </w:r>
      <w:r>
        <w:rPr>
          <w:rFonts w:hint="eastAsia"/>
          <w:szCs w:val="21"/>
        </w:rPr>
        <w:t>可选有阀控类型。</w:t>
      </w:r>
    </w:p>
    <w:p>
      <w:pPr>
        <w:rPr>
          <w:szCs w:val="21"/>
        </w:rPr>
      </w:pPr>
    </w:p>
    <w:p>
      <w:pPr>
        <w:pStyle w:val="2"/>
        <w:spacing w:before="0" w:after="0" w:line="480" w:lineRule="auto"/>
        <w:rPr>
          <w:sz w:val="24"/>
          <w:szCs w:val="24"/>
        </w:rPr>
      </w:pPr>
      <w:bookmarkStart w:id="2" w:name="_Toc11225494"/>
      <w:r>
        <w:rPr>
          <w:rFonts w:hint="eastAsia"/>
          <w:sz w:val="24"/>
          <w:szCs w:val="24"/>
        </w:rPr>
        <w:t>三、使用条件</w:t>
      </w:r>
      <w:bookmarkEnd w:id="2"/>
    </w:p>
    <w:p>
      <w:pPr>
        <w:ind w:left="420" w:leftChars="200"/>
        <w:rPr>
          <w:szCs w:val="21"/>
        </w:rPr>
      </w:pPr>
      <w:r>
        <w:rPr>
          <w:rFonts w:hint="eastAsia"/>
          <w:szCs w:val="21"/>
        </w:rPr>
        <w:t>水温：0.1～30℃</w:t>
      </w:r>
    </w:p>
    <w:p>
      <w:pPr>
        <w:ind w:left="420" w:leftChars="200"/>
        <w:rPr>
          <w:szCs w:val="21"/>
        </w:rPr>
      </w:pPr>
      <w:r>
        <w:rPr>
          <w:rFonts w:hint="eastAsia"/>
          <w:szCs w:val="21"/>
        </w:rPr>
        <w:t>环境温度：-30℃～+60℃</w:t>
      </w:r>
    </w:p>
    <w:p>
      <w:pPr>
        <w:ind w:left="420" w:leftChars="200"/>
        <w:rPr>
          <w:szCs w:val="21"/>
        </w:rPr>
      </w:pPr>
      <w:r>
        <w:rPr>
          <w:rFonts w:hint="eastAsia"/>
          <w:szCs w:val="21"/>
        </w:rPr>
        <w:t>水压：≤1Mpa</w:t>
      </w:r>
    </w:p>
    <w:p>
      <w:pPr>
        <w:ind w:left="420" w:leftChars="200"/>
        <w:rPr>
          <w:szCs w:val="21"/>
        </w:rPr>
      </w:pPr>
      <w:r>
        <w:rPr>
          <w:rFonts w:hint="eastAsia"/>
          <w:szCs w:val="21"/>
        </w:rPr>
        <w:t>压损: ≤0.1Mpa</w:t>
      </w:r>
    </w:p>
    <w:p>
      <w:pPr>
        <w:ind w:left="420" w:leftChars="200"/>
        <w:rPr>
          <w:szCs w:val="21"/>
        </w:rPr>
      </w:pPr>
      <w:r>
        <w:rPr>
          <w:rFonts w:hint="eastAsia"/>
          <w:szCs w:val="21"/>
        </w:rPr>
        <w:t>相对湿度：5％～95％RH</w:t>
      </w:r>
    </w:p>
    <w:p>
      <w:pPr>
        <w:rPr>
          <w:szCs w:val="21"/>
        </w:rPr>
      </w:pPr>
    </w:p>
    <w:p>
      <w:pPr>
        <w:rPr>
          <w:szCs w:val="21"/>
        </w:rPr>
      </w:pPr>
    </w:p>
    <w:p>
      <w:pPr>
        <w:pStyle w:val="2"/>
        <w:spacing w:before="0" w:after="0" w:line="480" w:lineRule="auto"/>
        <w:rPr>
          <w:sz w:val="24"/>
          <w:szCs w:val="24"/>
        </w:rPr>
      </w:pPr>
      <w:bookmarkStart w:id="3" w:name="_Toc11225495"/>
      <w:r>
        <w:rPr>
          <w:rFonts w:hint="eastAsia"/>
          <w:sz w:val="24"/>
          <w:szCs w:val="24"/>
        </w:rPr>
        <w:t>四、主要技术参数</w:t>
      </w:r>
      <w:bookmarkEnd w:id="3"/>
    </w:p>
    <w:p>
      <w:pPr>
        <w:pStyle w:val="14"/>
        <w:numPr>
          <w:ilvl w:val="0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水表计量参数</w:t>
      </w:r>
    </w:p>
    <w:tbl>
      <w:tblPr>
        <w:tblStyle w:val="7"/>
        <w:tblW w:w="623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559"/>
        <w:gridCol w:w="1418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exac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公称通径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sz w:val="28"/>
                <w:szCs w:val="28"/>
              </w:rPr>
              <w:t>L</w:t>
            </w: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（</w:t>
            </w:r>
            <w:r>
              <w:rPr>
                <w:rFonts w:ascii="宋体" w:hAnsi="宋体" w:eastAsia="宋体" w:cs="Times New Roman"/>
                <w:sz w:val="28"/>
                <w:szCs w:val="28"/>
              </w:rPr>
              <w:t>mm</w:t>
            </w: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）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B</w:t>
            </w: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（</w:t>
            </w: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mm</w:t>
            </w: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H</w:t>
            </w: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（</w:t>
            </w: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mm</w:t>
            </w: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DN32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230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90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DN40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250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115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DN50（法兰）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270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165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DN50（丝口）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250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125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2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140</w:t>
            </w:r>
          </w:p>
        </w:tc>
      </w:tr>
    </w:tbl>
    <w:p>
      <w:pPr>
        <w:jc w:val="center"/>
        <w:rPr>
          <w:szCs w:val="21"/>
        </w:rPr>
      </w:pPr>
    </w:p>
    <w:p>
      <w:pPr>
        <w:pStyle w:val="14"/>
        <w:numPr>
          <w:ilvl w:val="0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最大允许误差</w:t>
      </w:r>
    </w:p>
    <w:p>
      <w:pPr>
        <w:pStyle w:val="14"/>
        <w:numPr>
          <w:ilvl w:val="0"/>
          <w:numId w:val="2"/>
        </w:numPr>
        <w:ind w:firstLineChars="0"/>
        <w:rPr>
          <w:szCs w:val="21"/>
        </w:rPr>
      </w:pPr>
      <w:r>
        <w:rPr>
          <w:rFonts w:hint="eastAsia"/>
          <w:szCs w:val="21"/>
        </w:rPr>
        <w:t>从包括最小流量在内到不包括分界流量的低区中的最大允许误差为±5%。</w:t>
      </w:r>
    </w:p>
    <w:p>
      <w:pPr>
        <w:pStyle w:val="14"/>
        <w:numPr>
          <w:ilvl w:val="0"/>
          <w:numId w:val="2"/>
        </w:numPr>
        <w:ind w:firstLineChars="0"/>
        <w:rPr>
          <w:szCs w:val="21"/>
        </w:rPr>
      </w:pPr>
      <w:r>
        <w:rPr>
          <w:rFonts w:hint="eastAsia"/>
          <w:szCs w:val="21"/>
        </w:rPr>
        <w:t>从包括分界流量在内包括过载流量的高区中的最大允许误差为±2%。</w:t>
      </w:r>
    </w:p>
    <w:p>
      <w:pPr>
        <w:pStyle w:val="14"/>
        <w:numPr>
          <w:ilvl w:val="0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最大压力损失△Pmax&lt;0.1Mpa,在流量≤Qp 时, △P&lt;0.03Mpa。</w:t>
      </w:r>
    </w:p>
    <w:p>
      <w:pPr>
        <w:pStyle w:val="14"/>
        <w:numPr>
          <w:ilvl w:val="0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表具主要技术参数</w:t>
      </w:r>
    </w:p>
    <w:p>
      <w:pPr>
        <w:pStyle w:val="14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电源电压：DC3.6V （1 节锂离子电池）；</w:t>
      </w:r>
    </w:p>
    <w:p>
      <w:pPr>
        <w:pStyle w:val="14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工作压力：≤1Mpa；</w:t>
      </w:r>
    </w:p>
    <w:p>
      <w:pPr>
        <w:pStyle w:val="14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工作寿命：8-9 年；</w:t>
      </w:r>
    </w:p>
    <w:p>
      <w:pPr>
        <w:pStyle w:val="14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微发射功率：≤50mW；</w:t>
      </w:r>
    </w:p>
    <w:p>
      <w:pPr>
        <w:pStyle w:val="14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接收电流≤20mA；</w:t>
      </w:r>
    </w:p>
    <w:p>
      <w:pPr>
        <w:pStyle w:val="14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发射电流≤110mA；</w:t>
      </w:r>
    </w:p>
    <w:p>
      <w:pPr>
        <w:pStyle w:val="14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休眠时电流≤10uA；</w:t>
      </w:r>
    </w:p>
    <w:p>
      <w:pPr>
        <w:pStyle w:val="14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计量单位：100L；</w:t>
      </w:r>
    </w:p>
    <w:p>
      <w:pPr>
        <w:pStyle w:val="14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无线信号传输距离可以穿透五层楼；</w:t>
      </w:r>
    </w:p>
    <w:p>
      <w:pPr>
        <w:pStyle w:val="14"/>
        <w:numPr>
          <w:ilvl w:val="0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采集器主要技术参数</w:t>
      </w:r>
    </w:p>
    <w:p>
      <w:pPr>
        <w:pStyle w:val="14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工作电源：220VAC；</w:t>
      </w:r>
    </w:p>
    <w:p>
      <w:pPr>
        <w:pStyle w:val="14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通信方式：微功率无线通信；</w:t>
      </w:r>
    </w:p>
    <w:p>
      <w:pPr>
        <w:pStyle w:val="14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工作环境：温度：-5～+55℃；湿度：5～95%RH；</w:t>
      </w:r>
    </w:p>
    <w:p>
      <w:pPr>
        <w:pStyle w:val="14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提供每线 600W 的浪涌保护功率；</w:t>
      </w:r>
    </w:p>
    <w:p>
      <w:pPr>
        <w:pStyle w:val="14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防护等级 IP65；</w:t>
      </w:r>
    </w:p>
    <w:p>
      <w:pPr>
        <w:pStyle w:val="14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无线信号传输距离可以穿透五层楼；</w:t>
      </w:r>
    </w:p>
    <w:p>
      <w:pPr>
        <w:pStyle w:val="14"/>
        <w:ind w:left="840" w:firstLine="0" w:firstLineChars="0"/>
        <w:rPr>
          <w:szCs w:val="21"/>
        </w:rPr>
      </w:pPr>
    </w:p>
    <w:p>
      <w:pPr>
        <w:pStyle w:val="14"/>
        <w:ind w:left="840" w:firstLine="0" w:firstLineChars="0"/>
        <w:rPr>
          <w:szCs w:val="21"/>
        </w:rPr>
      </w:pPr>
    </w:p>
    <w:p>
      <w:pPr>
        <w:pStyle w:val="14"/>
        <w:ind w:left="840" w:firstLine="0" w:firstLineChars="0"/>
        <w:rPr>
          <w:szCs w:val="21"/>
        </w:rPr>
      </w:pPr>
    </w:p>
    <w:p>
      <w:pPr>
        <w:pStyle w:val="14"/>
        <w:ind w:left="840" w:firstLine="0" w:firstLineChars="0"/>
        <w:rPr>
          <w:szCs w:val="21"/>
        </w:rPr>
      </w:pPr>
    </w:p>
    <w:p>
      <w:pPr>
        <w:pStyle w:val="2"/>
        <w:spacing w:before="0" w:after="0" w:line="480" w:lineRule="auto"/>
        <w:rPr>
          <w:sz w:val="24"/>
          <w:szCs w:val="24"/>
        </w:rPr>
      </w:pPr>
      <w:bookmarkStart w:id="4" w:name="_Toc11225496"/>
      <w:r>
        <w:rPr>
          <w:rFonts w:hint="eastAsia"/>
          <w:sz w:val="24"/>
          <w:szCs w:val="24"/>
        </w:rPr>
        <w:t>五、使用方法</w:t>
      </w:r>
      <w:bookmarkEnd w:id="4"/>
    </w:p>
    <w:p>
      <w:pPr>
        <w:pStyle w:val="14"/>
        <w:numPr>
          <w:ilvl w:val="0"/>
          <w:numId w:val="4"/>
        </w:numPr>
        <w:ind w:firstLineChars="0"/>
        <w:rPr>
          <w:szCs w:val="21"/>
        </w:rPr>
      </w:pPr>
      <w:r>
        <w:rPr>
          <w:rFonts w:hint="eastAsia"/>
          <w:szCs w:val="21"/>
        </w:rPr>
        <w:t>安装水表之前，首先要到现场勘察或调试找到采集器放置什么位置比较合适。</w:t>
      </w:r>
    </w:p>
    <w:p>
      <w:pPr>
        <w:pStyle w:val="14"/>
        <w:numPr>
          <w:ilvl w:val="0"/>
          <w:numId w:val="4"/>
        </w:numPr>
        <w:ind w:firstLineChars="0"/>
        <w:rPr>
          <w:szCs w:val="21"/>
        </w:rPr>
      </w:pPr>
      <w:r>
        <w:rPr>
          <w:rFonts w:hint="eastAsia"/>
          <w:szCs w:val="21"/>
        </w:rPr>
        <w:t>水表安装好之后，用户持有效身份证件到水务管理部门进行开户，记录户名、地址和电话等信息的登记。</w:t>
      </w:r>
    </w:p>
    <w:p>
      <w:pPr>
        <w:pStyle w:val="14"/>
        <w:numPr>
          <w:ilvl w:val="0"/>
          <w:numId w:val="4"/>
        </w:numPr>
        <w:ind w:firstLineChars="0"/>
        <w:rPr>
          <w:szCs w:val="21"/>
        </w:rPr>
      </w:pPr>
      <w:r>
        <w:rPr>
          <w:rFonts w:hint="eastAsia"/>
          <w:szCs w:val="21"/>
        </w:rPr>
        <w:t>登记完成后，现场调试上位机与水表的通讯情况及数据接收情况。</w:t>
      </w:r>
    </w:p>
    <w:p>
      <w:pPr>
        <w:pStyle w:val="14"/>
        <w:numPr>
          <w:ilvl w:val="0"/>
          <w:numId w:val="4"/>
        </w:numPr>
        <w:ind w:firstLineChars="0"/>
        <w:rPr>
          <w:szCs w:val="21"/>
        </w:rPr>
      </w:pPr>
      <w:r>
        <w:rPr>
          <w:rFonts w:hint="eastAsia"/>
          <w:szCs w:val="21"/>
        </w:rPr>
        <w:t>根据水务管理部门的规定，按时到管理部门缴费。</w:t>
      </w:r>
    </w:p>
    <w:p>
      <w:pPr>
        <w:pStyle w:val="14"/>
        <w:ind w:left="420" w:firstLine="0" w:firstLineChars="0"/>
        <w:rPr>
          <w:szCs w:val="21"/>
        </w:rPr>
      </w:pPr>
    </w:p>
    <w:p>
      <w:pPr>
        <w:pStyle w:val="14"/>
        <w:ind w:firstLine="0" w:firstLineChars="0"/>
        <w:rPr>
          <w:szCs w:val="21"/>
        </w:rPr>
      </w:pPr>
    </w:p>
    <w:p>
      <w:pPr>
        <w:pStyle w:val="14"/>
        <w:ind w:left="420" w:firstLine="0" w:firstLineChars="0"/>
        <w:rPr>
          <w:szCs w:val="21"/>
        </w:rPr>
      </w:pPr>
    </w:p>
    <w:p>
      <w:pPr>
        <w:pStyle w:val="2"/>
        <w:spacing w:before="0" w:after="0" w:line="480" w:lineRule="auto"/>
        <w:rPr>
          <w:sz w:val="24"/>
          <w:szCs w:val="24"/>
        </w:rPr>
      </w:pPr>
      <w:bookmarkStart w:id="5" w:name="_Toc11225497"/>
      <w:r>
        <w:rPr>
          <w:rFonts w:hint="eastAsia"/>
          <w:sz w:val="24"/>
          <w:szCs w:val="24"/>
        </w:rPr>
        <w:t>六、安装注意事项</w:t>
      </w:r>
      <w:bookmarkEnd w:id="5"/>
    </w:p>
    <w:p>
      <w:pPr>
        <w:pStyle w:val="14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安装水表的地点要适宜，应防止冰冻。暴晒并远离热源和油烟地区。安装前，应先清除上、下管道内的锈垢和一切杂物，然后再装水表。</w:t>
      </w:r>
    </w:p>
    <w:p>
      <w:pPr>
        <w:pStyle w:val="14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安装时，水表应水平安装，水表箭头方向（在底部）</w:t>
      </w:r>
    </w:p>
    <w:p>
      <w:pPr>
        <w:pStyle w:val="14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应与管道水流方向一致。水表上、下管道应保持同一轴线，两接管间的间距与水表长度一致，使水表免受管道引起的过度应力。</w:t>
      </w:r>
    </w:p>
    <w:p>
      <w:pPr>
        <w:pStyle w:val="14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为了便于养护水表便于维修更换等，周边应留有必要</w:t>
      </w:r>
    </w:p>
    <w:p>
      <w:pPr>
        <w:pStyle w:val="14"/>
        <w:ind w:left="825" w:firstLine="15" w:firstLineChars="0"/>
        <w:rPr>
          <w:szCs w:val="21"/>
        </w:rPr>
      </w:pPr>
      <w:r>
        <w:rPr>
          <w:rFonts w:hint="eastAsia"/>
          <w:szCs w:val="21"/>
        </w:rPr>
        <w:t>的操作空间。水表按国家规范进行安装，不得擅自拆卸或移位。</w:t>
      </w:r>
    </w:p>
    <w:p>
      <w:pPr>
        <w:pStyle w:val="14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用户如发现水表异常情况和损坏，请于管理部门或本厂售后服务联系。</w:t>
      </w:r>
    </w:p>
    <w:p>
      <w:pPr>
        <w:pStyle w:val="2"/>
        <w:spacing w:before="0" w:after="0" w:line="480" w:lineRule="auto"/>
        <w:rPr>
          <w:sz w:val="24"/>
          <w:szCs w:val="24"/>
        </w:rPr>
      </w:pPr>
      <w:bookmarkStart w:id="6" w:name="_Toc11225498"/>
      <w:r>
        <w:rPr>
          <w:rFonts w:hint="eastAsia"/>
          <w:sz w:val="24"/>
          <w:szCs w:val="24"/>
        </w:rPr>
        <w:t>七、声明</w:t>
      </w:r>
      <w:bookmarkEnd w:id="6"/>
    </w:p>
    <w:p>
      <w:pPr>
        <w:pStyle w:val="14"/>
        <w:numPr>
          <w:ilvl w:val="0"/>
          <w:numId w:val="6"/>
        </w:numPr>
        <w:ind w:firstLineChars="0"/>
        <w:rPr>
          <w:szCs w:val="21"/>
        </w:rPr>
      </w:pPr>
      <w:r>
        <w:rPr>
          <w:rFonts w:hint="eastAsia"/>
          <w:szCs w:val="21"/>
        </w:rPr>
        <w:t>用户不得私自拆卸电池盖及铅封，否则按破坏处理。</w:t>
      </w:r>
    </w:p>
    <w:p>
      <w:pPr>
        <w:pStyle w:val="14"/>
        <w:numPr>
          <w:ilvl w:val="0"/>
          <w:numId w:val="6"/>
        </w:numPr>
        <w:ind w:firstLineChars="0"/>
        <w:rPr>
          <w:szCs w:val="21"/>
        </w:rPr>
      </w:pPr>
      <w:r>
        <w:rPr>
          <w:rFonts w:hint="eastAsia"/>
          <w:szCs w:val="21"/>
        </w:rPr>
        <w:t>本公司的使用说明书并无任何明确或隐含的保证，本公司有对本说明书进行更改和修订的权利，若有更改恕不另行通知，一切以实际产品为主。</w:t>
      </w:r>
    </w:p>
    <w:p>
      <w:pPr>
        <w:pStyle w:val="14"/>
        <w:ind w:firstLineChars="0"/>
        <w:rPr>
          <w:szCs w:val="21"/>
        </w:rPr>
      </w:pPr>
    </w:p>
    <w:p>
      <w:pPr>
        <w:pStyle w:val="14"/>
        <w:ind w:firstLineChars="0"/>
        <w:rPr>
          <w:szCs w:val="21"/>
        </w:rPr>
      </w:pPr>
    </w:p>
    <w:p>
      <w:pPr>
        <w:pStyle w:val="14"/>
        <w:ind w:firstLineChars="0"/>
        <w:rPr>
          <w:szCs w:val="21"/>
        </w:rPr>
      </w:pPr>
    </w:p>
    <w:p>
      <w:pPr>
        <w:pStyle w:val="14"/>
        <w:ind w:firstLineChars="0"/>
        <w:rPr>
          <w:szCs w:val="21"/>
        </w:rPr>
      </w:pPr>
    </w:p>
    <w:p>
      <w:pPr>
        <w:pStyle w:val="14"/>
        <w:ind w:firstLineChars="0"/>
        <w:rPr>
          <w:szCs w:val="21"/>
        </w:rPr>
      </w:pPr>
    </w:p>
    <w:p>
      <w:pPr>
        <w:pStyle w:val="14"/>
        <w:ind w:firstLineChars="0"/>
        <w:rPr>
          <w:szCs w:val="21"/>
        </w:rPr>
      </w:pPr>
    </w:p>
    <w:p>
      <w:pPr>
        <w:pStyle w:val="14"/>
        <w:ind w:firstLineChars="0"/>
        <w:rPr>
          <w:szCs w:val="21"/>
        </w:rPr>
      </w:pPr>
    </w:p>
    <w:p>
      <w:pPr>
        <w:pStyle w:val="14"/>
        <w:ind w:firstLineChars="0"/>
        <w:rPr>
          <w:szCs w:val="21"/>
        </w:rPr>
      </w:pPr>
    </w:p>
    <w:p>
      <w:pPr>
        <w:pStyle w:val="14"/>
        <w:ind w:firstLineChars="0"/>
        <w:rPr>
          <w:szCs w:val="21"/>
        </w:rPr>
      </w:pPr>
    </w:p>
    <w:p>
      <w:pPr>
        <w:pStyle w:val="14"/>
        <w:ind w:firstLineChars="0"/>
        <w:rPr>
          <w:szCs w:val="21"/>
        </w:rPr>
      </w:pPr>
    </w:p>
    <w:p>
      <w:pPr>
        <w:pStyle w:val="14"/>
        <w:ind w:firstLineChars="0"/>
        <w:rPr>
          <w:szCs w:val="21"/>
        </w:rPr>
      </w:pPr>
    </w:p>
    <w:p>
      <w:pPr>
        <w:pStyle w:val="14"/>
        <w:ind w:firstLineChars="0"/>
        <w:rPr>
          <w:szCs w:val="21"/>
        </w:rPr>
      </w:pPr>
    </w:p>
    <w:p>
      <w:pPr>
        <w:pStyle w:val="14"/>
        <w:ind w:firstLineChars="0"/>
        <w:rPr>
          <w:szCs w:val="21"/>
        </w:rPr>
      </w:pPr>
    </w:p>
    <w:p>
      <w:pPr>
        <w:pStyle w:val="14"/>
        <w:ind w:firstLineChars="0"/>
        <w:rPr>
          <w:szCs w:val="21"/>
        </w:rPr>
      </w:pPr>
    </w:p>
    <w:p>
      <w:pPr>
        <w:pStyle w:val="14"/>
        <w:ind w:firstLineChars="0"/>
        <w:rPr>
          <w:szCs w:val="21"/>
        </w:rPr>
      </w:pPr>
    </w:p>
    <w:p>
      <w:pPr>
        <w:pStyle w:val="14"/>
        <w:ind w:firstLineChars="0"/>
        <w:rPr>
          <w:szCs w:val="21"/>
        </w:rPr>
      </w:pPr>
    </w:p>
    <w:p>
      <w:pPr>
        <w:pStyle w:val="14"/>
        <w:ind w:firstLineChars="0"/>
        <w:rPr>
          <w:szCs w:val="21"/>
        </w:rPr>
      </w:pPr>
    </w:p>
    <w:p>
      <w:pPr>
        <w:pStyle w:val="14"/>
        <w:ind w:firstLineChars="0"/>
        <w:rPr>
          <w:szCs w:val="21"/>
        </w:rPr>
      </w:pPr>
    </w:p>
    <w:p>
      <w:pPr>
        <w:pStyle w:val="14"/>
        <w:ind w:firstLineChars="0"/>
        <w:rPr>
          <w:szCs w:val="21"/>
        </w:rPr>
      </w:pPr>
    </w:p>
    <w:p>
      <w:pPr>
        <w:pStyle w:val="14"/>
        <w:ind w:firstLineChars="0"/>
        <w:rPr>
          <w:szCs w:val="21"/>
        </w:rPr>
      </w:pPr>
    </w:p>
    <w:p>
      <w:pPr>
        <w:pStyle w:val="14"/>
        <w:ind w:firstLineChars="0"/>
        <w:rPr>
          <w:szCs w:val="21"/>
        </w:rPr>
      </w:pPr>
    </w:p>
    <w:p>
      <w:pPr>
        <w:pStyle w:val="14"/>
        <w:ind w:firstLineChars="0"/>
        <w:rPr>
          <w:szCs w:val="21"/>
        </w:rPr>
      </w:pPr>
    </w:p>
    <w:p>
      <w:pPr>
        <w:pStyle w:val="14"/>
        <w:ind w:firstLineChars="0"/>
        <w:rPr>
          <w:szCs w:val="21"/>
        </w:rPr>
      </w:pPr>
    </w:p>
    <w:p>
      <w:pPr>
        <w:pStyle w:val="14"/>
        <w:ind w:firstLineChars="0"/>
        <w:rPr>
          <w:szCs w:val="21"/>
        </w:rPr>
      </w:pPr>
    </w:p>
    <w:p>
      <w:pPr>
        <w:pStyle w:val="14"/>
        <w:ind w:firstLineChars="0"/>
        <w:rPr>
          <w:szCs w:val="21"/>
        </w:rPr>
      </w:pP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br w:type="page"/>
      </w: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szCs w:val="21"/>
        </w:rPr>
      </w:pPr>
      <w:r>
        <w:rPr>
          <w:rFonts w:hint="eastAsia"/>
          <w:szCs w:val="21"/>
        </w:rPr>
        <w:t>深圳市亿玛信诺科技有限公司</w:t>
      </w:r>
    </w:p>
    <w:p>
      <w:pPr>
        <w:rPr>
          <w:szCs w:val="21"/>
        </w:rPr>
      </w:pPr>
      <w:r>
        <w:rPr>
          <w:rFonts w:hint="eastAsia"/>
          <w:szCs w:val="21"/>
        </w:rPr>
        <w:t>地址：深圳市宝安区福永永福路金港工业园B栋9楼</w:t>
      </w:r>
    </w:p>
    <w:p>
      <w:pPr>
        <w:rPr>
          <w:szCs w:val="21"/>
        </w:rPr>
      </w:pPr>
      <w:r>
        <w:rPr>
          <w:rFonts w:hint="eastAsia"/>
          <w:szCs w:val="21"/>
        </w:rPr>
        <w:t>邮编：518103</w:t>
      </w:r>
    </w:p>
    <w:p>
      <w:pPr>
        <w:rPr>
          <w:szCs w:val="21"/>
        </w:rPr>
      </w:pPr>
      <w:r>
        <w:rPr>
          <w:rFonts w:hint="eastAsia"/>
          <w:szCs w:val="21"/>
        </w:rPr>
        <w:t>电话：(0755)86051318(总机)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传真：(0755)86051380 </w:t>
      </w:r>
    </w:p>
    <w:p>
      <w:pPr>
        <w:rPr>
          <w:szCs w:val="21"/>
        </w:rPr>
      </w:pPr>
      <w:r>
        <w:rPr>
          <w:szCs w:val="21"/>
        </w:rPr>
        <w:t>http://www.ymsino.com</w:t>
      </w:r>
    </w:p>
    <w:p>
      <w:pPr>
        <w:rPr>
          <w:szCs w:val="21"/>
        </w:rPr>
      </w:pPr>
      <w:r>
        <w:rPr>
          <w:szCs w:val="21"/>
        </w:rPr>
        <w:t>E-Mail:master@ymsino.com</w:t>
      </w:r>
    </w:p>
    <w:sectPr>
      <w:headerReference r:id="rId6" w:type="default"/>
      <w:footerReference r:id="rId7" w:type="default"/>
      <w:pgSz w:w="8335" w:h="11850"/>
      <w:pgMar w:top="720" w:right="720" w:bottom="720" w:left="720" w:header="851" w:footer="510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left"/>
    </w:pPr>
    <w:r>
      <w:rPr>
        <w:rFonts w:hint="eastAsia"/>
      </w:rPr>
      <w:t>智能水表（LoRa无线远传）                                 YM228-V1.2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F84D7D"/>
    <w:multiLevelType w:val="multilevel"/>
    <w:tmpl w:val="29F84D7D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45" w:hanging="405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C1B04FA"/>
    <w:multiLevelType w:val="multilevel"/>
    <w:tmpl w:val="3C1B04FA"/>
    <w:lvl w:ilvl="0" w:tentative="0">
      <w:start w:val="1"/>
      <w:numFmt w:val="lowerLetter"/>
      <w:lvlText w:val="%1)"/>
      <w:lvlJc w:val="left"/>
      <w:pPr>
        <w:ind w:left="1200" w:hanging="360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ind w:left="1665" w:hanging="405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2">
    <w:nsid w:val="45727857"/>
    <w:multiLevelType w:val="multilevel"/>
    <w:tmpl w:val="45727857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4B147F45"/>
    <w:multiLevelType w:val="multilevel"/>
    <w:tmpl w:val="4B147F45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5C561CA4"/>
    <w:multiLevelType w:val="multilevel"/>
    <w:tmpl w:val="5C561CA4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67130CCB"/>
    <w:multiLevelType w:val="multilevel"/>
    <w:tmpl w:val="67130CCB"/>
    <w:lvl w:ilvl="0" w:tentative="0">
      <w:start w:val="1"/>
      <w:numFmt w:val="lowerLetter"/>
      <w:lvlText w:val="%1)"/>
      <w:lvlJc w:val="left"/>
      <w:pPr>
        <w:ind w:left="11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20" w:hanging="420"/>
      </w:pPr>
    </w:lvl>
    <w:lvl w:ilvl="2" w:tentative="0">
      <w:start w:val="1"/>
      <w:numFmt w:val="lowerRoman"/>
      <w:lvlText w:val="%3."/>
      <w:lvlJc w:val="right"/>
      <w:pPr>
        <w:ind w:left="2040" w:hanging="420"/>
      </w:pPr>
    </w:lvl>
    <w:lvl w:ilvl="3" w:tentative="0">
      <w:start w:val="1"/>
      <w:numFmt w:val="decimal"/>
      <w:lvlText w:val="%4."/>
      <w:lvlJc w:val="left"/>
      <w:pPr>
        <w:ind w:left="2460" w:hanging="420"/>
      </w:pPr>
    </w:lvl>
    <w:lvl w:ilvl="4" w:tentative="0">
      <w:start w:val="1"/>
      <w:numFmt w:val="lowerLetter"/>
      <w:lvlText w:val="%5)"/>
      <w:lvlJc w:val="left"/>
      <w:pPr>
        <w:ind w:left="2880" w:hanging="420"/>
      </w:pPr>
    </w:lvl>
    <w:lvl w:ilvl="5" w:tentative="0">
      <w:start w:val="1"/>
      <w:numFmt w:val="lowerRoman"/>
      <w:lvlText w:val="%6."/>
      <w:lvlJc w:val="right"/>
      <w:pPr>
        <w:ind w:left="3300" w:hanging="420"/>
      </w:pPr>
    </w:lvl>
    <w:lvl w:ilvl="6" w:tentative="0">
      <w:start w:val="1"/>
      <w:numFmt w:val="decimal"/>
      <w:lvlText w:val="%7."/>
      <w:lvlJc w:val="left"/>
      <w:pPr>
        <w:ind w:left="3720" w:hanging="420"/>
      </w:pPr>
    </w:lvl>
    <w:lvl w:ilvl="7" w:tentative="0">
      <w:start w:val="1"/>
      <w:numFmt w:val="lowerLetter"/>
      <w:lvlText w:val="%8)"/>
      <w:lvlJc w:val="left"/>
      <w:pPr>
        <w:ind w:left="4140" w:hanging="420"/>
      </w:pPr>
    </w:lvl>
    <w:lvl w:ilvl="8" w:tentative="0">
      <w:start w:val="1"/>
      <w:numFmt w:val="lowerRoman"/>
      <w:lvlText w:val="%9."/>
      <w:lvlJc w:val="right"/>
      <w:pPr>
        <w:ind w:left="4560" w:hanging="42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AA7"/>
    <w:rsid w:val="00000F72"/>
    <w:rsid w:val="000107F2"/>
    <w:rsid w:val="0002303E"/>
    <w:rsid w:val="00046365"/>
    <w:rsid w:val="000733AB"/>
    <w:rsid w:val="000759D3"/>
    <w:rsid w:val="00085D91"/>
    <w:rsid w:val="0009396A"/>
    <w:rsid w:val="000B44E4"/>
    <w:rsid w:val="00120C97"/>
    <w:rsid w:val="00137F14"/>
    <w:rsid w:val="00155E41"/>
    <w:rsid w:val="001568DB"/>
    <w:rsid w:val="00166AFE"/>
    <w:rsid w:val="00187ECF"/>
    <w:rsid w:val="001C0360"/>
    <w:rsid w:val="001E6837"/>
    <w:rsid w:val="001F0801"/>
    <w:rsid w:val="001F3356"/>
    <w:rsid w:val="002218CB"/>
    <w:rsid w:val="00262997"/>
    <w:rsid w:val="00274993"/>
    <w:rsid w:val="00282CC5"/>
    <w:rsid w:val="00287F05"/>
    <w:rsid w:val="00304A4C"/>
    <w:rsid w:val="0031179E"/>
    <w:rsid w:val="00311808"/>
    <w:rsid w:val="00322B44"/>
    <w:rsid w:val="00344AAB"/>
    <w:rsid w:val="00360A4A"/>
    <w:rsid w:val="00360B96"/>
    <w:rsid w:val="00387C46"/>
    <w:rsid w:val="003B0691"/>
    <w:rsid w:val="003D6E41"/>
    <w:rsid w:val="00413359"/>
    <w:rsid w:val="00430E4D"/>
    <w:rsid w:val="00455C6C"/>
    <w:rsid w:val="00462EF4"/>
    <w:rsid w:val="004B37D5"/>
    <w:rsid w:val="004C5A0F"/>
    <w:rsid w:val="004D6655"/>
    <w:rsid w:val="004E71CC"/>
    <w:rsid w:val="00540962"/>
    <w:rsid w:val="00545503"/>
    <w:rsid w:val="0055539B"/>
    <w:rsid w:val="00563D03"/>
    <w:rsid w:val="00584196"/>
    <w:rsid w:val="005A3086"/>
    <w:rsid w:val="005E749D"/>
    <w:rsid w:val="005F2706"/>
    <w:rsid w:val="005F745A"/>
    <w:rsid w:val="00621E7A"/>
    <w:rsid w:val="00627387"/>
    <w:rsid w:val="006430CC"/>
    <w:rsid w:val="006644EB"/>
    <w:rsid w:val="006D4772"/>
    <w:rsid w:val="006D54AD"/>
    <w:rsid w:val="006D71D8"/>
    <w:rsid w:val="006E130B"/>
    <w:rsid w:val="0071199A"/>
    <w:rsid w:val="00713706"/>
    <w:rsid w:val="00730F3D"/>
    <w:rsid w:val="007314C0"/>
    <w:rsid w:val="0078282F"/>
    <w:rsid w:val="00797733"/>
    <w:rsid w:val="007C6292"/>
    <w:rsid w:val="00860CA8"/>
    <w:rsid w:val="00860CAB"/>
    <w:rsid w:val="00870012"/>
    <w:rsid w:val="008727A3"/>
    <w:rsid w:val="0089760A"/>
    <w:rsid w:val="008F1BBF"/>
    <w:rsid w:val="00915C13"/>
    <w:rsid w:val="00917040"/>
    <w:rsid w:val="00931422"/>
    <w:rsid w:val="00955040"/>
    <w:rsid w:val="0097600E"/>
    <w:rsid w:val="00995E0F"/>
    <w:rsid w:val="009B2921"/>
    <w:rsid w:val="009B411E"/>
    <w:rsid w:val="009C0065"/>
    <w:rsid w:val="009D7410"/>
    <w:rsid w:val="009E6492"/>
    <w:rsid w:val="009F431D"/>
    <w:rsid w:val="00A07518"/>
    <w:rsid w:val="00A62121"/>
    <w:rsid w:val="00A923D7"/>
    <w:rsid w:val="00AD3FFF"/>
    <w:rsid w:val="00AE311E"/>
    <w:rsid w:val="00AE3594"/>
    <w:rsid w:val="00AF7909"/>
    <w:rsid w:val="00B01EDE"/>
    <w:rsid w:val="00B26869"/>
    <w:rsid w:val="00B312CA"/>
    <w:rsid w:val="00B32883"/>
    <w:rsid w:val="00B35987"/>
    <w:rsid w:val="00B46485"/>
    <w:rsid w:val="00B51290"/>
    <w:rsid w:val="00B8036C"/>
    <w:rsid w:val="00B80BBF"/>
    <w:rsid w:val="00BF322E"/>
    <w:rsid w:val="00C03AC9"/>
    <w:rsid w:val="00C23B89"/>
    <w:rsid w:val="00C34A5A"/>
    <w:rsid w:val="00C47752"/>
    <w:rsid w:val="00C53E09"/>
    <w:rsid w:val="00C54391"/>
    <w:rsid w:val="00C71D1E"/>
    <w:rsid w:val="00C72562"/>
    <w:rsid w:val="00C726A8"/>
    <w:rsid w:val="00CA1A53"/>
    <w:rsid w:val="00CA54ED"/>
    <w:rsid w:val="00CC0F89"/>
    <w:rsid w:val="00CC4352"/>
    <w:rsid w:val="00CF68A3"/>
    <w:rsid w:val="00D22C80"/>
    <w:rsid w:val="00D24FB8"/>
    <w:rsid w:val="00D344E9"/>
    <w:rsid w:val="00D86079"/>
    <w:rsid w:val="00DB3F67"/>
    <w:rsid w:val="00DC25E8"/>
    <w:rsid w:val="00DC6C86"/>
    <w:rsid w:val="00DD6AA7"/>
    <w:rsid w:val="00DE43E0"/>
    <w:rsid w:val="00E24DE8"/>
    <w:rsid w:val="00E30F39"/>
    <w:rsid w:val="00E50411"/>
    <w:rsid w:val="00E80A0B"/>
    <w:rsid w:val="00E92688"/>
    <w:rsid w:val="00EA2684"/>
    <w:rsid w:val="00EB0AFF"/>
    <w:rsid w:val="00EB0C4A"/>
    <w:rsid w:val="00EE4DD0"/>
    <w:rsid w:val="00F0117B"/>
    <w:rsid w:val="00F0360A"/>
    <w:rsid w:val="00F2700E"/>
    <w:rsid w:val="00F45CBB"/>
    <w:rsid w:val="00F73790"/>
    <w:rsid w:val="00F76075"/>
    <w:rsid w:val="00FB50CD"/>
    <w:rsid w:val="00FC0615"/>
    <w:rsid w:val="00FE6129"/>
    <w:rsid w:val="2358314B"/>
    <w:rsid w:val="28EC2087"/>
    <w:rsid w:val="2AFD2980"/>
    <w:rsid w:val="2D431D1B"/>
    <w:rsid w:val="5A0B5D49"/>
    <w:rsid w:val="64866B6A"/>
    <w:rsid w:val="6C30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unhideWhenUsed/>
    <w:qFormat/>
    <w:uiPriority w:val="39"/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uiPriority w:val="99"/>
    <w:rPr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标题 1 Char"/>
    <w:basedOn w:val="8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4">
    <w:name w:val="列出段落1"/>
    <w:basedOn w:val="1"/>
    <w:qFormat/>
    <w:uiPriority w:val="34"/>
    <w:pPr>
      <w:ind w:firstLine="420" w:firstLineChars="200"/>
    </w:pPr>
  </w:style>
  <w:style w:type="paragraph" w:customStyle="1" w:styleId="15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D7FF8D-DBC8-436D-AB2F-A766A18B49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339</Words>
  <Characters>1938</Characters>
  <Lines>16</Lines>
  <Paragraphs>4</Paragraphs>
  <TotalTime>3</TotalTime>
  <ScaleCrop>false</ScaleCrop>
  <LinksUpToDate>false</LinksUpToDate>
  <CharactersWithSpaces>2273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2019-06-12T02:59:00Z</dcterms:created>
  <dc:creator>admin</dc:creator>
  <cp:lastModifiedBy>Administrator</cp:lastModifiedBy>
  <cp:lastPrinted>2017-06-09T06:40:00Z</cp:lastPrinted>
  <dcterms:modified xsi:type="dcterms:W3CDTF">2020-07-24T03:19:01Z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