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E666C">
      <w:pPr>
        <w:rPr>
          <w:rFonts w:hint="default" w:ascii="Times New Roman" w:hAnsi="Times New Roman" w:eastAsia="仿宋" w:cs="Times New Roman"/>
          <w:sz w:val="32"/>
          <w:szCs w:val="32"/>
          <w:highlight w:val="none"/>
          <w:u w:val="none"/>
        </w:rPr>
      </w:pPr>
      <w:bookmarkStart w:id="0" w:name="_GoBack"/>
      <w:bookmarkEnd w:id="0"/>
      <w:r>
        <w:rPr>
          <w:rFonts w:hint="default" w:ascii="Times New Roman" w:hAnsi="Times New Roman" w:eastAsia="仿宋" w:cs="Times New Roman"/>
          <w:sz w:val="32"/>
          <w:szCs w:val="32"/>
          <w:highlight w:val="none"/>
          <w:u w:val="none"/>
        </w:rPr>
        <w:t>附件1</w:t>
      </w:r>
    </w:p>
    <w:p w14:paraId="63BBFCB2">
      <w:pPr>
        <w:jc w:val="center"/>
        <w:rPr>
          <w:rFonts w:hint="default" w:ascii="Times New Roman" w:hAnsi="Times New Roman" w:eastAsia="方正小标宋简体" w:cs="Times New Roman"/>
          <w:sz w:val="36"/>
          <w:szCs w:val="36"/>
          <w:highlight w:val="none"/>
          <w:u w:val="none"/>
        </w:rPr>
      </w:pPr>
      <w:r>
        <w:rPr>
          <w:rFonts w:hint="default" w:ascii="Times New Roman" w:hAnsi="Times New Roman" w:eastAsia="方正小标宋简体" w:cs="Times New Roman"/>
          <w:sz w:val="36"/>
          <w:szCs w:val="36"/>
          <w:highlight w:val="none"/>
          <w:u w:val="none"/>
        </w:rPr>
        <w:t>课题立项申请表</w:t>
      </w:r>
    </w:p>
    <w:tbl>
      <w:tblPr>
        <w:tblStyle w:val="11"/>
        <w:tblW w:w="90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3"/>
        <w:gridCol w:w="6515"/>
      </w:tblGrid>
      <w:tr w14:paraId="50E3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93" w:type="dxa"/>
            <w:noWrap/>
            <w:vAlign w:val="center"/>
          </w:tcPr>
          <w:p w14:paraId="76E71846">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kern w:val="0"/>
                <w:sz w:val="28"/>
                <w:szCs w:val="24"/>
                <w:highlight w:val="none"/>
                <w:u w:val="none"/>
              </w:rPr>
            </w:pPr>
            <w:r>
              <w:rPr>
                <w:rFonts w:hint="default" w:ascii="Times New Roman" w:hAnsi="Times New Roman" w:eastAsia="仿宋_GB2312" w:cs="Times New Roman"/>
                <w:kern w:val="0"/>
                <w:sz w:val="28"/>
                <w:szCs w:val="24"/>
                <w:highlight w:val="none"/>
                <w:u w:val="none"/>
                <w:lang w:val="en-US" w:eastAsia="zh-CN"/>
              </w:rPr>
              <w:t>课题</w:t>
            </w:r>
            <w:r>
              <w:rPr>
                <w:rFonts w:hint="default" w:ascii="Times New Roman" w:hAnsi="Times New Roman" w:eastAsia="仿宋_GB2312" w:cs="Times New Roman"/>
                <w:kern w:val="0"/>
                <w:sz w:val="28"/>
                <w:szCs w:val="24"/>
                <w:highlight w:val="none"/>
                <w:u w:val="none"/>
              </w:rPr>
              <w:t>名称</w:t>
            </w:r>
          </w:p>
        </w:tc>
        <w:tc>
          <w:tcPr>
            <w:tcW w:w="6515" w:type="dxa"/>
            <w:noWrap/>
          </w:tcPr>
          <w:p w14:paraId="1A9B3F9A">
            <w:pPr>
              <w:keepNext w:val="0"/>
              <w:keepLines w:val="0"/>
              <w:pageBreakBefore w:val="0"/>
              <w:widowControl w:val="0"/>
              <w:kinsoku/>
              <w:overflowPunct/>
              <w:topLinePunct w:val="0"/>
              <w:autoSpaceDE/>
              <w:autoSpaceDN/>
              <w:bidi w:val="0"/>
              <w:adjustRightInd/>
              <w:snapToGrid/>
              <w:spacing w:line="500" w:lineRule="exact"/>
              <w:textAlignment w:val="auto"/>
              <w:rPr>
                <w:rFonts w:hint="default" w:ascii="Times New Roman" w:hAnsi="Times New Roman" w:eastAsia="仿宋_GB2312" w:cs="Times New Roman"/>
                <w:kern w:val="0"/>
                <w:sz w:val="28"/>
                <w:szCs w:val="24"/>
                <w:highlight w:val="none"/>
                <w:u w:val="none"/>
              </w:rPr>
            </w:pPr>
          </w:p>
        </w:tc>
      </w:tr>
      <w:tr w14:paraId="726F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3" w:type="dxa"/>
            <w:noWrap/>
            <w:vAlign w:val="center"/>
          </w:tcPr>
          <w:p w14:paraId="48BD4687">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kern w:val="0"/>
                <w:sz w:val="28"/>
                <w:szCs w:val="24"/>
                <w:highlight w:val="none"/>
                <w:u w:val="none"/>
              </w:rPr>
            </w:pPr>
            <w:r>
              <w:rPr>
                <w:rFonts w:hint="default" w:ascii="Times New Roman" w:hAnsi="Times New Roman" w:eastAsia="仿宋_GB2312" w:cs="Times New Roman"/>
                <w:kern w:val="0"/>
                <w:sz w:val="28"/>
                <w:szCs w:val="24"/>
                <w:highlight w:val="none"/>
                <w:u w:val="none"/>
              </w:rPr>
              <w:t>申请单位</w:t>
            </w:r>
          </w:p>
        </w:tc>
        <w:tc>
          <w:tcPr>
            <w:tcW w:w="6515" w:type="dxa"/>
            <w:noWrap/>
          </w:tcPr>
          <w:p w14:paraId="204782BC">
            <w:pPr>
              <w:keepNext w:val="0"/>
              <w:keepLines w:val="0"/>
              <w:pageBreakBefore w:val="0"/>
              <w:widowControl w:val="0"/>
              <w:kinsoku/>
              <w:overflowPunct/>
              <w:topLinePunct w:val="0"/>
              <w:autoSpaceDE/>
              <w:autoSpaceDN/>
              <w:bidi w:val="0"/>
              <w:adjustRightInd/>
              <w:snapToGrid/>
              <w:spacing w:line="500" w:lineRule="exact"/>
              <w:textAlignment w:val="auto"/>
              <w:rPr>
                <w:rFonts w:hint="default" w:ascii="Times New Roman" w:hAnsi="Times New Roman" w:eastAsia="仿宋_GB2312" w:cs="Times New Roman"/>
                <w:kern w:val="0"/>
                <w:sz w:val="28"/>
                <w:szCs w:val="24"/>
                <w:highlight w:val="none"/>
                <w:u w:val="none"/>
              </w:rPr>
            </w:pPr>
          </w:p>
        </w:tc>
      </w:tr>
      <w:tr w14:paraId="5ADC4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3" w:type="dxa"/>
            <w:noWrap/>
            <w:vAlign w:val="center"/>
          </w:tcPr>
          <w:p w14:paraId="3DBF7843">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kern w:val="0"/>
                <w:sz w:val="28"/>
                <w:szCs w:val="24"/>
                <w:highlight w:val="none"/>
                <w:u w:val="none"/>
              </w:rPr>
            </w:pPr>
            <w:r>
              <w:rPr>
                <w:rFonts w:hint="default" w:ascii="Times New Roman" w:hAnsi="Times New Roman" w:eastAsia="仿宋_GB2312" w:cs="Times New Roman"/>
                <w:kern w:val="0"/>
                <w:sz w:val="28"/>
                <w:szCs w:val="24"/>
                <w:highlight w:val="none"/>
                <w:u w:val="none"/>
                <w:lang w:val="en-US" w:eastAsia="zh-CN"/>
              </w:rPr>
              <w:t>课题负责人</w:t>
            </w:r>
            <w:r>
              <w:rPr>
                <w:rFonts w:hint="default" w:ascii="Times New Roman" w:hAnsi="Times New Roman" w:eastAsia="仿宋_GB2312" w:cs="Times New Roman"/>
                <w:kern w:val="0"/>
                <w:sz w:val="28"/>
                <w:szCs w:val="24"/>
                <w:highlight w:val="none"/>
                <w:u w:val="none"/>
              </w:rPr>
              <w:t>及电话</w:t>
            </w:r>
          </w:p>
        </w:tc>
        <w:tc>
          <w:tcPr>
            <w:tcW w:w="6515" w:type="dxa"/>
            <w:noWrap/>
          </w:tcPr>
          <w:p w14:paraId="628F1457">
            <w:pPr>
              <w:keepNext w:val="0"/>
              <w:keepLines w:val="0"/>
              <w:pageBreakBefore w:val="0"/>
              <w:widowControl w:val="0"/>
              <w:kinsoku/>
              <w:overflowPunct/>
              <w:topLinePunct w:val="0"/>
              <w:autoSpaceDE/>
              <w:autoSpaceDN/>
              <w:bidi w:val="0"/>
              <w:adjustRightInd/>
              <w:snapToGrid/>
              <w:spacing w:line="500" w:lineRule="exact"/>
              <w:textAlignment w:val="auto"/>
              <w:rPr>
                <w:rFonts w:hint="default" w:ascii="Times New Roman" w:hAnsi="Times New Roman" w:eastAsia="仿宋_GB2312" w:cs="Times New Roman"/>
                <w:kern w:val="0"/>
                <w:sz w:val="28"/>
                <w:szCs w:val="24"/>
                <w:highlight w:val="none"/>
                <w:u w:val="none"/>
              </w:rPr>
            </w:pPr>
          </w:p>
        </w:tc>
      </w:tr>
      <w:tr w14:paraId="3060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3" w:type="dxa"/>
            <w:noWrap/>
            <w:vAlign w:val="center"/>
          </w:tcPr>
          <w:p w14:paraId="2DAC568A">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kern w:val="0"/>
                <w:sz w:val="28"/>
                <w:szCs w:val="24"/>
                <w:highlight w:val="none"/>
                <w:u w:val="none"/>
              </w:rPr>
            </w:pPr>
            <w:r>
              <w:rPr>
                <w:rFonts w:hint="default" w:ascii="Times New Roman" w:hAnsi="Times New Roman" w:eastAsia="仿宋_GB2312" w:cs="Times New Roman"/>
                <w:kern w:val="0"/>
                <w:sz w:val="28"/>
                <w:szCs w:val="24"/>
                <w:highlight w:val="none"/>
                <w:u w:val="none"/>
                <w:lang w:val="en-US" w:eastAsia="zh-CN"/>
              </w:rPr>
              <w:t>课题</w:t>
            </w:r>
            <w:r>
              <w:rPr>
                <w:rFonts w:hint="default" w:ascii="Times New Roman" w:hAnsi="Times New Roman" w:eastAsia="仿宋_GB2312" w:cs="Times New Roman"/>
                <w:kern w:val="0"/>
                <w:sz w:val="28"/>
                <w:szCs w:val="24"/>
                <w:highlight w:val="none"/>
                <w:u w:val="none"/>
              </w:rPr>
              <w:t>联系人及电话</w:t>
            </w:r>
          </w:p>
        </w:tc>
        <w:tc>
          <w:tcPr>
            <w:tcW w:w="6515" w:type="dxa"/>
            <w:noWrap/>
          </w:tcPr>
          <w:p w14:paraId="4780B9AF">
            <w:pPr>
              <w:keepNext w:val="0"/>
              <w:keepLines w:val="0"/>
              <w:pageBreakBefore w:val="0"/>
              <w:widowControl w:val="0"/>
              <w:kinsoku/>
              <w:overflowPunct/>
              <w:topLinePunct w:val="0"/>
              <w:autoSpaceDE/>
              <w:autoSpaceDN/>
              <w:bidi w:val="0"/>
              <w:adjustRightInd/>
              <w:snapToGrid/>
              <w:spacing w:line="500" w:lineRule="exact"/>
              <w:textAlignment w:val="auto"/>
              <w:rPr>
                <w:rFonts w:hint="default" w:ascii="Times New Roman" w:hAnsi="Times New Roman" w:eastAsia="仿宋_GB2312" w:cs="Times New Roman"/>
                <w:kern w:val="0"/>
                <w:sz w:val="28"/>
                <w:szCs w:val="24"/>
                <w:highlight w:val="none"/>
                <w:u w:val="none"/>
              </w:rPr>
            </w:pPr>
          </w:p>
        </w:tc>
      </w:tr>
      <w:tr w14:paraId="24B3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3" w:hRule="atLeast"/>
          <w:jc w:val="center"/>
        </w:trPr>
        <w:tc>
          <w:tcPr>
            <w:tcW w:w="2493" w:type="dxa"/>
            <w:noWrap/>
            <w:vAlign w:val="center"/>
          </w:tcPr>
          <w:p w14:paraId="78C3FC4E">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kern w:val="0"/>
                <w:sz w:val="28"/>
                <w:szCs w:val="24"/>
                <w:highlight w:val="none"/>
                <w:u w:val="none"/>
              </w:rPr>
            </w:pPr>
            <w:r>
              <w:rPr>
                <w:rFonts w:hint="default" w:ascii="Times New Roman" w:hAnsi="Times New Roman" w:eastAsia="仿宋_GB2312" w:cs="Times New Roman"/>
                <w:kern w:val="0"/>
                <w:sz w:val="28"/>
                <w:szCs w:val="24"/>
                <w:highlight w:val="none"/>
                <w:u w:val="none"/>
              </w:rPr>
              <w:t>主要研究内容</w:t>
            </w:r>
          </w:p>
          <w:p w14:paraId="777618CC">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kern w:val="0"/>
                <w:sz w:val="28"/>
                <w:szCs w:val="24"/>
                <w:highlight w:val="none"/>
                <w:u w:val="none"/>
                <w:lang w:eastAsia="zh-CN"/>
              </w:rPr>
            </w:pPr>
            <w:r>
              <w:rPr>
                <w:rFonts w:hint="default" w:ascii="Times New Roman" w:hAnsi="Times New Roman" w:eastAsia="仿宋_GB2312" w:cs="Times New Roman"/>
                <w:kern w:val="0"/>
                <w:sz w:val="28"/>
                <w:szCs w:val="24"/>
                <w:highlight w:val="none"/>
                <w:u w:val="none"/>
                <w:lang w:eastAsia="zh-CN"/>
              </w:rPr>
              <w:t>（</w:t>
            </w:r>
            <w:r>
              <w:rPr>
                <w:rFonts w:hint="eastAsia" w:ascii="Times New Roman" w:hAnsi="Times New Roman" w:eastAsia="仿宋_GB2312" w:cs="Times New Roman"/>
                <w:kern w:val="0"/>
                <w:sz w:val="28"/>
                <w:szCs w:val="24"/>
                <w:highlight w:val="none"/>
                <w:u w:val="none"/>
                <w:lang w:val="en-US" w:eastAsia="zh-CN"/>
              </w:rPr>
              <w:t>2</w:t>
            </w:r>
            <w:r>
              <w:rPr>
                <w:rFonts w:hint="default" w:ascii="Times New Roman" w:hAnsi="Times New Roman" w:eastAsia="仿宋_GB2312" w:cs="Times New Roman"/>
                <w:kern w:val="0"/>
                <w:sz w:val="28"/>
                <w:szCs w:val="24"/>
                <w:highlight w:val="none"/>
                <w:u w:val="none"/>
                <w:lang w:val="en-US" w:eastAsia="zh-CN"/>
              </w:rPr>
              <w:t>000字以内</w:t>
            </w:r>
            <w:r>
              <w:rPr>
                <w:rFonts w:hint="default" w:ascii="Times New Roman" w:hAnsi="Times New Roman" w:eastAsia="仿宋_GB2312" w:cs="Times New Roman"/>
                <w:kern w:val="0"/>
                <w:sz w:val="28"/>
                <w:szCs w:val="24"/>
                <w:highlight w:val="none"/>
                <w:u w:val="none"/>
                <w:lang w:eastAsia="zh-CN"/>
              </w:rPr>
              <w:t>）</w:t>
            </w:r>
          </w:p>
        </w:tc>
        <w:tc>
          <w:tcPr>
            <w:tcW w:w="6515" w:type="dxa"/>
            <w:noWrap/>
          </w:tcPr>
          <w:p w14:paraId="10EC5C9B">
            <w:pPr>
              <w:keepNext w:val="0"/>
              <w:keepLines w:val="0"/>
              <w:pageBreakBefore w:val="0"/>
              <w:widowControl w:val="0"/>
              <w:kinsoku/>
              <w:overflowPunct/>
              <w:topLinePunct w:val="0"/>
              <w:autoSpaceDE/>
              <w:autoSpaceDN/>
              <w:bidi w:val="0"/>
              <w:adjustRightInd/>
              <w:snapToGrid/>
              <w:spacing w:line="500" w:lineRule="exact"/>
              <w:textAlignment w:val="auto"/>
              <w:rPr>
                <w:rFonts w:hint="default" w:ascii="Times New Roman" w:hAnsi="Times New Roman" w:eastAsia="黑体" w:cs="Times New Roman"/>
                <w:kern w:val="0"/>
                <w:sz w:val="28"/>
                <w:szCs w:val="24"/>
                <w:highlight w:val="none"/>
                <w:u w:val="none"/>
              </w:rPr>
            </w:pPr>
            <w:r>
              <w:rPr>
                <w:rFonts w:hint="default" w:ascii="Times New Roman" w:hAnsi="Times New Roman" w:eastAsia="黑体" w:cs="Times New Roman"/>
                <w:kern w:val="0"/>
                <w:sz w:val="28"/>
                <w:szCs w:val="24"/>
                <w:highlight w:val="none"/>
                <w:u w:val="none"/>
              </w:rPr>
              <w:t>一、课题研究背景与意义</w:t>
            </w:r>
          </w:p>
          <w:p w14:paraId="1468D205">
            <w:pPr>
              <w:keepNext w:val="0"/>
              <w:keepLines w:val="0"/>
              <w:pageBreakBefore w:val="0"/>
              <w:widowControl w:val="0"/>
              <w:kinsoku/>
              <w:overflowPunct/>
              <w:topLinePunct w:val="0"/>
              <w:autoSpaceDE/>
              <w:autoSpaceDN/>
              <w:bidi w:val="0"/>
              <w:adjustRightInd/>
              <w:snapToGrid/>
              <w:spacing w:line="500" w:lineRule="exact"/>
              <w:textAlignment w:val="auto"/>
              <w:rPr>
                <w:rFonts w:hint="default" w:ascii="Times New Roman" w:hAnsi="Times New Roman" w:eastAsia="仿宋_GB2312" w:cs="Times New Roman"/>
                <w:kern w:val="0"/>
                <w:sz w:val="28"/>
                <w:szCs w:val="24"/>
                <w:highlight w:val="none"/>
                <w:u w:val="none"/>
                <w:lang w:eastAsia="zh-CN"/>
              </w:rPr>
            </w:pPr>
            <w:r>
              <w:rPr>
                <w:rFonts w:hint="default" w:ascii="Times New Roman" w:hAnsi="Times New Roman" w:eastAsia="仿宋_GB2312" w:cs="Times New Roman"/>
                <w:kern w:val="0"/>
                <w:sz w:val="28"/>
                <w:szCs w:val="24"/>
                <w:highlight w:val="none"/>
                <w:u w:val="none"/>
              </w:rPr>
              <w:t>说明研究领域的现状、存在的问题，以及课题研究的理论价值和实践意义</w:t>
            </w:r>
            <w:r>
              <w:rPr>
                <w:rFonts w:hint="default" w:ascii="Times New Roman" w:hAnsi="Times New Roman" w:eastAsia="仿宋_GB2312" w:cs="Times New Roman"/>
                <w:kern w:val="0"/>
                <w:sz w:val="28"/>
                <w:szCs w:val="24"/>
                <w:highlight w:val="none"/>
                <w:u w:val="none"/>
                <w:lang w:eastAsia="zh-CN"/>
              </w:rPr>
              <w:t>。</w:t>
            </w:r>
          </w:p>
          <w:p w14:paraId="476D0FE7">
            <w:pPr>
              <w:keepNext w:val="0"/>
              <w:keepLines w:val="0"/>
              <w:pageBreakBefore w:val="0"/>
              <w:widowControl w:val="0"/>
              <w:kinsoku/>
              <w:overflowPunct/>
              <w:topLinePunct w:val="0"/>
              <w:autoSpaceDE/>
              <w:autoSpaceDN/>
              <w:bidi w:val="0"/>
              <w:adjustRightInd/>
              <w:snapToGrid/>
              <w:spacing w:line="500" w:lineRule="exact"/>
              <w:textAlignment w:val="auto"/>
              <w:rPr>
                <w:rFonts w:hint="default" w:ascii="Times New Roman" w:hAnsi="Times New Roman" w:eastAsia="黑体" w:cs="Times New Roman"/>
                <w:kern w:val="0"/>
                <w:sz w:val="28"/>
                <w:szCs w:val="24"/>
                <w:highlight w:val="none"/>
                <w:u w:val="none"/>
              </w:rPr>
            </w:pPr>
            <w:r>
              <w:rPr>
                <w:rFonts w:hint="default" w:ascii="Times New Roman" w:hAnsi="Times New Roman" w:eastAsia="黑体" w:cs="Times New Roman"/>
                <w:kern w:val="0"/>
                <w:sz w:val="28"/>
                <w:szCs w:val="24"/>
                <w:highlight w:val="none"/>
                <w:u w:val="none"/>
              </w:rPr>
              <w:t>二、课题研究目标与内容</w:t>
            </w:r>
          </w:p>
          <w:p w14:paraId="2F3F31D5">
            <w:pPr>
              <w:keepNext w:val="0"/>
              <w:keepLines w:val="0"/>
              <w:pageBreakBefore w:val="0"/>
              <w:widowControl w:val="0"/>
              <w:kinsoku/>
              <w:overflowPunct/>
              <w:topLinePunct w:val="0"/>
              <w:autoSpaceDE/>
              <w:autoSpaceDN/>
              <w:bidi w:val="0"/>
              <w:adjustRightInd/>
              <w:snapToGrid/>
              <w:spacing w:line="500" w:lineRule="exact"/>
              <w:textAlignment w:val="auto"/>
              <w:rPr>
                <w:rFonts w:hint="default" w:ascii="Times New Roman" w:hAnsi="Times New Roman" w:eastAsia="仿宋_GB2312" w:cs="Times New Roman"/>
                <w:kern w:val="0"/>
                <w:sz w:val="28"/>
                <w:szCs w:val="24"/>
                <w:highlight w:val="none"/>
                <w:u w:val="none"/>
                <w:lang w:eastAsia="zh-CN"/>
              </w:rPr>
            </w:pPr>
            <w:r>
              <w:rPr>
                <w:rFonts w:hint="default" w:ascii="Times New Roman" w:hAnsi="Times New Roman" w:eastAsia="仿宋_GB2312" w:cs="Times New Roman"/>
                <w:kern w:val="0"/>
                <w:sz w:val="28"/>
                <w:szCs w:val="24"/>
                <w:highlight w:val="none"/>
                <w:u w:val="none"/>
              </w:rPr>
              <w:t>明确研究要达到的具体目标，以及核心研究内容</w:t>
            </w:r>
            <w:r>
              <w:rPr>
                <w:rFonts w:hint="default" w:ascii="Times New Roman" w:hAnsi="Times New Roman" w:eastAsia="仿宋_GB2312" w:cs="Times New Roman"/>
                <w:kern w:val="0"/>
                <w:sz w:val="28"/>
                <w:szCs w:val="24"/>
                <w:highlight w:val="none"/>
                <w:u w:val="none"/>
                <w:lang w:eastAsia="zh-CN"/>
              </w:rPr>
              <w:t>。</w:t>
            </w:r>
          </w:p>
          <w:p w14:paraId="2B302E20">
            <w:pPr>
              <w:keepNext w:val="0"/>
              <w:keepLines w:val="0"/>
              <w:pageBreakBefore w:val="0"/>
              <w:widowControl w:val="0"/>
              <w:kinsoku/>
              <w:overflowPunct/>
              <w:topLinePunct w:val="0"/>
              <w:autoSpaceDE/>
              <w:autoSpaceDN/>
              <w:bidi w:val="0"/>
              <w:adjustRightInd/>
              <w:snapToGrid/>
              <w:spacing w:line="500" w:lineRule="exact"/>
              <w:textAlignment w:val="auto"/>
              <w:rPr>
                <w:rFonts w:hint="default" w:ascii="Times New Roman" w:hAnsi="Times New Roman" w:eastAsia="黑体" w:cs="Times New Roman"/>
                <w:kern w:val="0"/>
                <w:sz w:val="28"/>
                <w:szCs w:val="24"/>
                <w:highlight w:val="none"/>
                <w:u w:val="none"/>
              </w:rPr>
            </w:pPr>
            <w:r>
              <w:rPr>
                <w:rFonts w:hint="default" w:ascii="Times New Roman" w:hAnsi="Times New Roman" w:eastAsia="黑体" w:cs="Times New Roman"/>
                <w:kern w:val="0"/>
                <w:sz w:val="28"/>
                <w:szCs w:val="24"/>
                <w:highlight w:val="none"/>
                <w:u w:val="none"/>
              </w:rPr>
              <w:t>三、研究方法与技术路线</w:t>
            </w:r>
          </w:p>
          <w:p w14:paraId="797820EB">
            <w:pPr>
              <w:keepNext w:val="0"/>
              <w:keepLines w:val="0"/>
              <w:pageBreakBefore w:val="0"/>
              <w:widowControl w:val="0"/>
              <w:kinsoku/>
              <w:overflowPunct/>
              <w:topLinePunct w:val="0"/>
              <w:autoSpaceDE/>
              <w:autoSpaceDN/>
              <w:bidi w:val="0"/>
              <w:adjustRightInd/>
              <w:snapToGrid/>
              <w:spacing w:line="500" w:lineRule="exact"/>
              <w:textAlignment w:val="auto"/>
              <w:rPr>
                <w:rFonts w:hint="default" w:ascii="Times New Roman" w:hAnsi="Times New Roman" w:eastAsia="仿宋_GB2312" w:cs="Times New Roman"/>
                <w:kern w:val="0"/>
                <w:sz w:val="28"/>
                <w:szCs w:val="24"/>
                <w:highlight w:val="none"/>
                <w:u w:val="none"/>
                <w:lang w:eastAsia="zh-CN"/>
              </w:rPr>
            </w:pPr>
            <w:r>
              <w:rPr>
                <w:rFonts w:hint="default" w:ascii="Times New Roman" w:hAnsi="Times New Roman" w:eastAsia="仿宋_GB2312" w:cs="Times New Roman"/>
                <w:kern w:val="0"/>
                <w:sz w:val="28"/>
                <w:szCs w:val="24"/>
                <w:highlight w:val="none"/>
                <w:u w:val="none"/>
              </w:rPr>
              <w:t>说明采用的研究方法、技术路径、实验方案等</w:t>
            </w:r>
            <w:r>
              <w:rPr>
                <w:rFonts w:hint="default" w:ascii="Times New Roman" w:hAnsi="Times New Roman" w:eastAsia="仿宋_GB2312" w:cs="Times New Roman"/>
                <w:kern w:val="0"/>
                <w:sz w:val="28"/>
                <w:szCs w:val="24"/>
                <w:highlight w:val="none"/>
                <w:u w:val="none"/>
                <w:lang w:eastAsia="zh-CN"/>
              </w:rPr>
              <w:t>。</w:t>
            </w:r>
          </w:p>
        </w:tc>
      </w:tr>
      <w:tr w14:paraId="3C0D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2493" w:type="dxa"/>
            <w:noWrap/>
            <w:vAlign w:val="center"/>
          </w:tcPr>
          <w:p w14:paraId="07B13BDF">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kern w:val="0"/>
                <w:sz w:val="28"/>
                <w:szCs w:val="24"/>
                <w:highlight w:val="none"/>
                <w:u w:val="none"/>
              </w:rPr>
            </w:pPr>
            <w:r>
              <w:rPr>
                <w:rFonts w:hint="default" w:ascii="Times New Roman" w:hAnsi="Times New Roman" w:eastAsia="仿宋_GB2312" w:cs="Times New Roman"/>
                <w:kern w:val="0"/>
                <w:sz w:val="28"/>
                <w:szCs w:val="24"/>
                <w:highlight w:val="none"/>
                <w:u w:val="none"/>
              </w:rPr>
              <w:t>研究工作计划</w:t>
            </w:r>
          </w:p>
          <w:p w14:paraId="1575D688">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kern w:val="0"/>
                <w:sz w:val="28"/>
                <w:szCs w:val="24"/>
                <w:highlight w:val="none"/>
                <w:u w:val="none"/>
                <w:lang w:eastAsia="zh-CN"/>
              </w:rPr>
            </w:pPr>
            <w:r>
              <w:rPr>
                <w:rFonts w:hint="default" w:ascii="Times New Roman" w:hAnsi="Times New Roman" w:eastAsia="仿宋_GB2312" w:cs="Times New Roman"/>
                <w:kern w:val="0"/>
                <w:sz w:val="28"/>
                <w:szCs w:val="24"/>
                <w:highlight w:val="none"/>
                <w:u w:val="none"/>
                <w:lang w:eastAsia="zh-CN"/>
              </w:rPr>
              <w:t>（</w:t>
            </w:r>
            <w:r>
              <w:rPr>
                <w:rFonts w:hint="default" w:ascii="Times New Roman" w:hAnsi="Times New Roman" w:eastAsia="仿宋_GB2312" w:cs="Times New Roman"/>
                <w:kern w:val="0"/>
                <w:sz w:val="28"/>
                <w:szCs w:val="24"/>
                <w:highlight w:val="none"/>
                <w:u w:val="none"/>
                <w:lang w:val="en-US" w:eastAsia="zh-CN"/>
              </w:rPr>
              <w:t>300字以内</w:t>
            </w:r>
            <w:r>
              <w:rPr>
                <w:rFonts w:hint="default" w:ascii="Times New Roman" w:hAnsi="Times New Roman" w:eastAsia="仿宋_GB2312" w:cs="Times New Roman"/>
                <w:kern w:val="0"/>
                <w:sz w:val="28"/>
                <w:szCs w:val="24"/>
                <w:highlight w:val="none"/>
                <w:u w:val="none"/>
                <w:lang w:eastAsia="zh-CN"/>
              </w:rPr>
              <w:t>）</w:t>
            </w:r>
          </w:p>
        </w:tc>
        <w:tc>
          <w:tcPr>
            <w:tcW w:w="6515" w:type="dxa"/>
            <w:noWrap/>
          </w:tcPr>
          <w:p w14:paraId="3552943B">
            <w:pPr>
              <w:keepNext w:val="0"/>
              <w:keepLines w:val="0"/>
              <w:pageBreakBefore w:val="0"/>
              <w:widowControl w:val="0"/>
              <w:kinsoku/>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_GB2312" w:cs="Times New Roman"/>
                <w:kern w:val="0"/>
                <w:sz w:val="28"/>
                <w:szCs w:val="24"/>
                <w:highlight w:val="none"/>
                <w:u w:val="none"/>
              </w:rPr>
            </w:pPr>
          </w:p>
        </w:tc>
      </w:tr>
      <w:tr w14:paraId="5A52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2493" w:type="dxa"/>
            <w:noWrap/>
            <w:vAlign w:val="center"/>
          </w:tcPr>
          <w:p w14:paraId="6C1F272D">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kern w:val="0"/>
                <w:sz w:val="28"/>
                <w:szCs w:val="24"/>
                <w:highlight w:val="none"/>
                <w:u w:val="none"/>
              </w:rPr>
            </w:pPr>
            <w:r>
              <w:rPr>
                <w:rFonts w:hint="default" w:ascii="Times New Roman" w:hAnsi="Times New Roman" w:eastAsia="仿宋_GB2312" w:cs="Times New Roman"/>
                <w:kern w:val="0"/>
                <w:sz w:val="28"/>
                <w:szCs w:val="24"/>
                <w:highlight w:val="none"/>
                <w:u w:val="none"/>
              </w:rPr>
              <w:t>研究团队简介</w:t>
            </w:r>
          </w:p>
          <w:p w14:paraId="6636CE62">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kern w:val="0"/>
                <w:sz w:val="28"/>
                <w:szCs w:val="24"/>
                <w:highlight w:val="none"/>
                <w:u w:val="none"/>
              </w:rPr>
            </w:pPr>
            <w:r>
              <w:rPr>
                <w:rFonts w:hint="default" w:ascii="Times New Roman" w:hAnsi="Times New Roman" w:eastAsia="仿宋_GB2312" w:cs="Times New Roman"/>
                <w:kern w:val="0"/>
                <w:sz w:val="28"/>
                <w:szCs w:val="24"/>
                <w:highlight w:val="none"/>
                <w:u w:val="none"/>
                <w:lang w:eastAsia="zh-CN"/>
              </w:rPr>
              <w:t>（</w:t>
            </w:r>
            <w:r>
              <w:rPr>
                <w:rFonts w:hint="default" w:ascii="Times New Roman" w:hAnsi="Times New Roman" w:eastAsia="仿宋_GB2312" w:cs="Times New Roman"/>
                <w:kern w:val="0"/>
                <w:sz w:val="28"/>
                <w:szCs w:val="24"/>
                <w:highlight w:val="none"/>
                <w:u w:val="none"/>
                <w:lang w:val="en-US" w:eastAsia="zh-CN"/>
              </w:rPr>
              <w:t>300字以内</w:t>
            </w:r>
            <w:r>
              <w:rPr>
                <w:rFonts w:hint="default" w:ascii="Times New Roman" w:hAnsi="Times New Roman" w:eastAsia="仿宋_GB2312" w:cs="Times New Roman"/>
                <w:kern w:val="0"/>
                <w:sz w:val="28"/>
                <w:szCs w:val="24"/>
                <w:highlight w:val="none"/>
                <w:u w:val="none"/>
                <w:lang w:eastAsia="zh-CN"/>
              </w:rPr>
              <w:t>）</w:t>
            </w:r>
          </w:p>
        </w:tc>
        <w:tc>
          <w:tcPr>
            <w:tcW w:w="6515" w:type="dxa"/>
            <w:noWrap/>
          </w:tcPr>
          <w:p w14:paraId="022ED94B">
            <w:pPr>
              <w:keepNext w:val="0"/>
              <w:keepLines w:val="0"/>
              <w:pageBreakBefore w:val="0"/>
              <w:widowControl w:val="0"/>
              <w:kinsoku/>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_GB2312" w:cs="Times New Roman"/>
                <w:kern w:val="0"/>
                <w:sz w:val="28"/>
                <w:szCs w:val="24"/>
                <w:highlight w:val="none"/>
                <w:u w:val="none"/>
              </w:rPr>
            </w:pPr>
          </w:p>
        </w:tc>
      </w:tr>
      <w:tr w14:paraId="51C8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2493" w:type="dxa"/>
            <w:noWrap/>
            <w:vAlign w:val="center"/>
          </w:tcPr>
          <w:p w14:paraId="68F06BBB">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kern w:val="0"/>
                <w:sz w:val="28"/>
                <w:szCs w:val="24"/>
                <w:highlight w:val="none"/>
                <w:u w:val="none"/>
              </w:rPr>
            </w:pPr>
            <w:r>
              <w:rPr>
                <w:rFonts w:hint="default" w:ascii="Times New Roman" w:hAnsi="Times New Roman" w:eastAsia="仿宋_GB2312" w:cs="Times New Roman"/>
                <w:kern w:val="0"/>
                <w:sz w:val="28"/>
                <w:szCs w:val="24"/>
                <w:highlight w:val="none"/>
                <w:u w:val="none"/>
              </w:rPr>
              <w:t>研究基础与条件</w:t>
            </w:r>
          </w:p>
          <w:p w14:paraId="0247374A">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kern w:val="0"/>
                <w:sz w:val="28"/>
                <w:szCs w:val="24"/>
                <w:highlight w:val="none"/>
                <w:u w:val="none"/>
              </w:rPr>
            </w:pPr>
            <w:r>
              <w:rPr>
                <w:rFonts w:hint="default" w:ascii="Times New Roman" w:hAnsi="Times New Roman" w:eastAsia="仿宋_GB2312" w:cs="Times New Roman"/>
                <w:kern w:val="0"/>
                <w:sz w:val="28"/>
                <w:szCs w:val="24"/>
                <w:highlight w:val="none"/>
                <w:u w:val="none"/>
                <w:lang w:eastAsia="zh-CN"/>
              </w:rPr>
              <w:t>（</w:t>
            </w:r>
            <w:r>
              <w:rPr>
                <w:rFonts w:hint="default" w:ascii="Times New Roman" w:hAnsi="Times New Roman" w:eastAsia="仿宋_GB2312" w:cs="Times New Roman"/>
                <w:kern w:val="0"/>
                <w:sz w:val="28"/>
                <w:szCs w:val="24"/>
                <w:highlight w:val="none"/>
                <w:u w:val="none"/>
                <w:lang w:val="en-US" w:eastAsia="zh-CN"/>
              </w:rPr>
              <w:t>300字以内</w:t>
            </w:r>
            <w:r>
              <w:rPr>
                <w:rFonts w:hint="default" w:ascii="Times New Roman" w:hAnsi="Times New Roman" w:eastAsia="仿宋_GB2312" w:cs="Times New Roman"/>
                <w:kern w:val="0"/>
                <w:sz w:val="28"/>
                <w:szCs w:val="24"/>
                <w:highlight w:val="none"/>
                <w:u w:val="none"/>
                <w:lang w:eastAsia="zh-CN"/>
              </w:rPr>
              <w:t>）</w:t>
            </w:r>
          </w:p>
        </w:tc>
        <w:tc>
          <w:tcPr>
            <w:tcW w:w="6515" w:type="dxa"/>
            <w:noWrap/>
          </w:tcPr>
          <w:p w14:paraId="2B5B1DFD">
            <w:pPr>
              <w:keepNext w:val="0"/>
              <w:keepLines w:val="0"/>
              <w:pageBreakBefore w:val="0"/>
              <w:widowControl w:val="0"/>
              <w:kinsoku/>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_GB2312" w:cs="Times New Roman"/>
                <w:kern w:val="0"/>
                <w:sz w:val="28"/>
                <w:szCs w:val="24"/>
                <w:highlight w:val="none"/>
                <w:u w:val="none"/>
              </w:rPr>
            </w:pPr>
          </w:p>
        </w:tc>
      </w:tr>
      <w:tr w14:paraId="261E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3" w:type="dxa"/>
            <w:noWrap/>
            <w:vAlign w:val="center"/>
          </w:tcPr>
          <w:p w14:paraId="36A0030D">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kern w:val="0"/>
                <w:sz w:val="28"/>
                <w:szCs w:val="24"/>
                <w:highlight w:val="none"/>
                <w:u w:val="none"/>
              </w:rPr>
            </w:pPr>
            <w:r>
              <w:rPr>
                <w:rFonts w:hint="default" w:ascii="Times New Roman" w:hAnsi="Times New Roman" w:eastAsia="仿宋_GB2312" w:cs="Times New Roman"/>
                <w:kern w:val="0"/>
                <w:sz w:val="28"/>
                <w:szCs w:val="24"/>
                <w:highlight w:val="none"/>
                <w:u w:val="none"/>
              </w:rPr>
              <w:t>申请单位意见</w:t>
            </w:r>
          </w:p>
        </w:tc>
        <w:tc>
          <w:tcPr>
            <w:tcW w:w="6515" w:type="dxa"/>
            <w:noWrap/>
          </w:tcPr>
          <w:p w14:paraId="33A1E224">
            <w:pPr>
              <w:keepNext w:val="0"/>
              <w:keepLines w:val="0"/>
              <w:pageBreakBefore w:val="0"/>
              <w:widowControl w:val="0"/>
              <w:kinsoku/>
              <w:overflowPunct/>
              <w:topLinePunct w:val="0"/>
              <w:autoSpaceDE/>
              <w:autoSpaceDN/>
              <w:bidi w:val="0"/>
              <w:adjustRightInd/>
              <w:snapToGrid/>
              <w:spacing w:line="500" w:lineRule="exact"/>
              <w:textAlignment w:val="auto"/>
              <w:rPr>
                <w:rFonts w:hint="default" w:ascii="Times New Roman" w:hAnsi="Times New Roman" w:eastAsia="仿宋_GB2312" w:cs="Times New Roman"/>
                <w:kern w:val="0"/>
                <w:sz w:val="28"/>
                <w:szCs w:val="24"/>
                <w:highlight w:val="none"/>
                <w:u w:val="none"/>
              </w:rPr>
            </w:pPr>
          </w:p>
          <w:p w14:paraId="646D3F71">
            <w:pPr>
              <w:keepNext w:val="0"/>
              <w:keepLines w:val="0"/>
              <w:pageBreakBefore w:val="0"/>
              <w:widowControl w:val="0"/>
              <w:kinsoku/>
              <w:overflowPunct/>
              <w:topLinePunct w:val="0"/>
              <w:autoSpaceDE/>
              <w:autoSpaceDN/>
              <w:bidi w:val="0"/>
              <w:adjustRightInd/>
              <w:snapToGrid/>
              <w:spacing w:line="500" w:lineRule="exact"/>
              <w:textAlignment w:val="auto"/>
              <w:rPr>
                <w:rFonts w:hint="default" w:ascii="Times New Roman" w:hAnsi="Times New Roman" w:eastAsia="仿宋_GB2312" w:cs="Times New Roman"/>
                <w:kern w:val="0"/>
                <w:sz w:val="28"/>
                <w:szCs w:val="24"/>
                <w:highlight w:val="none"/>
                <w:u w:val="none"/>
              </w:rPr>
            </w:pPr>
          </w:p>
          <w:p w14:paraId="4E27AD03">
            <w:pPr>
              <w:keepNext w:val="0"/>
              <w:keepLines w:val="0"/>
              <w:pageBreakBefore w:val="0"/>
              <w:widowControl w:val="0"/>
              <w:kinsoku/>
              <w:wordWrap w:val="0"/>
              <w:overflowPunct/>
              <w:topLinePunct w:val="0"/>
              <w:autoSpaceDE/>
              <w:autoSpaceDN/>
              <w:bidi w:val="0"/>
              <w:adjustRightInd/>
              <w:snapToGrid/>
              <w:spacing w:line="500" w:lineRule="exact"/>
              <w:jc w:val="right"/>
              <w:textAlignment w:val="auto"/>
              <w:rPr>
                <w:rFonts w:hint="default" w:ascii="Times New Roman" w:hAnsi="Times New Roman" w:eastAsia="仿宋_GB2312" w:cs="Times New Roman"/>
                <w:kern w:val="0"/>
                <w:sz w:val="28"/>
                <w:szCs w:val="24"/>
                <w:highlight w:val="none"/>
                <w:u w:val="none"/>
              </w:rPr>
            </w:pPr>
            <w:r>
              <w:rPr>
                <w:rFonts w:hint="default" w:ascii="Times New Roman" w:hAnsi="Times New Roman" w:eastAsia="仿宋_GB2312" w:cs="Times New Roman"/>
                <w:kern w:val="0"/>
                <w:sz w:val="28"/>
                <w:szCs w:val="24"/>
                <w:highlight w:val="none"/>
                <w:u w:val="none"/>
              </w:rPr>
              <w:t xml:space="preserve">负责人签字：      （公章）     </w:t>
            </w:r>
          </w:p>
          <w:p w14:paraId="6325398F">
            <w:pPr>
              <w:keepNext w:val="0"/>
              <w:keepLines w:val="0"/>
              <w:pageBreakBefore w:val="0"/>
              <w:widowControl w:val="0"/>
              <w:kinsoku/>
              <w:wordWrap w:val="0"/>
              <w:overflowPunct/>
              <w:topLinePunct w:val="0"/>
              <w:autoSpaceDE/>
              <w:autoSpaceDN/>
              <w:bidi w:val="0"/>
              <w:adjustRightInd/>
              <w:snapToGrid/>
              <w:spacing w:line="500" w:lineRule="exact"/>
              <w:jc w:val="right"/>
              <w:textAlignment w:val="auto"/>
              <w:rPr>
                <w:rFonts w:hint="default" w:ascii="Times New Roman" w:hAnsi="Times New Roman" w:eastAsia="仿宋_GB2312" w:cs="Times New Roman"/>
                <w:kern w:val="0"/>
                <w:sz w:val="28"/>
                <w:szCs w:val="24"/>
                <w:highlight w:val="none"/>
                <w:u w:val="none"/>
              </w:rPr>
            </w:pPr>
            <w:r>
              <w:rPr>
                <w:rFonts w:hint="default" w:ascii="Times New Roman" w:hAnsi="Times New Roman" w:eastAsia="仿宋_GB2312" w:cs="Times New Roman"/>
                <w:kern w:val="0"/>
                <w:sz w:val="28"/>
                <w:szCs w:val="24"/>
                <w:highlight w:val="none"/>
                <w:u w:val="none"/>
              </w:rPr>
              <w:t xml:space="preserve">  年  月  日  </w:t>
            </w:r>
          </w:p>
        </w:tc>
      </w:tr>
    </w:tbl>
    <w:p w14:paraId="2DC4F597">
      <w:pPr>
        <w:rPr>
          <w:rFonts w:hint="default" w:ascii="Times New Roman" w:hAnsi="Times New Roman" w:eastAsia="宋体" w:cs="Times New Roman"/>
          <w:szCs w:val="24"/>
          <w:highlight w:val="none"/>
          <w:u w:val="none"/>
        </w:rPr>
        <w:sectPr>
          <w:footerReference r:id="rId3" w:type="default"/>
          <w:pgSz w:w="11906" w:h="16838"/>
          <w:pgMar w:top="1440" w:right="1689" w:bottom="1440" w:left="1689" w:header="851" w:footer="992" w:gutter="0"/>
          <w:cols w:space="425" w:num="1"/>
          <w:docGrid w:type="lines" w:linePitch="312" w:charSpace="0"/>
        </w:sectPr>
      </w:pPr>
      <w:r>
        <w:rPr>
          <w:rFonts w:hint="default" w:ascii="Times New Roman" w:hAnsi="Times New Roman" w:eastAsia="宋体" w:cs="Times New Roman"/>
          <w:szCs w:val="24"/>
          <w:highlight w:val="none"/>
          <w:u w:val="none"/>
        </w:rPr>
        <w:t>注：本表由申请单位填写，</w:t>
      </w:r>
      <w:r>
        <w:rPr>
          <w:rFonts w:hint="default" w:ascii="Times New Roman" w:hAnsi="Times New Roman" w:eastAsia="宋体" w:cs="Times New Roman"/>
          <w:szCs w:val="24"/>
          <w:highlight w:val="none"/>
          <w:u w:val="none"/>
          <w:lang w:val="en-US" w:eastAsia="zh-CN"/>
        </w:rPr>
        <w:t>可附表填写</w:t>
      </w:r>
      <w:r>
        <w:rPr>
          <w:rFonts w:hint="default" w:ascii="Times New Roman" w:hAnsi="Times New Roman" w:eastAsia="宋体" w:cs="Times New Roman"/>
          <w:szCs w:val="24"/>
          <w:highlight w:val="none"/>
          <w:u w:val="none"/>
        </w:rPr>
        <w:t>。</w:t>
      </w:r>
    </w:p>
    <w:p w14:paraId="16E855C2">
      <w:pPr>
        <w:rPr>
          <w:rFonts w:hint="default" w:ascii="Times New Roman" w:hAnsi="Times New Roman" w:eastAsia="仿宋" w:cs="Times New Roman"/>
          <w:sz w:val="32"/>
          <w:szCs w:val="32"/>
          <w:highlight w:val="none"/>
          <w:u w:val="none"/>
        </w:rPr>
      </w:pPr>
      <w:r>
        <w:rPr>
          <w:rFonts w:hint="default" w:ascii="Times New Roman" w:hAnsi="Times New Roman" w:eastAsia="仿宋" w:cs="Times New Roman"/>
          <w:sz w:val="32"/>
          <w:szCs w:val="32"/>
          <w:highlight w:val="none"/>
          <w:u w:val="none"/>
        </w:rPr>
        <w:t>附件2</w:t>
      </w:r>
    </w:p>
    <w:p w14:paraId="6A2EA30E">
      <w:pPr>
        <w:spacing w:line="240" w:lineRule="auto"/>
        <w:ind w:firstLine="0" w:firstLineChars="0"/>
        <w:jc w:val="center"/>
        <w:rPr>
          <w:rFonts w:hint="default" w:ascii="Times New Roman" w:hAnsi="Times New Roman" w:eastAsia="方正小标宋简体" w:cs="Times New Roman"/>
          <w:sz w:val="36"/>
          <w:szCs w:val="36"/>
          <w:u w:val="none"/>
        </w:rPr>
      </w:pPr>
      <w:r>
        <w:rPr>
          <w:rFonts w:hint="default" w:ascii="Times New Roman" w:hAnsi="Times New Roman" w:eastAsia="方正小标宋简体" w:cs="Times New Roman"/>
          <w:sz w:val="36"/>
          <w:szCs w:val="36"/>
          <w:u w:val="none"/>
        </w:rPr>
        <w:t>工业和信息化部国际经济技术合作中心</w:t>
      </w:r>
    </w:p>
    <w:p w14:paraId="1A32370A">
      <w:pPr>
        <w:spacing w:line="240" w:lineRule="auto"/>
        <w:ind w:firstLine="0" w:firstLineChars="0"/>
        <w:jc w:val="center"/>
        <w:rPr>
          <w:rFonts w:hint="default" w:ascii="Times New Roman" w:hAnsi="Times New Roman" w:eastAsia="方正小标宋简体" w:cs="Times New Roman"/>
          <w:sz w:val="36"/>
          <w:szCs w:val="36"/>
          <w:u w:val="none"/>
        </w:rPr>
      </w:pPr>
      <w:r>
        <w:rPr>
          <w:rFonts w:hint="default" w:ascii="Times New Roman" w:hAnsi="Times New Roman" w:eastAsia="方正小标宋简体" w:cs="Times New Roman"/>
          <w:sz w:val="36"/>
          <w:szCs w:val="36"/>
          <w:u w:val="none"/>
          <w:lang w:val="en-US" w:eastAsia="zh-CN"/>
        </w:rPr>
        <w:t>2026年度</w:t>
      </w:r>
      <w:r>
        <w:rPr>
          <w:rFonts w:hint="default" w:ascii="Times New Roman" w:hAnsi="Times New Roman" w:eastAsia="方正小标宋简体" w:cs="Times New Roman"/>
          <w:sz w:val="36"/>
          <w:szCs w:val="36"/>
          <w:u w:val="none"/>
        </w:rPr>
        <w:t>工业设计</w:t>
      </w:r>
      <w:r>
        <w:rPr>
          <w:rFonts w:hint="default" w:ascii="Times New Roman" w:hAnsi="Times New Roman" w:eastAsia="方正小标宋简体" w:cs="Times New Roman"/>
          <w:sz w:val="36"/>
          <w:szCs w:val="36"/>
          <w:u w:val="none"/>
          <w:lang w:val="en-US" w:eastAsia="zh-CN"/>
        </w:rPr>
        <w:t>领域重点</w:t>
      </w:r>
      <w:r>
        <w:rPr>
          <w:rFonts w:hint="default" w:ascii="Times New Roman" w:hAnsi="Times New Roman" w:eastAsia="方正小标宋简体" w:cs="Times New Roman"/>
          <w:sz w:val="36"/>
          <w:szCs w:val="36"/>
          <w:u w:val="none"/>
        </w:rPr>
        <w:t>课题选题列表</w:t>
      </w:r>
    </w:p>
    <w:tbl>
      <w:tblPr>
        <w:tblStyle w:val="1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2"/>
        <w:gridCol w:w="11041"/>
      </w:tblGrid>
      <w:tr w14:paraId="263A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02" w:type="pct"/>
            <w:vAlign w:val="center"/>
          </w:tcPr>
          <w:p w14:paraId="137644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选题</w:t>
            </w:r>
          </w:p>
        </w:tc>
        <w:tc>
          <w:tcPr>
            <w:tcW w:w="3897" w:type="pct"/>
            <w:vAlign w:val="center"/>
          </w:tcPr>
          <w:p w14:paraId="756B08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摘要</w:t>
            </w:r>
          </w:p>
        </w:tc>
      </w:tr>
      <w:tr w14:paraId="12C1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5000" w:type="pct"/>
            <w:gridSpan w:val="2"/>
            <w:vAlign w:val="center"/>
          </w:tcPr>
          <w:p w14:paraId="1E948E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研究方向一</w:t>
            </w:r>
          </w:p>
          <w:p w14:paraId="716F41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“十五五”工业设计</w:t>
            </w:r>
            <w:r>
              <w:rPr>
                <w:rFonts w:hint="default" w:ascii="Times New Roman" w:hAnsi="Times New Roman" w:eastAsia="黑体" w:cs="Times New Roman"/>
                <w:color w:val="auto"/>
                <w:kern w:val="0"/>
                <w:sz w:val="24"/>
                <w:szCs w:val="24"/>
                <w:u w:val="none"/>
                <w:lang w:val="en-US" w:eastAsia="zh-CN"/>
              </w:rPr>
              <w:t>产业</w:t>
            </w:r>
            <w:r>
              <w:rPr>
                <w:rFonts w:hint="default" w:ascii="Times New Roman" w:hAnsi="Times New Roman" w:eastAsia="黑体" w:cs="Times New Roman"/>
                <w:color w:val="auto"/>
                <w:kern w:val="0"/>
                <w:sz w:val="24"/>
                <w:szCs w:val="24"/>
                <w:u w:val="none"/>
              </w:rPr>
              <w:t>高质量发展</w:t>
            </w:r>
            <w:r>
              <w:rPr>
                <w:rFonts w:hint="default" w:ascii="Times New Roman" w:hAnsi="Times New Roman" w:eastAsia="黑体" w:cs="Times New Roman"/>
                <w:color w:val="auto"/>
                <w:kern w:val="0"/>
                <w:sz w:val="24"/>
                <w:szCs w:val="24"/>
                <w:u w:val="none"/>
                <w:lang w:val="en-US" w:eastAsia="zh-CN"/>
              </w:rPr>
              <w:t>对策</w:t>
            </w:r>
            <w:r>
              <w:rPr>
                <w:rFonts w:hint="default" w:ascii="Times New Roman" w:hAnsi="Times New Roman" w:eastAsia="黑体" w:cs="Times New Roman"/>
                <w:color w:val="auto"/>
                <w:kern w:val="0"/>
                <w:sz w:val="24"/>
                <w:szCs w:val="24"/>
                <w:u w:val="none"/>
              </w:rPr>
              <w:t>研究</w:t>
            </w:r>
          </w:p>
        </w:tc>
      </w:tr>
      <w:tr w14:paraId="1BBE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vAlign w:val="center"/>
          </w:tcPr>
          <w:p w14:paraId="62E1EB5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jc w:val="left"/>
              <w:textAlignment w:val="auto"/>
              <w:rPr>
                <w:rFonts w:hint="default" w:ascii="Times New Roman" w:hAnsi="Times New Roman" w:eastAsia="楷体_GB2312" w:cs="Times New Roman"/>
                <w:b/>
                <w:bCs/>
                <w:color w:val="auto"/>
                <w:kern w:val="0"/>
                <w:sz w:val="24"/>
                <w:szCs w:val="24"/>
                <w:u w:val="none"/>
                <w:lang w:val="en-US" w:eastAsia="zh-CN"/>
              </w:rPr>
            </w:pPr>
            <w:r>
              <w:rPr>
                <w:rFonts w:hint="default" w:ascii="Times New Roman" w:hAnsi="Times New Roman" w:eastAsia="仿宋_GB2312" w:cs="Times New Roman"/>
                <w:b/>
                <w:bCs/>
                <w:color w:val="auto"/>
                <w:kern w:val="0"/>
                <w:sz w:val="24"/>
                <w:szCs w:val="24"/>
                <w:u w:val="none"/>
                <w:lang w:val="en-US" w:eastAsia="zh-CN"/>
              </w:rPr>
              <w:t>“十五五”时期工业设计产业高质量发展对策研究</w:t>
            </w:r>
          </w:p>
        </w:tc>
        <w:tc>
          <w:tcPr>
            <w:tcW w:w="3897" w:type="pct"/>
            <w:vAlign w:val="center"/>
          </w:tcPr>
          <w:p w14:paraId="53366E92">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rPr>
              <w:t>围绕“十五五”期间我国工业设计产业高质量发展需求</w:t>
            </w:r>
            <w:r>
              <w:rPr>
                <w:rFonts w:hint="default" w:ascii="Times New Roman" w:hAnsi="Times New Roman" w:eastAsia="仿宋_GB2312" w:cs="Times New Roman"/>
                <w:color w:val="auto"/>
                <w:kern w:val="0"/>
                <w:sz w:val="24"/>
                <w:szCs w:val="24"/>
                <w:u w:val="none"/>
                <w:lang w:eastAsia="zh-CN"/>
              </w:rPr>
              <w:t>，</w:t>
            </w:r>
            <w:r>
              <w:rPr>
                <w:rFonts w:hint="default" w:ascii="Times New Roman" w:hAnsi="Times New Roman" w:eastAsia="仿宋_GB2312" w:cs="Times New Roman"/>
                <w:color w:val="auto"/>
                <w:kern w:val="0"/>
                <w:sz w:val="24"/>
                <w:szCs w:val="24"/>
                <w:u w:val="none"/>
              </w:rPr>
              <w:t>重点分析产业链协同、区域布局、创新能力建设、人才培养及政策支撑等关键环节，研究构建适应高质量发展要求的工业设计支撑体系和运行机制，探索产业发展、资源配置、技术创新与市场拓展的协调路径，提出可推广的政策建议和实施对策。</w:t>
            </w:r>
          </w:p>
        </w:tc>
      </w:tr>
      <w:tr w14:paraId="65A2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vAlign w:val="center"/>
          </w:tcPr>
          <w:p w14:paraId="2F75D181">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rPr>
              <w:t>工业设计</w:t>
            </w:r>
            <w:r>
              <w:rPr>
                <w:rFonts w:hint="default" w:ascii="Times New Roman" w:hAnsi="Times New Roman" w:eastAsia="仿宋_GB2312" w:cs="Times New Roman"/>
                <w:b/>
                <w:bCs/>
                <w:color w:val="auto"/>
                <w:kern w:val="0"/>
                <w:sz w:val="24"/>
                <w:szCs w:val="24"/>
                <w:u w:val="none"/>
                <w:lang w:val="en-US" w:eastAsia="zh-CN"/>
              </w:rPr>
              <w:t>推动</w:t>
            </w:r>
            <w:r>
              <w:rPr>
                <w:rFonts w:hint="default" w:ascii="Times New Roman" w:hAnsi="Times New Roman" w:eastAsia="仿宋_GB2312" w:cs="Times New Roman"/>
                <w:b/>
                <w:bCs/>
                <w:color w:val="auto"/>
                <w:kern w:val="0"/>
                <w:sz w:val="24"/>
                <w:szCs w:val="24"/>
                <w:u w:val="none"/>
              </w:rPr>
              <w:t>新质生产力发展的战略路径研究</w:t>
            </w:r>
          </w:p>
        </w:tc>
        <w:tc>
          <w:tcPr>
            <w:tcW w:w="3897" w:type="pct"/>
            <w:vAlign w:val="center"/>
          </w:tcPr>
          <w:p w14:paraId="65A0D1E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聚焦“十五五”时期工业设计在推动新质生产力形成与发展中的功能定位与作用机理，从价值创造、技术融合、产业升级和要素配置等维度，梳理工业设计驱动新质生产力发展的内在逻辑与关键特征。分析工业设计在不同产业领域和发展阶段中发挥作用的主要路径，</w:t>
            </w:r>
            <w:r>
              <w:rPr>
                <w:rFonts w:hint="default" w:ascii="Times New Roman" w:hAnsi="Times New Roman" w:eastAsia="仿宋_GB2312" w:cs="Times New Roman"/>
                <w:color w:val="auto"/>
                <w:kern w:val="0"/>
                <w:sz w:val="24"/>
                <w:szCs w:val="24"/>
                <w:u w:val="none"/>
                <w:lang w:val="en-US" w:eastAsia="zh-CN"/>
              </w:rPr>
              <w:t>总结</w:t>
            </w:r>
            <w:r>
              <w:rPr>
                <w:rFonts w:hint="default" w:ascii="Times New Roman" w:hAnsi="Times New Roman" w:eastAsia="仿宋_GB2312" w:cs="Times New Roman"/>
                <w:color w:val="auto"/>
                <w:kern w:val="0"/>
                <w:sz w:val="24"/>
                <w:szCs w:val="24"/>
                <w:u w:val="none"/>
              </w:rPr>
              <w:t>面向“十五五”的工业设计战略布局与实施重点，提出以工业设计驱动新质生产力发展的战略路径与政策建议。</w:t>
            </w:r>
          </w:p>
        </w:tc>
      </w:tr>
      <w:tr w14:paraId="3892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vAlign w:val="center"/>
          </w:tcPr>
          <w:p w14:paraId="26260E86">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rPr>
              <w:t>工业设计</w:t>
            </w:r>
            <w:r>
              <w:rPr>
                <w:rFonts w:hint="default" w:ascii="Times New Roman" w:hAnsi="Times New Roman" w:eastAsia="仿宋_GB2312" w:cs="Times New Roman"/>
                <w:b/>
                <w:bCs/>
                <w:color w:val="auto"/>
                <w:kern w:val="0"/>
                <w:sz w:val="24"/>
                <w:szCs w:val="24"/>
                <w:u w:val="none"/>
                <w:lang w:val="en-US" w:eastAsia="zh-CN"/>
              </w:rPr>
              <w:t>助力科技创新与产业创新融合发展</w:t>
            </w:r>
            <w:r>
              <w:rPr>
                <w:rFonts w:hint="default" w:ascii="Times New Roman" w:hAnsi="Times New Roman" w:eastAsia="仿宋_GB2312" w:cs="Times New Roman"/>
                <w:b/>
                <w:bCs/>
                <w:color w:val="auto"/>
                <w:kern w:val="0"/>
                <w:sz w:val="24"/>
                <w:szCs w:val="24"/>
                <w:u w:val="none"/>
              </w:rPr>
              <w:t>路径研究</w:t>
            </w:r>
          </w:p>
        </w:tc>
        <w:tc>
          <w:tcPr>
            <w:tcW w:w="3897" w:type="pct"/>
            <w:vAlign w:val="center"/>
          </w:tcPr>
          <w:p w14:paraId="538BE31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围绕工业设计与科技创新</w:t>
            </w:r>
            <w:r>
              <w:rPr>
                <w:rFonts w:hint="default" w:ascii="Times New Roman" w:hAnsi="Times New Roman" w:eastAsia="仿宋_GB2312" w:cs="Times New Roman"/>
                <w:color w:val="auto"/>
                <w:kern w:val="0"/>
                <w:sz w:val="24"/>
                <w:szCs w:val="24"/>
                <w:u w:val="none"/>
                <w:lang w:eastAsia="zh-CN"/>
              </w:rPr>
              <w:t>、</w:t>
            </w:r>
            <w:r>
              <w:rPr>
                <w:rFonts w:hint="default" w:ascii="Times New Roman" w:hAnsi="Times New Roman" w:eastAsia="仿宋_GB2312" w:cs="Times New Roman"/>
                <w:color w:val="auto"/>
                <w:kern w:val="0"/>
                <w:sz w:val="24"/>
                <w:szCs w:val="24"/>
                <w:u w:val="none"/>
              </w:rPr>
              <w:t>产业创新融合发展的实际需求，研究工业设计在产品创新、服务设计、系统集成和价值链延伸等方面对</w:t>
            </w:r>
            <w:r>
              <w:rPr>
                <w:rFonts w:hint="default" w:ascii="Times New Roman" w:hAnsi="Times New Roman" w:eastAsia="仿宋_GB2312" w:cs="Times New Roman"/>
                <w:color w:val="auto"/>
                <w:kern w:val="0"/>
                <w:sz w:val="24"/>
                <w:szCs w:val="24"/>
                <w:u w:val="none"/>
                <w:lang w:val="en-US" w:eastAsia="zh-CN"/>
              </w:rPr>
              <w:t>先进</w:t>
            </w:r>
            <w:r>
              <w:rPr>
                <w:rFonts w:hint="default" w:ascii="Times New Roman" w:hAnsi="Times New Roman" w:eastAsia="仿宋_GB2312" w:cs="Times New Roman"/>
                <w:color w:val="auto"/>
                <w:kern w:val="0"/>
                <w:sz w:val="24"/>
                <w:szCs w:val="24"/>
                <w:u w:val="none"/>
              </w:rPr>
              <w:t>制造业升级的支撑作用，分析产业结构演进、业务模式创新和要素协同配置过程中两者融合发展的主要特征和突出问题，梳理制约融合发展的关键环节，提出“十五五”时期工业设计与先进制造业协同发展的重点方向和实施路径，为完善相关政策措施和推进科技创新、产业创新融合发展提供决策参考。</w:t>
            </w:r>
          </w:p>
        </w:tc>
      </w:tr>
      <w:tr w14:paraId="3536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vAlign w:val="center"/>
          </w:tcPr>
          <w:p w14:paraId="787D0111">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rPr>
              <w:t>工业设计赋能中小企业</w:t>
            </w:r>
            <w:r>
              <w:rPr>
                <w:rFonts w:hint="default" w:ascii="Times New Roman" w:hAnsi="Times New Roman" w:eastAsia="仿宋_GB2312" w:cs="Times New Roman"/>
                <w:b/>
                <w:bCs/>
                <w:color w:val="auto"/>
                <w:kern w:val="0"/>
                <w:sz w:val="24"/>
                <w:szCs w:val="24"/>
                <w:u w:val="none"/>
                <w:lang w:val="en-US" w:eastAsia="zh-CN"/>
              </w:rPr>
              <w:t>高质量</w:t>
            </w:r>
            <w:r>
              <w:rPr>
                <w:rFonts w:hint="default" w:ascii="Times New Roman" w:hAnsi="Times New Roman" w:eastAsia="仿宋_GB2312" w:cs="Times New Roman"/>
                <w:b/>
                <w:bCs/>
                <w:color w:val="auto"/>
                <w:kern w:val="0"/>
                <w:sz w:val="24"/>
                <w:szCs w:val="24"/>
                <w:u w:val="none"/>
              </w:rPr>
              <w:t>发展策略研究</w:t>
            </w:r>
          </w:p>
        </w:tc>
        <w:tc>
          <w:tcPr>
            <w:tcW w:w="3897" w:type="pct"/>
            <w:vAlign w:val="center"/>
          </w:tcPr>
          <w:p w14:paraId="5D94EC3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围绕中小企业</w:t>
            </w:r>
            <w:r>
              <w:rPr>
                <w:rFonts w:hint="default" w:ascii="Times New Roman" w:hAnsi="Times New Roman" w:eastAsia="仿宋_GB2312" w:cs="Times New Roman"/>
                <w:color w:val="auto"/>
                <w:kern w:val="0"/>
                <w:sz w:val="24"/>
                <w:szCs w:val="24"/>
                <w:u w:val="none"/>
                <w:lang w:eastAsia="zh-CN"/>
              </w:rPr>
              <w:t>（</w:t>
            </w:r>
            <w:r>
              <w:rPr>
                <w:rFonts w:hint="default" w:ascii="Times New Roman" w:hAnsi="Times New Roman" w:eastAsia="仿宋_GB2312" w:cs="Times New Roman"/>
                <w:color w:val="auto"/>
                <w:kern w:val="0"/>
                <w:sz w:val="24"/>
                <w:szCs w:val="24"/>
                <w:u w:val="none"/>
              </w:rPr>
              <w:t>特别是“专精特新”中小企业</w:t>
            </w:r>
            <w:r>
              <w:rPr>
                <w:rFonts w:hint="default" w:ascii="Times New Roman" w:hAnsi="Times New Roman" w:eastAsia="仿宋_GB2312" w:cs="Times New Roman"/>
                <w:color w:val="auto"/>
                <w:kern w:val="0"/>
                <w:sz w:val="24"/>
                <w:szCs w:val="24"/>
                <w:u w:val="none"/>
                <w:lang w:eastAsia="zh-CN"/>
              </w:rPr>
              <w:t>）</w:t>
            </w:r>
            <w:r>
              <w:rPr>
                <w:rFonts w:hint="default" w:ascii="Times New Roman" w:hAnsi="Times New Roman" w:eastAsia="仿宋_GB2312" w:cs="Times New Roman"/>
                <w:color w:val="auto"/>
                <w:kern w:val="0"/>
                <w:sz w:val="24"/>
                <w:szCs w:val="24"/>
                <w:u w:val="none"/>
              </w:rPr>
              <w:t>在我国经济发展中的重要作用，研究工业设计赋能中小企业创新发展的现实基础与内在需求，梳理中小企业在设计投入、设计管理、设计服务获取和设计成果转化等方面面临的主要问题与制约因素。从服务供给模式、资源组织方式和支持体系构建等维度，提出以工业设计提升中小企业创新能力和市场竞争力的发展策略，为推动中小企业高质量发展提供参考。</w:t>
            </w:r>
          </w:p>
        </w:tc>
      </w:tr>
      <w:tr w14:paraId="5AEC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vAlign w:val="center"/>
          </w:tcPr>
          <w:p w14:paraId="11D8D02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rPr>
              <w:t>工业设计推动制造业提质升级</w:t>
            </w:r>
            <w:r>
              <w:rPr>
                <w:rFonts w:hint="default" w:ascii="Times New Roman" w:hAnsi="Times New Roman" w:eastAsia="仿宋_GB2312" w:cs="Times New Roman"/>
                <w:b/>
                <w:bCs/>
                <w:color w:val="auto"/>
                <w:kern w:val="0"/>
                <w:sz w:val="24"/>
                <w:szCs w:val="24"/>
                <w:u w:val="none"/>
                <w:lang w:eastAsia="zh-CN"/>
              </w:rPr>
              <w:t>的</w:t>
            </w:r>
            <w:r>
              <w:rPr>
                <w:rFonts w:hint="default" w:ascii="Times New Roman" w:hAnsi="Times New Roman" w:eastAsia="仿宋_GB2312" w:cs="Times New Roman"/>
                <w:b/>
                <w:bCs/>
                <w:color w:val="auto"/>
                <w:kern w:val="0"/>
                <w:sz w:val="24"/>
                <w:szCs w:val="24"/>
                <w:u w:val="none"/>
                <w:lang w:val="en-US" w:eastAsia="zh-CN"/>
              </w:rPr>
              <w:t>创新路径研究</w:t>
            </w:r>
          </w:p>
        </w:tc>
        <w:tc>
          <w:tcPr>
            <w:tcW w:w="3897" w:type="pct"/>
            <w:vAlign w:val="center"/>
          </w:tcPr>
          <w:p w14:paraId="59707B1B">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围绕工业设计赋能制造业全链条提质升级的核心目标，聚焦传统产业优化提升、新兴产业培育壮大、未来产业创新发展三大关键领域，研究工业设计对不同阶段制造业的赋能机制；结合制造业绿色化发展要求，分析其在低碳研发、循环设计等方面的实践路径；围绕强链稳链需求，梳理其在补短板、锻长板中的支撑作用，总结当前典型模式与瓶颈，提出“十五五”时期差异化创新路径，为构建更具韧性的现代化产业体系提供参考。</w:t>
            </w:r>
          </w:p>
        </w:tc>
      </w:tr>
      <w:tr w14:paraId="2F36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vAlign w:val="center"/>
          </w:tcPr>
          <w:p w14:paraId="107C3A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研究方向二</w:t>
            </w:r>
          </w:p>
          <w:p w14:paraId="0256CD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我国工业设计产业国际化发展战略与路径研究</w:t>
            </w:r>
          </w:p>
        </w:tc>
      </w:tr>
      <w:tr w14:paraId="5A25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vAlign w:val="center"/>
          </w:tcPr>
          <w:p w14:paraId="4B0E2B12">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rPr>
              <w:t>工业设计国际合作政策与协同</w:t>
            </w:r>
            <w:r>
              <w:rPr>
                <w:rFonts w:hint="default" w:ascii="Times New Roman" w:hAnsi="Times New Roman" w:eastAsia="仿宋_GB2312" w:cs="Times New Roman"/>
                <w:b/>
                <w:bCs/>
                <w:color w:val="auto"/>
                <w:kern w:val="0"/>
                <w:sz w:val="24"/>
                <w:szCs w:val="24"/>
                <w:u w:val="none"/>
                <w:lang w:val="en-US" w:eastAsia="zh-CN"/>
              </w:rPr>
              <w:t>发展战略</w:t>
            </w:r>
            <w:r>
              <w:rPr>
                <w:rFonts w:hint="default" w:ascii="Times New Roman" w:hAnsi="Times New Roman" w:eastAsia="仿宋_GB2312" w:cs="Times New Roman"/>
                <w:b/>
                <w:bCs/>
                <w:color w:val="auto"/>
                <w:kern w:val="0"/>
                <w:sz w:val="24"/>
                <w:szCs w:val="24"/>
                <w:u w:val="none"/>
              </w:rPr>
              <w:t>研究</w:t>
            </w:r>
          </w:p>
        </w:tc>
        <w:tc>
          <w:tcPr>
            <w:tcW w:w="3897" w:type="pct"/>
            <w:vAlign w:val="center"/>
          </w:tcPr>
          <w:p w14:paraId="379E97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lang w:val="en-US" w:eastAsia="zh-CN"/>
              </w:rPr>
            </w:pPr>
            <w:r>
              <w:rPr>
                <w:rFonts w:hint="default" w:ascii="Times New Roman" w:hAnsi="Times New Roman" w:eastAsia="仿宋_GB2312" w:cs="Times New Roman"/>
                <w:color w:val="auto"/>
                <w:kern w:val="0"/>
                <w:sz w:val="24"/>
                <w:szCs w:val="24"/>
                <w:u w:val="none"/>
              </w:rPr>
              <w:t>聚焦工业设计领域国际合作的政策环境，分析现有国际合作协议、贸易政策和投资便利化措施对工业设计双向开放的支撑作用，对比全球主要设计强国在设计要素跨境流动（人才、资本、项目、知识产权等）方面的政策实践与协同机制，探索适合我国国情的工业设计国际合作政策创新方向和配套措施，构建覆盖设计要素双向开放的政策支持框架，为政府部门完善工业设计国际化顶层设计和推动国际合作提供系统化参考与决策支撑。</w:t>
            </w:r>
          </w:p>
        </w:tc>
      </w:tr>
      <w:tr w14:paraId="5D65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vAlign w:val="center"/>
          </w:tcPr>
          <w:p w14:paraId="5BA4B037">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lang w:val="en-US" w:eastAsia="zh-CN"/>
              </w:rPr>
              <w:t>工业设计“走出去”与“引进来”融合发展模式</w:t>
            </w:r>
            <w:r>
              <w:rPr>
                <w:rFonts w:hint="default" w:ascii="Times New Roman" w:hAnsi="Times New Roman" w:eastAsia="仿宋_GB2312" w:cs="Times New Roman"/>
                <w:b/>
                <w:bCs/>
                <w:color w:val="auto"/>
                <w:kern w:val="0"/>
                <w:sz w:val="24"/>
                <w:szCs w:val="24"/>
                <w:u w:val="none"/>
              </w:rPr>
              <w:t>研究</w:t>
            </w:r>
          </w:p>
        </w:tc>
        <w:tc>
          <w:tcPr>
            <w:tcW w:w="3897" w:type="pct"/>
            <w:vAlign w:val="center"/>
          </w:tcPr>
          <w:p w14:paraId="71FBA13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围绕我国工业设计对外开放的发展需求，梳理“走出去”拓展海外设计市场、承接全球设计服务的实践路径，分析“引进来”吸纳国际优质设计资源、先进设计理念的落地模式；研究双向融合过程中面临的规则对接、人才流动、知识产权保护等突出问题，提出“十五五”时期工业设计双向开放的创新发展模式与政策建议，为提升我国工业设计国际竞争力、服务更高水平对外开放提供决策参考。</w:t>
            </w:r>
          </w:p>
        </w:tc>
      </w:tr>
      <w:tr w14:paraId="381D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shd w:val="clear" w:color="auto" w:fill="auto"/>
            <w:vAlign w:val="center"/>
          </w:tcPr>
          <w:p w14:paraId="2EC33EB0">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lang w:val="en-US" w:eastAsia="zh-CN" w:bidi="ar-SA"/>
              </w:rPr>
            </w:pPr>
            <w:r>
              <w:rPr>
                <w:rFonts w:hint="default" w:ascii="Times New Roman" w:hAnsi="Times New Roman" w:eastAsia="仿宋_GB2312" w:cs="Times New Roman"/>
                <w:b/>
                <w:bCs/>
                <w:color w:val="auto"/>
                <w:kern w:val="0"/>
                <w:sz w:val="24"/>
                <w:szCs w:val="24"/>
                <w:u w:val="none"/>
              </w:rPr>
              <w:t>工业设计</w:t>
            </w:r>
            <w:r>
              <w:rPr>
                <w:rFonts w:hint="default" w:ascii="Times New Roman" w:hAnsi="Times New Roman" w:eastAsia="仿宋_GB2312" w:cs="Times New Roman"/>
                <w:b/>
                <w:bCs/>
                <w:color w:val="auto"/>
                <w:kern w:val="0"/>
                <w:sz w:val="24"/>
                <w:szCs w:val="24"/>
                <w:u w:val="none"/>
                <w:lang w:eastAsia="zh-CN"/>
              </w:rPr>
              <w:t>“</w:t>
            </w:r>
            <w:r>
              <w:rPr>
                <w:rFonts w:hint="default" w:ascii="Times New Roman" w:hAnsi="Times New Roman" w:eastAsia="仿宋_GB2312" w:cs="Times New Roman"/>
                <w:b/>
                <w:bCs/>
                <w:color w:val="auto"/>
                <w:kern w:val="0"/>
                <w:sz w:val="24"/>
                <w:szCs w:val="24"/>
                <w:u w:val="none"/>
              </w:rPr>
              <w:t>出海</w:t>
            </w:r>
            <w:r>
              <w:rPr>
                <w:rFonts w:hint="default" w:ascii="Times New Roman" w:hAnsi="Times New Roman" w:eastAsia="仿宋_GB2312" w:cs="Times New Roman"/>
                <w:b/>
                <w:bCs/>
                <w:color w:val="auto"/>
                <w:kern w:val="0"/>
                <w:sz w:val="24"/>
                <w:szCs w:val="24"/>
                <w:u w:val="none"/>
                <w:lang w:eastAsia="zh-CN"/>
              </w:rPr>
              <w:t>”</w:t>
            </w:r>
            <w:r>
              <w:rPr>
                <w:rFonts w:hint="default" w:ascii="Times New Roman" w:hAnsi="Times New Roman" w:eastAsia="仿宋_GB2312" w:cs="Times New Roman"/>
                <w:b/>
                <w:bCs/>
                <w:color w:val="auto"/>
                <w:kern w:val="0"/>
                <w:sz w:val="24"/>
                <w:szCs w:val="24"/>
                <w:u w:val="none"/>
              </w:rPr>
              <w:t>创新模式与全球价值链重构策略研究</w:t>
            </w:r>
          </w:p>
        </w:tc>
        <w:tc>
          <w:tcPr>
            <w:tcW w:w="3897" w:type="pct"/>
            <w:shd w:val="clear" w:color="auto" w:fill="auto"/>
            <w:vAlign w:val="center"/>
          </w:tcPr>
          <w:p w14:paraId="668B37C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聚焦中国工业设计企业出海模式的创新与全球价值链的深度嵌入，</w:t>
            </w:r>
            <w:r>
              <w:rPr>
                <w:rFonts w:hint="default" w:ascii="Times New Roman" w:hAnsi="Times New Roman" w:eastAsia="仿宋_GB2312" w:cs="Times New Roman"/>
                <w:color w:val="auto"/>
                <w:kern w:val="0"/>
                <w:sz w:val="24"/>
                <w:szCs w:val="24"/>
                <w:u w:val="none"/>
                <w:lang w:val="en-US" w:eastAsia="zh-CN"/>
              </w:rPr>
              <w:t>探讨</w:t>
            </w:r>
            <w:r>
              <w:rPr>
                <w:rFonts w:hint="default" w:ascii="Times New Roman" w:hAnsi="Times New Roman" w:eastAsia="仿宋_GB2312" w:cs="Times New Roman"/>
                <w:color w:val="auto"/>
                <w:kern w:val="0"/>
                <w:sz w:val="24"/>
                <w:szCs w:val="24"/>
                <w:u w:val="none"/>
              </w:rPr>
              <w:t>工业设计企业在不同国际市场（如新兴市场、成熟市场）下</w:t>
            </w:r>
            <w:r>
              <w:rPr>
                <w:rFonts w:hint="default" w:ascii="Times New Roman" w:hAnsi="Times New Roman" w:eastAsia="仿宋_GB2312" w:cs="Times New Roman"/>
                <w:color w:val="auto"/>
                <w:kern w:val="0"/>
                <w:sz w:val="24"/>
                <w:szCs w:val="24"/>
                <w:u w:val="none"/>
                <w:lang w:val="en-US" w:eastAsia="zh-CN"/>
              </w:rPr>
              <w:t>的创新</w:t>
            </w:r>
            <w:r>
              <w:rPr>
                <w:rFonts w:hint="default" w:ascii="Times New Roman" w:hAnsi="Times New Roman" w:eastAsia="仿宋_GB2312" w:cs="Times New Roman"/>
                <w:color w:val="auto"/>
                <w:kern w:val="0"/>
                <w:sz w:val="24"/>
                <w:szCs w:val="24"/>
                <w:u w:val="none"/>
              </w:rPr>
              <w:t>出海模式（如技术输出、品牌授权、合资共建、本地化服务）</w:t>
            </w:r>
            <w:r>
              <w:rPr>
                <w:rFonts w:hint="default" w:ascii="Times New Roman" w:hAnsi="Times New Roman" w:eastAsia="仿宋_GB2312" w:cs="Times New Roman"/>
                <w:color w:val="auto"/>
                <w:kern w:val="0"/>
                <w:sz w:val="24"/>
                <w:szCs w:val="24"/>
                <w:u w:val="none"/>
                <w:lang w:val="en-US" w:eastAsia="zh-CN"/>
              </w:rPr>
              <w:t>与</w:t>
            </w:r>
            <w:r>
              <w:rPr>
                <w:rFonts w:hint="default" w:ascii="Times New Roman" w:hAnsi="Times New Roman" w:eastAsia="仿宋_GB2312" w:cs="Times New Roman"/>
                <w:color w:val="auto"/>
                <w:kern w:val="0"/>
                <w:sz w:val="24"/>
                <w:szCs w:val="24"/>
                <w:u w:val="none"/>
              </w:rPr>
              <w:t>风险。结合区域文化特征、产业基础与用户需求，提出差异化的市场进入策略和全球价值链重构路径，形成可复制的“一国一策”适配方案，为企业提升出海竞争力提供实践指南。</w:t>
            </w:r>
          </w:p>
        </w:tc>
      </w:tr>
      <w:tr w14:paraId="0A09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shd w:val="clear" w:color="auto" w:fill="auto"/>
            <w:vAlign w:val="center"/>
          </w:tcPr>
          <w:p w14:paraId="069D1DD1">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lang w:val="en-US" w:eastAsia="zh-CN" w:bidi="ar-SA"/>
              </w:rPr>
            </w:pPr>
            <w:r>
              <w:rPr>
                <w:rFonts w:hint="default" w:ascii="Times New Roman" w:hAnsi="Times New Roman" w:eastAsia="仿宋_GB2312" w:cs="Times New Roman"/>
                <w:b/>
                <w:bCs/>
                <w:color w:val="auto"/>
                <w:kern w:val="0"/>
                <w:sz w:val="24"/>
                <w:szCs w:val="24"/>
                <w:u w:val="none"/>
                <w:lang w:val="en-US" w:eastAsia="zh-CN" w:bidi="ar-SA"/>
              </w:rPr>
              <w:t>工业设计国际合作综合服务体系建设研究</w:t>
            </w:r>
          </w:p>
        </w:tc>
        <w:tc>
          <w:tcPr>
            <w:tcW w:w="3897" w:type="pct"/>
            <w:shd w:val="clear" w:color="auto" w:fill="auto"/>
            <w:vAlign w:val="center"/>
          </w:tcPr>
          <w:p w14:paraId="6792E2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聚焦工业设计跨境合作的实际痛点，研究覆盖信息对接、成果转化、规则适配、人才交流、知识产权保护等全链条的服务支撑机制；分析当前体系建设存在的服务缺口与协同短板，结合“十五五”对外开放需求，提出平台搭建、资源整合、机制创新的重点任务与实施路径，为构建高效适配的工业设计国际合作综合服务体系、畅通跨境合作链路提供决策参考。</w:t>
            </w:r>
          </w:p>
        </w:tc>
      </w:tr>
      <w:tr w14:paraId="56E1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vAlign w:val="center"/>
          </w:tcPr>
          <w:p w14:paraId="0DC9C3E3">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highlight w:val="none"/>
                <w:u w:val="none"/>
              </w:rPr>
            </w:pPr>
            <w:r>
              <w:rPr>
                <w:rFonts w:hint="default" w:ascii="Times New Roman" w:hAnsi="Times New Roman" w:eastAsia="仿宋_GB2312" w:cs="Times New Roman"/>
                <w:b/>
                <w:bCs/>
                <w:color w:val="auto"/>
                <w:kern w:val="0"/>
                <w:sz w:val="24"/>
                <w:szCs w:val="24"/>
                <w:highlight w:val="none"/>
                <w:u w:val="none"/>
                <w:lang w:val="en-US" w:eastAsia="zh-CN"/>
              </w:rPr>
              <w:t>工业设计</w:t>
            </w:r>
            <w:r>
              <w:rPr>
                <w:rFonts w:hint="default" w:ascii="Times New Roman" w:hAnsi="Times New Roman" w:eastAsia="仿宋_GB2312" w:cs="Times New Roman"/>
                <w:b/>
                <w:bCs/>
                <w:color w:val="auto"/>
                <w:kern w:val="0"/>
                <w:sz w:val="24"/>
                <w:szCs w:val="24"/>
                <w:highlight w:val="none"/>
                <w:u w:val="none"/>
              </w:rPr>
              <w:t>国际合作</w:t>
            </w:r>
            <w:r>
              <w:rPr>
                <w:rFonts w:hint="default" w:ascii="Times New Roman" w:hAnsi="Times New Roman" w:eastAsia="仿宋_GB2312" w:cs="Times New Roman"/>
                <w:b/>
                <w:bCs/>
                <w:color w:val="auto"/>
                <w:kern w:val="0"/>
                <w:sz w:val="24"/>
                <w:szCs w:val="24"/>
                <w:highlight w:val="none"/>
                <w:u w:val="none"/>
                <w:lang w:val="en-US" w:eastAsia="zh-CN"/>
              </w:rPr>
              <w:t>集聚区高质量发展模式研究</w:t>
            </w:r>
          </w:p>
        </w:tc>
        <w:tc>
          <w:tcPr>
            <w:tcW w:w="3897" w:type="pct"/>
            <w:vAlign w:val="center"/>
          </w:tcPr>
          <w:p w14:paraId="30415EE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highlight w:val="none"/>
                <w:u w:val="none"/>
              </w:rPr>
            </w:pPr>
            <w:r>
              <w:rPr>
                <w:rFonts w:hint="default" w:ascii="Times New Roman" w:hAnsi="Times New Roman" w:eastAsia="仿宋_GB2312" w:cs="Times New Roman"/>
                <w:color w:val="auto"/>
                <w:kern w:val="0"/>
                <w:sz w:val="24"/>
                <w:szCs w:val="24"/>
                <w:highlight w:val="none"/>
                <w:u w:val="none"/>
              </w:rPr>
              <w:t>围绕集聚区集聚国际设计资源、赋能产业升级的核心定位，研究跨境设计机构引进、国际项目孵化、产业链协同创新、海外资源对接的典型运营模式；分析当前集聚区在资源整合、生态构建、服务配套等方面的短板，提出“十五五”时期集聚区差异化、特色化高质量发展的实施路径，为打造具有全球影响力的工业设计产业高地提供决策参考。</w:t>
            </w:r>
          </w:p>
        </w:tc>
      </w:tr>
      <w:tr w14:paraId="525D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2" w:type="pct"/>
            <w:vAlign w:val="center"/>
          </w:tcPr>
          <w:p w14:paraId="22745F8F">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rPr>
              <w:t>工业设计国际知识产权保护与争端解决机制研究</w:t>
            </w:r>
          </w:p>
        </w:tc>
        <w:tc>
          <w:tcPr>
            <w:tcW w:w="3897" w:type="pct"/>
            <w:vAlign w:val="center"/>
          </w:tcPr>
          <w:p w14:paraId="63B92F6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围绕工业设计全球化发展，研究工业设计在国际交流与合作中的知识产权保护需求与管理实践，分析企业在设计创新、成果转化和跨国合作中可能面临的知识产权风险及争端类型，探索适用于工业设计企业的预防、应对与协调机制，为提升企业创新能力、保护设计成果及促进国际设计合作提供决策参考。</w:t>
            </w:r>
          </w:p>
        </w:tc>
      </w:tr>
      <w:tr w14:paraId="1656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2" w:type="pct"/>
            <w:vAlign w:val="center"/>
          </w:tcPr>
          <w:p w14:paraId="550128F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highlight w:val="none"/>
                <w:u w:val="none"/>
              </w:rPr>
            </w:pPr>
            <w:r>
              <w:rPr>
                <w:rFonts w:hint="default" w:ascii="Times New Roman" w:hAnsi="Times New Roman" w:eastAsia="仿宋_GB2312" w:cs="Times New Roman"/>
                <w:b/>
                <w:bCs/>
                <w:color w:val="auto"/>
                <w:kern w:val="0"/>
                <w:sz w:val="24"/>
                <w:szCs w:val="24"/>
                <w:highlight w:val="none"/>
                <w:u w:val="none"/>
              </w:rPr>
              <w:t>中国工业设计“出海”中的文化叙事与智能产品本地化设计策略研究</w:t>
            </w:r>
          </w:p>
        </w:tc>
        <w:tc>
          <w:tcPr>
            <w:tcW w:w="3897" w:type="pct"/>
            <w:vAlign w:val="center"/>
          </w:tcPr>
          <w:p w14:paraId="2DB5B17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highlight w:val="none"/>
                <w:u w:val="none"/>
              </w:rPr>
            </w:pPr>
            <w:r>
              <w:rPr>
                <w:rFonts w:hint="default" w:ascii="Times New Roman" w:hAnsi="Times New Roman" w:eastAsia="仿宋_GB2312" w:cs="Times New Roman"/>
                <w:color w:val="auto"/>
                <w:kern w:val="0"/>
                <w:sz w:val="24"/>
                <w:szCs w:val="24"/>
                <w:highlight w:val="none"/>
                <w:u w:val="none"/>
              </w:rPr>
              <w:t>面向中国工业设计“出海”过程中的文化表达、用户认知与本地化适配等问题，研究智能产品在国际市场中的文化叙事构建与本地化设计策略。围绕产品语义、交互体验、符号转译、审美偏好与使用习惯等关键因素，分析不同区域市场中智能产品传播与接受的差异机制，探索兼顾中国文化表达与海外用户体验的设计路径，提出分区域、分类型的本地化设计策略与实施建议，为提升中国工业设计国际传播力与市场竞争力提供</w:t>
            </w:r>
            <w:r>
              <w:rPr>
                <w:rFonts w:hint="eastAsia" w:ascii="Times New Roman" w:hAnsi="Times New Roman" w:eastAsia="仿宋_GB2312" w:cs="Times New Roman"/>
                <w:color w:val="auto"/>
                <w:kern w:val="0"/>
                <w:sz w:val="24"/>
                <w:szCs w:val="24"/>
                <w:highlight w:val="none"/>
                <w:u w:val="none"/>
                <w:lang w:val="en-US" w:eastAsia="zh-CN"/>
              </w:rPr>
              <w:t>决策</w:t>
            </w:r>
            <w:r>
              <w:rPr>
                <w:rFonts w:hint="default" w:ascii="Times New Roman" w:hAnsi="Times New Roman" w:eastAsia="仿宋_GB2312" w:cs="Times New Roman"/>
                <w:color w:val="auto"/>
                <w:kern w:val="0"/>
                <w:sz w:val="24"/>
                <w:szCs w:val="24"/>
                <w:highlight w:val="none"/>
                <w:u w:val="none"/>
              </w:rPr>
              <w:t>参考。</w:t>
            </w:r>
          </w:p>
        </w:tc>
      </w:tr>
      <w:tr w14:paraId="62F8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vAlign w:val="center"/>
          </w:tcPr>
          <w:p w14:paraId="710AB4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研究方向三</w:t>
            </w:r>
          </w:p>
          <w:p w14:paraId="305AD6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工业设计产业生态建构与区域协同发展研究</w:t>
            </w:r>
          </w:p>
        </w:tc>
      </w:tr>
      <w:tr w14:paraId="1350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shd w:val="clear" w:color="auto" w:fill="auto"/>
            <w:vAlign w:val="center"/>
          </w:tcPr>
          <w:p w14:paraId="5EF6FF26">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lang w:val="en-US" w:eastAsia="zh-CN" w:bidi="ar-SA"/>
              </w:rPr>
            </w:pPr>
            <w:r>
              <w:rPr>
                <w:rFonts w:hint="default" w:ascii="Times New Roman" w:hAnsi="Times New Roman" w:eastAsia="仿宋_GB2312" w:cs="Times New Roman"/>
                <w:b/>
                <w:bCs/>
                <w:color w:val="auto"/>
                <w:kern w:val="0"/>
                <w:sz w:val="24"/>
                <w:szCs w:val="24"/>
                <w:u w:val="none"/>
              </w:rPr>
              <w:t>工业设计区域协同发展战略及政策研究</w:t>
            </w:r>
          </w:p>
        </w:tc>
        <w:tc>
          <w:tcPr>
            <w:tcW w:w="3897" w:type="pct"/>
            <w:shd w:val="clear" w:color="auto" w:fill="auto"/>
            <w:vAlign w:val="center"/>
          </w:tcPr>
          <w:p w14:paraId="7A35862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lang w:val="en-US" w:eastAsia="zh-CN" w:bidi="ar-SA"/>
              </w:rPr>
              <w:t>围绕工业设计在区域协同发展中的制度衔接与政策协同需求，研究不同区域在产业规划、人才流动、资金支持、知识产权保护和市场准入等方面的政策差异及其对跨区域协作的影响，梳理制约工业设计要素跨区域配置和产业联动的关键问题，结合长三角、粤港澳、环渤海、成渝等区域一体化实践开展比较分析，探索促进政策协同、资源共享和要素有序流动的战略路径，构建多主体参与、协同推进的政策框架，为提升工业设计区域协同发展水平和治理效能提供决策参考。</w:t>
            </w:r>
          </w:p>
        </w:tc>
      </w:tr>
      <w:tr w14:paraId="5F08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vAlign w:val="center"/>
          </w:tcPr>
          <w:p w14:paraId="0324F6F1">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lang w:val="en-US"/>
              </w:rPr>
            </w:pPr>
            <w:r>
              <w:rPr>
                <w:rFonts w:hint="default" w:ascii="Times New Roman" w:hAnsi="Times New Roman" w:eastAsia="仿宋_GB2312" w:cs="Times New Roman"/>
                <w:b/>
                <w:bCs/>
                <w:color w:val="auto"/>
                <w:kern w:val="0"/>
                <w:sz w:val="24"/>
                <w:szCs w:val="24"/>
                <w:u w:val="none"/>
                <w:lang w:val="en-US"/>
              </w:rPr>
              <w:t>工业设计产业生态的区域融合与智能治理研究</w:t>
            </w:r>
          </w:p>
        </w:tc>
        <w:tc>
          <w:tcPr>
            <w:tcW w:w="3897" w:type="pct"/>
            <w:vAlign w:val="center"/>
          </w:tcPr>
          <w:p w14:paraId="6007BC0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研究区域间工业设计生态在平台互联、数据共享和服务协同方面的融合路径，分析数字设计平台、大数据、人工智能、区块链等技术在支撑设计资源跨区域配置、智能服务协同供给及生态运行监管中的作用，梳理工业设计数字生态建设和治理过程中面临的关键问题，结合数字化转型成效突出的区域实践，探索智能治理的实施路径，提出相应的政策框架和技术支撑方案，为提升区域工业设计产业生态运行效率、创新能力和协同治理水平提供决策参考。</w:t>
            </w:r>
          </w:p>
        </w:tc>
      </w:tr>
      <w:tr w14:paraId="05CF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2" w:type="pct"/>
            <w:vAlign w:val="center"/>
          </w:tcPr>
          <w:p w14:paraId="687B97F2">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lang w:val="en-US"/>
              </w:rPr>
            </w:pPr>
            <w:r>
              <w:rPr>
                <w:rFonts w:hint="default" w:ascii="Times New Roman" w:hAnsi="Times New Roman" w:eastAsia="仿宋_GB2312" w:cs="Times New Roman"/>
                <w:b/>
                <w:bCs/>
                <w:color w:val="auto"/>
                <w:kern w:val="0"/>
                <w:sz w:val="24"/>
                <w:szCs w:val="24"/>
                <w:u w:val="none"/>
                <w:lang w:val="en-US"/>
              </w:rPr>
              <w:t>工业设计</w:t>
            </w:r>
            <w:r>
              <w:rPr>
                <w:rFonts w:hint="default" w:ascii="Times New Roman" w:hAnsi="Times New Roman" w:eastAsia="仿宋_GB2312" w:cs="Times New Roman"/>
                <w:b/>
                <w:bCs/>
                <w:color w:val="auto"/>
                <w:kern w:val="0"/>
                <w:sz w:val="24"/>
                <w:szCs w:val="24"/>
                <w:u w:val="none"/>
                <w:lang w:val="en-US" w:eastAsia="zh-CN"/>
              </w:rPr>
              <w:t>推动</w:t>
            </w:r>
            <w:r>
              <w:rPr>
                <w:rFonts w:hint="default" w:ascii="Times New Roman" w:hAnsi="Times New Roman" w:eastAsia="仿宋_GB2312" w:cs="Times New Roman"/>
                <w:b/>
                <w:bCs/>
                <w:color w:val="auto"/>
                <w:kern w:val="0"/>
                <w:sz w:val="24"/>
                <w:szCs w:val="24"/>
                <w:u w:val="none"/>
                <w:lang w:val="en-US"/>
              </w:rPr>
              <w:t>先进制造业集群协同发展机制</w:t>
            </w:r>
            <w:r>
              <w:rPr>
                <w:rFonts w:hint="default" w:ascii="Times New Roman" w:hAnsi="Times New Roman" w:eastAsia="仿宋_GB2312" w:cs="Times New Roman"/>
                <w:b/>
                <w:bCs/>
                <w:color w:val="auto"/>
                <w:kern w:val="0"/>
                <w:sz w:val="24"/>
                <w:szCs w:val="24"/>
                <w:u w:val="none"/>
                <w:lang w:val="en-US" w:eastAsia="zh-CN"/>
              </w:rPr>
              <w:t>研究</w:t>
            </w:r>
          </w:p>
        </w:tc>
        <w:tc>
          <w:tcPr>
            <w:tcW w:w="3897" w:type="pct"/>
            <w:vAlign w:val="center"/>
          </w:tcPr>
          <w:p w14:paraId="43EA0B8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lang w:val="en-US" w:eastAsia="zh-CN"/>
              </w:rPr>
              <w:t>围绕工业设计在先进制造业集群发展中的支撑作用，研究设计要素与制造业集群在技术创新、产品开发、品牌塑造和价值提升等方面的协同机制，分析工业设计融入制造业集群发展的模式与路径，探索设计服务、创新平台和公共资源在集群中的协同配置方式，构建设计与制造深度融合的产业生态，提出推动工业设计赋能先进制造业集群发展的实施路径和政策建议，为提升制造业集群创新能力和综合竞争力提供决策参考。</w:t>
            </w:r>
          </w:p>
        </w:tc>
      </w:tr>
      <w:tr w14:paraId="4701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vAlign w:val="center"/>
          </w:tcPr>
          <w:p w14:paraId="196CE31C">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rPr>
              <w:t>工业设计赋能县域特色产业</w:t>
            </w:r>
            <w:r>
              <w:rPr>
                <w:rFonts w:hint="default" w:ascii="Times New Roman" w:hAnsi="Times New Roman" w:eastAsia="仿宋_GB2312" w:cs="Times New Roman"/>
                <w:b/>
                <w:bCs/>
                <w:color w:val="auto"/>
                <w:kern w:val="0"/>
                <w:sz w:val="24"/>
                <w:szCs w:val="24"/>
                <w:u w:val="none"/>
                <w:lang w:val="en-US" w:eastAsia="zh-CN"/>
              </w:rPr>
              <w:t>集群转型升级</w:t>
            </w:r>
            <w:r>
              <w:rPr>
                <w:rFonts w:hint="default" w:ascii="Times New Roman" w:hAnsi="Times New Roman" w:eastAsia="仿宋_GB2312" w:cs="Times New Roman"/>
                <w:b/>
                <w:bCs/>
                <w:color w:val="auto"/>
                <w:kern w:val="0"/>
                <w:sz w:val="24"/>
                <w:szCs w:val="24"/>
                <w:u w:val="none"/>
              </w:rPr>
              <w:t>研究</w:t>
            </w:r>
          </w:p>
        </w:tc>
        <w:tc>
          <w:tcPr>
            <w:tcW w:w="3897" w:type="pct"/>
            <w:vAlign w:val="center"/>
          </w:tcPr>
          <w:p w14:paraId="390029D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lang w:val="en-US" w:eastAsia="zh-CN"/>
              </w:rPr>
              <w:t>针对</w:t>
            </w:r>
            <w:r>
              <w:rPr>
                <w:rFonts w:hint="default" w:ascii="Times New Roman" w:hAnsi="Times New Roman" w:eastAsia="仿宋_GB2312" w:cs="Times New Roman"/>
                <w:color w:val="auto"/>
                <w:kern w:val="0"/>
                <w:sz w:val="24"/>
                <w:szCs w:val="24"/>
                <w:u w:val="none"/>
              </w:rPr>
              <w:t>县域特色产业发展和乡村振兴需求，研究工业设计在县域主导产业、传统工艺和地标产品提升中的应用路径，探索设计赋能产业升级、品牌塑造和价值提升的有效模式，总结可复制、可推广的设计驱动县域经济发展实践经验，构建工业设计服务县域产业和乡村振兴的实施机制，为促进城乡区域协调发展和县域产业高质量发展提供政策参考与实践指引。</w:t>
            </w:r>
          </w:p>
        </w:tc>
      </w:tr>
      <w:tr w14:paraId="482D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pct"/>
            <w:vAlign w:val="center"/>
          </w:tcPr>
          <w:p w14:paraId="30B75673">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rPr>
              <w:t>工业设计推动</w:t>
            </w:r>
            <w:r>
              <w:rPr>
                <w:rFonts w:hint="default" w:ascii="Times New Roman" w:hAnsi="Times New Roman" w:eastAsia="仿宋_GB2312" w:cs="Times New Roman"/>
                <w:b/>
                <w:bCs/>
                <w:color w:val="auto"/>
                <w:kern w:val="0"/>
                <w:sz w:val="24"/>
                <w:szCs w:val="24"/>
                <w:u w:val="none"/>
                <w:lang w:val="en-US" w:eastAsia="zh-CN"/>
              </w:rPr>
              <w:t>产业</w:t>
            </w:r>
            <w:r>
              <w:rPr>
                <w:rFonts w:hint="default" w:ascii="Times New Roman" w:hAnsi="Times New Roman" w:eastAsia="仿宋_GB2312" w:cs="Times New Roman"/>
                <w:b/>
                <w:bCs/>
                <w:color w:val="auto"/>
                <w:kern w:val="0"/>
                <w:sz w:val="24"/>
                <w:szCs w:val="24"/>
                <w:u w:val="none"/>
              </w:rPr>
              <w:t>绿色可持续发展</w:t>
            </w:r>
            <w:r>
              <w:rPr>
                <w:rFonts w:hint="default" w:ascii="Times New Roman" w:hAnsi="Times New Roman" w:eastAsia="仿宋_GB2312" w:cs="Times New Roman"/>
                <w:b/>
                <w:bCs/>
                <w:color w:val="auto"/>
                <w:kern w:val="0"/>
                <w:sz w:val="24"/>
                <w:szCs w:val="24"/>
                <w:u w:val="none"/>
                <w:lang w:val="en-US" w:eastAsia="zh-CN"/>
              </w:rPr>
              <w:t>路径</w:t>
            </w:r>
            <w:r>
              <w:rPr>
                <w:rFonts w:hint="default" w:ascii="Times New Roman" w:hAnsi="Times New Roman" w:eastAsia="仿宋_GB2312" w:cs="Times New Roman"/>
                <w:b/>
                <w:bCs/>
                <w:color w:val="auto"/>
                <w:kern w:val="0"/>
                <w:sz w:val="24"/>
                <w:szCs w:val="24"/>
                <w:u w:val="none"/>
              </w:rPr>
              <w:t>研究</w:t>
            </w:r>
          </w:p>
        </w:tc>
        <w:tc>
          <w:tcPr>
            <w:tcW w:w="3897" w:type="pct"/>
            <w:vAlign w:val="center"/>
          </w:tcPr>
          <w:p w14:paraId="73BF287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立足于我国“双碳”目标和可持续发展战略，系统分析工业设计在产品全生命周期中如何融入绿色设计理念，促进循环经济发展，减少资源消耗和环境污染。重点关注工业设计在区域特色产业（如农业、旅游业、传统手工业）中如何实现生态产品价值转化、绿色品牌塑造和可持续商业模式创新。通过对区域绿色设计实践的案例分析，旨在构建工业设计驱动区域绿色可持续发展的生态赋能机制，并提出相应的政策支持与推广策略，为实现区域经济社会发展全面绿色转型提供设计智慧。</w:t>
            </w:r>
          </w:p>
        </w:tc>
      </w:tr>
      <w:tr w14:paraId="02A2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5000" w:type="pct"/>
            <w:gridSpan w:val="2"/>
            <w:vAlign w:val="center"/>
          </w:tcPr>
          <w:p w14:paraId="79C939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研究方向四</w:t>
            </w:r>
          </w:p>
          <w:p w14:paraId="37B054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黑体" w:cs="Times New Roman"/>
                <w:color w:val="auto"/>
                <w:kern w:val="0"/>
                <w:sz w:val="24"/>
                <w:szCs w:val="24"/>
                <w:u w:val="none"/>
              </w:rPr>
              <w:t>工业设计与数智技术协同创新及融合机制研究</w:t>
            </w:r>
          </w:p>
        </w:tc>
      </w:tr>
      <w:tr w14:paraId="719E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trPr>
        <w:tc>
          <w:tcPr>
            <w:tcW w:w="1102" w:type="pct"/>
            <w:vAlign w:val="center"/>
          </w:tcPr>
          <w:p w14:paraId="4185A43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rPr>
              <w:t>生成式人工智能赋能工业设计创新</w:t>
            </w:r>
            <w:r>
              <w:rPr>
                <w:rFonts w:hint="default" w:ascii="Times New Roman" w:hAnsi="Times New Roman" w:eastAsia="仿宋_GB2312" w:cs="Times New Roman"/>
                <w:b/>
                <w:bCs/>
                <w:color w:val="auto"/>
                <w:kern w:val="0"/>
                <w:sz w:val="24"/>
                <w:szCs w:val="24"/>
                <w:u w:val="none"/>
                <w:lang w:val="en-US" w:eastAsia="zh-CN"/>
              </w:rPr>
              <w:t>机</w:t>
            </w:r>
            <w:r>
              <w:rPr>
                <w:rFonts w:hint="default" w:ascii="Times New Roman" w:hAnsi="Times New Roman" w:eastAsia="仿宋_GB2312" w:cs="Times New Roman"/>
                <w:b/>
                <w:bCs/>
                <w:strike w:val="0"/>
                <w:dstrike w:val="0"/>
                <w:color w:val="auto"/>
                <w:kern w:val="0"/>
                <w:sz w:val="24"/>
                <w:szCs w:val="24"/>
                <w:u w:val="none"/>
                <w:lang w:val="en-US" w:eastAsia="zh-CN"/>
              </w:rPr>
              <w:t>制</w:t>
            </w:r>
            <w:r>
              <w:rPr>
                <w:rFonts w:hint="default" w:ascii="Times New Roman" w:hAnsi="Times New Roman" w:eastAsia="仿宋_GB2312" w:cs="Times New Roman"/>
                <w:b/>
                <w:bCs/>
                <w:strike w:val="0"/>
                <w:dstrike w:val="0"/>
                <w:color w:val="auto"/>
                <w:kern w:val="0"/>
                <w:sz w:val="24"/>
                <w:szCs w:val="24"/>
                <w:u w:val="none"/>
              </w:rPr>
              <w:t>研究</w:t>
            </w:r>
          </w:p>
        </w:tc>
        <w:tc>
          <w:tcPr>
            <w:tcW w:w="3897" w:type="pct"/>
            <w:vAlign w:val="center"/>
          </w:tcPr>
          <w:p w14:paraId="004852D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从数智技术协同视角分析生成式人工智能在工业设计全流程</w:t>
            </w:r>
            <w:r>
              <w:rPr>
                <w:rFonts w:hint="default" w:ascii="Times New Roman" w:hAnsi="Times New Roman" w:eastAsia="仿宋_GB2312" w:cs="Times New Roman"/>
                <w:color w:val="auto"/>
                <w:kern w:val="0"/>
                <w:sz w:val="24"/>
                <w:szCs w:val="24"/>
                <w:u w:val="none"/>
                <w:lang w:val="en-US" w:eastAsia="zh-CN"/>
              </w:rPr>
              <w:t>（</w:t>
            </w:r>
            <w:r>
              <w:rPr>
                <w:rFonts w:hint="default" w:ascii="Times New Roman" w:hAnsi="Times New Roman" w:eastAsia="仿宋_GB2312" w:cs="Times New Roman"/>
                <w:color w:val="auto"/>
                <w:kern w:val="0"/>
                <w:sz w:val="24"/>
                <w:szCs w:val="24"/>
                <w:u w:val="none"/>
              </w:rPr>
              <w:t>设计概念生成、形态推敲、高保真展示及用户体验优化</w:t>
            </w:r>
            <w:r>
              <w:rPr>
                <w:rFonts w:hint="default" w:ascii="Times New Roman" w:hAnsi="Times New Roman" w:eastAsia="仿宋_GB2312" w:cs="Times New Roman"/>
                <w:color w:val="auto"/>
                <w:kern w:val="0"/>
                <w:sz w:val="24"/>
                <w:szCs w:val="24"/>
                <w:u w:val="none"/>
                <w:lang w:val="en-US" w:eastAsia="zh-CN"/>
              </w:rPr>
              <w:t>）</w:t>
            </w:r>
            <w:r>
              <w:rPr>
                <w:rFonts w:hint="default" w:ascii="Times New Roman" w:hAnsi="Times New Roman" w:eastAsia="仿宋_GB2312" w:cs="Times New Roman"/>
                <w:color w:val="auto"/>
                <w:kern w:val="0"/>
                <w:sz w:val="24"/>
                <w:szCs w:val="24"/>
                <w:u w:val="none"/>
              </w:rPr>
              <w:t>中的嵌入方式</w:t>
            </w:r>
            <w:r>
              <w:rPr>
                <w:rFonts w:hint="default" w:ascii="Times New Roman" w:hAnsi="Times New Roman" w:eastAsia="仿宋_GB2312" w:cs="Times New Roman"/>
                <w:color w:val="auto"/>
                <w:kern w:val="0"/>
                <w:sz w:val="24"/>
                <w:szCs w:val="24"/>
                <w:u w:val="none"/>
                <w:lang w:eastAsia="zh-CN"/>
              </w:rPr>
              <w:t>，</w:t>
            </w:r>
            <w:r>
              <w:rPr>
                <w:rFonts w:hint="default" w:ascii="Times New Roman" w:hAnsi="Times New Roman" w:eastAsia="仿宋_GB2312" w:cs="Times New Roman"/>
                <w:color w:val="auto"/>
                <w:kern w:val="0"/>
                <w:sz w:val="24"/>
                <w:szCs w:val="24"/>
                <w:u w:val="none"/>
              </w:rPr>
              <w:t>探索其在设计流程中的协同机制、人机互动方式及创新赋能路径，研究如何通过技术与设计方法融合提升设计效率、创意质量和决策能力，构建面向工业设计的创新机制示范体系，为推动人工智能技术在工业设计领域的可持续应用提供政策参考。</w:t>
            </w:r>
          </w:p>
        </w:tc>
      </w:tr>
      <w:tr w14:paraId="1CB8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1102" w:type="pct"/>
            <w:vAlign w:val="center"/>
          </w:tcPr>
          <w:p w14:paraId="5C75D19D">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eastAsia="仿宋_GB2312" w:cs="Times New Roman"/>
                <w:b/>
                <w:bCs/>
                <w:color w:val="auto"/>
                <w:kern w:val="0"/>
                <w:sz w:val="24"/>
                <w:szCs w:val="24"/>
                <w:highlight w:val="none"/>
                <w:u w:val="none"/>
                <w:lang w:val="en-US" w:eastAsia="zh-CN"/>
              </w:rPr>
            </w:pPr>
            <w:r>
              <w:rPr>
                <w:rFonts w:hint="eastAsia" w:ascii="Times New Roman" w:hAnsi="Times New Roman" w:eastAsia="仿宋_GB2312" w:cs="Times New Roman"/>
                <w:b/>
                <w:bCs/>
                <w:color w:val="auto"/>
                <w:kern w:val="0"/>
                <w:sz w:val="24"/>
                <w:szCs w:val="24"/>
                <w:highlight w:val="none"/>
                <w:u w:val="none"/>
                <w:lang w:val="en-US" w:eastAsia="zh-CN"/>
              </w:rPr>
              <w:t>活态传承视角下民族音乐机器人在工业设计中的交互表达研究</w:t>
            </w:r>
          </w:p>
        </w:tc>
        <w:tc>
          <w:tcPr>
            <w:tcW w:w="3897" w:type="pct"/>
            <w:vAlign w:val="center"/>
          </w:tcPr>
          <w:p w14:paraId="6545F21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highlight w:val="none"/>
                <w:u w:val="none"/>
              </w:rPr>
            </w:pPr>
            <w:r>
              <w:rPr>
                <w:rFonts w:hint="default" w:ascii="Times New Roman" w:hAnsi="Times New Roman" w:eastAsia="仿宋_GB2312" w:cs="Times New Roman"/>
                <w:color w:val="auto"/>
                <w:kern w:val="0"/>
                <w:sz w:val="24"/>
                <w:szCs w:val="24"/>
                <w:highlight w:val="none"/>
                <w:u w:val="none"/>
              </w:rPr>
              <w:t>面向非遗活态传承与智能机器人技术融合</w:t>
            </w:r>
            <w:r>
              <w:rPr>
                <w:rFonts w:hint="eastAsia" w:ascii="Times New Roman" w:hAnsi="Times New Roman" w:eastAsia="仿宋_GB2312" w:cs="Times New Roman"/>
                <w:color w:val="auto"/>
                <w:kern w:val="0"/>
                <w:sz w:val="24"/>
                <w:szCs w:val="24"/>
                <w:highlight w:val="none"/>
                <w:u w:val="none"/>
                <w:lang w:val="en-US" w:eastAsia="zh-CN"/>
              </w:rPr>
              <w:t>的</w:t>
            </w:r>
            <w:r>
              <w:rPr>
                <w:rFonts w:hint="default" w:ascii="Times New Roman" w:hAnsi="Times New Roman" w:eastAsia="仿宋_GB2312" w:cs="Times New Roman"/>
                <w:color w:val="auto"/>
                <w:kern w:val="0"/>
                <w:sz w:val="24"/>
                <w:szCs w:val="24"/>
                <w:highlight w:val="none"/>
                <w:u w:val="none"/>
              </w:rPr>
              <w:t>发展趋势，研究民族音乐机器人在工业设计中的交互表达方法。针对现有民族音乐机器人在演奏动作设计、人机交互体验、文化审美传达等方面存在的方法论空白，从活态传承理论视角出发，探索机器人如何通过工业设计手段实现对民族音乐文化内涵的“可感知表达”。为传统文化数字化传承中的机器人产品设计提供理论与实践参考，推动工业设计赋能文化遗产活态传承。</w:t>
            </w:r>
          </w:p>
        </w:tc>
      </w:tr>
      <w:tr w14:paraId="2B55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1102" w:type="pct"/>
            <w:vAlign w:val="center"/>
          </w:tcPr>
          <w:p w14:paraId="2034B258">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eastAsia" w:ascii="Times New Roman" w:hAnsi="Times New Roman" w:eastAsia="仿宋_GB2312" w:cs="Times New Roman"/>
                <w:b/>
                <w:bCs/>
                <w:color w:val="auto"/>
                <w:kern w:val="0"/>
                <w:sz w:val="24"/>
                <w:szCs w:val="24"/>
                <w:u w:val="none"/>
                <w:lang w:val="en-US" w:eastAsia="zh-CN"/>
              </w:rPr>
              <w:t>人工智能赋能</w:t>
            </w:r>
            <w:r>
              <w:rPr>
                <w:rFonts w:hint="default" w:ascii="Times New Roman" w:hAnsi="Times New Roman" w:eastAsia="仿宋_GB2312" w:cs="Times New Roman"/>
                <w:b/>
                <w:bCs/>
                <w:color w:val="auto"/>
                <w:kern w:val="0"/>
                <w:sz w:val="24"/>
                <w:szCs w:val="24"/>
                <w:u w:val="none"/>
                <w:lang w:val="en-US" w:eastAsia="zh-CN"/>
              </w:rPr>
              <w:t>工业设计协同创新的应用路径研究</w:t>
            </w:r>
          </w:p>
        </w:tc>
        <w:tc>
          <w:tcPr>
            <w:tcW w:w="3897" w:type="pct"/>
            <w:vAlign w:val="center"/>
          </w:tcPr>
          <w:p w14:paraId="333FA2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面向新型工业化背景下工业设计智能化升级需求，研究</w:t>
            </w:r>
            <w:r>
              <w:rPr>
                <w:rFonts w:hint="eastAsia" w:ascii="Times New Roman" w:hAnsi="Times New Roman" w:eastAsia="仿宋_GB2312" w:cs="Times New Roman"/>
                <w:color w:val="auto"/>
                <w:kern w:val="0"/>
                <w:sz w:val="24"/>
                <w:szCs w:val="24"/>
                <w:u w:val="none"/>
                <w:lang w:val="en-US" w:eastAsia="zh-CN"/>
              </w:rPr>
              <w:t>人工智能等数智技术</w:t>
            </w:r>
            <w:r>
              <w:rPr>
                <w:rFonts w:hint="default" w:ascii="Times New Roman" w:hAnsi="Times New Roman" w:eastAsia="仿宋_GB2312" w:cs="Times New Roman"/>
                <w:color w:val="auto"/>
                <w:kern w:val="0"/>
                <w:sz w:val="24"/>
                <w:szCs w:val="24"/>
                <w:u w:val="none"/>
              </w:rPr>
              <w:t>在工业设计流程中的应用路径与模式创新，结合典型应用场景与实践案例，评估智能体技术对提升设计效率、增强协同创新能力的作用及其面临的技术与管理挑战，提出适合工业设计领域推广的智能体应用路径和实施建议。</w:t>
            </w:r>
          </w:p>
        </w:tc>
      </w:tr>
      <w:tr w14:paraId="5D61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1102" w:type="pct"/>
            <w:vAlign w:val="center"/>
          </w:tcPr>
          <w:p w14:paraId="61E9765A">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highlight w:val="none"/>
                <w:u w:val="none"/>
                <w:lang w:val="en-US" w:eastAsia="zh-CN"/>
              </w:rPr>
            </w:pPr>
            <w:r>
              <w:rPr>
                <w:rFonts w:hint="default" w:ascii="Times New Roman" w:hAnsi="Times New Roman" w:eastAsia="仿宋_GB2312" w:cs="Times New Roman"/>
                <w:b/>
                <w:bCs/>
                <w:color w:val="auto"/>
                <w:kern w:val="0"/>
                <w:sz w:val="24"/>
                <w:szCs w:val="24"/>
                <w:highlight w:val="none"/>
                <w:u w:val="none"/>
              </w:rPr>
              <w:t>智能座舱情感机器人音乐驱动的交互体验与工业设计研究</w:t>
            </w:r>
          </w:p>
        </w:tc>
        <w:tc>
          <w:tcPr>
            <w:tcW w:w="3897" w:type="pct"/>
            <w:vAlign w:val="center"/>
          </w:tcPr>
          <w:p w14:paraId="5DA6936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highlight w:val="none"/>
                <w:u w:val="none"/>
              </w:rPr>
            </w:pPr>
            <w:r>
              <w:rPr>
                <w:rFonts w:hint="eastAsia" w:ascii="Times New Roman" w:hAnsi="Times New Roman" w:eastAsia="仿宋_GB2312" w:cs="Times New Roman"/>
                <w:color w:val="auto"/>
                <w:kern w:val="0"/>
                <w:sz w:val="24"/>
                <w:szCs w:val="24"/>
                <w:highlight w:val="none"/>
                <w:u w:val="none"/>
              </w:rPr>
              <w:t>面向智能座舱场景下车载情感机器人音乐律动功能体验不佳的产业痛点，研究音乐结构理解驱动的机器人交互表达设计方法。为智能座舱情感化交互提供理论与实践参考，推动工业设计赋能汽车产业智能化、情感化升级。</w:t>
            </w:r>
          </w:p>
        </w:tc>
      </w:tr>
      <w:tr w14:paraId="3F47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1102" w:type="pct"/>
            <w:vAlign w:val="center"/>
          </w:tcPr>
          <w:p w14:paraId="43E92942">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highlight w:val="none"/>
                <w:u w:val="none"/>
                <w:lang w:val="en-US" w:eastAsia="zh-CN"/>
              </w:rPr>
            </w:pPr>
            <w:r>
              <w:rPr>
                <w:rFonts w:hint="default" w:ascii="Times New Roman" w:hAnsi="Times New Roman" w:eastAsia="仿宋_GB2312" w:cs="Times New Roman"/>
                <w:b/>
                <w:bCs/>
                <w:color w:val="auto"/>
                <w:kern w:val="0"/>
                <w:sz w:val="24"/>
                <w:szCs w:val="24"/>
                <w:highlight w:val="none"/>
                <w:u w:val="none"/>
                <w:lang w:val="en-US" w:eastAsia="zh-CN"/>
              </w:rPr>
              <w:t>人工智能辅助传统文化与器具特征提取的工业设计问题感知机制研究</w:t>
            </w:r>
          </w:p>
        </w:tc>
        <w:tc>
          <w:tcPr>
            <w:tcW w:w="3897" w:type="pct"/>
            <w:vAlign w:val="center"/>
          </w:tcPr>
          <w:p w14:paraId="1AD9C4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highlight w:val="none"/>
                <w:u w:val="none"/>
              </w:rPr>
            </w:pPr>
            <w:r>
              <w:rPr>
                <w:rFonts w:hint="eastAsia" w:ascii="Times New Roman" w:hAnsi="Times New Roman" w:eastAsia="仿宋_GB2312" w:cs="Times New Roman"/>
                <w:color w:val="auto"/>
                <w:kern w:val="0"/>
                <w:sz w:val="24"/>
                <w:szCs w:val="24"/>
                <w:highlight w:val="none"/>
                <w:u w:val="none"/>
                <w:lang w:val="en-US" w:eastAsia="zh-CN"/>
              </w:rPr>
              <w:t>面向工业设计研究中传统文化资源识别、特征转化、设计问题感知等现实问题，研究人工智能在传统文化与器具特征提取中的应用机制。围绕形态特征、功能逻辑、材料工艺、使用情境与文化语义等维度，探索多模态数据分析与智能识别方法，提升研究者对设计对象、设计矛盾与设计需求的感知能力，构建“特征提取—问题识别—设计分析—转化应用”的研究框架，为传统文化资源在工业设计中的创新转译与方法优化提供参考。</w:t>
            </w:r>
          </w:p>
        </w:tc>
      </w:tr>
      <w:tr w14:paraId="147A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1102" w:type="pct"/>
            <w:vAlign w:val="center"/>
          </w:tcPr>
          <w:p w14:paraId="747B4CAA">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highlight w:val="none"/>
                <w:u w:val="none"/>
                <w:lang w:val="en-US" w:eastAsia="zh-CN"/>
              </w:rPr>
            </w:pPr>
            <w:r>
              <w:rPr>
                <w:rFonts w:hint="default" w:ascii="Times New Roman" w:hAnsi="Times New Roman" w:eastAsia="仿宋_GB2312" w:cs="Times New Roman"/>
                <w:b/>
                <w:bCs/>
                <w:color w:val="auto"/>
                <w:kern w:val="0"/>
                <w:sz w:val="24"/>
                <w:szCs w:val="24"/>
                <w:highlight w:val="none"/>
                <w:u w:val="none"/>
                <w:lang w:val="en-US" w:eastAsia="zh-CN"/>
              </w:rPr>
              <w:t>交互技术在工业设计视觉表达中的应用研究</w:t>
            </w:r>
          </w:p>
        </w:tc>
        <w:tc>
          <w:tcPr>
            <w:tcW w:w="3897" w:type="pct"/>
            <w:vAlign w:val="center"/>
          </w:tcPr>
          <w:p w14:paraId="558E934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highlight w:val="none"/>
                <w:u w:val="none"/>
                <w:lang w:val="en-US" w:eastAsia="zh-CN"/>
              </w:rPr>
            </w:pPr>
            <w:r>
              <w:rPr>
                <w:rFonts w:hint="default" w:ascii="Times New Roman" w:hAnsi="Times New Roman" w:eastAsia="仿宋_GB2312" w:cs="Times New Roman"/>
                <w:color w:val="auto"/>
                <w:kern w:val="0"/>
                <w:sz w:val="24"/>
                <w:szCs w:val="24"/>
                <w:highlight w:val="none"/>
                <w:u w:val="none"/>
                <w:lang w:val="en-US" w:eastAsia="zh-CN"/>
              </w:rPr>
              <w:t>面向工业设计视觉表达智能化升级需求，研究视觉设计与交互技术深度融合路径，探索交互技术在提升视觉呈现创新性、趣味性与体验感中的作用机制，构建人机协同、动态感知的智能视觉表达范式，为工业设计视觉表达向数智化、交互化、智能化发展提供新思路与方法支撑。</w:t>
            </w:r>
          </w:p>
        </w:tc>
      </w:tr>
      <w:tr w14:paraId="07F7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1102" w:type="pct"/>
            <w:vAlign w:val="center"/>
          </w:tcPr>
          <w:p w14:paraId="064D609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highlight w:val="none"/>
                <w:u w:val="none"/>
                <w:lang w:val="en-US" w:eastAsia="zh-CN"/>
              </w:rPr>
            </w:pPr>
            <w:r>
              <w:rPr>
                <w:rFonts w:hint="eastAsia" w:ascii="Times New Roman" w:hAnsi="Times New Roman" w:eastAsia="仿宋_GB2312" w:cs="Times New Roman"/>
                <w:b/>
                <w:bCs/>
                <w:color w:val="auto"/>
                <w:kern w:val="0"/>
                <w:sz w:val="24"/>
                <w:szCs w:val="24"/>
                <w:highlight w:val="none"/>
                <w:u w:val="none"/>
                <w:lang w:val="en-US" w:eastAsia="zh-CN"/>
              </w:rPr>
              <w:t>车辆工业设计领域中的人工智能应用研究</w:t>
            </w:r>
          </w:p>
        </w:tc>
        <w:tc>
          <w:tcPr>
            <w:tcW w:w="3897" w:type="pct"/>
            <w:vAlign w:val="center"/>
          </w:tcPr>
          <w:p w14:paraId="758F705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highlight w:val="none"/>
                <w:u w:val="none"/>
                <w:lang w:val="en-US" w:eastAsia="zh-CN"/>
              </w:rPr>
            </w:pPr>
            <w:r>
              <w:rPr>
                <w:rFonts w:hint="default" w:ascii="Times New Roman" w:hAnsi="Times New Roman" w:eastAsia="仿宋_GB2312" w:cs="Times New Roman"/>
                <w:color w:val="auto"/>
                <w:kern w:val="0"/>
                <w:sz w:val="24"/>
                <w:szCs w:val="24"/>
                <w:highlight w:val="none"/>
                <w:u w:val="none"/>
                <w:lang w:val="en-US" w:eastAsia="zh-CN"/>
              </w:rPr>
              <w:t>面向车辆工业设计智能化发展需求，聚焦人工智能在造型设计、体验优化、交互系统等方面的具体应用场景，探索 AI 驱动下车辆设计创新、驾驶体验升级与车载交互优化的实现路径，推动车辆工业设计向更智能化、便捷化、安全化方向发展，为汽车产业数智化转型提供设计支撑与实践参考。</w:t>
            </w:r>
          </w:p>
        </w:tc>
      </w:tr>
      <w:tr w14:paraId="59A8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1102" w:type="pct"/>
            <w:vAlign w:val="center"/>
          </w:tcPr>
          <w:p w14:paraId="0FBD27EF">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lang w:val="en-US" w:eastAsia="zh-CN"/>
              </w:rPr>
              <w:t>工业设计智能决策与优化机制研究</w:t>
            </w:r>
          </w:p>
        </w:tc>
        <w:tc>
          <w:tcPr>
            <w:tcW w:w="3897" w:type="pct"/>
            <w:vAlign w:val="center"/>
          </w:tcPr>
          <w:p w14:paraId="4926341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围绕工业设计领域产品开发复杂性提升和数据驱动决策需求增强的情况，聚焦人工智能在用户需求分析、市场趋势研判、材料与工艺选择、环境影响评估等环节的支撑作用，探索人机协同条件下设计决策的运行模式与优化路径，构建面向工业设计的智能决策框架与应用体系，并为行业推广智能化决策工具与方法提供参考和基础支撑。</w:t>
            </w:r>
          </w:p>
        </w:tc>
      </w:tr>
      <w:tr w14:paraId="4F35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102" w:type="pct"/>
            <w:vAlign w:val="center"/>
          </w:tcPr>
          <w:p w14:paraId="368BA797">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eastAsia" w:ascii="Times New Roman" w:hAnsi="Times New Roman" w:eastAsia="仿宋_GB2312" w:cs="Times New Roman"/>
                <w:b/>
                <w:bCs/>
                <w:color w:val="auto"/>
                <w:kern w:val="0"/>
                <w:sz w:val="24"/>
                <w:szCs w:val="24"/>
                <w:u w:val="none"/>
                <w:lang w:val="en-US" w:eastAsia="zh-CN"/>
              </w:rPr>
              <w:t>工业设计</w:t>
            </w:r>
            <w:r>
              <w:rPr>
                <w:rFonts w:hint="default" w:ascii="Times New Roman" w:hAnsi="Times New Roman" w:eastAsia="仿宋_GB2312" w:cs="Times New Roman"/>
                <w:b/>
                <w:bCs/>
                <w:color w:val="auto"/>
                <w:kern w:val="0"/>
                <w:sz w:val="24"/>
                <w:szCs w:val="24"/>
                <w:u w:val="none"/>
              </w:rPr>
              <w:t>产业数智化协同体系</w:t>
            </w:r>
            <w:r>
              <w:rPr>
                <w:rFonts w:hint="eastAsia" w:ascii="Times New Roman" w:hAnsi="Times New Roman" w:eastAsia="仿宋_GB2312" w:cs="Times New Roman"/>
                <w:b/>
                <w:bCs/>
                <w:color w:val="auto"/>
                <w:kern w:val="0"/>
                <w:sz w:val="24"/>
                <w:szCs w:val="24"/>
                <w:u w:val="none"/>
                <w:lang w:val="en-US" w:eastAsia="zh-CN"/>
              </w:rPr>
              <w:t>构建</w:t>
            </w:r>
            <w:r>
              <w:rPr>
                <w:rFonts w:hint="default" w:ascii="Times New Roman" w:hAnsi="Times New Roman" w:eastAsia="仿宋_GB2312" w:cs="Times New Roman"/>
                <w:b/>
                <w:bCs/>
                <w:color w:val="auto"/>
                <w:kern w:val="0"/>
                <w:sz w:val="24"/>
                <w:szCs w:val="24"/>
                <w:u w:val="none"/>
              </w:rPr>
              <w:t>研究</w:t>
            </w:r>
          </w:p>
        </w:tc>
        <w:tc>
          <w:tcPr>
            <w:tcW w:w="3897" w:type="pct"/>
            <w:vAlign w:val="center"/>
          </w:tcPr>
          <w:p w14:paraId="3F26D13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围绕工业设计全流程数智化升级需求，研究人工智能、云计算、数字孪生等技术在跨主体设计协作、跨领域资源共享、全链条数据互通等场景的应用机制；分析当前数智化协同存在的标准不统一、数据壁垒、技术适配不足等问题，提出“十五五”时期数智化设计协同体系的架构方案与建设路径，为提升工业设计整体效率、赋能产业数字化转型提供决策参考。</w:t>
            </w:r>
          </w:p>
        </w:tc>
      </w:tr>
      <w:tr w14:paraId="4444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trPr>
        <w:tc>
          <w:tcPr>
            <w:tcW w:w="1102" w:type="pct"/>
            <w:vAlign w:val="center"/>
          </w:tcPr>
          <w:p w14:paraId="19B26D62">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highlight w:val="yellow"/>
                <w:u w:val="none"/>
              </w:rPr>
            </w:pPr>
            <w:r>
              <w:rPr>
                <w:rFonts w:hint="default" w:ascii="Times New Roman" w:hAnsi="Times New Roman" w:eastAsia="仿宋_GB2312" w:cs="Times New Roman"/>
                <w:b/>
                <w:bCs/>
                <w:color w:val="auto"/>
                <w:kern w:val="0"/>
                <w:sz w:val="24"/>
                <w:szCs w:val="24"/>
                <w:u w:val="none"/>
              </w:rPr>
              <w:t>工业设计</w:t>
            </w:r>
            <w:r>
              <w:rPr>
                <w:rFonts w:hint="eastAsia" w:ascii="Times New Roman" w:hAnsi="Times New Roman" w:eastAsia="仿宋_GB2312" w:cs="Times New Roman"/>
                <w:b/>
                <w:bCs/>
                <w:color w:val="auto"/>
                <w:kern w:val="0"/>
                <w:sz w:val="24"/>
                <w:szCs w:val="24"/>
                <w:u w:val="none"/>
                <w:lang w:val="en-US" w:eastAsia="zh-CN"/>
              </w:rPr>
              <w:t>大数据平台建设与产业化应用路径</w:t>
            </w:r>
            <w:r>
              <w:rPr>
                <w:rFonts w:hint="default" w:ascii="Times New Roman" w:hAnsi="Times New Roman" w:eastAsia="仿宋_GB2312" w:cs="Times New Roman"/>
                <w:b/>
                <w:bCs/>
                <w:color w:val="auto"/>
                <w:kern w:val="0"/>
                <w:sz w:val="24"/>
                <w:szCs w:val="24"/>
                <w:u w:val="none"/>
              </w:rPr>
              <w:t>研究</w:t>
            </w:r>
          </w:p>
        </w:tc>
        <w:tc>
          <w:tcPr>
            <w:tcW w:w="3897" w:type="pct"/>
            <w:vAlign w:val="center"/>
          </w:tcPr>
          <w:p w14:paraId="219F985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highlight w:val="yellow"/>
                <w:u w:val="none"/>
              </w:rPr>
            </w:pPr>
            <w:r>
              <w:rPr>
                <w:rFonts w:hint="default" w:ascii="Times New Roman" w:hAnsi="Times New Roman" w:eastAsia="仿宋_GB2312" w:cs="Times New Roman"/>
                <w:color w:val="auto"/>
                <w:kern w:val="0"/>
                <w:sz w:val="24"/>
                <w:szCs w:val="24"/>
                <w:u w:val="none"/>
              </w:rPr>
              <w:t>围绕工业设计领域数据要素价值释放需求，研究覆盖用户需求、设计资源、供应链信息、市场反馈等多维度的工业设计大数据平台架构与技术实现路径；分析数据确权、共享机制、安全保障等关键问题，探索平台在设计需求智能匹配、创意辅助生成、产业趋势预判等场景的产业化应用模式，提出“十五五”时期平台建设推广的重点任务，为激活工业设计数据价值、提升产业整体创新效能提供决策参考。</w:t>
            </w:r>
          </w:p>
        </w:tc>
      </w:tr>
      <w:tr w14:paraId="5735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trPr>
        <w:tc>
          <w:tcPr>
            <w:tcW w:w="1102" w:type="pct"/>
            <w:vAlign w:val="center"/>
          </w:tcPr>
          <w:p w14:paraId="4689F2F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lang w:val="en-US" w:eastAsia="zh-CN"/>
              </w:rPr>
              <w:t>工业设计智能工具国产化替代与自主创新生态研究</w:t>
            </w:r>
          </w:p>
        </w:tc>
        <w:tc>
          <w:tcPr>
            <w:tcW w:w="3897" w:type="pct"/>
            <w:vAlign w:val="center"/>
          </w:tcPr>
          <w:p w14:paraId="17F6194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围绕工业设计领域人工智能工具的应用现状与技术依赖问题，研究工业设计</w:t>
            </w:r>
            <w:r>
              <w:rPr>
                <w:rFonts w:hint="default" w:ascii="Times New Roman" w:hAnsi="Times New Roman" w:eastAsia="仿宋_GB2312" w:cs="Times New Roman"/>
                <w:color w:val="auto"/>
                <w:kern w:val="0"/>
                <w:sz w:val="24"/>
                <w:szCs w:val="24"/>
                <w:u w:val="none"/>
                <w:lang w:val="en-US" w:eastAsia="zh-CN"/>
              </w:rPr>
              <w:t>智能</w:t>
            </w:r>
            <w:r>
              <w:rPr>
                <w:rFonts w:hint="default" w:ascii="Times New Roman" w:hAnsi="Times New Roman" w:eastAsia="仿宋_GB2312" w:cs="Times New Roman"/>
                <w:color w:val="auto"/>
                <w:kern w:val="0"/>
                <w:sz w:val="24"/>
                <w:szCs w:val="24"/>
                <w:u w:val="none"/>
              </w:rPr>
              <w:t>工具国产化替代的可行路径与关键环节。分析智能建模、渲染、仿真与设计优化等核心工具的技术架构与发展趋势，识别国产化替代面临的技术瓶颈与产业机遇，探讨产学研协同推进工业设计</w:t>
            </w:r>
            <w:r>
              <w:rPr>
                <w:rFonts w:hint="default" w:ascii="Times New Roman" w:hAnsi="Times New Roman" w:eastAsia="仿宋_GB2312" w:cs="Times New Roman"/>
                <w:color w:val="auto"/>
                <w:kern w:val="0"/>
                <w:sz w:val="24"/>
                <w:szCs w:val="24"/>
                <w:u w:val="none"/>
                <w:lang w:val="en-US" w:eastAsia="zh-CN"/>
              </w:rPr>
              <w:t>智能</w:t>
            </w:r>
            <w:r>
              <w:rPr>
                <w:rFonts w:hint="default" w:ascii="Times New Roman" w:hAnsi="Times New Roman" w:eastAsia="仿宋_GB2312" w:cs="Times New Roman"/>
                <w:color w:val="auto"/>
                <w:kern w:val="0"/>
                <w:sz w:val="24"/>
                <w:szCs w:val="24"/>
                <w:u w:val="none"/>
              </w:rPr>
              <w:t>工具自主创新的模式与机制，提出完善工业设计</w:t>
            </w:r>
            <w:r>
              <w:rPr>
                <w:rFonts w:hint="default" w:ascii="Times New Roman" w:hAnsi="Times New Roman" w:eastAsia="仿宋_GB2312" w:cs="Times New Roman"/>
                <w:color w:val="auto"/>
                <w:kern w:val="0"/>
                <w:sz w:val="24"/>
                <w:szCs w:val="24"/>
                <w:u w:val="none"/>
                <w:lang w:val="en-US" w:eastAsia="zh-CN"/>
              </w:rPr>
              <w:t>智能</w:t>
            </w:r>
            <w:r>
              <w:rPr>
                <w:rFonts w:hint="default" w:ascii="Times New Roman" w:hAnsi="Times New Roman" w:eastAsia="仿宋_GB2312" w:cs="Times New Roman"/>
                <w:color w:val="auto"/>
                <w:kern w:val="0"/>
                <w:sz w:val="24"/>
                <w:szCs w:val="24"/>
                <w:u w:val="none"/>
              </w:rPr>
              <w:t>工具创新生态和政策支持体系的对策建议，提升我国工业设计产业的自主可控能力和国际竞争力</w:t>
            </w:r>
            <w:r>
              <w:rPr>
                <w:rFonts w:hint="default" w:ascii="Times New Roman" w:hAnsi="Times New Roman" w:eastAsia="仿宋_GB2312" w:cs="Times New Roman"/>
                <w:color w:val="auto"/>
                <w:kern w:val="0"/>
                <w:sz w:val="24"/>
                <w:szCs w:val="24"/>
                <w:u w:val="none"/>
                <w:lang w:eastAsia="zh-CN"/>
              </w:rPr>
              <w:t>。</w:t>
            </w:r>
          </w:p>
        </w:tc>
      </w:tr>
      <w:tr w14:paraId="47EE9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000" w:type="pct"/>
            <w:gridSpan w:val="2"/>
            <w:vAlign w:val="center"/>
          </w:tcPr>
          <w:p w14:paraId="445BC8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研究方向五</w:t>
            </w:r>
          </w:p>
          <w:p w14:paraId="504A28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黑体" w:cs="Times New Roman"/>
                <w:color w:val="auto"/>
                <w:kern w:val="0"/>
                <w:sz w:val="24"/>
                <w:szCs w:val="24"/>
                <w:u w:val="none"/>
              </w:rPr>
              <w:t>工业设计创新人才培养与产教融合模式研究</w:t>
            </w:r>
          </w:p>
        </w:tc>
      </w:tr>
      <w:tr w14:paraId="6A20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102" w:type="pct"/>
            <w:vAlign w:val="center"/>
          </w:tcPr>
          <w:p w14:paraId="79377E63">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rPr>
              <w:t>工业设计国际化复合型人才培养机制研究</w:t>
            </w:r>
          </w:p>
        </w:tc>
        <w:tc>
          <w:tcPr>
            <w:tcW w:w="3897" w:type="pct"/>
          </w:tcPr>
          <w:p w14:paraId="37F456B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聚焦全球价值链重塑及</w:t>
            </w:r>
            <w:r>
              <w:rPr>
                <w:rFonts w:hint="default" w:ascii="Times New Roman" w:hAnsi="Times New Roman" w:eastAsia="仿宋_GB2312" w:cs="Times New Roman"/>
                <w:color w:val="auto"/>
                <w:kern w:val="0"/>
                <w:sz w:val="24"/>
                <w:szCs w:val="24"/>
                <w:u w:val="none"/>
                <w:lang w:val="en-US" w:eastAsia="zh-CN"/>
              </w:rPr>
              <w:t>工业设计</w:t>
            </w:r>
            <w:r>
              <w:rPr>
                <w:rFonts w:hint="default" w:ascii="Times New Roman" w:hAnsi="Times New Roman" w:eastAsia="仿宋_GB2312" w:cs="Times New Roman"/>
                <w:color w:val="auto"/>
                <w:kern w:val="0"/>
                <w:sz w:val="24"/>
                <w:szCs w:val="24"/>
                <w:u w:val="none"/>
              </w:rPr>
              <w:t>对高端设计人才的迫切需求，分析当前高校人才培养体系在跨文化语境转换的瓶颈问题。通过研究</w:t>
            </w:r>
            <w:r>
              <w:rPr>
                <w:rFonts w:hint="eastAsia" w:ascii="Times New Roman" w:hAnsi="Times New Roman" w:eastAsia="仿宋_GB2312" w:cs="Times New Roman"/>
                <w:color w:val="auto"/>
                <w:kern w:val="0"/>
                <w:sz w:val="24"/>
                <w:szCs w:val="24"/>
                <w:u w:val="none"/>
                <w:lang w:eastAsia="zh-CN"/>
              </w:rPr>
              <w:t>“</w:t>
            </w:r>
            <w:r>
              <w:rPr>
                <w:rFonts w:hint="default" w:ascii="Times New Roman" w:hAnsi="Times New Roman" w:eastAsia="仿宋_GB2312" w:cs="Times New Roman"/>
                <w:color w:val="auto"/>
                <w:kern w:val="0"/>
                <w:sz w:val="24"/>
                <w:szCs w:val="24"/>
                <w:u w:val="none"/>
              </w:rPr>
              <w:t>设计+工程+商业</w:t>
            </w:r>
            <w:r>
              <w:rPr>
                <w:rFonts w:hint="eastAsia" w:ascii="Times New Roman" w:hAnsi="Times New Roman" w:eastAsia="仿宋_GB2312" w:cs="Times New Roman"/>
                <w:color w:val="auto"/>
                <w:kern w:val="0"/>
                <w:sz w:val="24"/>
                <w:szCs w:val="24"/>
                <w:u w:val="none"/>
                <w:lang w:eastAsia="zh-CN"/>
              </w:rPr>
              <w:t>”“</w:t>
            </w:r>
            <w:r>
              <w:rPr>
                <w:rFonts w:hint="default" w:ascii="Times New Roman" w:hAnsi="Times New Roman" w:eastAsia="仿宋_GB2312" w:cs="Times New Roman"/>
                <w:color w:val="auto"/>
                <w:kern w:val="0"/>
                <w:sz w:val="24"/>
                <w:szCs w:val="24"/>
                <w:u w:val="none"/>
                <w:lang w:val="en-US" w:eastAsia="zh-CN"/>
              </w:rPr>
              <w:t>AI+设计</w:t>
            </w:r>
            <w:r>
              <w:rPr>
                <w:rFonts w:hint="eastAsia" w:ascii="Times New Roman" w:hAnsi="Times New Roman" w:eastAsia="仿宋_GB2312" w:cs="Times New Roman"/>
                <w:color w:val="auto"/>
                <w:kern w:val="0"/>
                <w:sz w:val="24"/>
                <w:szCs w:val="24"/>
                <w:u w:val="none"/>
                <w:lang w:eastAsia="zh-CN"/>
              </w:rPr>
              <w:t>”</w:t>
            </w:r>
            <w:r>
              <w:rPr>
                <w:rFonts w:hint="default" w:ascii="Times New Roman" w:hAnsi="Times New Roman" w:eastAsia="仿宋_GB2312" w:cs="Times New Roman"/>
                <w:color w:val="auto"/>
                <w:kern w:val="0"/>
                <w:sz w:val="24"/>
                <w:szCs w:val="24"/>
                <w:u w:val="none"/>
              </w:rPr>
              <w:t>多学科交叉融合的教学范式，探索高校与国际领军企业、境外科研机构联合育人的“双向互嵌”模式，旨在构建一套与国际接轨、具有中国特色且适配全球化竞争需要的工业设计领军人才培养体系，为提升“中国设计”全球影响力和支撑企业深度参与国际分工提供核心人才保障。</w:t>
            </w:r>
          </w:p>
        </w:tc>
      </w:tr>
      <w:tr w14:paraId="51C2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102" w:type="pct"/>
            <w:vAlign w:val="center"/>
          </w:tcPr>
          <w:p w14:paraId="4D6AC1C8">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rPr>
              <w:t>工业设计人才评价标准与激励机制优化研究</w:t>
            </w:r>
          </w:p>
        </w:tc>
        <w:tc>
          <w:tcPr>
            <w:tcW w:w="3897" w:type="pct"/>
          </w:tcPr>
          <w:p w14:paraId="5591B46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聚焦当前工业设计人才评价维度单一、激励模式滞后于新质生产力发展需求等核心痛点，分析数字化转型背景下设计师能力结构的动态特征。研究工业设计成果的市场转化率、社会美育贡献度、绿色可持续价值以及知识产权战略布局等多维评价权重，提出针对</w:t>
            </w:r>
            <w:r>
              <w:rPr>
                <w:rFonts w:hint="default" w:ascii="Times New Roman" w:hAnsi="Times New Roman" w:eastAsia="仿宋_GB2312" w:cs="Times New Roman"/>
                <w:color w:val="auto"/>
                <w:kern w:val="0"/>
                <w:sz w:val="24"/>
                <w:szCs w:val="24"/>
                <w:u w:val="none"/>
                <w:lang w:val="en-US" w:eastAsia="zh-CN"/>
              </w:rPr>
              <w:t>不同类型设计人才（</w:t>
            </w:r>
            <w:r>
              <w:rPr>
                <w:rFonts w:hint="default" w:ascii="Times New Roman" w:hAnsi="Times New Roman" w:eastAsia="仿宋_GB2312" w:cs="Times New Roman"/>
                <w:color w:val="auto"/>
                <w:kern w:val="0"/>
                <w:sz w:val="24"/>
                <w:szCs w:val="24"/>
                <w:u w:val="none"/>
              </w:rPr>
              <w:t>原创设计师、设计管理人才、设计研究人才</w:t>
            </w:r>
            <w:r>
              <w:rPr>
                <w:rFonts w:hint="default" w:ascii="Times New Roman" w:hAnsi="Times New Roman" w:eastAsia="仿宋_GB2312" w:cs="Times New Roman"/>
                <w:color w:val="auto"/>
                <w:kern w:val="0"/>
                <w:sz w:val="24"/>
                <w:szCs w:val="24"/>
                <w:u w:val="none"/>
                <w:lang w:eastAsia="zh-CN"/>
              </w:rPr>
              <w:t>）</w:t>
            </w:r>
            <w:r>
              <w:rPr>
                <w:rFonts w:hint="default" w:ascii="Times New Roman" w:hAnsi="Times New Roman" w:eastAsia="仿宋_GB2312" w:cs="Times New Roman"/>
                <w:color w:val="auto"/>
                <w:kern w:val="0"/>
                <w:sz w:val="24"/>
                <w:szCs w:val="24"/>
                <w:u w:val="none"/>
              </w:rPr>
              <w:t>的分类分级评价指标体系。探索构建差异化激励模型，有效释放设计人才的创新动能。</w:t>
            </w:r>
          </w:p>
        </w:tc>
      </w:tr>
      <w:tr w14:paraId="5467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2" w:type="pct"/>
            <w:shd w:val="clear" w:color="auto" w:fill="auto"/>
            <w:vAlign w:val="center"/>
          </w:tcPr>
          <w:p w14:paraId="23554D38">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rPr>
            </w:pPr>
            <w:r>
              <w:rPr>
                <w:rFonts w:hint="default" w:ascii="Times New Roman" w:hAnsi="Times New Roman" w:eastAsia="仿宋_GB2312" w:cs="Times New Roman"/>
                <w:b/>
                <w:bCs/>
                <w:color w:val="auto"/>
                <w:kern w:val="0"/>
                <w:sz w:val="24"/>
                <w:szCs w:val="24"/>
                <w:u w:val="none"/>
              </w:rPr>
              <w:t>工业设计产教融合中校企协同育人机制研究</w:t>
            </w:r>
          </w:p>
        </w:tc>
        <w:tc>
          <w:tcPr>
            <w:tcW w:w="3897" w:type="pct"/>
            <w:shd w:val="clear" w:color="auto" w:fill="auto"/>
            <w:vAlign w:val="center"/>
          </w:tcPr>
          <w:p w14:paraId="70DFCA7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rPr>
            </w:pPr>
            <w:r>
              <w:rPr>
                <w:rFonts w:hint="default" w:ascii="Times New Roman" w:hAnsi="Times New Roman" w:eastAsia="仿宋_GB2312" w:cs="Times New Roman"/>
                <w:color w:val="auto"/>
                <w:kern w:val="0"/>
                <w:sz w:val="24"/>
                <w:szCs w:val="24"/>
                <w:u w:val="none"/>
              </w:rPr>
              <w:t>围绕工业设计产教融合背景下高校与企业协同育人的现实需求，重点研究校企在人才培养目标共建、培养过程协同、资源共享、责任分担与利益协调等方面的运行机制，分析不同协同模式的特点与适用条件，探讨提升校企协同育人稳定性和有效性的制度安排，为完善工业设计产教融合协同育人机制提供理论依据和实践参考。</w:t>
            </w:r>
          </w:p>
        </w:tc>
      </w:tr>
      <w:tr w14:paraId="55EB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2" w:type="pct"/>
            <w:shd w:val="clear" w:color="auto" w:fill="auto"/>
            <w:vAlign w:val="center"/>
          </w:tcPr>
          <w:p w14:paraId="4FE9702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仿宋_GB2312" w:cs="Times New Roman"/>
                <w:b/>
                <w:bCs/>
                <w:color w:val="auto"/>
                <w:kern w:val="0"/>
                <w:sz w:val="24"/>
                <w:szCs w:val="24"/>
                <w:u w:val="none"/>
                <w:lang w:val="en-US" w:eastAsia="zh-CN" w:bidi="ar-SA"/>
              </w:rPr>
            </w:pPr>
            <w:r>
              <w:rPr>
                <w:rFonts w:hint="default" w:ascii="Times New Roman" w:hAnsi="Times New Roman" w:eastAsia="仿宋_GB2312" w:cs="Times New Roman"/>
                <w:b/>
                <w:bCs/>
                <w:color w:val="auto"/>
                <w:kern w:val="0"/>
                <w:sz w:val="24"/>
                <w:szCs w:val="24"/>
                <w:u w:val="none"/>
              </w:rPr>
              <w:t>工业设计</w:t>
            </w:r>
            <w:r>
              <w:rPr>
                <w:rFonts w:hint="eastAsia" w:ascii="Times New Roman" w:hAnsi="Times New Roman" w:eastAsia="仿宋_GB2312" w:cs="Times New Roman"/>
                <w:b/>
                <w:bCs/>
                <w:color w:val="auto"/>
                <w:kern w:val="0"/>
                <w:sz w:val="24"/>
                <w:szCs w:val="24"/>
                <w:u w:val="none"/>
                <w:lang w:val="en-US" w:eastAsia="zh-CN"/>
              </w:rPr>
              <w:t>产业学院</w:t>
            </w:r>
            <w:r>
              <w:rPr>
                <w:rFonts w:hint="default" w:ascii="Times New Roman" w:hAnsi="Times New Roman" w:eastAsia="仿宋_GB2312" w:cs="Times New Roman"/>
                <w:b/>
                <w:bCs/>
                <w:color w:val="auto"/>
                <w:kern w:val="0"/>
                <w:sz w:val="24"/>
                <w:szCs w:val="24"/>
                <w:u w:val="none"/>
              </w:rPr>
              <w:t>建设与管理模式研究</w:t>
            </w:r>
          </w:p>
        </w:tc>
        <w:tc>
          <w:tcPr>
            <w:tcW w:w="3897" w:type="pct"/>
            <w:shd w:val="clear" w:color="auto" w:fill="auto"/>
            <w:vAlign w:val="center"/>
          </w:tcPr>
          <w:p w14:paraId="141FD13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color w:val="auto"/>
                <w:kern w:val="0"/>
                <w:sz w:val="24"/>
                <w:szCs w:val="24"/>
                <w:u w:val="none"/>
                <w:lang w:val="en-US" w:eastAsia="zh-CN" w:bidi="ar-SA"/>
              </w:rPr>
            </w:pPr>
            <w:r>
              <w:rPr>
                <w:rFonts w:hint="default" w:ascii="Times New Roman" w:hAnsi="Times New Roman" w:eastAsia="仿宋_GB2312" w:cs="Times New Roman"/>
                <w:color w:val="auto"/>
                <w:kern w:val="0"/>
                <w:sz w:val="24"/>
                <w:szCs w:val="24"/>
                <w:u w:val="none"/>
              </w:rPr>
              <w:t>围绕工业设计产业学院建设的总体目标与功能定位，研究</w:t>
            </w:r>
            <w:r>
              <w:rPr>
                <w:rFonts w:hint="eastAsia" w:ascii="Times New Roman" w:hAnsi="Times New Roman" w:eastAsia="仿宋_GB2312" w:cs="Times New Roman"/>
                <w:color w:val="auto"/>
                <w:kern w:val="0"/>
                <w:sz w:val="24"/>
                <w:szCs w:val="24"/>
                <w:u w:val="none"/>
                <w:lang w:val="en-US" w:eastAsia="zh-CN"/>
              </w:rPr>
              <w:t>产业学院</w:t>
            </w:r>
            <w:r>
              <w:rPr>
                <w:rFonts w:hint="default" w:ascii="Times New Roman" w:hAnsi="Times New Roman" w:eastAsia="仿宋_GB2312" w:cs="Times New Roman"/>
                <w:color w:val="auto"/>
                <w:kern w:val="0"/>
                <w:sz w:val="24"/>
                <w:szCs w:val="24"/>
                <w:u w:val="none"/>
              </w:rPr>
              <w:t>在规划布局、建设路径和运行机制等方面的关键问题，探讨其在人才培养、技术研发、成果转化和社会服务等方面的功能发挥方式，分析多主体参与条件下的管理模式与运行保障机制，总结可复制、可推广的经验做法，为工业设计</w:t>
            </w:r>
            <w:r>
              <w:rPr>
                <w:rFonts w:hint="eastAsia" w:ascii="Times New Roman" w:hAnsi="Times New Roman" w:eastAsia="仿宋_GB2312" w:cs="Times New Roman"/>
                <w:color w:val="auto"/>
                <w:kern w:val="0"/>
                <w:sz w:val="24"/>
                <w:szCs w:val="24"/>
                <w:u w:val="none"/>
                <w:lang w:val="en-US" w:eastAsia="zh-CN"/>
              </w:rPr>
              <w:t>产业学院</w:t>
            </w:r>
            <w:r>
              <w:rPr>
                <w:rFonts w:hint="default" w:ascii="Times New Roman" w:hAnsi="Times New Roman" w:eastAsia="仿宋_GB2312" w:cs="Times New Roman"/>
                <w:color w:val="auto"/>
                <w:kern w:val="0"/>
                <w:sz w:val="24"/>
                <w:szCs w:val="24"/>
                <w:u w:val="none"/>
              </w:rPr>
              <w:t>的规范化建设与可持续运行提供参考。</w:t>
            </w:r>
          </w:p>
        </w:tc>
      </w:tr>
    </w:tbl>
    <w:p w14:paraId="6C9EE8E3">
      <w:pPr>
        <w:rPr>
          <w:rFonts w:hint="default" w:ascii="Times New Roman" w:hAnsi="Times New Roman" w:eastAsia="宋体" w:cs="Times New Roman"/>
          <w:szCs w:val="24"/>
          <w:highlight w:val="none"/>
          <w:u w:val="none"/>
        </w:rPr>
      </w:pPr>
    </w:p>
    <w:sectPr>
      <w:footerReference r:id="rId4" w:type="default"/>
      <w:pgSz w:w="16838" w:h="11906" w:orient="landscape"/>
      <w:pgMar w:top="1689" w:right="1440" w:bottom="168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15637">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358CB">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E358CB">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C2306">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1C522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21C522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FE0E5"/>
    <w:multiLevelType w:val="singleLevel"/>
    <w:tmpl w:val="DFFFE0E5"/>
    <w:lvl w:ilvl="0" w:tentative="0">
      <w:start w:val="1"/>
      <w:numFmt w:val="decimal"/>
      <w:suff w:val="space"/>
      <w:lvlText w:val="%1."/>
      <w:lvlJc w:val="left"/>
      <w:rPr>
        <w:rFonts w:hint="default"/>
        <w:highlight w:val="none"/>
      </w:rPr>
    </w:lvl>
  </w:abstractNum>
  <w:abstractNum w:abstractNumId="1">
    <w:nsid w:val="3821EA37"/>
    <w:multiLevelType w:val="singleLevel"/>
    <w:tmpl w:val="3821EA37"/>
    <w:lvl w:ilvl="0" w:tentative="0">
      <w:start w:val="1"/>
      <w:numFmt w:val="decimal"/>
      <w:pStyle w:val="5"/>
      <w:lvlText w:val="%1."/>
      <w:lvlJc w:val="left"/>
      <w:pPr>
        <w:tabs>
          <w:tab w:val="left" w:pos="360"/>
        </w:tabs>
        <w:ind w:left="360" w:hanging="360"/>
      </w:pPr>
    </w:lvl>
  </w:abstractNum>
  <w:abstractNum w:abstractNumId="2">
    <w:nsid w:val="7C1AE87B"/>
    <w:multiLevelType w:val="singleLevel"/>
    <w:tmpl w:val="7C1AE87B"/>
    <w:lvl w:ilvl="0" w:tentative="0">
      <w:start w:val="1"/>
      <w:numFmt w:val="bullet"/>
      <w:pStyle w:val="6"/>
      <w:lvlText w:val=""/>
      <w:lvlJc w:val="left"/>
      <w:pPr>
        <w:tabs>
          <w:tab w:val="left" w:pos="360"/>
        </w:tabs>
        <w:ind w:left="36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3ZmU4MjI4MDlmZDRhZjlhZTZiZTlkNGI4MWZmYzMifQ=="/>
  </w:docVars>
  <w:rsids>
    <w:rsidRoot w:val="0756497E"/>
    <w:rsid w:val="000B0102"/>
    <w:rsid w:val="000E3581"/>
    <w:rsid w:val="000E6A58"/>
    <w:rsid w:val="00117FC8"/>
    <w:rsid w:val="00183DF8"/>
    <w:rsid w:val="001B00C6"/>
    <w:rsid w:val="001C6216"/>
    <w:rsid w:val="001D30C2"/>
    <w:rsid w:val="001E331B"/>
    <w:rsid w:val="002025B2"/>
    <w:rsid w:val="00220130"/>
    <w:rsid w:val="0025013F"/>
    <w:rsid w:val="002D1829"/>
    <w:rsid w:val="003113C0"/>
    <w:rsid w:val="00347448"/>
    <w:rsid w:val="00361CE1"/>
    <w:rsid w:val="00364B2F"/>
    <w:rsid w:val="003702D8"/>
    <w:rsid w:val="00372077"/>
    <w:rsid w:val="00373B25"/>
    <w:rsid w:val="003D1630"/>
    <w:rsid w:val="003F2F14"/>
    <w:rsid w:val="003F685F"/>
    <w:rsid w:val="004376F1"/>
    <w:rsid w:val="00447A92"/>
    <w:rsid w:val="00484E35"/>
    <w:rsid w:val="004C0505"/>
    <w:rsid w:val="004D4F31"/>
    <w:rsid w:val="004F0D6E"/>
    <w:rsid w:val="00532731"/>
    <w:rsid w:val="0054797D"/>
    <w:rsid w:val="00577890"/>
    <w:rsid w:val="005B628A"/>
    <w:rsid w:val="005B6564"/>
    <w:rsid w:val="00607F00"/>
    <w:rsid w:val="00642823"/>
    <w:rsid w:val="00684910"/>
    <w:rsid w:val="006A7A00"/>
    <w:rsid w:val="006C527F"/>
    <w:rsid w:val="007510A0"/>
    <w:rsid w:val="00752C74"/>
    <w:rsid w:val="007644A2"/>
    <w:rsid w:val="007A16F8"/>
    <w:rsid w:val="007B1EBC"/>
    <w:rsid w:val="007D237F"/>
    <w:rsid w:val="008979E0"/>
    <w:rsid w:val="008D5C88"/>
    <w:rsid w:val="008E4A1F"/>
    <w:rsid w:val="008E570A"/>
    <w:rsid w:val="0091488D"/>
    <w:rsid w:val="00920E35"/>
    <w:rsid w:val="009312B0"/>
    <w:rsid w:val="00944AAD"/>
    <w:rsid w:val="009475CD"/>
    <w:rsid w:val="009F74BE"/>
    <w:rsid w:val="00A422CF"/>
    <w:rsid w:val="00A55DDE"/>
    <w:rsid w:val="00AC301C"/>
    <w:rsid w:val="00AF2EE4"/>
    <w:rsid w:val="00B02F7A"/>
    <w:rsid w:val="00B31DB5"/>
    <w:rsid w:val="00B324CF"/>
    <w:rsid w:val="00B50FA6"/>
    <w:rsid w:val="00B87FE4"/>
    <w:rsid w:val="00C26995"/>
    <w:rsid w:val="00C5358B"/>
    <w:rsid w:val="00C675C7"/>
    <w:rsid w:val="00CC34C6"/>
    <w:rsid w:val="00CC4537"/>
    <w:rsid w:val="00CD213B"/>
    <w:rsid w:val="00CF6A72"/>
    <w:rsid w:val="00D47A47"/>
    <w:rsid w:val="00D66CC7"/>
    <w:rsid w:val="00DA6577"/>
    <w:rsid w:val="00E27252"/>
    <w:rsid w:val="00E27858"/>
    <w:rsid w:val="00E647DC"/>
    <w:rsid w:val="00E90A5B"/>
    <w:rsid w:val="00E92245"/>
    <w:rsid w:val="00EC1A40"/>
    <w:rsid w:val="00ED2F7A"/>
    <w:rsid w:val="00EE3570"/>
    <w:rsid w:val="00EE4F94"/>
    <w:rsid w:val="00F44AD4"/>
    <w:rsid w:val="00FE17ED"/>
    <w:rsid w:val="00FE5566"/>
    <w:rsid w:val="01FC0F61"/>
    <w:rsid w:val="0756497E"/>
    <w:rsid w:val="0DBF54E3"/>
    <w:rsid w:val="14F12FF4"/>
    <w:rsid w:val="15B7AE58"/>
    <w:rsid w:val="16DC22CD"/>
    <w:rsid w:val="177C2802"/>
    <w:rsid w:val="1C6356ED"/>
    <w:rsid w:val="1DBDC384"/>
    <w:rsid w:val="1EEF0F72"/>
    <w:rsid w:val="22274F9A"/>
    <w:rsid w:val="279B0112"/>
    <w:rsid w:val="27F54183"/>
    <w:rsid w:val="29701F6B"/>
    <w:rsid w:val="2C7E6C9E"/>
    <w:rsid w:val="31147A12"/>
    <w:rsid w:val="32DE41AE"/>
    <w:rsid w:val="333550FB"/>
    <w:rsid w:val="33B03BCC"/>
    <w:rsid w:val="33E3350E"/>
    <w:rsid w:val="3937531A"/>
    <w:rsid w:val="3BC05157"/>
    <w:rsid w:val="3BD672FA"/>
    <w:rsid w:val="3CD423C3"/>
    <w:rsid w:val="3DD3A704"/>
    <w:rsid w:val="3DEF052E"/>
    <w:rsid w:val="3E7DF7C3"/>
    <w:rsid w:val="3EFB7056"/>
    <w:rsid w:val="3F5C8AAC"/>
    <w:rsid w:val="3F977A8E"/>
    <w:rsid w:val="3FEE5307"/>
    <w:rsid w:val="42D25533"/>
    <w:rsid w:val="43FFCF6E"/>
    <w:rsid w:val="45D51C83"/>
    <w:rsid w:val="47206F76"/>
    <w:rsid w:val="498629C0"/>
    <w:rsid w:val="49AA3AD2"/>
    <w:rsid w:val="4B7E6F6B"/>
    <w:rsid w:val="4BFFF3F8"/>
    <w:rsid w:val="4D9F956D"/>
    <w:rsid w:val="4E8A09DE"/>
    <w:rsid w:val="4F1B9435"/>
    <w:rsid w:val="4FED4A27"/>
    <w:rsid w:val="51CECA89"/>
    <w:rsid w:val="52A76E3A"/>
    <w:rsid w:val="557B9346"/>
    <w:rsid w:val="569A7010"/>
    <w:rsid w:val="57B546EC"/>
    <w:rsid w:val="5A5F5F9F"/>
    <w:rsid w:val="5B9422BC"/>
    <w:rsid w:val="5D6AC176"/>
    <w:rsid w:val="5EFE2C06"/>
    <w:rsid w:val="6357496F"/>
    <w:rsid w:val="63BF8603"/>
    <w:rsid w:val="657C558F"/>
    <w:rsid w:val="69FD76DF"/>
    <w:rsid w:val="6CFDDC84"/>
    <w:rsid w:val="6D8D1EF9"/>
    <w:rsid w:val="6F5C2C41"/>
    <w:rsid w:val="6FD3BC11"/>
    <w:rsid w:val="6FF32D75"/>
    <w:rsid w:val="71E41971"/>
    <w:rsid w:val="736B376C"/>
    <w:rsid w:val="73700F48"/>
    <w:rsid w:val="73D75019"/>
    <w:rsid w:val="74EF5578"/>
    <w:rsid w:val="75FC3110"/>
    <w:rsid w:val="7B7B42BC"/>
    <w:rsid w:val="7B82251B"/>
    <w:rsid w:val="7BBF223E"/>
    <w:rsid w:val="7BBF43A2"/>
    <w:rsid w:val="7C683491"/>
    <w:rsid w:val="7D9C3245"/>
    <w:rsid w:val="7E30032F"/>
    <w:rsid w:val="7E3670E0"/>
    <w:rsid w:val="7E7E2D0F"/>
    <w:rsid w:val="7EEEC9B0"/>
    <w:rsid w:val="7F33D697"/>
    <w:rsid w:val="7F739A07"/>
    <w:rsid w:val="7FEFAC94"/>
    <w:rsid w:val="8FF7A909"/>
    <w:rsid w:val="9DD9C91D"/>
    <w:rsid w:val="A5DBFAE4"/>
    <w:rsid w:val="A7EF27B8"/>
    <w:rsid w:val="B7EAA028"/>
    <w:rsid w:val="BBF6D084"/>
    <w:rsid w:val="BDB73E79"/>
    <w:rsid w:val="C7EF6529"/>
    <w:rsid w:val="CD7DBA40"/>
    <w:rsid w:val="D73BFB6D"/>
    <w:rsid w:val="D9727944"/>
    <w:rsid w:val="D9F7397A"/>
    <w:rsid w:val="DCEF6F04"/>
    <w:rsid w:val="DF3D9A28"/>
    <w:rsid w:val="E7F11CC9"/>
    <w:rsid w:val="E8FE3348"/>
    <w:rsid w:val="EF7FB53C"/>
    <w:rsid w:val="EFB7720C"/>
    <w:rsid w:val="EFDE683D"/>
    <w:rsid w:val="FA9F2235"/>
    <w:rsid w:val="FB3D7078"/>
    <w:rsid w:val="FBB9A97F"/>
    <w:rsid w:val="FCE9C041"/>
    <w:rsid w:val="FD767190"/>
    <w:rsid w:val="FDDFDFA4"/>
    <w:rsid w:val="FE390D40"/>
    <w:rsid w:val="FECBFE8F"/>
    <w:rsid w:val="FECDEDF9"/>
    <w:rsid w:val="FFF7AD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line="600" w:lineRule="exact"/>
      <w:jc w:val="center"/>
      <w:outlineLvl w:val="0"/>
    </w:pPr>
    <w:rPr>
      <w:rFonts w:eastAsia="方正小标宋简体"/>
      <w:kern w:val="44"/>
      <w:sz w:val="44"/>
    </w:rPr>
  </w:style>
  <w:style w:type="paragraph" w:styleId="3">
    <w:name w:val="heading 2"/>
    <w:basedOn w:val="1"/>
    <w:next w:val="1"/>
    <w:unhideWhenUsed/>
    <w:qFormat/>
    <w:uiPriority w:val="9"/>
    <w:pPr>
      <w:keepNext/>
      <w:keepLines/>
      <w:spacing w:before="200" w:after="0"/>
      <w:outlineLvl w:val="1"/>
    </w:pPr>
    <w:rPr>
      <w:rFonts w:ascii="微软雅黑" w:hAnsi="微软雅黑" w:eastAsia="微软雅黑" w:cs="微软雅黑"/>
      <w:b/>
      <w:bCs/>
      <w:color w:val="4874CB" w:themeColor="accent1"/>
      <w:sz w:val="26"/>
      <w:szCs w:val="26"/>
      <w14:textFill>
        <w14:solidFill>
          <w14:schemeClr w14:val="accent1"/>
        </w14:solidFill>
      </w14:textFill>
    </w:rPr>
  </w:style>
  <w:style w:type="paragraph" w:styleId="4">
    <w:name w:val="heading 3"/>
    <w:basedOn w:val="1"/>
    <w:next w:val="1"/>
    <w:unhideWhenUsed/>
    <w:qFormat/>
    <w:uiPriority w:val="9"/>
    <w:pPr>
      <w:keepNext/>
      <w:keepLines/>
      <w:spacing w:before="200" w:after="0"/>
      <w:outlineLvl w:val="2"/>
    </w:pPr>
    <w:rPr>
      <w:rFonts w:ascii="微软雅黑" w:hAnsi="微软雅黑" w:eastAsia="微软雅黑" w:cs="微软雅黑"/>
      <w:b/>
      <w:bCs/>
      <w:color w:val="4874CB" w:themeColor="accent1"/>
      <w14:textFill>
        <w14:solidFill>
          <w14:schemeClr w14:val="accent1"/>
        </w14:solidFill>
      </w14:textFill>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List Number"/>
    <w:basedOn w:val="1"/>
    <w:qFormat/>
    <w:uiPriority w:val="0"/>
    <w:pPr>
      <w:numPr>
        <w:ilvl w:val="0"/>
        <w:numId w:val="1"/>
      </w:numPr>
    </w:pPr>
  </w:style>
  <w:style w:type="paragraph" w:styleId="6">
    <w:name w:val="List Bullet"/>
    <w:basedOn w:val="1"/>
    <w:qFormat/>
    <w:uiPriority w:val="0"/>
    <w:pPr>
      <w:numPr>
        <w:ilvl w:val="0"/>
        <w:numId w:val="2"/>
      </w:numPr>
    </w:pPr>
  </w:style>
  <w:style w:type="paragraph" w:styleId="7">
    <w:name w:val="footer"/>
    <w:basedOn w:val="1"/>
    <w:autoRedefine/>
    <w:unhideWhenUsed/>
    <w:qFormat/>
    <w:uiPriority w:val="99"/>
    <w:pPr>
      <w:tabs>
        <w:tab w:val="center" w:pos="4153"/>
        <w:tab w:val="right" w:pos="8306"/>
      </w:tabs>
      <w:snapToGrid w:val="0"/>
      <w:jc w:val="left"/>
    </w:pPr>
    <w:rPr>
      <w:sz w:val="18"/>
      <w:szCs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Emphasis"/>
    <w:basedOn w:val="12"/>
    <w:qFormat/>
    <w:uiPriority w:val="0"/>
    <w:rPr>
      <w:i/>
    </w:rPr>
  </w:style>
  <w:style w:type="character" w:styleId="15">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547c5e53-d0d4-4db2-945e-b19d6723dcde</errorID>
      <errorWord>到</errorWord>
      <group>L1_Word</group>
      <groupName>字词问题</groupName>
      <ability>L2_Typo</ability>
      <abilityName>字词错误</abilityName>
      <candidateList>
        <item>至</item>
      </candidateList>
      <explain>存在字形相近字词的误用。</explain>
      <paraID> D5D6A62</paraID>
      <start>77</start>
      <end>78</end>
      <status>modified</status>
      <modifiedWord>至</modifiedWord>
      <trackRevisions>false</trackRevisions>
    </reviewItem>
    <reviewItem>
      <errorID>90d5370b-5f9b-4228-82ac-75b26b1345e1</errorID>
      <errorWord>区域协同发展战略</errorWord>
      <group>L1_Political</group>
      <groupName>政治性问题</groupName>
      <ability>L2_Keyword</ability>
      <abilityName>固定表述</abilityName>
      <candidateList>
        <item>区域协调发展战略</item>
      </candidateList>
      <explain>词汇“区域协调发展战略”在特定场景下为固定表述形式，请确认此处的“区域协同发展战略”是否存在不当。</explain>
      <paraID>5EF6FF26</paraID>
      <start>4</start>
      <end>12</end>
      <status>ignored</status>
      <modifiedWord/>
      <trackRevisions>false</trackRevisions>
    </reviewItem>
    <reviewItem>
      <errorID>1f4689d6-4ae0-4aa4-8449-0418bbef452d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5591B464</paraID>
      <start>66</start>
      <end>68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047f93-a18b-4651-81b1-5ce163de3dca}">
  <ds:schemaRefs/>
</ds:datastoreItem>
</file>

<file path=docProps/app.xml><?xml version="1.0" encoding="utf-8"?>
<Properties xmlns="http://schemas.openxmlformats.org/officeDocument/2006/extended-properties" xmlns:vt="http://schemas.openxmlformats.org/officeDocument/2006/docPropsVTypes">
  <Template>Normal.dotm</Template>
  <Pages>7</Pages>
  <Words>7330</Words>
  <Characters>7506</Characters>
  <Lines>50</Lines>
  <Paragraphs>14</Paragraphs>
  <TotalTime>53</TotalTime>
  <ScaleCrop>false</ScaleCrop>
  <LinksUpToDate>false</LinksUpToDate>
  <CharactersWithSpaces>7544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2025-02-27T18:25:00Z</dcterms:created>
  <dc:creator>mlf</dc:creator>
  <cp:lastModifiedBy>Albert</cp:lastModifiedBy>
  <cp:lastPrinted>2026-04-30T03:07:00Z</cp:lastPrinted>
  <dcterms:modified xsi:type="dcterms:W3CDTF">2026-04-30T03:20:30Z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625BE9ECA69F4E8983C6C560B054708A_13</vt:lpwstr>
  </property>
  <property fmtid="{D5CDD505-2E9C-101B-9397-08002B2CF9AE}" pid="4" name="KSOTemplateDocerSaveRecord">
    <vt:lpwstr>eyJoZGlkIjoiMDU0ODkxMzhhZDU2OTRlYTVlNWYxMzY5NDM2NmVhZDEiLCJ1c2VySWQiOiIzMzA3MTAwNzUifQ==</vt:lpwstr>
  </property>
</Properties>
</file>