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BFFBCE">
      <w:pPr>
        <w:pStyle w:val="3"/>
        <w:spacing w:before="0" w:after="0"/>
        <w:jc w:val="center"/>
        <w:rPr>
          <w:rFonts w:ascii="宋体" w:hAnsi="宋体" w:eastAsia="宋体" w:cs="宋体"/>
          <w:color w:val="auto"/>
          <w:kern w:val="0"/>
          <w:shd w:val="clear" w:color="auto" w:fill="FFFFFF"/>
          <w:lang w:bidi="ar"/>
        </w:rPr>
      </w:pPr>
      <w:r>
        <w:rPr>
          <w:rFonts w:hint="eastAsia" w:ascii="宋体" w:hAnsi="宋体" w:eastAsia="宋体" w:cs="宋体"/>
          <w:color w:val="auto"/>
          <w:kern w:val="0"/>
          <w:shd w:val="clear" w:color="auto" w:fill="FFFFFF"/>
          <w:lang w:bidi="ar"/>
        </w:rPr>
        <w:t>广东省中医院海南医院</w:t>
      </w:r>
      <w:bookmarkStart w:id="3" w:name="_GoBack"/>
      <w:bookmarkEnd w:id="3"/>
    </w:p>
    <w:p w14:paraId="5E6851E7">
      <w:pPr>
        <w:pStyle w:val="3"/>
        <w:spacing w:before="0" w:after="0"/>
        <w:jc w:val="center"/>
        <w:rPr>
          <w:rFonts w:ascii="宋体" w:hAnsi="宋体" w:eastAsia="宋体" w:cs="宋体"/>
          <w:color w:val="auto"/>
          <w:kern w:val="0"/>
          <w:shd w:val="clear" w:color="auto" w:fill="FFFFFF"/>
          <w:lang w:bidi="ar"/>
        </w:rPr>
      </w:pPr>
      <w:r>
        <w:rPr>
          <w:rFonts w:hint="eastAsia" w:ascii="宋体" w:hAnsi="宋体" w:eastAsia="宋体" w:cs="宋体"/>
          <w:color w:val="auto"/>
          <w:kern w:val="0"/>
          <w:shd w:val="clear" w:color="auto" w:fill="FFFFFF"/>
          <w:lang w:bidi="ar"/>
        </w:rPr>
        <w:t>中医体质分类量化测评系统（中医治未病系统）建设项目</w:t>
      </w:r>
    </w:p>
    <w:p w14:paraId="11B8CA00">
      <w:pPr>
        <w:pStyle w:val="3"/>
        <w:spacing w:before="0" w:after="0"/>
        <w:jc w:val="center"/>
        <w:rPr>
          <w:rFonts w:ascii="宋体" w:hAnsi="宋体" w:eastAsia="宋体" w:cs="宋体"/>
          <w:color w:val="auto"/>
          <w:kern w:val="0"/>
          <w:shd w:val="clear" w:color="auto" w:fill="FFFFFF"/>
          <w:lang w:bidi="ar"/>
        </w:rPr>
      </w:pPr>
      <w:r>
        <w:rPr>
          <w:rFonts w:hint="eastAsia" w:ascii="宋体" w:hAnsi="宋体" w:eastAsia="宋体" w:cs="宋体"/>
          <w:color w:val="auto"/>
          <w:kern w:val="0"/>
          <w:shd w:val="clear" w:color="auto" w:fill="FFFFFF"/>
          <w:lang w:bidi="ar"/>
        </w:rPr>
        <w:t>市场调研需求书</w:t>
      </w:r>
    </w:p>
    <w:p w14:paraId="53259341">
      <w:pPr>
        <w:rPr>
          <w:rFonts w:ascii="宋体" w:hAnsi="宋体" w:cs="宋体"/>
          <w:sz w:val="28"/>
          <w:szCs w:val="28"/>
        </w:rPr>
      </w:pPr>
    </w:p>
    <w:p w14:paraId="7BECFFD2">
      <w:pPr>
        <w:numPr>
          <w:ilvl w:val="0"/>
          <w:numId w:val="1"/>
        </w:numPr>
        <w:textAlignment w:val="baseline"/>
        <w:rPr>
          <w:rFonts w:ascii="宋体" w:hAnsi="宋体" w:cs="宋体"/>
          <w:sz w:val="28"/>
          <w:szCs w:val="28"/>
        </w:rPr>
      </w:pPr>
      <w:r>
        <w:rPr>
          <w:rFonts w:hint="eastAsia" w:ascii="宋体" w:hAnsi="宋体" w:cs="宋体"/>
          <w:sz w:val="28"/>
          <w:szCs w:val="28"/>
        </w:rPr>
        <w:t>硬件资源需求</w:t>
      </w:r>
    </w:p>
    <w:p w14:paraId="6CC10987">
      <w:pPr>
        <w:ind w:firstLine="560" w:firstLineChars="200"/>
        <w:textAlignment w:val="baseline"/>
        <w:rPr>
          <w:rFonts w:ascii="宋体" w:hAnsi="宋体" w:cs="宋体"/>
          <w:color w:val="000000"/>
          <w:sz w:val="28"/>
          <w:szCs w:val="28"/>
        </w:rPr>
      </w:pPr>
      <w:r>
        <w:rPr>
          <w:rFonts w:hint="eastAsia" w:ascii="宋体" w:hAnsi="宋体" w:cs="宋体"/>
          <w:color w:val="000000"/>
          <w:sz w:val="28"/>
          <w:szCs w:val="28"/>
        </w:rPr>
        <w:t>因软件业务增长，需相应扩容硬件资源以满足业务需求。所需资源如下：</w:t>
      </w:r>
    </w:p>
    <w:tbl>
      <w:tblPr>
        <w:tblStyle w:val="8"/>
        <w:tblW w:w="8514" w:type="dxa"/>
        <w:jc w:val="center"/>
        <w:tblLayout w:type="fixed"/>
        <w:tblCellMar>
          <w:top w:w="113" w:type="dxa"/>
          <w:left w:w="113" w:type="dxa"/>
          <w:bottom w:w="113" w:type="dxa"/>
          <w:right w:w="113" w:type="dxa"/>
        </w:tblCellMar>
      </w:tblPr>
      <w:tblGrid>
        <w:gridCol w:w="690"/>
        <w:gridCol w:w="2444"/>
        <w:gridCol w:w="4209"/>
        <w:gridCol w:w="1171"/>
      </w:tblGrid>
      <w:tr w14:paraId="6FB195FB">
        <w:tblPrEx>
          <w:tblCellMar>
            <w:top w:w="113" w:type="dxa"/>
            <w:left w:w="113" w:type="dxa"/>
            <w:bottom w:w="113" w:type="dxa"/>
            <w:right w:w="113" w:type="dxa"/>
          </w:tblCellMar>
        </w:tblPrEx>
        <w:trPr>
          <w:trHeight w:val="497" w:hRule="atLeast"/>
          <w:jc w:val="center"/>
        </w:trPr>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04070E">
            <w:pPr>
              <w:jc w:val="center"/>
              <w:textAlignment w:val="baseline"/>
              <w:rPr>
                <w:rFonts w:ascii="宋体" w:hAnsi="宋体" w:cs="宋体"/>
                <w:sz w:val="24"/>
                <w:szCs w:val="24"/>
              </w:rPr>
            </w:pPr>
            <w:r>
              <w:rPr>
                <w:rFonts w:hint="eastAsia" w:ascii="宋体" w:hAnsi="宋体" w:cs="宋体"/>
                <w:sz w:val="24"/>
                <w:szCs w:val="24"/>
              </w:rPr>
              <w:t>序号</w:t>
            </w:r>
          </w:p>
        </w:tc>
        <w:tc>
          <w:tcPr>
            <w:tcW w:w="244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C128B5">
            <w:pPr>
              <w:jc w:val="center"/>
              <w:textAlignment w:val="baseline"/>
              <w:rPr>
                <w:rFonts w:ascii="宋体" w:hAnsi="宋体" w:cs="宋体"/>
                <w:sz w:val="24"/>
                <w:szCs w:val="24"/>
              </w:rPr>
            </w:pPr>
            <w:r>
              <w:rPr>
                <w:rFonts w:hint="eastAsia" w:ascii="宋体" w:hAnsi="宋体" w:cs="宋体"/>
                <w:sz w:val="24"/>
                <w:szCs w:val="24"/>
              </w:rPr>
              <w:t>名称</w:t>
            </w:r>
          </w:p>
        </w:tc>
        <w:tc>
          <w:tcPr>
            <w:tcW w:w="42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BB45DF">
            <w:pPr>
              <w:jc w:val="center"/>
              <w:textAlignment w:val="baseline"/>
              <w:rPr>
                <w:rFonts w:ascii="宋体" w:hAnsi="宋体" w:cs="宋体"/>
                <w:sz w:val="24"/>
                <w:szCs w:val="24"/>
              </w:rPr>
            </w:pPr>
            <w:r>
              <w:rPr>
                <w:rFonts w:hint="eastAsia" w:ascii="宋体" w:hAnsi="宋体" w:cs="宋体"/>
                <w:sz w:val="24"/>
                <w:szCs w:val="24"/>
              </w:rPr>
              <w:t>参数</w:t>
            </w:r>
          </w:p>
        </w:tc>
        <w:tc>
          <w:tcPr>
            <w:tcW w:w="11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85A0D3">
            <w:pPr>
              <w:jc w:val="center"/>
              <w:textAlignment w:val="baseline"/>
              <w:rPr>
                <w:rFonts w:ascii="宋体" w:hAnsi="宋体" w:cs="宋体"/>
                <w:sz w:val="24"/>
                <w:szCs w:val="24"/>
              </w:rPr>
            </w:pPr>
            <w:r>
              <w:rPr>
                <w:rFonts w:hint="eastAsia" w:ascii="宋体" w:hAnsi="宋体" w:cs="宋体"/>
                <w:sz w:val="24"/>
                <w:szCs w:val="24"/>
              </w:rPr>
              <w:t>数量（块）</w:t>
            </w:r>
          </w:p>
        </w:tc>
      </w:tr>
      <w:tr w14:paraId="4A877C1D">
        <w:tblPrEx>
          <w:tblCellMar>
            <w:top w:w="113" w:type="dxa"/>
            <w:left w:w="113" w:type="dxa"/>
            <w:bottom w:w="113" w:type="dxa"/>
            <w:right w:w="113" w:type="dxa"/>
          </w:tblCellMar>
        </w:tblPrEx>
        <w:trPr>
          <w:trHeight w:val="757" w:hRule="atLeast"/>
          <w:jc w:val="center"/>
        </w:trPr>
        <w:tc>
          <w:tcPr>
            <w:tcW w:w="69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10DAE6">
            <w:pPr>
              <w:jc w:val="center"/>
              <w:textAlignment w:val="baseline"/>
              <w:rPr>
                <w:rFonts w:ascii="宋体" w:hAnsi="宋体" w:cs="宋体"/>
                <w:sz w:val="24"/>
                <w:szCs w:val="24"/>
                <w:lang w:bidi="ar"/>
              </w:rPr>
            </w:pPr>
            <w:r>
              <w:rPr>
                <w:rFonts w:hint="eastAsia" w:ascii="宋体" w:hAnsi="宋体" w:cs="宋体"/>
                <w:sz w:val="24"/>
                <w:szCs w:val="24"/>
                <w:lang w:bidi="ar"/>
              </w:rPr>
              <w:t>1</w:t>
            </w:r>
          </w:p>
        </w:tc>
        <w:tc>
          <w:tcPr>
            <w:tcW w:w="244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BD30BB">
            <w:pPr>
              <w:jc w:val="center"/>
              <w:textAlignment w:val="baseline"/>
              <w:rPr>
                <w:rFonts w:ascii="宋体" w:hAnsi="宋体" w:cs="宋体"/>
                <w:sz w:val="24"/>
                <w:szCs w:val="24"/>
                <w:lang w:bidi="ar"/>
              </w:rPr>
            </w:pPr>
            <w:r>
              <w:rPr>
                <w:rFonts w:hint="eastAsia" w:ascii="宋体" w:hAnsi="宋体" w:cs="宋体"/>
                <w:sz w:val="24"/>
                <w:szCs w:val="24"/>
                <w:lang w:bidi="ar"/>
              </w:rPr>
              <w:t>硬盘</w:t>
            </w:r>
          </w:p>
        </w:tc>
        <w:tc>
          <w:tcPr>
            <w:tcW w:w="42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BD9293">
            <w:pPr>
              <w:jc w:val="center"/>
              <w:textAlignment w:val="baseline"/>
              <w:rPr>
                <w:rFonts w:hint="eastAsia" w:ascii="宋体" w:hAnsi="宋体" w:cs="宋体"/>
                <w:sz w:val="24"/>
                <w:szCs w:val="24"/>
                <w:lang w:bidi="ar"/>
              </w:rPr>
            </w:pPr>
            <w:r>
              <w:rPr>
                <w:rFonts w:hint="eastAsia" w:ascii="宋体" w:hAnsi="宋体" w:cs="宋体"/>
                <w:sz w:val="24"/>
                <w:szCs w:val="24"/>
                <w:lang w:bidi="ar"/>
              </w:rPr>
              <w:t>2.4TB SAS 10K 2.5寸</w:t>
            </w:r>
          </w:p>
          <w:p w14:paraId="7EE9EA75">
            <w:pPr>
              <w:jc w:val="center"/>
              <w:textAlignment w:val="baseline"/>
              <w:rPr>
                <w:rFonts w:ascii="宋体" w:hAnsi="宋体" w:cs="宋体"/>
                <w:sz w:val="24"/>
                <w:szCs w:val="24"/>
                <w:lang w:bidi="ar"/>
              </w:rPr>
            </w:pPr>
            <w:r>
              <w:rPr>
                <w:rFonts w:hint="eastAsia" w:ascii="宋体" w:hAnsi="宋体" w:cs="宋体"/>
                <w:sz w:val="24"/>
                <w:szCs w:val="24"/>
                <w:lang w:bidi="ar"/>
              </w:rPr>
              <w:t>（</w:t>
            </w:r>
            <w:r>
              <w:rPr>
                <w:rFonts w:hint="eastAsia" w:ascii="宋体" w:hAnsi="宋体" w:cs="宋体"/>
                <w:sz w:val="24"/>
                <w:szCs w:val="24"/>
                <w:lang w:val="en-US" w:eastAsia="zh-CN" w:bidi="ar"/>
              </w:rPr>
              <w:t>需</w:t>
            </w:r>
            <w:r>
              <w:rPr>
                <w:rFonts w:hint="eastAsia" w:ascii="宋体" w:hAnsi="宋体" w:cs="宋体"/>
                <w:sz w:val="24"/>
                <w:szCs w:val="24"/>
                <w:lang w:bidi="ar"/>
              </w:rPr>
              <w:t>与现</w:t>
            </w:r>
            <w:r>
              <w:rPr>
                <w:rFonts w:hint="eastAsia" w:ascii="宋体" w:hAnsi="宋体" w:cs="宋体"/>
                <w:sz w:val="24"/>
                <w:szCs w:val="24"/>
                <w:lang w:eastAsia="zh-CN" w:bidi="ar"/>
              </w:rPr>
              <w:t>用</w:t>
            </w:r>
            <w:r>
              <w:rPr>
                <w:rFonts w:hint="eastAsia" w:ascii="宋体" w:hAnsi="宋体" w:cs="宋体"/>
                <w:sz w:val="24"/>
                <w:szCs w:val="24"/>
                <w:lang w:bidi="ar"/>
              </w:rPr>
              <w:t>华为存储</w:t>
            </w:r>
            <w:r>
              <w:rPr>
                <w:rFonts w:hint="eastAsia" w:ascii="宋体" w:hAnsi="宋体" w:cs="宋体"/>
                <w:sz w:val="24"/>
                <w:szCs w:val="24"/>
                <w:lang w:val="en-US" w:eastAsia="zh-CN" w:bidi="ar"/>
              </w:rPr>
              <w:t>兼容</w:t>
            </w:r>
            <w:r>
              <w:rPr>
                <w:rFonts w:hint="eastAsia" w:ascii="宋体" w:hAnsi="宋体" w:cs="宋体"/>
                <w:sz w:val="24"/>
                <w:szCs w:val="24"/>
                <w:lang w:bidi="ar"/>
              </w:rPr>
              <w:t>）</w:t>
            </w:r>
          </w:p>
        </w:tc>
        <w:tc>
          <w:tcPr>
            <w:tcW w:w="11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C99EF7">
            <w:pPr>
              <w:jc w:val="center"/>
              <w:textAlignment w:val="baseline"/>
              <w:rPr>
                <w:rFonts w:ascii="宋体" w:hAnsi="宋体" w:cs="宋体"/>
                <w:sz w:val="24"/>
                <w:szCs w:val="24"/>
                <w:lang w:bidi="ar"/>
              </w:rPr>
            </w:pPr>
            <w:r>
              <w:rPr>
                <w:rFonts w:hint="eastAsia" w:ascii="宋体" w:hAnsi="宋体" w:cs="宋体"/>
                <w:sz w:val="24"/>
                <w:szCs w:val="24"/>
                <w:lang w:bidi="ar"/>
              </w:rPr>
              <w:t>4</w:t>
            </w:r>
          </w:p>
        </w:tc>
      </w:tr>
    </w:tbl>
    <w:p w14:paraId="22DA6223">
      <w:pPr>
        <w:numPr>
          <w:ilvl w:val="0"/>
          <w:numId w:val="1"/>
        </w:numPr>
        <w:textAlignment w:val="baseline"/>
        <w:rPr>
          <w:rFonts w:ascii="宋体" w:hAnsi="宋体" w:cs="宋体"/>
          <w:sz w:val="28"/>
          <w:szCs w:val="28"/>
        </w:rPr>
      </w:pPr>
      <w:r>
        <w:rPr>
          <w:rFonts w:hint="eastAsia" w:ascii="宋体" w:hAnsi="宋体" w:cs="宋体"/>
          <w:sz w:val="28"/>
          <w:szCs w:val="28"/>
        </w:rPr>
        <w:t>软件需求</w:t>
      </w:r>
    </w:p>
    <w:p w14:paraId="20BF1D1F">
      <w:pPr>
        <w:ind w:firstLine="560" w:firstLineChars="200"/>
        <w:textAlignment w:val="baseline"/>
        <w:rPr>
          <w:rFonts w:ascii="宋体" w:hAnsi="宋体" w:cs="宋体"/>
          <w:sz w:val="28"/>
          <w:szCs w:val="28"/>
        </w:rPr>
      </w:pPr>
      <w:r>
        <w:rPr>
          <w:rFonts w:hint="eastAsia" w:ascii="宋体" w:hAnsi="宋体" w:cs="宋体"/>
          <w:sz w:val="28"/>
          <w:szCs w:val="28"/>
        </w:rPr>
        <w:t>中医体质分类量化测评系统（中医治未病系统）需实现：</w:t>
      </w:r>
    </w:p>
    <w:tbl>
      <w:tblPr>
        <w:tblStyle w:val="8"/>
        <w:tblW w:w="84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13" w:type="dxa"/>
          <w:bottom w:w="113" w:type="dxa"/>
          <w:right w:w="113" w:type="dxa"/>
        </w:tblCellMar>
      </w:tblPr>
      <w:tblGrid>
        <w:gridCol w:w="1089"/>
        <w:gridCol w:w="1078"/>
        <w:gridCol w:w="6290"/>
      </w:tblGrid>
      <w:tr w14:paraId="58561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374" w:hRule="atLeast"/>
          <w:jc w:val="center"/>
        </w:trPr>
        <w:tc>
          <w:tcPr>
            <w:tcW w:w="1089" w:type="dxa"/>
            <w:noWrap/>
            <w:tcMar>
              <w:top w:w="15" w:type="dxa"/>
              <w:left w:w="15" w:type="dxa"/>
              <w:right w:w="15" w:type="dxa"/>
            </w:tcMar>
            <w:vAlign w:val="center"/>
          </w:tcPr>
          <w:p w14:paraId="098DEDC6">
            <w:pPr>
              <w:jc w:val="center"/>
              <w:textAlignment w:val="baseline"/>
              <w:rPr>
                <w:rFonts w:ascii="宋体" w:hAnsi="宋体"/>
                <w:sz w:val="24"/>
                <w:szCs w:val="24"/>
              </w:rPr>
            </w:pPr>
            <w:r>
              <w:rPr>
                <w:rFonts w:hint="eastAsia" w:ascii="宋体" w:hAnsi="宋体" w:cs="宋体"/>
                <w:sz w:val="24"/>
                <w:szCs w:val="24"/>
                <w:lang w:bidi="ar"/>
              </w:rPr>
              <w:t>项目名称</w:t>
            </w:r>
          </w:p>
        </w:tc>
        <w:tc>
          <w:tcPr>
            <w:tcW w:w="1078" w:type="dxa"/>
            <w:noWrap/>
            <w:tcMar>
              <w:top w:w="15" w:type="dxa"/>
              <w:left w:w="15" w:type="dxa"/>
              <w:right w:w="15" w:type="dxa"/>
            </w:tcMar>
            <w:vAlign w:val="center"/>
          </w:tcPr>
          <w:p w14:paraId="3A1BFEA8">
            <w:pPr>
              <w:jc w:val="center"/>
              <w:textAlignment w:val="baseline"/>
              <w:rPr>
                <w:rFonts w:ascii="宋体" w:hAnsi="宋体"/>
                <w:sz w:val="24"/>
                <w:szCs w:val="24"/>
              </w:rPr>
            </w:pPr>
            <w:r>
              <w:rPr>
                <w:rFonts w:hint="eastAsia" w:ascii="宋体" w:hAnsi="宋体" w:cs="宋体"/>
                <w:sz w:val="24"/>
                <w:szCs w:val="24"/>
                <w:lang w:bidi="ar"/>
              </w:rPr>
              <w:t>序号</w:t>
            </w:r>
          </w:p>
        </w:tc>
        <w:tc>
          <w:tcPr>
            <w:tcW w:w="6290" w:type="dxa"/>
            <w:noWrap/>
            <w:tcMar>
              <w:top w:w="15" w:type="dxa"/>
              <w:left w:w="15" w:type="dxa"/>
              <w:right w:w="15" w:type="dxa"/>
            </w:tcMar>
            <w:vAlign w:val="center"/>
          </w:tcPr>
          <w:p w14:paraId="4F94C9F8">
            <w:pPr>
              <w:jc w:val="center"/>
              <w:textAlignment w:val="baseline"/>
              <w:rPr>
                <w:rFonts w:ascii="宋体" w:hAnsi="宋体"/>
                <w:sz w:val="24"/>
                <w:szCs w:val="24"/>
              </w:rPr>
            </w:pPr>
            <w:r>
              <w:rPr>
                <w:rFonts w:hint="eastAsia" w:ascii="宋体" w:hAnsi="宋体" w:cs="宋体"/>
                <w:sz w:val="24"/>
                <w:szCs w:val="24"/>
                <w:lang w:bidi="ar"/>
              </w:rPr>
              <w:t>功能描述</w:t>
            </w:r>
          </w:p>
        </w:tc>
      </w:tr>
      <w:tr w14:paraId="79CA3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restart"/>
            <w:noWrap/>
            <w:tcMar>
              <w:top w:w="15" w:type="dxa"/>
              <w:left w:w="15" w:type="dxa"/>
              <w:right w:w="15" w:type="dxa"/>
            </w:tcMar>
            <w:vAlign w:val="center"/>
          </w:tcPr>
          <w:p w14:paraId="600642E5">
            <w:pPr>
              <w:jc w:val="center"/>
              <w:textAlignment w:val="baseline"/>
              <w:rPr>
                <w:rFonts w:ascii="宋体" w:hAnsi="宋体" w:cs="宋体"/>
                <w:b/>
                <w:bCs/>
                <w:color w:val="000000"/>
                <w:kern w:val="0"/>
                <w:sz w:val="24"/>
                <w:szCs w:val="24"/>
                <w:shd w:val="clear" w:color="auto" w:fill="FFFFFF"/>
                <w:lang w:bidi="ar"/>
              </w:rPr>
            </w:pPr>
          </w:p>
          <w:p w14:paraId="4E45FB51">
            <w:pPr>
              <w:jc w:val="center"/>
              <w:textAlignment w:val="baseline"/>
              <w:rPr>
                <w:rFonts w:ascii="宋体" w:hAnsi="宋体" w:cs="宋体"/>
                <w:b/>
                <w:bCs/>
                <w:color w:val="000000"/>
                <w:kern w:val="0"/>
                <w:sz w:val="24"/>
                <w:szCs w:val="24"/>
                <w:shd w:val="clear" w:color="auto" w:fill="FFFFFF"/>
                <w:lang w:bidi="ar"/>
              </w:rPr>
            </w:pPr>
          </w:p>
          <w:p w14:paraId="2D2114F6">
            <w:pPr>
              <w:jc w:val="center"/>
              <w:textAlignment w:val="baseline"/>
              <w:rPr>
                <w:rFonts w:ascii="宋体" w:hAnsi="宋体" w:cs="宋体"/>
                <w:b/>
                <w:bCs/>
                <w:color w:val="000000"/>
                <w:kern w:val="0"/>
                <w:sz w:val="24"/>
                <w:szCs w:val="24"/>
                <w:shd w:val="clear" w:color="auto" w:fill="FFFFFF"/>
                <w:lang w:bidi="ar"/>
              </w:rPr>
            </w:pPr>
          </w:p>
          <w:p w14:paraId="051CD403">
            <w:pPr>
              <w:jc w:val="center"/>
              <w:textAlignment w:val="baseline"/>
              <w:rPr>
                <w:rFonts w:ascii="宋体" w:hAnsi="宋体"/>
                <w:sz w:val="24"/>
                <w:szCs w:val="24"/>
              </w:rPr>
            </w:pPr>
            <w:r>
              <w:rPr>
                <w:rFonts w:hint="eastAsia" w:ascii="宋体" w:hAnsi="宋体" w:cs="宋体"/>
                <w:b/>
                <w:bCs/>
                <w:color w:val="000000"/>
                <w:kern w:val="0"/>
                <w:sz w:val="24"/>
                <w:szCs w:val="24"/>
                <w:shd w:val="clear" w:color="auto" w:fill="FFFFFF"/>
                <w:lang w:bidi="ar"/>
              </w:rPr>
              <w:t>中医体质分类量化测评系统（中医治未病系统）</w:t>
            </w:r>
          </w:p>
        </w:tc>
        <w:tc>
          <w:tcPr>
            <w:tcW w:w="1078" w:type="dxa"/>
            <w:noWrap/>
            <w:tcMar>
              <w:top w:w="15" w:type="dxa"/>
              <w:left w:w="15" w:type="dxa"/>
              <w:right w:w="15" w:type="dxa"/>
            </w:tcMar>
          </w:tcPr>
          <w:p w14:paraId="06F71E42">
            <w:pPr>
              <w:jc w:val="center"/>
              <w:textAlignment w:val="baseline"/>
              <w:rPr>
                <w:rFonts w:ascii="宋体" w:hAnsi="宋体"/>
                <w:sz w:val="24"/>
                <w:szCs w:val="24"/>
              </w:rPr>
            </w:pPr>
            <w:r>
              <w:rPr>
                <w:rFonts w:hint="eastAsia" w:ascii="宋体" w:hAnsi="宋体" w:cs="宋体"/>
                <w:sz w:val="24"/>
                <w:szCs w:val="24"/>
                <w:lang w:bidi="ar"/>
              </w:rPr>
              <w:t>1.01</w:t>
            </w:r>
          </w:p>
        </w:tc>
        <w:tc>
          <w:tcPr>
            <w:tcW w:w="6290" w:type="dxa"/>
            <w:noWrap/>
            <w:tcMar>
              <w:top w:w="15" w:type="dxa"/>
              <w:left w:w="15" w:type="dxa"/>
              <w:right w:w="15" w:type="dxa"/>
            </w:tcMar>
          </w:tcPr>
          <w:p w14:paraId="24CC6549">
            <w:pPr>
              <w:jc w:val="left"/>
              <w:textAlignment w:val="baseline"/>
              <w:rPr>
                <w:rFonts w:ascii="宋体" w:hAnsi="宋体"/>
                <w:sz w:val="24"/>
                <w:szCs w:val="24"/>
              </w:rPr>
            </w:pPr>
            <w:r>
              <w:rPr>
                <w:rFonts w:hint="eastAsia" w:ascii="宋体" w:hAnsi="宋体" w:cs="宋体"/>
                <w:sz w:val="24"/>
                <w:szCs w:val="24"/>
                <w:lang w:bidi="ar"/>
              </w:rPr>
              <w:t>患者或亚健康人群</w:t>
            </w:r>
            <w:r>
              <w:rPr>
                <w:rFonts w:hint="eastAsia" w:ascii="宋体" w:hAnsi="宋体" w:cs="宋体"/>
                <w:color w:val="000000"/>
                <w:sz w:val="24"/>
                <w:szCs w:val="24"/>
                <w:lang w:bidi="ar"/>
              </w:rPr>
              <w:t>可通过自主扫描二维码（如医院门诊大厅宣传栏的二维码）、医院体检系统的自动推荐，或通过医院提供的移动端</w:t>
            </w:r>
            <w:bookmarkStart w:id="0" w:name="OLE_LINK47"/>
            <w:r>
              <w:rPr>
                <w:rFonts w:hint="eastAsia" w:ascii="宋体" w:hAnsi="宋体" w:cs="宋体"/>
                <w:color w:val="000000"/>
                <w:sz w:val="24"/>
                <w:szCs w:val="24"/>
                <w:lang w:bidi="ar"/>
              </w:rPr>
              <w:t>（健康管理小程序或体质辨识PAD）</w:t>
            </w:r>
            <w:bookmarkEnd w:id="0"/>
            <w:r>
              <w:rPr>
                <w:rFonts w:hint="eastAsia" w:ascii="宋体" w:hAnsi="宋体" w:cs="宋体"/>
                <w:color w:val="000000"/>
                <w:sz w:val="24"/>
                <w:szCs w:val="24"/>
                <w:lang w:bidi="ar"/>
              </w:rPr>
              <w:t>来填写</w:t>
            </w:r>
            <w:r>
              <w:rPr>
                <w:rFonts w:hint="eastAsia" w:ascii="宋体" w:hAnsi="宋体" w:cs="宋体"/>
                <w:sz w:val="24"/>
                <w:szCs w:val="24"/>
                <w:lang w:bidi="ar"/>
              </w:rPr>
              <w:t>普适性问卷调查表等方式进入推荐列表。</w:t>
            </w:r>
          </w:p>
        </w:tc>
      </w:tr>
      <w:tr w14:paraId="79323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108F0EE4">
            <w:pPr>
              <w:rPr>
                <w:sz w:val="20"/>
                <w:szCs w:val="20"/>
              </w:rPr>
            </w:pPr>
          </w:p>
        </w:tc>
        <w:tc>
          <w:tcPr>
            <w:tcW w:w="1078" w:type="dxa"/>
            <w:noWrap/>
            <w:tcMar>
              <w:top w:w="15" w:type="dxa"/>
              <w:left w:w="15" w:type="dxa"/>
              <w:right w:w="15" w:type="dxa"/>
            </w:tcMar>
          </w:tcPr>
          <w:p w14:paraId="37046155">
            <w:pPr>
              <w:jc w:val="center"/>
              <w:textAlignment w:val="baseline"/>
              <w:rPr>
                <w:rFonts w:ascii="宋体" w:hAnsi="宋体"/>
                <w:sz w:val="24"/>
                <w:szCs w:val="24"/>
              </w:rPr>
            </w:pPr>
            <w:r>
              <w:rPr>
                <w:rFonts w:hint="eastAsia" w:ascii="宋体" w:hAnsi="宋体" w:cs="宋体"/>
                <w:sz w:val="24"/>
                <w:szCs w:val="24"/>
                <w:lang w:bidi="ar"/>
              </w:rPr>
              <w:t>1.02</w:t>
            </w:r>
          </w:p>
        </w:tc>
        <w:tc>
          <w:tcPr>
            <w:tcW w:w="6290" w:type="dxa"/>
            <w:noWrap/>
            <w:tcMar>
              <w:top w:w="15" w:type="dxa"/>
              <w:left w:w="15" w:type="dxa"/>
              <w:right w:w="15" w:type="dxa"/>
            </w:tcMar>
          </w:tcPr>
          <w:p w14:paraId="41200A92">
            <w:pPr>
              <w:jc w:val="left"/>
              <w:textAlignment w:val="baseline"/>
              <w:rPr>
                <w:rFonts w:ascii="宋体" w:hAnsi="宋体"/>
                <w:sz w:val="24"/>
                <w:szCs w:val="24"/>
              </w:rPr>
            </w:pPr>
            <w:r>
              <w:rPr>
                <w:rFonts w:hint="eastAsia" w:ascii="宋体" w:hAnsi="宋体" w:cs="宋体"/>
                <w:sz w:val="24"/>
                <w:szCs w:val="24"/>
                <w:lang w:bidi="ar"/>
              </w:rPr>
              <w:t>进入推荐列表后的患者或亚健康人士，医护人员对其详细了解之后，可根据情况纳入治未病管理。并能够提供对治未病患者的档案管理。</w:t>
            </w:r>
          </w:p>
        </w:tc>
      </w:tr>
      <w:tr w14:paraId="74408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10C056F8">
            <w:pPr>
              <w:rPr>
                <w:sz w:val="20"/>
                <w:szCs w:val="20"/>
              </w:rPr>
            </w:pPr>
          </w:p>
        </w:tc>
        <w:tc>
          <w:tcPr>
            <w:tcW w:w="1078" w:type="dxa"/>
            <w:noWrap/>
            <w:tcMar>
              <w:top w:w="15" w:type="dxa"/>
              <w:left w:w="15" w:type="dxa"/>
              <w:right w:w="15" w:type="dxa"/>
            </w:tcMar>
          </w:tcPr>
          <w:p w14:paraId="558A8F0B">
            <w:pPr>
              <w:jc w:val="center"/>
              <w:textAlignment w:val="baseline"/>
              <w:rPr>
                <w:rFonts w:ascii="宋体" w:hAnsi="宋体"/>
                <w:sz w:val="24"/>
                <w:szCs w:val="24"/>
              </w:rPr>
            </w:pPr>
            <w:r>
              <w:rPr>
                <w:rFonts w:hint="eastAsia" w:ascii="宋体" w:hAnsi="宋体" w:cs="宋体"/>
                <w:sz w:val="24"/>
                <w:szCs w:val="24"/>
                <w:lang w:bidi="ar"/>
              </w:rPr>
              <w:t>1.03</w:t>
            </w:r>
          </w:p>
        </w:tc>
        <w:tc>
          <w:tcPr>
            <w:tcW w:w="6290" w:type="dxa"/>
            <w:noWrap/>
            <w:tcMar>
              <w:top w:w="15" w:type="dxa"/>
              <w:left w:w="15" w:type="dxa"/>
              <w:right w:w="15" w:type="dxa"/>
            </w:tcMar>
          </w:tcPr>
          <w:p w14:paraId="5EC7E0F4">
            <w:pPr>
              <w:jc w:val="left"/>
              <w:textAlignment w:val="baseline"/>
              <w:rPr>
                <w:rFonts w:ascii="宋体" w:hAnsi="宋体"/>
                <w:sz w:val="24"/>
                <w:szCs w:val="24"/>
              </w:rPr>
            </w:pPr>
            <w:r>
              <w:rPr>
                <w:rFonts w:hint="eastAsia" w:ascii="宋体" w:hAnsi="宋体" w:cs="宋体"/>
                <w:sz w:val="24"/>
                <w:szCs w:val="24"/>
                <w:lang w:bidi="ar"/>
              </w:rPr>
              <w:t>提供患者标签化管理。通过图标查看和了解病人的阶段性各类指标的变化趋势，以及疗效判定。支持检验检查指标、问卷调查指标、中医设备检测指标的趋势变化查看。</w:t>
            </w:r>
          </w:p>
        </w:tc>
      </w:tr>
      <w:tr w14:paraId="5923B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0F1AA88F">
            <w:pPr>
              <w:rPr>
                <w:sz w:val="20"/>
                <w:szCs w:val="20"/>
              </w:rPr>
            </w:pPr>
          </w:p>
        </w:tc>
        <w:tc>
          <w:tcPr>
            <w:tcW w:w="1078" w:type="dxa"/>
            <w:noWrap/>
            <w:tcMar>
              <w:top w:w="15" w:type="dxa"/>
              <w:left w:w="15" w:type="dxa"/>
              <w:right w:w="15" w:type="dxa"/>
            </w:tcMar>
          </w:tcPr>
          <w:p w14:paraId="5B06FEB9">
            <w:pPr>
              <w:jc w:val="center"/>
              <w:textAlignment w:val="baseline"/>
              <w:rPr>
                <w:rFonts w:ascii="宋体" w:hAnsi="宋体"/>
                <w:sz w:val="24"/>
                <w:szCs w:val="24"/>
              </w:rPr>
            </w:pPr>
            <w:r>
              <w:rPr>
                <w:rFonts w:hint="eastAsia" w:ascii="宋体" w:hAnsi="宋体" w:cs="宋体"/>
                <w:sz w:val="24"/>
                <w:szCs w:val="24"/>
                <w:lang w:bidi="ar"/>
              </w:rPr>
              <w:t>1.04</w:t>
            </w:r>
          </w:p>
        </w:tc>
        <w:tc>
          <w:tcPr>
            <w:tcW w:w="6290" w:type="dxa"/>
            <w:noWrap/>
            <w:tcMar>
              <w:top w:w="15" w:type="dxa"/>
              <w:left w:w="15" w:type="dxa"/>
              <w:right w:w="15" w:type="dxa"/>
            </w:tcMar>
          </w:tcPr>
          <w:p w14:paraId="3C6365B2">
            <w:pPr>
              <w:jc w:val="left"/>
              <w:textAlignment w:val="baseline"/>
              <w:rPr>
                <w:rFonts w:ascii="宋体" w:hAnsi="宋体"/>
                <w:sz w:val="24"/>
                <w:szCs w:val="24"/>
              </w:rPr>
            </w:pPr>
            <w:r>
              <w:rPr>
                <w:rFonts w:hint="eastAsia" w:ascii="宋体" w:hAnsi="宋体" w:cs="宋体"/>
                <w:sz w:val="24"/>
                <w:szCs w:val="24"/>
                <w:lang w:bidi="ar"/>
              </w:rPr>
              <w:t>为医护人员提供的随时记录患者随访信息工具，避免碎片化的临时随访的信息丢失。</w:t>
            </w:r>
          </w:p>
        </w:tc>
      </w:tr>
      <w:tr w14:paraId="76305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3CD973AA">
            <w:pPr>
              <w:rPr>
                <w:sz w:val="20"/>
                <w:szCs w:val="20"/>
              </w:rPr>
            </w:pPr>
          </w:p>
        </w:tc>
        <w:tc>
          <w:tcPr>
            <w:tcW w:w="1078" w:type="dxa"/>
            <w:noWrap/>
            <w:tcMar>
              <w:top w:w="15" w:type="dxa"/>
              <w:left w:w="15" w:type="dxa"/>
              <w:right w:w="15" w:type="dxa"/>
            </w:tcMar>
          </w:tcPr>
          <w:p w14:paraId="79D9072B">
            <w:pPr>
              <w:jc w:val="center"/>
              <w:textAlignment w:val="baseline"/>
              <w:rPr>
                <w:rFonts w:ascii="宋体" w:hAnsi="宋体"/>
                <w:sz w:val="24"/>
                <w:szCs w:val="24"/>
              </w:rPr>
            </w:pPr>
            <w:r>
              <w:rPr>
                <w:rFonts w:hint="eastAsia" w:ascii="宋体" w:hAnsi="宋体" w:cs="宋体"/>
                <w:sz w:val="24"/>
                <w:szCs w:val="24"/>
                <w:lang w:bidi="ar"/>
              </w:rPr>
              <w:t>1.05</w:t>
            </w:r>
          </w:p>
        </w:tc>
        <w:tc>
          <w:tcPr>
            <w:tcW w:w="6290" w:type="dxa"/>
            <w:noWrap/>
            <w:tcMar>
              <w:top w:w="15" w:type="dxa"/>
              <w:left w:w="15" w:type="dxa"/>
              <w:right w:w="15" w:type="dxa"/>
            </w:tcMar>
          </w:tcPr>
          <w:p w14:paraId="52F8CD35">
            <w:pPr>
              <w:jc w:val="left"/>
              <w:textAlignment w:val="baseline"/>
              <w:rPr>
                <w:rFonts w:ascii="宋体" w:hAnsi="宋体"/>
                <w:sz w:val="24"/>
                <w:szCs w:val="24"/>
              </w:rPr>
            </w:pPr>
            <w:r>
              <w:rPr>
                <w:rFonts w:hint="eastAsia" w:ascii="宋体" w:hAnsi="宋体" w:cs="宋体"/>
                <w:sz w:val="24"/>
                <w:szCs w:val="24"/>
                <w:lang w:bidi="ar"/>
              </w:rPr>
              <w:t>提供对治未病患者的健康风险评估。支持按中医体质测评、常规疾病测评、心理测评、精神压力测评、常见慢性疾病测评、特殊人群测评（如老年人测评）等分类进行测评并出具相应的风险评估报告。</w:t>
            </w:r>
          </w:p>
        </w:tc>
      </w:tr>
      <w:tr w14:paraId="7846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3B5759C6">
            <w:pPr>
              <w:rPr>
                <w:sz w:val="20"/>
                <w:szCs w:val="20"/>
              </w:rPr>
            </w:pPr>
          </w:p>
        </w:tc>
        <w:tc>
          <w:tcPr>
            <w:tcW w:w="1078" w:type="dxa"/>
            <w:noWrap/>
            <w:tcMar>
              <w:top w:w="15" w:type="dxa"/>
              <w:left w:w="15" w:type="dxa"/>
              <w:right w:w="15" w:type="dxa"/>
            </w:tcMar>
          </w:tcPr>
          <w:p w14:paraId="65C1E15B">
            <w:pPr>
              <w:jc w:val="center"/>
              <w:textAlignment w:val="baseline"/>
              <w:rPr>
                <w:rFonts w:ascii="宋体" w:hAnsi="宋体"/>
                <w:sz w:val="24"/>
                <w:szCs w:val="24"/>
              </w:rPr>
            </w:pPr>
            <w:r>
              <w:rPr>
                <w:rFonts w:hint="eastAsia" w:ascii="宋体" w:hAnsi="宋体" w:cs="宋体"/>
                <w:sz w:val="24"/>
                <w:szCs w:val="24"/>
                <w:lang w:bidi="ar"/>
              </w:rPr>
              <w:t>1.06</w:t>
            </w:r>
          </w:p>
        </w:tc>
        <w:tc>
          <w:tcPr>
            <w:tcW w:w="6290" w:type="dxa"/>
            <w:noWrap/>
            <w:tcMar>
              <w:top w:w="15" w:type="dxa"/>
              <w:left w:w="15" w:type="dxa"/>
              <w:right w:w="15" w:type="dxa"/>
            </w:tcMar>
          </w:tcPr>
          <w:p w14:paraId="2C6CD242">
            <w:pPr>
              <w:jc w:val="left"/>
              <w:textAlignment w:val="baseline"/>
              <w:rPr>
                <w:rFonts w:ascii="宋体" w:hAnsi="宋体"/>
                <w:sz w:val="24"/>
                <w:szCs w:val="24"/>
              </w:rPr>
            </w:pPr>
            <w:r>
              <w:rPr>
                <w:rFonts w:hint="eastAsia" w:ascii="宋体" w:hAnsi="宋体" w:cs="宋体"/>
                <w:sz w:val="24"/>
                <w:szCs w:val="24"/>
                <w:lang w:bidi="ar"/>
              </w:rPr>
              <w:t>提供通过中医体质辨识及特征的判定标准进行体质辨识，并依据体质调理方案，提供如生活方式、饮食、情志、运动调养、自我保健功法、中医技术治疗等多维度宣教和干预（保健）方案，从而满足各类体质的健康调理需求。</w:t>
            </w:r>
          </w:p>
        </w:tc>
      </w:tr>
      <w:tr w14:paraId="3F023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29FE0DD0">
            <w:pPr>
              <w:rPr>
                <w:sz w:val="20"/>
                <w:szCs w:val="20"/>
              </w:rPr>
            </w:pPr>
          </w:p>
        </w:tc>
        <w:tc>
          <w:tcPr>
            <w:tcW w:w="1078" w:type="dxa"/>
            <w:noWrap/>
            <w:tcMar>
              <w:top w:w="15" w:type="dxa"/>
              <w:left w:w="15" w:type="dxa"/>
              <w:right w:w="15" w:type="dxa"/>
            </w:tcMar>
          </w:tcPr>
          <w:p w14:paraId="19421446">
            <w:pPr>
              <w:jc w:val="center"/>
              <w:textAlignment w:val="baseline"/>
              <w:rPr>
                <w:rFonts w:ascii="宋体" w:hAnsi="宋体"/>
                <w:sz w:val="24"/>
                <w:szCs w:val="24"/>
              </w:rPr>
            </w:pPr>
            <w:r>
              <w:rPr>
                <w:rFonts w:hint="eastAsia" w:ascii="宋体" w:hAnsi="宋体" w:cs="宋体"/>
                <w:sz w:val="24"/>
                <w:szCs w:val="24"/>
                <w:lang w:bidi="ar"/>
              </w:rPr>
              <w:t>1.07</w:t>
            </w:r>
          </w:p>
        </w:tc>
        <w:tc>
          <w:tcPr>
            <w:tcW w:w="6290" w:type="dxa"/>
            <w:noWrap/>
            <w:tcMar>
              <w:top w:w="15" w:type="dxa"/>
              <w:left w:w="15" w:type="dxa"/>
              <w:right w:w="15" w:type="dxa"/>
            </w:tcMar>
          </w:tcPr>
          <w:p w14:paraId="06EE3A19">
            <w:pPr>
              <w:jc w:val="left"/>
              <w:textAlignment w:val="baseline"/>
              <w:rPr>
                <w:rFonts w:ascii="宋体" w:hAnsi="宋体"/>
                <w:sz w:val="24"/>
                <w:szCs w:val="24"/>
              </w:rPr>
            </w:pPr>
            <w:r>
              <w:rPr>
                <w:rFonts w:hint="eastAsia" w:ascii="宋体" w:hAnsi="宋体" w:cs="宋体"/>
                <w:sz w:val="24"/>
                <w:szCs w:val="24"/>
                <w:lang w:bidi="ar"/>
              </w:rPr>
              <w:t>根据治未病调养方案，通过</w:t>
            </w:r>
            <w:r>
              <w:rPr>
                <w:rFonts w:hint="eastAsia" w:ascii="宋体" w:hAnsi="宋体" w:cs="宋体"/>
                <w:color w:val="000000"/>
                <w:sz w:val="24"/>
                <w:szCs w:val="24"/>
                <w:lang w:bidi="ar"/>
              </w:rPr>
              <w:t>移动端（健康管理小程序）</w:t>
            </w:r>
            <w:r>
              <w:rPr>
                <w:rFonts w:hint="eastAsia" w:ascii="宋体" w:hAnsi="宋体" w:cs="宋体"/>
                <w:sz w:val="24"/>
                <w:szCs w:val="24"/>
                <w:lang w:bidi="ar"/>
              </w:rPr>
              <w:t>与患者产生联动，以实现方案任务的统一化管理。</w:t>
            </w:r>
          </w:p>
        </w:tc>
      </w:tr>
      <w:tr w14:paraId="51B02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490E5B43">
            <w:pPr>
              <w:rPr>
                <w:sz w:val="20"/>
                <w:szCs w:val="20"/>
              </w:rPr>
            </w:pPr>
          </w:p>
        </w:tc>
        <w:tc>
          <w:tcPr>
            <w:tcW w:w="1078" w:type="dxa"/>
            <w:noWrap/>
            <w:tcMar>
              <w:top w:w="15" w:type="dxa"/>
              <w:left w:w="15" w:type="dxa"/>
              <w:right w:w="15" w:type="dxa"/>
            </w:tcMar>
          </w:tcPr>
          <w:p w14:paraId="10C900C4">
            <w:pPr>
              <w:jc w:val="center"/>
              <w:textAlignment w:val="baseline"/>
              <w:rPr>
                <w:rFonts w:ascii="宋体" w:hAnsi="宋体"/>
                <w:sz w:val="24"/>
                <w:szCs w:val="24"/>
              </w:rPr>
            </w:pPr>
            <w:r>
              <w:rPr>
                <w:rFonts w:hint="eastAsia" w:ascii="宋体" w:hAnsi="宋体" w:cs="宋体"/>
                <w:sz w:val="24"/>
                <w:szCs w:val="24"/>
                <w:lang w:bidi="ar"/>
              </w:rPr>
              <w:t>1.08</w:t>
            </w:r>
          </w:p>
        </w:tc>
        <w:tc>
          <w:tcPr>
            <w:tcW w:w="6290" w:type="dxa"/>
            <w:noWrap/>
            <w:tcMar>
              <w:top w:w="15" w:type="dxa"/>
              <w:left w:w="15" w:type="dxa"/>
              <w:right w:w="15" w:type="dxa"/>
            </w:tcMar>
          </w:tcPr>
          <w:p w14:paraId="17A801EF">
            <w:pPr>
              <w:jc w:val="left"/>
              <w:textAlignment w:val="baseline"/>
              <w:rPr>
                <w:rFonts w:ascii="宋体" w:hAnsi="宋体"/>
                <w:sz w:val="24"/>
                <w:szCs w:val="24"/>
              </w:rPr>
            </w:pPr>
            <w:r>
              <w:rPr>
                <w:rFonts w:hint="eastAsia" w:ascii="宋体" w:hAnsi="宋体" w:cs="宋体"/>
                <w:sz w:val="24"/>
                <w:szCs w:val="24"/>
                <w:lang w:bidi="ar"/>
              </w:rPr>
              <w:t>提供基于门诊缴费信息完成治未病科的中医治疗项目的管理功能，实现治未病科治疗服务的电子化管理。</w:t>
            </w:r>
          </w:p>
        </w:tc>
      </w:tr>
      <w:tr w14:paraId="384C2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101E1443">
            <w:pPr>
              <w:rPr>
                <w:sz w:val="20"/>
                <w:szCs w:val="20"/>
              </w:rPr>
            </w:pPr>
          </w:p>
        </w:tc>
        <w:tc>
          <w:tcPr>
            <w:tcW w:w="1078" w:type="dxa"/>
            <w:noWrap/>
            <w:tcMar>
              <w:top w:w="15" w:type="dxa"/>
              <w:left w:w="15" w:type="dxa"/>
              <w:right w:w="15" w:type="dxa"/>
            </w:tcMar>
          </w:tcPr>
          <w:p w14:paraId="44C7EBF1">
            <w:pPr>
              <w:jc w:val="center"/>
              <w:textAlignment w:val="baseline"/>
              <w:rPr>
                <w:rFonts w:ascii="宋体" w:hAnsi="宋体"/>
                <w:sz w:val="24"/>
                <w:szCs w:val="24"/>
              </w:rPr>
            </w:pPr>
            <w:r>
              <w:rPr>
                <w:rFonts w:hint="eastAsia" w:ascii="宋体" w:hAnsi="宋体" w:cs="宋体"/>
                <w:sz w:val="24"/>
                <w:szCs w:val="24"/>
                <w:lang w:bidi="ar"/>
              </w:rPr>
              <w:t>1.09</w:t>
            </w:r>
          </w:p>
        </w:tc>
        <w:tc>
          <w:tcPr>
            <w:tcW w:w="6290" w:type="dxa"/>
            <w:noWrap/>
            <w:tcMar>
              <w:top w:w="15" w:type="dxa"/>
              <w:left w:w="15" w:type="dxa"/>
              <w:right w:w="15" w:type="dxa"/>
            </w:tcMar>
          </w:tcPr>
          <w:p w14:paraId="49EB33D1">
            <w:pPr>
              <w:jc w:val="left"/>
              <w:textAlignment w:val="baseline"/>
              <w:rPr>
                <w:rFonts w:ascii="宋体" w:hAnsi="宋体"/>
                <w:sz w:val="24"/>
                <w:szCs w:val="24"/>
              </w:rPr>
            </w:pPr>
            <w:r>
              <w:rPr>
                <w:rFonts w:hint="eastAsia" w:ascii="宋体" w:hAnsi="宋体" w:cs="宋体"/>
                <w:sz w:val="24"/>
                <w:szCs w:val="24"/>
                <w:lang w:bidi="ar"/>
              </w:rPr>
              <w:t>提供根据患者的标签分类、指定患者或面向全员推送特定量表的功能，并支持导出或查看特定推送量表的数据，实现特定需求的精准数据采集功能。提供量表数据的填写、查看、导出等功能。</w:t>
            </w:r>
          </w:p>
        </w:tc>
      </w:tr>
      <w:tr w14:paraId="4707F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144EB2EC">
            <w:pPr>
              <w:rPr>
                <w:sz w:val="20"/>
                <w:szCs w:val="20"/>
              </w:rPr>
            </w:pPr>
          </w:p>
        </w:tc>
        <w:tc>
          <w:tcPr>
            <w:tcW w:w="1078" w:type="dxa"/>
            <w:noWrap/>
            <w:tcMar>
              <w:top w:w="15" w:type="dxa"/>
              <w:left w:w="15" w:type="dxa"/>
              <w:right w:w="15" w:type="dxa"/>
            </w:tcMar>
          </w:tcPr>
          <w:p w14:paraId="512CFA6E">
            <w:pPr>
              <w:jc w:val="center"/>
              <w:textAlignment w:val="baseline"/>
              <w:rPr>
                <w:rFonts w:ascii="宋体" w:hAnsi="宋体"/>
                <w:sz w:val="24"/>
                <w:szCs w:val="24"/>
              </w:rPr>
            </w:pPr>
            <w:r>
              <w:rPr>
                <w:rFonts w:hint="eastAsia" w:ascii="宋体" w:hAnsi="宋体" w:cs="宋体"/>
                <w:sz w:val="24"/>
                <w:szCs w:val="24"/>
                <w:lang w:bidi="ar"/>
              </w:rPr>
              <w:t>1.10</w:t>
            </w:r>
          </w:p>
        </w:tc>
        <w:tc>
          <w:tcPr>
            <w:tcW w:w="6290" w:type="dxa"/>
            <w:noWrap/>
            <w:tcMar>
              <w:top w:w="15" w:type="dxa"/>
              <w:left w:w="15" w:type="dxa"/>
              <w:right w:w="15" w:type="dxa"/>
            </w:tcMar>
          </w:tcPr>
          <w:p w14:paraId="5440FDD7">
            <w:pPr>
              <w:jc w:val="left"/>
              <w:textAlignment w:val="baseline"/>
              <w:rPr>
                <w:rFonts w:ascii="宋体" w:hAnsi="宋体"/>
                <w:sz w:val="24"/>
                <w:szCs w:val="24"/>
              </w:rPr>
            </w:pPr>
            <w:r>
              <w:rPr>
                <w:rFonts w:hint="eastAsia" w:ascii="宋体" w:hAnsi="宋体" w:cs="宋体"/>
                <w:sz w:val="24"/>
                <w:szCs w:val="24"/>
                <w:lang w:bidi="ar"/>
              </w:rPr>
              <w:t>支持医护人员定期对患者进行阶段性综合评估，生成包含中医测评、实验室检验检查、综合评估、指导建议等在内的综合评估报告，并支持推送到用户移动端。</w:t>
            </w:r>
          </w:p>
        </w:tc>
      </w:tr>
      <w:tr w14:paraId="32EF5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3429BFC0">
            <w:pPr>
              <w:rPr>
                <w:sz w:val="20"/>
                <w:szCs w:val="20"/>
              </w:rPr>
            </w:pPr>
          </w:p>
        </w:tc>
        <w:tc>
          <w:tcPr>
            <w:tcW w:w="1078" w:type="dxa"/>
            <w:noWrap/>
            <w:tcMar>
              <w:top w:w="15" w:type="dxa"/>
              <w:left w:w="15" w:type="dxa"/>
              <w:right w:w="15" w:type="dxa"/>
            </w:tcMar>
          </w:tcPr>
          <w:p w14:paraId="03DEB2B5">
            <w:pPr>
              <w:jc w:val="center"/>
              <w:textAlignment w:val="baseline"/>
              <w:rPr>
                <w:rFonts w:ascii="宋体" w:hAnsi="宋体"/>
                <w:sz w:val="24"/>
                <w:szCs w:val="24"/>
              </w:rPr>
            </w:pPr>
            <w:r>
              <w:rPr>
                <w:rFonts w:hint="eastAsia" w:ascii="宋体" w:hAnsi="宋体" w:cs="宋体"/>
                <w:sz w:val="24"/>
                <w:szCs w:val="24"/>
                <w:lang w:bidi="ar"/>
              </w:rPr>
              <w:t>1.11</w:t>
            </w:r>
          </w:p>
        </w:tc>
        <w:tc>
          <w:tcPr>
            <w:tcW w:w="6290" w:type="dxa"/>
            <w:noWrap/>
            <w:tcMar>
              <w:top w:w="15" w:type="dxa"/>
              <w:left w:w="15" w:type="dxa"/>
              <w:right w:w="15" w:type="dxa"/>
            </w:tcMar>
          </w:tcPr>
          <w:p w14:paraId="44F32EF4">
            <w:pPr>
              <w:jc w:val="left"/>
              <w:textAlignment w:val="baseline"/>
              <w:rPr>
                <w:rFonts w:ascii="宋体" w:hAnsi="宋体"/>
                <w:sz w:val="24"/>
                <w:szCs w:val="24"/>
              </w:rPr>
            </w:pPr>
            <w:r>
              <w:rPr>
                <w:rFonts w:hint="eastAsia" w:ascii="宋体" w:hAnsi="宋体" w:cs="宋体"/>
                <w:sz w:val="24"/>
                <w:szCs w:val="24"/>
                <w:lang w:bidi="ar"/>
              </w:rPr>
              <w:t>根据临床医生自定义的患者日常健康数据收集方案，生成自我健康报告。基于非必选的日常数据反馈，医生可以帮患者主动生成日常自我健康报告并提出健康管理意见，推送给患者。</w:t>
            </w:r>
          </w:p>
        </w:tc>
      </w:tr>
      <w:tr w14:paraId="56CE5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4F9B821B">
            <w:pPr>
              <w:rPr>
                <w:sz w:val="20"/>
                <w:szCs w:val="20"/>
              </w:rPr>
            </w:pPr>
          </w:p>
        </w:tc>
        <w:tc>
          <w:tcPr>
            <w:tcW w:w="1078" w:type="dxa"/>
            <w:noWrap/>
            <w:tcMar>
              <w:top w:w="15" w:type="dxa"/>
              <w:left w:w="15" w:type="dxa"/>
              <w:right w:w="15" w:type="dxa"/>
            </w:tcMar>
          </w:tcPr>
          <w:p w14:paraId="2DFD04B0">
            <w:pPr>
              <w:jc w:val="center"/>
              <w:textAlignment w:val="baseline"/>
              <w:rPr>
                <w:rFonts w:ascii="宋体" w:hAnsi="宋体"/>
                <w:sz w:val="24"/>
                <w:szCs w:val="24"/>
              </w:rPr>
            </w:pPr>
            <w:r>
              <w:rPr>
                <w:rFonts w:hint="eastAsia" w:ascii="宋体" w:hAnsi="宋体" w:cs="宋体"/>
                <w:sz w:val="24"/>
                <w:szCs w:val="24"/>
                <w:lang w:bidi="ar"/>
              </w:rPr>
              <w:t>1.12</w:t>
            </w:r>
          </w:p>
        </w:tc>
        <w:tc>
          <w:tcPr>
            <w:tcW w:w="6290" w:type="dxa"/>
            <w:noWrap/>
            <w:tcMar>
              <w:top w:w="15" w:type="dxa"/>
              <w:left w:w="15" w:type="dxa"/>
              <w:right w:w="15" w:type="dxa"/>
            </w:tcMar>
          </w:tcPr>
          <w:p w14:paraId="15C8864B">
            <w:pPr>
              <w:jc w:val="left"/>
              <w:textAlignment w:val="baseline"/>
              <w:rPr>
                <w:rFonts w:ascii="宋体" w:hAnsi="宋体"/>
                <w:sz w:val="24"/>
                <w:szCs w:val="24"/>
              </w:rPr>
            </w:pPr>
            <w:r>
              <w:rPr>
                <w:rFonts w:hint="eastAsia" w:ascii="宋体" w:hAnsi="宋体" w:cs="宋体"/>
                <w:sz w:val="24"/>
                <w:szCs w:val="24"/>
                <w:lang w:bidi="ar"/>
              </w:rPr>
              <w:t>提供包含问卷量表、功能测评、健康干预、健康宣教等服务项目自有组合的标准化服务包配置管理和对服务包进行标签管理。</w:t>
            </w:r>
          </w:p>
        </w:tc>
      </w:tr>
      <w:tr w14:paraId="2096C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208DBFF2">
            <w:pPr>
              <w:rPr>
                <w:sz w:val="20"/>
                <w:szCs w:val="20"/>
              </w:rPr>
            </w:pPr>
          </w:p>
        </w:tc>
        <w:tc>
          <w:tcPr>
            <w:tcW w:w="1078" w:type="dxa"/>
            <w:noWrap/>
            <w:tcMar>
              <w:top w:w="15" w:type="dxa"/>
              <w:left w:w="15" w:type="dxa"/>
              <w:right w:w="15" w:type="dxa"/>
            </w:tcMar>
          </w:tcPr>
          <w:p w14:paraId="060F91C8">
            <w:pPr>
              <w:jc w:val="center"/>
              <w:textAlignment w:val="baseline"/>
              <w:rPr>
                <w:rFonts w:ascii="宋体" w:hAnsi="宋体"/>
                <w:sz w:val="24"/>
                <w:szCs w:val="24"/>
              </w:rPr>
            </w:pPr>
            <w:r>
              <w:rPr>
                <w:rFonts w:hint="eastAsia" w:ascii="宋体" w:hAnsi="宋体" w:cs="宋体"/>
                <w:sz w:val="24"/>
                <w:szCs w:val="24"/>
                <w:lang w:bidi="ar"/>
              </w:rPr>
              <w:t>1.13</w:t>
            </w:r>
          </w:p>
        </w:tc>
        <w:tc>
          <w:tcPr>
            <w:tcW w:w="6290" w:type="dxa"/>
            <w:noWrap/>
            <w:tcMar>
              <w:top w:w="15" w:type="dxa"/>
              <w:left w:w="15" w:type="dxa"/>
              <w:right w:w="15" w:type="dxa"/>
            </w:tcMar>
          </w:tcPr>
          <w:p w14:paraId="44DCBB47">
            <w:pPr>
              <w:jc w:val="left"/>
              <w:textAlignment w:val="baseline"/>
              <w:rPr>
                <w:rFonts w:ascii="宋体" w:hAnsi="宋体"/>
                <w:sz w:val="24"/>
                <w:szCs w:val="24"/>
              </w:rPr>
            </w:pPr>
            <w:r>
              <w:rPr>
                <w:rFonts w:hint="eastAsia" w:ascii="宋体" w:hAnsi="宋体" w:cs="宋体"/>
                <w:sz w:val="24"/>
                <w:szCs w:val="24"/>
                <w:lang w:bidi="ar"/>
              </w:rPr>
              <w:t>具有治未病特色干预方案（体质调理方案、疲劳人群的健康管理方案、睡眠不良人群的健康管理方案、腰腿不适人群的健康管理方案、血脂偏高状态人群的健康管理方案、易感冒人群的健康管理方案、老年人健康管理方案、0-6岁儿童健康管理方案、孕产妇健康管理方案）。</w:t>
            </w:r>
          </w:p>
        </w:tc>
      </w:tr>
      <w:tr w14:paraId="27C20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5E4470E3">
            <w:pPr>
              <w:rPr>
                <w:sz w:val="20"/>
                <w:szCs w:val="20"/>
              </w:rPr>
            </w:pPr>
          </w:p>
        </w:tc>
        <w:tc>
          <w:tcPr>
            <w:tcW w:w="1078" w:type="dxa"/>
            <w:noWrap/>
            <w:tcMar>
              <w:top w:w="15" w:type="dxa"/>
              <w:left w:w="15" w:type="dxa"/>
              <w:right w:w="15" w:type="dxa"/>
            </w:tcMar>
          </w:tcPr>
          <w:p w14:paraId="673F33D3">
            <w:pPr>
              <w:jc w:val="center"/>
              <w:textAlignment w:val="baseline"/>
              <w:rPr>
                <w:rFonts w:ascii="宋体" w:hAnsi="宋体"/>
                <w:sz w:val="24"/>
                <w:szCs w:val="24"/>
              </w:rPr>
            </w:pPr>
            <w:r>
              <w:rPr>
                <w:rFonts w:hint="eastAsia" w:ascii="宋体" w:hAnsi="宋体" w:cs="宋体"/>
                <w:sz w:val="24"/>
                <w:szCs w:val="24"/>
                <w:lang w:bidi="ar"/>
              </w:rPr>
              <w:t>1.14</w:t>
            </w:r>
          </w:p>
        </w:tc>
        <w:tc>
          <w:tcPr>
            <w:tcW w:w="6290" w:type="dxa"/>
            <w:noWrap/>
            <w:tcMar>
              <w:top w:w="15" w:type="dxa"/>
              <w:left w:w="15" w:type="dxa"/>
              <w:right w:w="15" w:type="dxa"/>
            </w:tcMar>
          </w:tcPr>
          <w:p w14:paraId="1A6541B4">
            <w:pPr>
              <w:jc w:val="left"/>
              <w:textAlignment w:val="baseline"/>
              <w:rPr>
                <w:rFonts w:ascii="宋体" w:hAnsi="宋体"/>
                <w:sz w:val="24"/>
                <w:szCs w:val="24"/>
              </w:rPr>
            </w:pPr>
            <w:r>
              <w:rPr>
                <w:rFonts w:hint="eastAsia" w:ascii="宋体" w:hAnsi="宋体" w:cs="宋体"/>
                <w:sz w:val="24"/>
                <w:szCs w:val="24"/>
                <w:lang w:bidi="ar"/>
              </w:rPr>
              <w:t>具有常见慢性疾病的管理方案。如糖尿病的健康管理方案、高血压的健康管理方案。</w:t>
            </w:r>
          </w:p>
        </w:tc>
      </w:tr>
      <w:tr w14:paraId="6BD17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3F5E6A40">
            <w:pPr>
              <w:rPr>
                <w:sz w:val="20"/>
                <w:szCs w:val="20"/>
              </w:rPr>
            </w:pPr>
          </w:p>
        </w:tc>
        <w:tc>
          <w:tcPr>
            <w:tcW w:w="1078" w:type="dxa"/>
            <w:noWrap/>
            <w:tcMar>
              <w:top w:w="15" w:type="dxa"/>
              <w:left w:w="15" w:type="dxa"/>
              <w:right w:w="15" w:type="dxa"/>
            </w:tcMar>
          </w:tcPr>
          <w:p w14:paraId="6AE79883">
            <w:pPr>
              <w:jc w:val="center"/>
              <w:textAlignment w:val="baseline"/>
              <w:rPr>
                <w:rFonts w:ascii="宋体" w:hAnsi="宋体"/>
                <w:sz w:val="24"/>
                <w:szCs w:val="24"/>
              </w:rPr>
            </w:pPr>
            <w:r>
              <w:rPr>
                <w:rFonts w:hint="eastAsia" w:ascii="宋体" w:hAnsi="宋体" w:cs="宋体"/>
                <w:sz w:val="24"/>
                <w:szCs w:val="24"/>
                <w:lang w:bidi="ar"/>
              </w:rPr>
              <w:t>1.15</w:t>
            </w:r>
          </w:p>
        </w:tc>
        <w:tc>
          <w:tcPr>
            <w:tcW w:w="6290" w:type="dxa"/>
            <w:noWrap/>
            <w:tcMar>
              <w:top w:w="15" w:type="dxa"/>
              <w:left w:w="15" w:type="dxa"/>
              <w:right w:w="15" w:type="dxa"/>
            </w:tcMar>
          </w:tcPr>
          <w:p w14:paraId="6E616F0D">
            <w:pPr>
              <w:jc w:val="left"/>
              <w:textAlignment w:val="baseline"/>
              <w:rPr>
                <w:rFonts w:ascii="宋体" w:hAnsi="宋体"/>
                <w:sz w:val="24"/>
                <w:szCs w:val="24"/>
              </w:rPr>
            </w:pPr>
            <w:r>
              <w:rPr>
                <w:rFonts w:hint="eastAsia" w:ascii="宋体" w:hAnsi="宋体" w:cs="宋体"/>
                <w:sz w:val="24"/>
                <w:szCs w:val="24"/>
                <w:lang w:bidi="ar"/>
              </w:rPr>
              <w:t>提供支持上传图片、音频、视频等健康教育资源，支持宣教可以推送到移动端查看学习。</w:t>
            </w:r>
          </w:p>
        </w:tc>
      </w:tr>
      <w:tr w14:paraId="05036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775D5181">
            <w:pPr>
              <w:rPr>
                <w:sz w:val="20"/>
                <w:szCs w:val="20"/>
              </w:rPr>
            </w:pPr>
          </w:p>
        </w:tc>
        <w:tc>
          <w:tcPr>
            <w:tcW w:w="1078" w:type="dxa"/>
            <w:noWrap/>
            <w:tcMar>
              <w:top w:w="15" w:type="dxa"/>
              <w:left w:w="15" w:type="dxa"/>
              <w:right w:w="15" w:type="dxa"/>
            </w:tcMar>
          </w:tcPr>
          <w:p w14:paraId="697BEE39">
            <w:pPr>
              <w:jc w:val="center"/>
              <w:textAlignment w:val="baseline"/>
              <w:rPr>
                <w:rFonts w:ascii="宋体" w:hAnsi="宋体"/>
                <w:sz w:val="24"/>
                <w:szCs w:val="24"/>
              </w:rPr>
            </w:pPr>
            <w:r>
              <w:rPr>
                <w:rFonts w:hint="eastAsia" w:ascii="宋体" w:hAnsi="宋体" w:cs="宋体"/>
                <w:sz w:val="24"/>
                <w:szCs w:val="24"/>
                <w:lang w:bidi="ar"/>
              </w:rPr>
              <w:t>1.16</w:t>
            </w:r>
          </w:p>
        </w:tc>
        <w:tc>
          <w:tcPr>
            <w:tcW w:w="6290" w:type="dxa"/>
            <w:noWrap/>
            <w:tcMar>
              <w:top w:w="15" w:type="dxa"/>
              <w:left w:w="15" w:type="dxa"/>
              <w:right w:w="15" w:type="dxa"/>
            </w:tcMar>
          </w:tcPr>
          <w:p w14:paraId="6481403B">
            <w:pPr>
              <w:jc w:val="left"/>
              <w:textAlignment w:val="baseline"/>
              <w:rPr>
                <w:rFonts w:ascii="宋体" w:hAnsi="宋体"/>
                <w:sz w:val="24"/>
                <w:szCs w:val="24"/>
              </w:rPr>
            </w:pPr>
            <w:r>
              <w:rPr>
                <w:rFonts w:hint="eastAsia" w:ascii="宋体" w:hAnsi="宋体" w:cs="宋体"/>
                <w:sz w:val="24"/>
                <w:szCs w:val="24"/>
                <w:lang w:bidi="ar"/>
              </w:rPr>
              <w:t>提供支持问卷数据和仪器测评数据的功能测评报告模板的维护管理功能。</w:t>
            </w:r>
          </w:p>
        </w:tc>
      </w:tr>
      <w:tr w14:paraId="7AD28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02504E9C">
            <w:pPr>
              <w:rPr>
                <w:sz w:val="20"/>
                <w:szCs w:val="20"/>
              </w:rPr>
            </w:pPr>
          </w:p>
        </w:tc>
        <w:tc>
          <w:tcPr>
            <w:tcW w:w="1078" w:type="dxa"/>
            <w:noWrap/>
            <w:tcMar>
              <w:top w:w="15" w:type="dxa"/>
              <w:left w:w="15" w:type="dxa"/>
              <w:right w:w="15" w:type="dxa"/>
            </w:tcMar>
          </w:tcPr>
          <w:p w14:paraId="202CF973">
            <w:pPr>
              <w:jc w:val="center"/>
              <w:textAlignment w:val="baseline"/>
              <w:rPr>
                <w:rFonts w:ascii="宋体" w:hAnsi="宋体"/>
                <w:sz w:val="24"/>
                <w:szCs w:val="24"/>
              </w:rPr>
            </w:pPr>
            <w:r>
              <w:rPr>
                <w:rFonts w:hint="eastAsia" w:ascii="宋体" w:hAnsi="宋体" w:cs="宋体"/>
                <w:sz w:val="24"/>
                <w:szCs w:val="24"/>
                <w:lang w:bidi="ar"/>
              </w:rPr>
              <w:t>1.17</w:t>
            </w:r>
          </w:p>
        </w:tc>
        <w:tc>
          <w:tcPr>
            <w:tcW w:w="6290" w:type="dxa"/>
            <w:noWrap/>
            <w:tcMar>
              <w:top w:w="15" w:type="dxa"/>
              <w:left w:w="15" w:type="dxa"/>
              <w:right w:w="15" w:type="dxa"/>
            </w:tcMar>
          </w:tcPr>
          <w:p w14:paraId="318FEB84">
            <w:pPr>
              <w:jc w:val="left"/>
              <w:textAlignment w:val="baseline"/>
              <w:rPr>
                <w:rFonts w:ascii="宋体" w:hAnsi="宋体"/>
                <w:sz w:val="24"/>
                <w:szCs w:val="24"/>
              </w:rPr>
            </w:pPr>
            <w:r>
              <w:rPr>
                <w:rFonts w:hint="eastAsia" w:ascii="宋体" w:hAnsi="宋体" w:cs="宋体"/>
                <w:sz w:val="24"/>
                <w:szCs w:val="24"/>
                <w:lang w:bidi="ar"/>
              </w:rPr>
              <w:t>可基于问卷结果或仪器测评结果来产生对应的饮食、运动等方面的调养建议。提供基于服务方案模式的日常报告模板管理。基于患者日常反馈的数据进行图表报告展示配置。</w:t>
            </w:r>
          </w:p>
        </w:tc>
      </w:tr>
      <w:tr w14:paraId="534CD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13" w:type="dxa"/>
            <w:bottom w:w="113" w:type="dxa"/>
            <w:right w:w="113" w:type="dxa"/>
          </w:tblCellMar>
        </w:tblPrEx>
        <w:trPr>
          <w:trHeight w:val="633" w:hRule="atLeast"/>
          <w:jc w:val="center"/>
        </w:trPr>
        <w:tc>
          <w:tcPr>
            <w:tcW w:w="1089" w:type="dxa"/>
            <w:vMerge w:val="continue"/>
            <w:noWrap/>
            <w:tcMar>
              <w:top w:w="15" w:type="dxa"/>
              <w:left w:w="15" w:type="dxa"/>
              <w:right w:w="15" w:type="dxa"/>
            </w:tcMar>
            <w:vAlign w:val="center"/>
          </w:tcPr>
          <w:p w14:paraId="32C8894F">
            <w:pPr>
              <w:rPr>
                <w:sz w:val="20"/>
                <w:szCs w:val="20"/>
              </w:rPr>
            </w:pPr>
          </w:p>
        </w:tc>
        <w:tc>
          <w:tcPr>
            <w:tcW w:w="1078" w:type="dxa"/>
            <w:noWrap/>
            <w:tcMar>
              <w:top w:w="15" w:type="dxa"/>
              <w:left w:w="15" w:type="dxa"/>
              <w:right w:w="15" w:type="dxa"/>
            </w:tcMar>
          </w:tcPr>
          <w:p w14:paraId="2EA913EE">
            <w:pPr>
              <w:jc w:val="center"/>
              <w:textAlignment w:val="baseline"/>
              <w:rPr>
                <w:rFonts w:ascii="宋体" w:hAnsi="宋体"/>
                <w:sz w:val="24"/>
                <w:szCs w:val="24"/>
              </w:rPr>
            </w:pPr>
            <w:r>
              <w:rPr>
                <w:rFonts w:hint="eastAsia" w:ascii="宋体" w:hAnsi="宋体" w:cs="宋体"/>
                <w:sz w:val="24"/>
                <w:szCs w:val="24"/>
                <w:lang w:bidi="ar"/>
              </w:rPr>
              <w:t>1.18</w:t>
            </w:r>
          </w:p>
        </w:tc>
        <w:tc>
          <w:tcPr>
            <w:tcW w:w="6290" w:type="dxa"/>
            <w:noWrap/>
            <w:tcMar>
              <w:top w:w="15" w:type="dxa"/>
              <w:left w:w="15" w:type="dxa"/>
              <w:right w:w="15" w:type="dxa"/>
            </w:tcMar>
          </w:tcPr>
          <w:p w14:paraId="79000377">
            <w:pPr>
              <w:jc w:val="left"/>
              <w:textAlignment w:val="baseline"/>
              <w:rPr>
                <w:rFonts w:ascii="宋体" w:hAnsi="宋体"/>
                <w:sz w:val="24"/>
                <w:szCs w:val="24"/>
              </w:rPr>
            </w:pPr>
            <w:r>
              <w:rPr>
                <w:rFonts w:hint="eastAsia" w:ascii="宋体" w:hAnsi="宋体" w:cs="宋体"/>
                <w:sz w:val="24"/>
                <w:szCs w:val="24"/>
                <w:lang w:bidi="ar"/>
              </w:rPr>
              <w:t>提供常用的报表功能，支持根据不同的条件对病人信息归类查询和统计、对病人的就诊情况进行记录和统计，并支持统计数据导出。</w:t>
            </w:r>
          </w:p>
        </w:tc>
      </w:tr>
    </w:tbl>
    <w:p w14:paraId="5C798EA0">
      <w:pPr>
        <w:pStyle w:val="3"/>
        <w:numPr>
          <w:ilvl w:val="0"/>
          <w:numId w:val="1"/>
        </w:numPr>
        <w:spacing w:before="326" w:after="163"/>
        <w:rPr>
          <w:rFonts w:ascii="宋体" w:hAnsi="宋体" w:eastAsia="宋体" w:cs="宋体"/>
          <w:color w:val="auto"/>
          <w:sz w:val="28"/>
          <w:szCs w:val="28"/>
        </w:rPr>
      </w:pPr>
      <w:bookmarkStart w:id="1" w:name="_Toc396314058"/>
      <w:bookmarkStart w:id="2" w:name="_Toc56783417"/>
      <w:r>
        <w:rPr>
          <w:rFonts w:hint="eastAsia" w:ascii="宋体" w:hAnsi="宋体" w:eastAsia="宋体" w:cs="宋体"/>
          <w:color w:val="auto"/>
          <w:sz w:val="28"/>
          <w:szCs w:val="28"/>
        </w:rPr>
        <w:t>业务协同需求</w:t>
      </w:r>
      <w:bookmarkEnd w:id="1"/>
      <w:bookmarkEnd w:id="2"/>
    </w:p>
    <w:p w14:paraId="25644396">
      <w:pPr>
        <w:pStyle w:val="7"/>
        <w:spacing w:before="0" w:beforeAutospacing="0" w:after="0" w:afterAutospacing="0"/>
        <w:ind w:firstLine="560" w:firstLineChars="200"/>
        <w:rPr>
          <w:rFonts w:hint="default" w:cs="宋体"/>
          <w:kern w:val="2"/>
          <w:sz w:val="28"/>
          <w:szCs w:val="28"/>
        </w:rPr>
      </w:pPr>
      <w:r>
        <w:rPr>
          <w:rFonts w:cs="宋体"/>
          <w:kern w:val="2"/>
          <w:sz w:val="28"/>
          <w:szCs w:val="28"/>
        </w:rPr>
        <w:t>拟建系统需与院内His系统、集成平台、LIS系统、电子病历系统等无缝对接，同步患者基本信息、诊疗记录、检验检查结果，支撑体质辨识报告的精准生成；与健康管理移动端（小程序）高度整合，实现预约挂号、报告查询、调养方案推送等功能协同，构建 “院内诊疗与院外随访相结合”的一体化中医服务体系。</w:t>
      </w:r>
    </w:p>
    <w:p w14:paraId="003C7743">
      <w:pPr>
        <w:pStyle w:val="3"/>
        <w:numPr>
          <w:ilvl w:val="0"/>
          <w:numId w:val="1"/>
        </w:numPr>
        <w:spacing w:before="326" w:after="163"/>
        <w:rPr>
          <w:rFonts w:ascii="宋体" w:hAnsi="宋体" w:eastAsia="宋体" w:cs="宋体"/>
          <w:color w:val="auto"/>
          <w:sz w:val="28"/>
          <w:szCs w:val="28"/>
        </w:rPr>
      </w:pPr>
      <w:r>
        <w:rPr>
          <w:rFonts w:hint="eastAsia" w:ascii="宋体" w:hAnsi="宋体" w:eastAsia="宋体" w:cs="宋体"/>
          <w:color w:val="auto"/>
          <w:sz w:val="28"/>
          <w:szCs w:val="28"/>
        </w:rPr>
        <w:t>非功能性需求</w:t>
      </w:r>
    </w:p>
    <w:p w14:paraId="30B8BC5E">
      <w:pPr>
        <w:pStyle w:val="7"/>
        <w:spacing w:before="0" w:beforeAutospacing="0" w:after="0" w:afterAutospacing="0"/>
        <w:ind w:firstLine="482"/>
        <w:rPr>
          <w:rFonts w:hint="default" w:cs="宋体"/>
          <w:kern w:val="2"/>
          <w:sz w:val="28"/>
          <w:szCs w:val="28"/>
        </w:rPr>
      </w:pPr>
      <w:r>
        <w:rPr>
          <w:rFonts w:cs="宋体"/>
          <w:kern w:val="2"/>
          <w:sz w:val="28"/>
          <w:szCs w:val="28"/>
        </w:rPr>
        <w:t>（一）总体要求</w:t>
      </w:r>
    </w:p>
    <w:p w14:paraId="72D7AF37">
      <w:pPr>
        <w:pStyle w:val="7"/>
        <w:spacing w:before="0" w:beforeAutospacing="0" w:after="0" w:afterAutospacing="0"/>
        <w:ind w:firstLine="482"/>
        <w:rPr>
          <w:rFonts w:hint="default" w:cs="宋体"/>
          <w:sz w:val="28"/>
          <w:szCs w:val="28"/>
        </w:rPr>
      </w:pPr>
      <w:r>
        <w:rPr>
          <w:rFonts w:cs="宋体"/>
          <w:kern w:val="2"/>
          <w:sz w:val="28"/>
          <w:szCs w:val="28"/>
        </w:rPr>
        <w:t>供应商系统须采用成熟、稳定的技术架构，符合国家及医疗卫生行业相关标准规范，具备良好的可扩展性、可维护性和安全性。系统须支持B/S架构或云原生架构，支持浏览器访问，数据库须支持MySQL、Oracle或SQL Server等主流关系型数据库。</w:t>
      </w:r>
    </w:p>
    <w:p w14:paraId="256B9A96">
      <w:pPr>
        <w:pStyle w:val="7"/>
        <w:spacing w:before="0" w:beforeAutospacing="0" w:after="0" w:afterAutospacing="0"/>
        <w:ind w:firstLine="482"/>
        <w:rPr>
          <w:rFonts w:hint="default" w:cs="宋体"/>
          <w:sz w:val="28"/>
          <w:szCs w:val="28"/>
        </w:rPr>
      </w:pPr>
      <w:r>
        <w:rPr>
          <w:rFonts w:cs="宋体"/>
          <w:kern w:val="2"/>
          <w:sz w:val="28"/>
          <w:szCs w:val="28"/>
        </w:rPr>
        <w:t>（二）性能要求</w:t>
      </w:r>
    </w:p>
    <w:p w14:paraId="622939B6">
      <w:pPr>
        <w:pStyle w:val="7"/>
        <w:spacing w:before="0" w:beforeAutospacing="0" w:after="0" w:afterAutospacing="0"/>
        <w:ind w:firstLine="482"/>
        <w:rPr>
          <w:rFonts w:hint="default" w:cs="宋体"/>
          <w:kern w:val="2"/>
          <w:sz w:val="28"/>
          <w:szCs w:val="28"/>
        </w:rPr>
      </w:pPr>
      <w:r>
        <w:rPr>
          <w:rFonts w:cs="宋体"/>
          <w:kern w:val="2"/>
          <w:sz w:val="28"/>
          <w:szCs w:val="28"/>
        </w:rPr>
        <w:t>并发性能：系统并发用户数不低于100，高峰期系统响应性能不得明显下降。</w:t>
      </w:r>
    </w:p>
    <w:p w14:paraId="490258AA">
      <w:pPr>
        <w:pStyle w:val="7"/>
        <w:spacing w:before="0" w:beforeAutospacing="0" w:after="0" w:afterAutospacing="0"/>
        <w:ind w:firstLine="482"/>
        <w:rPr>
          <w:rFonts w:hint="default" w:cs="宋体"/>
          <w:kern w:val="2"/>
          <w:sz w:val="28"/>
          <w:szCs w:val="28"/>
        </w:rPr>
      </w:pPr>
      <w:r>
        <w:rPr>
          <w:rFonts w:cs="宋体"/>
          <w:kern w:val="2"/>
          <w:sz w:val="28"/>
          <w:szCs w:val="28"/>
        </w:rPr>
        <w:t>响应时间：简单页面查询响应时间不超过5秒，数据导入导出操作须在合理时间内完成。</w:t>
      </w:r>
    </w:p>
    <w:p w14:paraId="5D27C874">
      <w:pPr>
        <w:pStyle w:val="7"/>
        <w:spacing w:before="0" w:beforeAutospacing="0" w:after="0" w:afterAutospacing="0"/>
        <w:ind w:firstLine="482"/>
        <w:rPr>
          <w:rFonts w:hint="default" w:cs="宋体"/>
          <w:kern w:val="2"/>
          <w:sz w:val="28"/>
          <w:szCs w:val="28"/>
        </w:rPr>
      </w:pPr>
      <w:r>
        <w:rPr>
          <w:rFonts w:cs="宋体"/>
          <w:kern w:val="2"/>
          <w:sz w:val="28"/>
          <w:szCs w:val="28"/>
        </w:rPr>
        <w:t>系统可用性：系统可用性支持7×24小时连续运行。</w:t>
      </w:r>
    </w:p>
    <w:p w14:paraId="79D916A7">
      <w:pPr>
        <w:pStyle w:val="7"/>
        <w:spacing w:before="0" w:beforeAutospacing="0" w:after="0" w:afterAutospacing="0"/>
        <w:ind w:firstLine="482"/>
        <w:rPr>
          <w:rFonts w:hint="default" w:cs="宋体"/>
          <w:kern w:val="2"/>
          <w:sz w:val="28"/>
          <w:szCs w:val="28"/>
        </w:rPr>
      </w:pPr>
      <w:r>
        <w:rPr>
          <w:rFonts w:cs="宋体"/>
          <w:kern w:val="2"/>
          <w:sz w:val="28"/>
          <w:szCs w:val="28"/>
        </w:rPr>
        <w:t>（三）安全要求</w:t>
      </w:r>
    </w:p>
    <w:p w14:paraId="67E76B65">
      <w:pPr>
        <w:pStyle w:val="7"/>
        <w:spacing w:before="0" w:beforeAutospacing="0" w:after="0" w:afterAutospacing="0"/>
        <w:ind w:firstLine="482"/>
        <w:rPr>
          <w:rFonts w:hint="default" w:cs="宋体"/>
          <w:kern w:val="2"/>
          <w:sz w:val="28"/>
          <w:szCs w:val="28"/>
        </w:rPr>
      </w:pPr>
      <w:r>
        <w:rPr>
          <w:rFonts w:cs="宋体"/>
          <w:kern w:val="2"/>
          <w:sz w:val="28"/>
          <w:szCs w:val="28"/>
        </w:rPr>
        <w:t>等级保护：系统安全设计须符合《网络安全法》《数据安全法》《个人信息保护法》及医疗卫生行业相关安全规范。</w:t>
      </w:r>
    </w:p>
    <w:p w14:paraId="43F90BF8">
      <w:pPr>
        <w:pStyle w:val="7"/>
        <w:spacing w:before="0" w:beforeAutospacing="0" w:after="0" w:afterAutospacing="0"/>
        <w:ind w:firstLine="482"/>
        <w:rPr>
          <w:rFonts w:hint="default" w:cs="宋体"/>
          <w:kern w:val="2"/>
          <w:sz w:val="28"/>
          <w:szCs w:val="28"/>
        </w:rPr>
      </w:pPr>
      <w:r>
        <w:rPr>
          <w:rFonts w:cs="宋体"/>
          <w:kern w:val="2"/>
          <w:sz w:val="28"/>
          <w:szCs w:val="28"/>
        </w:rPr>
        <w:t>数据安全：患者隐私数据敏感操作须留痕审计。系统须具备完善的数据访问控制机制，确保患者数据仅对授权人员可见。</w:t>
      </w:r>
    </w:p>
    <w:p w14:paraId="1F3ABA9F">
      <w:pPr>
        <w:pStyle w:val="7"/>
        <w:spacing w:before="0" w:beforeAutospacing="0" w:after="0" w:afterAutospacing="0"/>
        <w:ind w:firstLine="482"/>
        <w:rPr>
          <w:rFonts w:hint="default" w:cs="宋体"/>
          <w:kern w:val="2"/>
          <w:sz w:val="28"/>
          <w:szCs w:val="28"/>
        </w:rPr>
      </w:pPr>
      <w:r>
        <w:rPr>
          <w:rFonts w:cs="宋体"/>
          <w:kern w:val="2"/>
          <w:sz w:val="28"/>
          <w:szCs w:val="28"/>
        </w:rPr>
        <w:t>传输安全：系统与外部互联网的数据交互均须经过SSL加密，确保数据在网络传输过程中不会被截取及窃听。接口调用须采用身份认证和加密传输机制。</w:t>
      </w:r>
    </w:p>
    <w:p w14:paraId="2377264B">
      <w:pPr>
        <w:pStyle w:val="7"/>
        <w:spacing w:before="0" w:beforeAutospacing="0" w:after="0" w:afterAutospacing="0"/>
        <w:ind w:firstLine="482"/>
        <w:rPr>
          <w:rFonts w:hint="default" w:cs="宋体"/>
          <w:kern w:val="2"/>
          <w:sz w:val="28"/>
          <w:szCs w:val="28"/>
        </w:rPr>
      </w:pPr>
      <w:r>
        <w:rPr>
          <w:rFonts w:cs="宋体"/>
          <w:kern w:val="2"/>
          <w:sz w:val="28"/>
          <w:szCs w:val="28"/>
        </w:rPr>
        <w:t>部署安全：系统部署在内部服务器，所有系统产生的数据都存储在服务器，严格按照采购人安全标准执行，不得将患者数据传输或存储于供应商外部服务器。</w:t>
      </w:r>
    </w:p>
    <w:p w14:paraId="0717829F">
      <w:pPr>
        <w:pStyle w:val="7"/>
        <w:spacing w:before="0" w:beforeAutospacing="0" w:after="0" w:afterAutospacing="0"/>
        <w:ind w:firstLine="482"/>
        <w:rPr>
          <w:rFonts w:hint="default" w:cs="宋体"/>
          <w:kern w:val="2"/>
          <w:sz w:val="28"/>
          <w:szCs w:val="28"/>
        </w:rPr>
      </w:pPr>
      <w:r>
        <w:rPr>
          <w:rFonts w:cs="宋体"/>
          <w:kern w:val="2"/>
          <w:sz w:val="28"/>
          <w:szCs w:val="28"/>
        </w:rPr>
        <w:t>网络安全：配合采购人完成DMZ区和互联网防火墙策略配置，系统与互联网相关的服务交互均在防火墙中配置安全策略，非指定的服务域名和端口无法访问系统服务；医院DMZ区和内网之间启用防火墙，各服务器间的访问均配置访问权限和端口，非指定IP和端口无法访问。严格限制映射出互联网的端口并做好网络安全审计。</w:t>
      </w:r>
    </w:p>
    <w:p w14:paraId="37C4550E">
      <w:pPr>
        <w:pStyle w:val="7"/>
        <w:spacing w:before="0" w:beforeAutospacing="0" w:after="0" w:afterAutospacing="0"/>
        <w:ind w:firstLine="482"/>
        <w:rPr>
          <w:rFonts w:hint="default" w:cs="宋体"/>
          <w:kern w:val="2"/>
          <w:sz w:val="28"/>
          <w:szCs w:val="28"/>
        </w:rPr>
      </w:pPr>
      <w:r>
        <w:rPr>
          <w:rFonts w:cs="宋体"/>
          <w:kern w:val="2"/>
          <w:sz w:val="28"/>
          <w:szCs w:val="28"/>
        </w:rPr>
        <w:t>（四）可靠性要求</w:t>
      </w:r>
    </w:p>
    <w:p w14:paraId="156D41EA">
      <w:pPr>
        <w:pStyle w:val="7"/>
        <w:spacing w:before="0" w:beforeAutospacing="0" w:after="0" w:afterAutospacing="0"/>
        <w:ind w:firstLine="482"/>
        <w:rPr>
          <w:rFonts w:hint="default" w:cs="宋体"/>
          <w:kern w:val="2"/>
          <w:sz w:val="28"/>
          <w:szCs w:val="28"/>
        </w:rPr>
      </w:pPr>
      <w:r>
        <w:rPr>
          <w:rFonts w:cs="宋体"/>
          <w:kern w:val="2"/>
          <w:sz w:val="28"/>
          <w:szCs w:val="28"/>
        </w:rPr>
        <w:t>数据备份：提供自动数据备份机制，支持全量备份和实时增量备份，备份数据可恢复性须经过验证，支持按时间点恢复。</w:t>
      </w:r>
    </w:p>
    <w:p w14:paraId="1C77EB1F">
      <w:pPr>
        <w:pStyle w:val="7"/>
        <w:spacing w:before="0" w:beforeAutospacing="0" w:after="0" w:afterAutospacing="0"/>
        <w:ind w:firstLine="482"/>
        <w:rPr>
          <w:rFonts w:hint="default" w:cs="宋体"/>
          <w:kern w:val="2"/>
          <w:sz w:val="28"/>
          <w:szCs w:val="28"/>
        </w:rPr>
      </w:pPr>
      <w:r>
        <w:rPr>
          <w:rFonts w:cs="宋体"/>
          <w:kern w:val="2"/>
          <w:sz w:val="28"/>
          <w:szCs w:val="28"/>
        </w:rPr>
        <w:t>故障恢复：系统须具备故障自动检测和告警能力，单个组件故障不得影响整体系统运行，系统须支持自动或手动故障切换。</w:t>
      </w:r>
    </w:p>
    <w:p w14:paraId="10AF8483">
      <w:pPr>
        <w:pStyle w:val="7"/>
        <w:spacing w:before="0" w:beforeAutospacing="0" w:after="0" w:afterAutospacing="0"/>
        <w:ind w:firstLine="482"/>
        <w:rPr>
          <w:rFonts w:hint="default" w:cs="宋体"/>
          <w:kern w:val="2"/>
          <w:sz w:val="28"/>
          <w:szCs w:val="28"/>
        </w:rPr>
      </w:pPr>
      <w:r>
        <w:rPr>
          <w:rFonts w:cs="宋体"/>
          <w:kern w:val="2"/>
          <w:sz w:val="28"/>
          <w:szCs w:val="28"/>
        </w:rPr>
        <w:t>（五）兼容性要求</w:t>
      </w:r>
    </w:p>
    <w:p w14:paraId="6665244B">
      <w:pPr>
        <w:pStyle w:val="7"/>
        <w:spacing w:before="0" w:beforeAutospacing="0" w:after="0" w:afterAutospacing="0"/>
        <w:ind w:firstLine="482"/>
        <w:rPr>
          <w:rFonts w:hint="default" w:cs="宋体"/>
          <w:kern w:val="2"/>
          <w:sz w:val="28"/>
          <w:szCs w:val="28"/>
        </w:rPr>
      </w:pPr>
      <w:r>
        <w:rPr>
          <w:rFonts w:cs="宋体"/>
          <w:kern w:val="2"/>
          <w:sz w:val="28"/>
          <w:szCs w:val="28"/>
        </w:rPr>
        <w:t>浏览器兼容：支持主流浏览器的访问，确保页面布局正常、功能完整。</w:t>
      </w:r>
    </w:p>
    <w:p w14:paraId="47FE3CF5">
      <w:pPr>
        <w:pStyle w:val="7"/>
        <w:spacing w:before="0" w:beforeAutospacing="0" w:after="0" w:afterAutospacing="0"/>
        <w:ind w:firstLine="482"/>
        <w:rPr>
          <w:rFonts w:hint="default" w:cs="宋体"/>
          <w:kern w:val="2"/>
          <w:sz w:val="28"/>
          <w:szCs w:val="28"/>
        </w:rPr>
      </w:pPr>
      <w:r>
        <w:rPr>
          <w:rFonts w:cs="宋体"/>
          <w:kern w:val="2"/>
          <w:sz w:val="28"/>
          <w:szCs w:val="28"/>
        </w:rPr>
        <w:t>移动端适配：支持微信内置浏览器访问，适配不同分辨率屏幕，确保微信小程序运行流畅。</w:t>
      </w:r>
    </w:p>
    <w:p w14:paraId="174A659D">
      <w:pPr>
        <w:pStyle w:val="7"/>
        <w:spacing w:before="0" w:beforeAutospacing="0" w:after="0" w:afterAutospacing="0"/>
        <w:ind w:firstLine="482"/>
        <w:rPr>
          <w:rFonts w:hint="default" w:cs="宋体"/>
          <w:kern w:val="2"/>
          <w:sz w:val="28"/>
          <w:szCs w:val="28"/>
        </w:rPr>
      </w:pPr>
      <w:r>
        <w:rPr>
          <w:rFonts w:cs="宋体"/>
          <w:kern w:val="2"/>
          <w:sz w:val="28"/>
          <w:szCs w:val="28"/>
        </w:rPr>
        <w:t>（六）交付与实施要求</w:t>
      </w:r>
    </w:p>
    <w:p w14:paraId="70BD42ED">
      <w:pPr>
        <w:pStyle w:val="7"/>
        <w:spacing w:before="0" w:beforeAutospacing="0" w:after="0" w:afterAutospacing="0"/>
        <w:ind w:firstLine="482"/>
        <w:rPr>
          <w:rFonts w:hint="default" w:cs="宋体"/>
          <w:kern w:val="2"/>
          <w:sz w:val="28"/>
          <w:szCs w:val="28"/>
        </w:rPr>
      </w:pPr>
      <w:r>
        <w:rPr>
          <w:rFonts w:cs="宋体"/>
          <w:kern w:val="2"/>
          <w:sz w:val="28"/>
          <w:szCs w:val="28"/>
        </w:rPr>
        <w:t>交付时间：合同签订后90日内完成系统开发、测试、部署及上线运行。</w:t>
      </w:r>
    </w:p>
    <w:p w14:paraId="2A4EA279">
      <w:pPr>
        <w:pStyle w:val="7"/>
        <w:spacing w:before="0" w:beforeAutospacing="0" w:after="0" w:afterAutospacing="0"/>
        <w:ind w:firstLine="482"/>
        <w:rPr>
          <w:rFonts w:hint="default" w:cs="宋体"/>
          <w:kern w:val="2"/>
          <w:sz w:val="28"/>
          <w:szCs w:val="28"/>
        </w:rPr>
      </w:pPr>
      <w:r>
        <w:rPr>
          <w:rFonts w:cs="宋体"/>
          <w:kern w:val="2"/>
          <w:sz w:val="28"/>
          <w:szCs w:val="28"/>
        </w:rPr>
        <w:t>交付物：须提供完整的系统安装介质、源代码（如涉及定制开发）、技术文档（包括需求规格说明书、系统设计说明书、数据库设计说明书、接口文档、测试报告、用户操作手册、系统维护手册等）。</w:t>
      </w:r>
    </w:p>
    <w:p w14:paraId="40D2E577">
      <w:pPr>
        <w:pStyle w:val="7"/>
        <w:spacing w:before="0" w:beforeAutospacing="0" w:after="0" w:afterAutospacing="0"/>
        <w:ind w:firstLine="482"/>
        <w:rPr>
          <w:rFonts w:hint="default" w:cs="宋体"/>
          <w:kern w:val="2"/>
          <w:sz w:val="28"/>
          <w:szCs w:val="28"/>
        </w:rPr>
      </w:pPr>
      <w:r>
        <w:rPr>
          <w:rFonts w:cs="宋体"/>
          <w:kern w:val="2"/>
          <w:sz w:val="28"/>
          <w:szCs w:val="28"/>
        </w:rPr>
        <w:t>试运行：系统上线后进入试运行期，试运行期为3个月。试运行期间，供应商须免费提供技术支持，及时修复系统缺陷。试运行期满且系统稳定运行后，方可进行项目验收。</w:t>
      </w:r>
    </w:p>
    <w:p w14:paraId="50DA5648">
      <w:pPr>
        <w:pStyle w:val="7"/>
        <w:spacing w:before="0" w:beforeAutospacing="0" w:after="0" w:afterAutospacing="0"/>
        <w:ind w:firstLine="482"/>
        <w:rPr>
          <w:rFonts w:hint="default" w:cs="宋体"/>
          <w:kern w:val="2"/>
          <w:sz w:val="28"/>
          <w:szCs w:val="28"/>
        </w:rPr>
      </w:pPr>
      <w:r>
        <w:rPr>
          <w:rFonts w:cs="宋体"/>
          <w:kern w:val="2"/>
          <w:sz w:val="28"/>
          <w:szCs w:val="28"/>
        </w:rPr>
        <w:t>（七）售后服务要求</w:t>
      </w:r>
    </w:p>
    <w:p w14:paraId="5A10768F">
      <w:pPr>
        <w:pStyle w:val="7"/>
        <w:spacing w:before="0" w:beforeAutospacing="0" w:after="0" w:afterAutospacing="0"/>
        <w:ind w:firstLine="482"/>
        <w:rPr>
          <w:rFonts w:hint="default" w:cs="宋体"/>
          <w:color w:val="000000"/>
          <w:kern w:val="2"/>
          <w:sz w:val="28"/>
          <w:szCs w:val="28"/>
        </w:rPr>
      </w:pPr>
      <w:r>
        <w:rPr>
          <w:rFonts w:cs="宋体"/>
          <w:color w:val="000000"/>
          <w:kern w:val="2"/>
          <w:sz w:val="28"/>
          <w:szCs w:val="28"/>
        </w:rPr>
        <w:t>质保期限：软件提供至少三年的质保期，硬件项目提供至少三年的质保期，自项目验收通过之日起计算。质保期内免费提供系统</w:t>
      </w:r>
      <w:r>
        <w:rPr>
          <w:rFonts w:hint="eastAsia" w:cs="宋体"/>
          <w:color w:val="000000"/>
          <w:kern w:val="2"/>
          <w:sz w:val="28"/>
          <w:szCs w:val="28"/>
          <w:lang w:val="en-US" w:eastAsia="zh-CN"/>
        </w:rPr>
        <w:t>巡检、范围内</w:t>
      </w:r>
      <w:r>
        <w:rPr>
          <w:rFonts w:cs="宋体"/>
          <w:color w:val="000000"/>
          <w:kern w:val="2"/>
          <w:sz w:val="28"/>
          <w:szCs w:val="28"/>
        </w:rPr>
        <w:t>功能优化、使用指导、技术咨询。</w:t>
      </w:r>
    </w:p>
    <w:p w14:paraId="1C90223E">
      <w:pPr>
        <w:pStyle w:val="7"/>
        <w:spacing w:before="0" w:beforeAutospacing="0" w:after="0" w:afterAutospacing="0"/>
        <w:ind w:firstLine="482"/>
        <w:rPr>
          <w:rFonts w:hint="default" w:cs="宋体"/>
          <w:color w:val="000000"/>
          <w:kern w:val="2"/>
          <w:sz w:val="28"/>
          <w:szCs w:val="28"/>
        </w:rPr>
      </w:pPr>
      <w:r>
        <w:rPr>
          <w:rFonts w:cs="宋体"/>
          <w:color w:val="000000"/>
          <w:kern w:val="2"/>
          <w:sz w:val="28"/>
          <w:szCs w:val="28"/>
        </w:rPr>
        <w:t>技术支持服务：提供</w:t>
      </w:r>
      <w:r>
        <w:rPr>
          <w:rFonts w:hint="default" w:cs="宋体"/>
          <w:color w:val="000000"/>
          <w:kern w:val="2"/>
          <w:sz w:val="28"/>
          <w:szCs w:val="28"/>
        </w:rPr>
        <w:t>7×24</w:t>
      </w:r>
      <w:r>
        <w:rPr>
          <w:rFonts w:cs="宋体"/>
          <w:color w:val="000000"/>
          <w:kern w:val="2"/>
          <w:sz w:val="28"/>
          <w:szCs w:val="28"/>
        </w:rPr>
        <w:t>小时技术支持和服务，</w:t>
      </w:r>
      <w:r>
        <w:rPr>
          <w:rFonts w:hint="default" w:cs="宋体"/>
          <w:color w:val="000000"/>
          <w:kern w:val="2"/>
          <w:sz w:val="28"/>
          <w:szCs w:val="28"/>
        </w:rPr>
        <w:t>1</w:t>
      </w:r>
      <w:r>
        <w:rPr>
          <w:rFonts w:cs="宋体"/>
          <w:color w:val="000000"/>
          <w:kern w:val="2"/>
          <w:sz w:val="28"/>
          <w:szCs w:val="28"/>
        </w:rPr>
        <w:t>小时内作出实质性响应，对重大问题提供现场技术支持，4 个小时内远程解决，4 个小时内远程无法解决的，工程师应在12 小时内到达现场并排除故障。</w:t>
      </w:r>
    </w:p>
    <w:p w14:paraId="59F2B9C2">
      <w:pPr>
        <w:pStyle w:val="7"/>
        <w:spacing w:before="0" w:beforeAutospacing="0" w:after="0" w:afterAutospacing="0"/>
        <w:ind w:firstLine="482"/>
        <w:rPr>
          <w:rFonts w:hint="default" w:cs="宋体"/>
          <w:kern w:val="2"/>
          <w:sz w:val="28"/>
          <w:szCs w:val="28"/>
        </w:rPr>
      </w:pPr>
      <w:r>
        <w:rPr>
          <w:rFonts w:cs="宋体"/>
          <w:kern w:val="2"/>
          <w:sz w:val="28"/>
          <w:szCs w:val="28"/>
        </w:rPr>
        <w:t>上门服务：质保期内提供软件的提供上门保修服务，包括系统巡检、故障修复、性能调优等。</w:t>
      </w:r>
    </w:p>
    <w:p w14:paraId="6B749237">
      <w:pPr>
        <w:pStyle w:val="7"/>
        <w:spacing w:before="0" w:beforeAutospacing="0" w:after="0" w:afterAutospacing="0"/>
        <w:ind w:firstLine="482"/>
        <w:rPr>
          <w:rFonts w:hint="default" w:cs="宋体"/>
          <w:kern w:val="2"/>
          <w:sz w:val="28"/>
          <w:szCs w:val="28"/>
        </w:rPr>
      </w:pPr>
      <w:r>
        <w:rPr>
          <w:rFonts w:cs="宋体"/>
          <w:kern w:val="2"/>
          <w:sz w:val="28"/>
          <w:szCs w:val="28"/>
        </w:rPr>
        <w:t>远程支持：技术人员须进入采购人指定的各类QQ群、微信群，及时在群里解答相关人员的问题，提供远程技术支持，响应时间不超过30分钟。</w:t>
      </w:r>
    </w:p>
    <w:p w14:paraId="38A6055A">
      <w:pPr>
        <w:pStyle w:val="7"/>
        <w:spacing w:before="0" w:beforeAutospacing="0" w:after="0" w:afterAutospacing="0"/>
        <w:ind w:firstLine="482"/>
        <w:rPr>
          <w:rFonts w:hint="default" w:cs="宋体"/>
          <w:sz w:val="28"/>
          <w:szCs w:val="28"/>
        </w:rPr>
      </w:pPr>
      <w:r>
        <w:rPr>
          <w:rFonts w:cs="宋体"/>
          <w:kern w:val="2"/>
          <w:sz w:val="28"/>
          <w:szCs w:val="28"/>
        </w:rPr>
        <w:t>维保内容：质保期内包括系统缺陷修复、性能优化、安全补丁更新、功能微调等，不收取额外费用。质保期内因系统缺陷导致的数据丢失或错误，供应商须负责恢复并承担相应责任。</w:t>
      </w:r>
    </w:p>
    <w:p w14:paraId="65F08BD7">
      <w:pPr>
        <w:spacing w:before="81" w:after="81"/>
        <w:ind w:firstLine="480"/>
        <w:rPr>
          <w:rFonts w:ascii="宋体" w:hAnsi="宋体" w:cs="宋体"/>
          <w:sz w:val="28"/>
          <w:szCs w:val="28"/>
        </w:rPr>
      </w:pPr>
    </w:p>
    <w:p w14:paraId="0B665F61">
      <w:pPr>
        <w:pStyle w:val="7"/>
        <w:spacing w:before="0" w:beforeAutospacing="0" w:after="0" w:afterAutospacing="0"/>
        <w:ind w:firstLine="482"/>
        <w:rPr>
          <w:rFonts w:hint="default" w:cs="宋体"/>
          <w:sz w:val="28"/>
          <w:szCs w:val="28"/>
        </w:rPr>
      </w:pPr>
    </w:p>
    <w:sectPr>
      <w:footerReference r:id="rId3" w:type="default"/>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8BFA5">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04ED18D">
                          <w:pPr>
                            <w:pStyle w:val="5"/>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5</w:t>
                          </w:r>
                          <w:r>
                            <w:rPr>
                              <w:rFonts w:ascii="宋体" w:hAnsi="宋体"/>
                              <w:sz w:val="28"/>
                              <w:szCs w:val="28"/>
                            </w:rPr>
                            <w:fldChar w:fldCharType="end"/>
                          </w:r>
                          <w:r>
                            <w:rPr>
                              <w:rFonts w:hint="eastAsia" w:ascii="宋体" w:hAnsi="宋体"/>
                              <w:sz w:val="28"/>
                              <w:szCs w:val="28"/>
                            </w:rPr>
                            <w:t>-</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6pebnPAAAABQEAAA8AAAAAAAAAAQAgAAAA&#10;IgAAAGRycy9kb3ducmV2LnhtbFBLAQIUABQAAAAIAIdO4kBWX8aH2wEAAMADAAAOAAAAAAAAAAEA&#10;IAAAAB4BAABkcnMvZTJvRG9jLnhtbFBLBQYAAAAABgAGAFkBAABrBQAAAAA=&#10;">
              <v:fill on="f" focussize="0,0"/>
              <v:stroke on="f"/>
              <v:imagedata o:title=""/>
              <o:lock v:ext="edit" aspectratio="f"/>
              <v:textbox inset="0mm,0mm,0mm,0mm" style="mso-fit-shape-to-text:t;">
                <w:txbxContent>
                  <w:p w14:paraId="504ED18D">
                    <w:pPr>
                      <w:pStyle w:val="5"/>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5</w:t>
                    </w:r>
                    <w:r>
                      <w:rPr>
                        <w:rFonts w:ascii="宋体" w:hAnsi="宋体"/>
                        <w:sz w:val="28"/>
                        <w:szCs w:val="28"/>
                      </w:rPr>
                      <w:fldChar w:fldCharType="end"/>
                    </w:r>
                    <w:r>
                      <w:rPr>
                        <w:rFonts w:hint="eastAsia" w:ascii="宋体" w:hAnsi="宋体"/>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A5F22"/>
    <w:multiLevelType w:val="singleLevel"/>
    <w:tmpl w:val="144A5F22"/>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56B"/>
    <w:rsid w:val="0069791D"/>
    <w:rsid w:val="00A42DB3"/>
    <w:rsid w:val="00B8656B"/>
    <w:rsid w:val="00CC76B4"/>
    <w:rsid w:val="00EA4889"/>
    <w:rsid w:val="064F1EE6"/>
    <w:rsid w:val="07904DCE"/>
    <w:rsid w:val="08434557"/>
    <w:rsid w:val="114B1BB8"/>
    <w:rsid w:val="12BD1FA4"/>
    <w:rsid w:val="1EB3C35F"/>
    <w:rsid w:val="1F0429EF"/>
    <w:rsid w:val="25DBA48F"/>
    <w:rsid w:val="27DD6593"/>
    <w:rsid w:val="2E516CA5"/>
    <w:rsid w:val="2EF9AD4C"/>
    <w:rsid w:val="31180CBC"/>
    <w:rsid w:val="314D19A6"/>
    <w:rsid w:val="36091310"/>
    <w:rsid w:val="367FCDE6"/>
    <w:rsid w:val="387C017B"/>
    <w:rsid w:val="38BE0D57"/>
    <w:rsid w:val="390037A2"/>
    <w:rsid w:val="3B5C31EF"/>
    <w:rsid w:val="3D6B0064"/>
    <w:rsid w:val="3D7E186D"/>
    <w:rsid w:val="457A48DC"/>
    <w:rsid w:val="46C6725C"/>
    <w:rsid w:val="48B97A05"/>
    <w:rsid w:val="4ECC4D0F"/>
    <w:rsid w:val="50520CA1"/>
    <w:rsid w:val="545974F0"/>
    <w:rsid w:val="57C94935"/>
    <w:rsid w:val="59B854D7"/>
    <w:rsid w:val="5DDB2AF8"/>
    <w:rsid w:val="5FFF9532"/>
    <w:rsid w:val="603D5FA3"/>
    <w:rsid w:val="62844CBB"/>
    <w:rsid w:val="67EF53C7"/>
    <w:rsid w:val="68350CE4"/>
    <w:rsid w:val="6D826E65"/>
    <w:rsid w:val="6E277CA1"/>
    <w:rsid w:val="72E617F0"/>
    <w:rsid w:val="77F98BEE"/>
    <w:rsid w:val="7AF76314"/>
    <w:rsid w:val="7BDFBF86"/>
    <w:rsid w:val="7C4E7A2E"/>
    <w:rsid w:val="7CCD09A2"/>
    <w:rsid w:val="7CEFF676"/>
    <w:rsid w:val="7F4F89E4"/>
    <w:rsid w:val="7F5BB7B5"/>
    <w:rsid w:val="7F7BFAE6"/>
    <w:rsid w:val="7FB34CE0"/>
    <w:rsid w:val="7FEE0D91"/>
    <w:rsid w:val="7FF461A9"/>
    <w:rsid w:val="9FF7D748"/>
    <w:rsid w:val="B9FD540A"/>
    <w:rsid w:val="BFE3F047"/>
    <w:rsid w:val="BFEF0701"/>
    <w:rsid w:val="BFFC8BFE"/>
    <w:rsid w:val="C7FBE579"/>
    <w:rsid w:val="CB7FB3E3"/>
    <w:rsid w:val="CFF22957"/>
    <w:rsid w:val="DA6F94AD"/>
    <w:rsid w:val="DEBABF23"/>
    <w:rsid w:val="DFFF1F9C"/>
    <w:rsid w:val="EFEF4DF4"/>
    <w:rsid w:val="FDFDD26B"/>
    <w:rsid w:val="FFBE81FB"/>
    <w:rsid w:val="FFFF010F"/>
    <w:rsid w:val="FFFF9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bCs/>
      <w:kern w:val="44"/>
      <w:sz w:val="48"/>
      <w:szCs w:val="48"/>
    </w:rPr>
  </w:style>
  <w:style w:type="paragraph" w:styleId="3">
    <w:name w:val="heading 3"/>
    <w:basedOn w:val="1"/>
    <w:next w:val="1"/>
    <w:qFormat/>
    <w:uiPriority w:val="9"/>
    <w:pPr>
      <w:keepNext/>
      <w:keepLines/>
      <w:spacing w:before="160" w:after="80"/>
      <w:outlineLvl w:val="2"/>
    </w:pPr>
    <w:rPr>
      <w:rFonts w:ascii="等线 Light" w:hAnsi="等线 Light" w:eastAsia="等线 Light"/>
      <w:color w:val="0F4761"/>
      <w:sz w:val="32"/>
      <w:szCs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hint="eastAsia" w:ascii="宋体" w:hAnsi="宋体"/>
      <w:kern w:val="0"/>
      <w:sz w:val="24"/>
      <w:szCs w:val="24"/>
    </w:rPr>
  </w:style>
  <w:style w:type="character" w:customStyle="1" w:styleId="10">
    <w:name w:val="页眉 Char"/>
    <w:basedOn w:val="9"/>
    <w:link w:val="6"/>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2891</Words>
  <Characters>2996</Characters>
  <Lines>22</Lines>
  <Paragraphs>6</Paragraphs>
  <TotalTime>24</TotalTime>
  <ScaleCrop>false</ScaleCrop>
  <LinksUpToDate>false</LinksUpToDate>
  <CharactersWithSpaces>3004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2026-03-10T01:37:00Z</dcterms:created>
  <dc:creator>Administrator</dc:creator>
  <cp:lastModifiedBy>//（記·唸）</cp:lastModifiedBy>
  <dcterms:modified xsi:type="dcterms:W3CDTF">2026-03-11T02:05:55Z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eyJoZGlkIjoiMTQzMTdjMzcwNWVlZjU2YTIyNzRmMmUxMzllMDUxYWEiLCJ1c2VySWQiOiIyODkxMTE3NjgifQ==</vt:lpwstr>
  </property>
  <property fmtid="{D5CDD505-2E9C-101B-9397-08002B2CF9AE}" pid="4" name="ICV">
    <vt:lpwstr>A09306DD61DB49C49A956E4BB74D08D4_13</vt:lpwstr>
  </property>
</Properties>
</file>