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FE0B9">
      <w:pPr>
        <w:pStyle w:val="4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1" w:after="0" w:afterAutospacing="1" w:line="540" w:lineRule="atLeast"/>
        <w:ind w:left="0" w:right="0"/>
        <w:jc w:val="center"/>
      </w:pPr>
      <w:r>
        <w:rPr>
          <w:sz w:val="44"/>
          <w:szCs w:val="44"/>
        </w:rPr>
        <w:t>石河子大学人才政策</w:t>
      </w:r>
      <w:r>
        <w:t xml:space="preserve"> </w:t>
      </w:r>
    </w:p>
    <w:p w14:paraId="5ED0284E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760" w:right="0"/>
      </w:pPr>
      <w:r>
        <w:rPr>
          <w:b/>
          <w:bCs/>
          <w:sz w:val="32"/>
          <w:szCs w:val="32"/>
        </w:rPr>
        <w:t>人才分类</w:t>
      </w:r>
      <w:r>
        <w:t xml:space="preserve"> </w:t>
      </w:r>
    </w:p>
    <w:p w14:paraId="0A0E7ED0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0"/>
        <w:jc w:val="left"/>
      </w:pPr>
      <w:r>
        <w:rPr>
          <w:sz w:val="32"/>
          <w:szCs w:val="32"/>
        </w:rPr>
        <w:t>石河子大学对新进高层次人才从政治素养、研究成果、科研经历、发展潜质、试讲表现等方面进行综合评价，划分为一、二、三层次人才。</w:t>
      </w:r>
      <w:r>
        <w:t xml:space="preserve"> </w:t>
      </w:r>
    </w:p>
    <w:p w14:paraId="741C53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/>
        <w:ind w:left="0" w:right="0" w:firstLine="640"/>
        <w:jc w:val="both"/>
      </w:pPr>
      <w:r>
        <w:rPr>
          <w:sz w:val="32"/>
          <w:szCs w:val="32"/>
        </w:rPr>
        <w:t>对马克思主义理论、基础医学、临床医学、公共卫生与预防医学、网络空间安全、软件工程、计算机科学与技术、数学、法学、土木工程（结构工程）、教育学、建筑学、理论物理学、社会学（民族学）、外国语言文学（英语）、艺术学（音乐、舞蹈、美术与书法、设计）、能源类（电气工程、能源动力）、国家安全学、区域国别学、外国语言文学（波斯语、乌尔都语等小语种）等急需发展学科，学校将在学院认定层次基础上上调一个层次。</w:t>
      </w:r>
      <w:r>
        <w:t xml:space="preserve"> </w:t>
      </w:r>
    </w:p>
    <w:p w14:paraId="62F1CA0C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3"/>
        <w:jc w:val="left"/>
      </w:pPr>
      <w:r>
        <w:rPr>
          <w:b/>
          <w:bCs/>
          <w:sz w:val="32"/>
          <w:szCs w:val="32"/>
        </w:rPr>
        <w:t>二、支持政策</w:t>
      </w:r>
      <w:r>
        <w:t xml:space="preserve"> </w:t>
      </w:r>
    </w:p>
    <w:p w14:paraId="334B26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/>
        <w:ind w:left="0" w:right="0" w:firstLine="640"/>
        <w:jc w:val="both"/>
      </w:pPr>
      <w:r>
        <w:rPr>
          <w:sz w:val="32"/>
          <w:szCs w:val="32"/>
        </w:rPr>
        <w:t>1.根据不同人才层次提供具有竞争力的安家费支持。</w:t>
      </w:r>
      <w:r>
        <w:t xml:space="preserve"> </w:t>
      </w:r>
    </w:p>
    <w:p w14:paraId="3BBD0D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/>
        <w:ind w:left="0" w:right="0" w:firstLine="640"/>
        <w:jc w:val="both"/>
      </w:pPr>
      <w:r>
        <w:rPr>
          <w:sz w:val="32"/>
          <w:szCs w:val="32"/>
        </w:rPr>
        <w:t>2.按月发放人才津贴。</w:t>
      </w:r>
      <w:r>
        <w:t xml:space="preserve"> </w:t>
      </w:r>
    </w:p>
    <w:p w14:paraId="127017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/>
        <w:ind w:left="0" w:right="0" w:firstLine="640"/>
        <w:jc w:val="both"/>
      </w:pPr>
      <w:r>
        <w:rPr>
          <w:sz w:val="32"/>
          <w:szCs w:val="32"/>
        </w:rPr>
        <w:t>3.进校后，未获得项目费用支持的，由学校按不同学科不同层次不同标准予以立项支持。</w:t>
      </w:r>
      <w:r>
        <w:t xml:space="preserve"> </w:t>
      </w:r>
    </w:p>
    <w:p w14:paraId="0B6CA6C0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0"/>
        <w:jc w:val="left"/>
      </w:pPr>
      <w:r>
        <w:rPr>
          <w:sz w:val="32"/>
          <w:szCs w:val="32"/>
        </w:rPr>
        <w:t>4.引进的高层次人才，工作满一年后考核合格的可以直接认定为讲师，特别优秀者，可直接申请参评副教授。认定讲师1年后，可申请参评副教授。</w:t>
      </w:r>
      <w:r>
        <w:t xml:space="preserve"> </w:t>
      </w:r>
    </w:p>
    <w:p w14:paraId="2E2CCE53">
      <w:pPr>
        <w:pStyle w:val="4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1" w:after="0" w:afterAutospacing="1" w:line="540" w:lineRule="atLeast"/>
        <w:ind w:left="0" w:right="0"/>
        <w:jc w:val="center"/>
      </w:pPr>
    </w:p>
    <w:p w14:paraId="62B491E2">
      <w:pPr>
        <w:pStyle w:val="4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1" w:after="0" w:afterAutospacing="1" w:line="540" w:lineRule="atLeast"/>
        <w:ind w:left="0" w:right="0"/>
        <w:jc w:val="center"/>
      </w:pPr>
      <w:r>
        <w:rPr>
          <w:sz w:val="44"/>
          <w:szCs w:val="44"/>
        </w:rPr>
        <w:t>八师石河子市人才政策</w:t>
      </w:r>
      <w:r>
        <w:t xml:space="preserve"> </w:t>
      </w:r>
    </w:p>
    <w:p w14:paraId="13855285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0"/>
      </w:pPr>
      <w:r>
        <w:rPr>
          <w:sz w:val="32"/>
          <w:szCs w:val="32"/>
        </w:rPr>
        <w:t>一、</w:t>
      </w:r>
      <w:r>
        <w:rPr>
          <w:sz w:val="32"/>
          <w:szCs w:val="32"/>
          <w:shd w:val="clear" w:fill="000000"/>
        </w:rPr>
        <w:t>八师石河子市政府为学校引进的高层次人才提供购房补助（需落户）。引进人才在师市购房的，当年起享受购房补</w:t>
      </w:r>
      <w:r>
        <w:t xml:space="preserve"> </w:t>
      </w:r>
    </w:p>
    <w:p w14:paraId="05D883D1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5F3E2635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0"/>
      </w:pPr>
      <w:r>
        <w:rPr>
          <w:sz w:val="32"/>
          <w:szCs w:val="32"/>
          <w:shd w:val="clear" w:fill="000000"/>
        </w:rPr>
        <w:t>助，第一、二年各发放10％，第三、四年各发放20％，第五年发放40％。对夫妻双方同时作为高层次人才引进的，按就高一方全额，另一方半额的标准享受购房补助。</w:t>
      </w:r>
      <w:r>
        <w:t xml:space="preserve"> </w:t>
      </w:r>
    </w:p>
    <w:p w14:paraId="7CFC736F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0"/>
      </w:pPr>
      <w:r>
        <w:rPr>
          <w:sz w:val="32"/>
          <w:szCs w:val="32"/>
        </w:rPr>
        <w:t>二、</w:t>
      </w:r>
      <w:r>
        <w:rPr>
          <w:sz w:val="32"/>
          <w:szCs w:val="32"/>
          <w:shd w:val="clear" w:fill="000000"/>
        </w:rPr>
        <w:t>八师石河子市政府为学校引进的高层次人才发放专项津贴，管理期内按月兑现。</w:t>
      </w:r>
      <w:r>
        <w:t xml:space="preserve"> </w:t>
      </w:r>
    </w:p>
    <w:p w14:paraId="3A0AB8F3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20"/>
      </w:pPr>
      <w:r>
        <w:rPr>
          <w:color w:val="000000"/>
          <w:sz w:val="31"/>
          <w:szCs w:val="31"/>
        </w:rPr>
        <w:t>三、</w:t>
      </w:r>
      <w:r>
        <w:rPr>
          <w:sz w:val="32"/>
          <w:szCs w:val="32"/>
          <w:shd w:val="clear" w:fill="000000"/>
        </w:rPr>
        <w:t>八师石河子市政府为学校引进的高层次</w:t>
      </w:r>
      <w:r>
        <w:rPr>
          <w:color w:val="000000"/>
          <w:sz w:val="31"/>
          <w:szCs w:val="31"/>
          <w:shd w:val="clear" w:fill="000000"/>
        </w:rPr>
        <w:t>发</w:t>
      </w:r>
      <w:r>
        <w:rPr>
          <w:color w:val="000000"/>
          <w:sz w:val="31"/>
          <w:szCs w:val="31"/>
        </w:rPr>
        <w:t>放“石河子优才卡”，凭卡享受政务服务、配偶安置、子女就学、住房保障、便捷医疗、金融服务、旅游休假、生活、交通、文化等方面的公共服务和优惠政策。</w:t>
      </w:r>
    </w:p>
    <w:p w14:paraId="2177524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DD54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9118D">
    <w:pPr>
      <w:pStyle w:val="3"/>
    </w:pPr>
    <w:bookmarkStart w:id="0" w:name="_GoBack"/>
    <w:r>
      <w:drawing>
        <wp:inline distT="0" distB="0" distL="114300" distR="114300">
          <wp:extent cx="1898015" cy="495935"/>
          <wp:effectExtent l="0" t="0" r="6985" b="1206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8015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429C6"/>
    <w:rsid w:val="34F4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2025-05-11T10:25:00Z</dcterms:created>
  <dc:creator>WPS_1669522390</dc:creator>
  <cp:lastModifiedBy>WPS_1669522390</cp:lastModifiedBy>
  <dcterms:modified xsi:type="dcterms:W3CDTF">2025-05-11T10:26:46Z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8602D86B6E654AAEAE88B7AB389074D2_11</vt:lpwstr>
  </property>
  <property fmtid="{D5CDD505-2E9C-101B-9397-08002B2CF9AE}" pid="4" name="KSOTemplateDocerSaveRecord">
    <vt:lpwstr>eyJoZGlkIjoiYzI3MzI4NmFlYTJlMjZkNDIyMzJjYjM2YTgwMmY0MDciLCJ1c2VySWQiOiIxNDQ5NDEyMjY2In0=</vt:lpwstr>
  </property>
</Properties>
</file>