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80" w:lineRule="exact"/>
        <w:rPr>
          <w:rFonts w:ascii="Times" w:hAnsi="Times" w:eastAsia="宋体"/>
          <w:b/>
          <w:bCs/>
          <w:sz w:val="18"/>
          <w:szCs w:val="18"/>
          <w:highlight w:val="none"/>
        </w:rPr>
      </w:pPr>
      <w:bookmarkStart w:id="0" w:name="_GoBack"/>
      <w:r>
        <w:rPr>
          <w:rFonts w:hint="eastAsia" w:ascii="Times" w:hAnsi="Times" w:eastAsia="宋体"/>
          <w:b/>
          <w:bCs/>
          <w:sz w:val="18"/>
          <w:szCs w:val="18"/>
          <w:highlight w:val="none"/>
        </w:rPr>
        <w:t>销售之一般条款和条件</w:t>
      </w:r>
    </w:p>
    <w:p>
      <w:pPr>
        <w:pStyle w:val="11"/>
        <w:numPr>
          <w:ilvl w:val="0"/>
          <w:numId w:val="1"/>
        </w:numPr>
        <w:spacing w:after="0" w:line="380" w:lineRule="exact"/>
        <w:ind w:left="567" w:hanging="567" w:firstLineChars="0"/>
        <w:jc w:val="both"/>
        <w:rPr>
          <w:rFonts w:ascii="Times" w:hAnsi="Times" w:eastAsia="宋体"/>
          <w:b/>
          <w:bCs/>
          <w:sz w:val="18"/>
          <w:szCs w:val="18"/>
          <w:highlight w:val="none"/>
        </w:rPr>
        <w:sectPr>
          <w:footerReference r:id="rId5" w:type="default"/>
          <w:pgSz w:w="11906" w:h="16838"/>
          <w:pgMar w:top="1440" w:right="1800" w:bottom="1440" w:left="1800" w:header="851" w:footer="992" w:gutter="0"/>
          <w:cols w:space="425" w:num="1"/>
          <w:docGrid w:type="lines" w:linePitch="312" w:charSpace="0"/>
        </w:sectPr>
      </w:pPr>
    </w:p>
    <w:p>
      <w:pPr>
        <w:pStyle w:val="11"/>
        <w:numPr>
          <w:ilvl w:val="0"/>
          <w:numId w:val="1"/>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总则</w:t>
      </w:r>
    </w:p>
    <w:p>
      <w:pPr>
        <w:pStyle w:val="11"/>
        <w:numPr>
          <w:ilvl w:val="1"/>
          <w:numId w:val="2"/>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除另有明确约定外，图湃</w:t>
      </w:r>
      <w:r>
        <w:rPr>
          <w:rFonts w:ascii="Times" w:hAnsi="Times" w:eastAsia="宋体"/>
          <w:sz w:val="18"/>
          <w:szCs w:val="18"/>
          <w:highlight w:val="none"/>
        </w:rPr>
        <w:t>作为卖方向</w:t>
      </w:r>
      <w:r>
        <w:rPr>
          <w:rFonts w:hint="eastAsia" w:ascii="Times" w:hAnsi="Times" w:eastAsia="宋体"/>
          <w:sz w:val="18"/>
          <w:szCs w:val="18"/>
          <w:highlight w:val="none"/>
        </w:rPr>
        <w:t>买方</w:t>
      </w:r>
      <w:r>
        <w:rPr>
          <w:rFonts w:ascii="Times" w:hAnsi="Times" w:eastAsia="宋体"/>
          <w:sz w:val="18"/>
          <w:szCs w:val="18"/>
          <w:highlight w:val="none"/>
        </w:rPr>
        <w:t>（“</w:t>
      </w:r>
      <w:r>
        <w:rPr>
          <w:rFonts w:hint="eastAsia" w:ascii="Times" w:hAnsi="Times" w:eastAsia="宋体"/>
          <w:sz w:val="18"/>
          <w:szCs w:val="18"/>
          <w:highlight w:val="none"/>
        </w:rPr>
        <w:t>买方</w:t>
      </w:r>
      <w:r>
        <w:rPr>
          <w:rFonts w:ascii="Times" w:hAnsi="Times" w:eastAsia="宋体"/>
          <w:sz w:val="18"/>
          <w:szCs w:val="18"/>
          <w:highlight w:val="none"/>
        </w:rPr>
        <w:t>”）交付的任何产品和服务应仅受本协议规定的销售条款和条件的约束</w:t>
      </w:r>
      <w:r>
        <w:rPr>
          <w:rFonts w:hint="eastAsia" w:ascii="Times" w:hAnsi="Times" w:eastAsia="宋体"/>
          <w:sz w:val="18"/>
          <w:szCs w:val="18"/>
          <w:highlight w:val="none"/>
        </w:rPr>
        <w:t>。</w:t>
      </w:r>
      <w:r>
        <w:rPr>
          <w:rFonts w:ascii="Times" w:hAnsi="Times" w:eastAsia="宋体"/>
          <w:sz w:val="18"/>
          <w:szCs w:val="18"/>
          <w:highlight w:val="none"/>
        </w:rPr>
        <w:t>买方的条款和条件仅</w:t>
      </w:r>
      <w:r>
        <w:rPr>
          <w:rFonts w:hint="eastAsia" w:ascii="Times" w:hAnsi="Times" w:eastAsia="宋体"/>
          <w:sz w:val="18"/>
          <w:szCs w:val="18"/>
          <w:highlight w:val="none"/>
        </w:rPr>
        <w:t>在</w:t>
      </w:r>
      <w:r>
        <w:rPr>
          <w:rFonts w:ascii="Times" w:hAnsi="Times" w:eastAsia="宋体"/>
          <w:sz w:val="18"/>
          <w:szCs w:val="18"/>
          <w:highlight w:val="none"/>
        </w:rPr>
        <w:t>卖方明确书面接受</w:t>
      </w:r>
      <w:r>
        <w:rPr>
          <w:rFonts w:hint="eastAsia" w:ascii="Times" w:hAnsi="Times" w:eastAsia="宋体"/>
          <w:sz w:val="18"/>
          <w:szCs w:val="18"/>
          <w:highlight w:val="none"/>
        </w:rPr>
        <w:t>时适用</w:t>
      </w:r>
      <w:r>
        <w:rPr>
          <w:rFonts w:ascii="Times" w:hAnsi="Times" w:eastAsia="宋体"/>
          <w:sz w:val="18"/>
          <w:szCs w:val="18"/>
          <w:highlight w:val="none"/>
        </w:rPr>
        <w:t>。</w:t>
      </w:r>
    </w:p>
    <w:p>
      <w:pPr>
        <w:pStyle w:val="11"/>
        <w:numPr>
          <w:ilvl w:val="1"/>
          <w:numId w:val="2"/>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买方承诺在整个合同期间遵守适用的出口管制规则，包括但不限于根据适用出口管制规则的要求提供相关书面文件。</w:t>
      </w:r>
      <w:r>
        <w:rPr>
          <w:rFonts w:hint="eastAsia" w:ascii="Times" w:hAnsi="Times" w:eastAsia="宋体"/>
          <w:sz w:val="18"/>
          <w:szCs w:val="18"/>
          <w:highlight w:val="none"/>
        </w:rPr>
        <w:t>如果在合同期限内，卖方发现买方违反适用的出口规定或未能按要求提供材料，卖方有权中止或终止履行合同，不承担任何赔偿责任。如果卖方因适用的出口管制规则（如原产国或出口国的出口管制规定）而无法及时或无法提供产品和</w:t>
      </w:r>
      <w:r>
        <w:rPr>
          <w:rFonts w:ascii="Times" w:hAnsi="Times" w:eastAsia="宋体"/>
          <w:sz w:val="18"/>
          <w:szCs w:val="18"/>
          <w:highlight w:val="none"/>
        </w:rPr>
        <w:t>/或提供服务，则应适用第十</w:t>
      </w:r>
      <w:r>
        <w:rPr>
          <w:rFonts w:hint="eastAsia" w:ascii="Times" w:hAnsi="Times" w:eastAsia="宋体"/>
          <w:sz w:val="18"/>
          <w:szCs w:val="18"/>
          <w:highlight w:val="none"/>
        </w:rPr>
        <w:t>四</w:t>
      </w:r>
      <w:r>
        <w:rPr>
          <w:rFonts w:ascii="Times" w:hAnsi="Times" w:eastAsia="宋体"/>
          <w:sz w:val="18"/>
          <w:szCs w:val="18"/>
          <w:highlight w:val="none"/>
        </w:rPr>
        <w:t>条不可抗力。</w:t>
      </w:r>
    </w:p>
    <w:p>
      <w:pPr>
        <w:pStyle w:val="11"/>
        <w:numPr>
          <w:ilvl w:val="0"/>
          <w:numId w:val="3"/>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合同的要约和缔结</w:t>
      </w:r>
    </w:p>
    <w:p>
      <w:pPr>
        <w:pStyle w:val="11"/>
        <w:numPr>
          <w:ilvl w:val="0"/>
          <w:numId w:val="4"/>
        </w:numPr>
        <w:spacing w:after="0" w:line="240" w:lineRule="auto"/>
        <w:ind w:firstLineChars="0"/>
        <w:jc w:val="both"/>
        <w:rPr>
          <w:rFonts w:ascii="Times" w:hAnsi="Times" w:eastAsia="宋体"/>
          <w:vanish/>
          <w:sz w:val="18"/>
          <w:szCs w:val="18"/>
          <w:highlight w:val="none"/>
        </w:rPr>
      </w:pPr>
    </w:p>
    <w:p>
      <w:pPr>
        <w:pStyle w:val="11"/>
        <w:numPr>
          <w:ilvl w:val="1"/>
          <w:numId w:val="4"/>
        </w:numPr>
        <w:spacing w:after="0" w:line="240" w:lineRule="auto"/>
        <w:ind w:firstLineChars="0"/>
        <w:jc w:val="both"/>
        <w:rPr>
          <w:rFonts w:ascii="Times" w:hAnsi="Times" w:eastAsia="宋体"/>
          <w:vanish/>
          <w:sz w:val="18"/>
          <w:szCs w:val="18"/>
          <w:highlight w:val="none"/>
        </w:rPr>
      </w:pPr>
    </w:p>
    <w:p>
      <w:pPr>
        <w:pStyle w:val="11"/>
        <w:numPr>
          <w:ilvl w:val="1"/>
          <w:numId w:val="4"/>
        </w:numPr>
        <w:spacing w:after="0" w:line="240" w:lineRule="auto"/>
        <w:ind w:firstLineChars="0"/>
        <w:jc w:val="both"/>
        <w:rPr>
          <w:rFonts w:ascii="Times" w:hAnsi="Times" w:eastAsia="宋体"/>
          <w:vanish/>
          <w:sz w:val="18"/>
          <w:szCs w:val="18"/>
          <w:highlight w:val="none"/>
        </w:rPr>
      </w:pPr>
    </w:p>
    <w:p>
      <w:pPr>
        <w:pStyle w:val="11"/>
        <w:numPr>
          <w:ilvl w:val="1"/>
          <w:numId w:val="5"/>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如果未书面明确约定报价有法律效力，则卖方提供的报价系无约束力的报价，即要约邀请。任何产品交付或合同成立只能在卖方书面确认买方订单或订购产品装运后进行。</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价格、费用分摊</w:t>
      </w:r>
    </w:p>
    <w:p>
      <w:pPr>
        <w:pStyle w:val="11"/>
        <w:numPr>
          <w:ilvl w:val="0"/>
          <w:numId w:val="5"/>
        </w:numPr>
        <w:spacing w:after="0" w:line="240" w:lineRule="auto"/>
        <w:ind w:firstLineChars="0"/>
        <w:jc w:val="both"/>
        <w:rPr>
          <w:rFonts w:ascii="Times" w:hAnsi="Times" w:eastAsia="宋体"/>
          <w:vanish/>
          <w:sz w:val="18"/>
          <w:szCs w:val="18"/>
          <w:highlight w:val="none"/>
        </w:rPr>
      </w:pPr>
    </w:p>
    <w:p>
      <w:pPr>
        <w:pStyle w:val="11"/>
        <w:numPr>
          <w:ilvl w:val="1"/>
          <w:numId w:val="7"/>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合同价格是指买方应向卖方支付的购买产品的价格，包括设备和配件的价格之和。</w:t>
      </w:r>
    </w:p>
    <w:p>
      <w:pPr>
        <w:pStyle w:val="11"/>
        <w:numPr>
          <w:ilvl w:val="1"/>
          <w:numId w:val="7"/>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合同价格不包括任何在卖方所在国到期应付的税款或费用。</w:t>
      </w:r>
      <w:r>
        <w:rPr>
          <w:rFonts w:ascii="Times" w:hAnsi="Times" w:eastAsia="宋体"/>
          <w:sz w:val="18"/>
          <w:szCs w:val="18"/>
          <w:highlight w:val="none"/>
        </w:rPr>
        <w:t>现在或今后可归于销售合同/</w:t>
      </w:r>
      <w:r>
        <w:rPr>
          <w:rFonts w:hint="eastAsia" w:ascii="Times" w:hAnsi="Times" w:eastAsia="宋体"/>
          <w:sz w:val="18"/>
          <w:szCs w:val="18"/>
          <w:highlight w:val="none"/>
        </w:rPr>
        <w:t>订</w:t>
      </w:r>
      <w:r>
        <w:rPr>
          <w:rFonts w:ascii="Times" w:hAnsi="Times" w:eastAsia="宋体"/>
          <w:sz w:val="18"/>
          <w:szCs w:val="18"/>
          <w:highlight w:val="none"/>
        </w:rPr>
        <w:t>单标的的所有适用</w:t>
      </w:r>
      <w:r>
        <w:rPr>
          <w:rFonts w:hint="eastAsia" w:ascii="Times" w:hAnsi="Times" w:eastAsia="宋体"/>
          <w:sz w:val="18"/>
          <w:szCs w:val="18"/>
          <w:highlight w:val="none"/>
        </w:rPr>
        <w:t>的</w:t>
      </w:r>
      <w:r>
        <w:rPr>
          <w:rFonts w:ascii="Times" w:hAnsi="Times" w:eastAsia="宋体"/>
          <w:sz w:val="18"/>
          <w:szCs w:val="18"/>
          <w:highlight w:val="none"/>
        </w:rPr>
        <w:t>费用、关税、过路费、行政征费、附加费或税款均应由买方在</w:t>
      </w:r>
      <w:r>
        <w:rPr>
          <w:rFonts w:hint="eastAsia" w:ascii="Times" w:hAnsi="Times" w:eastAsia="宋体"/>
          <w:sz w:val="18"/>
          <w:szCs w:val="18"/>
          <w:highlight w:val="none"/>
        </w:rPr>
        <w:t>合同</w:t>
      </w:r>
      <w:r>
        <w:rPr>
          <w:rFonts w:ascii="Times" w:hAnsi="Times" w:eastAsia="宋体"/>
          <w:sz w:val="18"/>
          <w:szCs w:val="18"/>
          <w:highlight w:val="none"/>
        </w:rPr>
        <w:t>价格之外计算并支付。</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交付</w:t>
      </w:r>
    </w:p>
    <w:p>
      <w:pPr>
        <w:pStyle w:val="11"/>
        <w:numPr>
          <w:ilvl w:val="0"/>
          <w:numId w:val="8"/>
        </w:numPr>
        <w:spacing w:after="0" w:line="240" w:lineRule="auto"/>
        <w:ind w:firstLineChars="0"/>
        <w:jc w:val="both"/>
        <w:rPr>
          <w:rFonts w:ascii="Times" w:hAnsi="Times" w:eastAsia="宋体"/>
          <w:vanish/>
          <w:sz w:val="18"/>
          <w:szCs w:val="18"/>
          <w:highlight w:val="none"/>
        </w:rPr>
      </w:pPr>
    </w:p>
    <w:p>
      <w:pPr>
        <w:pStyle w:val="11"/>
        <w:numPr>
          <w:ilvl w:val="1"/>
          <w:numId w:val="8"/>
        </w:numPr>
        <w:spacing w:after="0" w:line="240" w:lineRule="auto"/>
        <w:ind w:firstLineChars="0"/>
        <w:jc w:val="both"/>
        <w:rPr>
          <w:rFonts w:ascii="Times" w:hAnsi="Times" w:eastAsia="宋体"/>
          <w:vanish/>
          <w:sz w:val="18"/>
          <w:szCs w:val="18"/>
          <w:highlight w:val="none"/>
        </w:rPr>
      </w:pPr>
    </w:p>
    <w:p>
      <w:pPr>
        <w:pStyle w:val="11"/>
        <w:numPr>
          <w:ilvl w:val="1"/>
          <w:numId w:val="9"/>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除非另有明确约定</w:t>
      </w:r>
      <w:r>
        <w:rPr>
          <w:rFonts w:hint="eastAsia" w:ascii="Times" w:hAnsi="Times" w:eastAsia="宋体"/>
          <w:sz w:val="18"/>
          <w:szCs w:val="18"/>
          <w:highlight w:val="none"/>
        </w:rPr>
        <w:t>，交付</w:t>
      </w:r>
      <w:r>
        <w:rPr>
          <w:rFonts w:ascii="Times" w:hAnsi="Times" w:eastAsia="宋体"/>
          <w:sz w:val="18"/>
          <w:szCs w:val="18"/>
          <w:highlight w:val="none"/>
        </w:rPr>
        <w:t>地点为我们位于中国</w:t>
      </w:r>
      <w:r>
        <w:rPr>
          <w:rFonts w:hint="eastAsia" w:ascii="Times" w:hAnsi="Times" w:eastAsia="宋体"/>
          <w:sz w:val="18"/>
          <w:szCs w:val="18"/>
          <w:highlight w:val="none"/>
        </w:rPr>
        <w:t>北京</w:t>
      </w:r>
      <w:r>
        <w:rPr>
          <w:rFonts w:ascii="Times" w:hAnsi="Times" w:eastAsia="宋体"/>
          <w:sz w:val="18"/>
          <w:szCs w:val="18"/>
          <w:highlight w:val="none"/>
        </w:rPr>
        <w:t>的仓库</w:t>
      </w:r>
      <w:r>
        <w:rPr>
          <w:rFonts w:hint="eastAsia" w:ascii="Times" w:hAnsi="Times" w:eastAsia="宋体"/>
          <w:sz w:val="18"/>
          <w:szCs w:val="18"/>
          <w:highlight w:val="none"/>
        </w:rPr>
        <w:t>，</w:t>
      </w:r>
      <w:r>
        <w:rPr>
          <w:rFonts w:ascii="Times" w:hAnsi="Times" w:eastAsia="宋体"/>
          <w:sz w:val="18"/>
          <w:szCs w:val="18"/>
          <w:highlight w:val="none"/>
        </w:rPr>
        <w:t>一旦货物包装完毕并可供提货时（《国际贸易术语解释通则2020》工厂交货，指定地点：</w:t>
      </w:r>
      <w:r>
        <w:rPr>
          <w:rFonts w:hint="eastAsia" w:ascii="Times" w:hAnsi="Times" w:eastAsia="宋体"/>
          <w:sz w:val="18"/>
          <w:szCs w:val="18"/>
          <w:highlight w:val="none"/>
        </w:rPr>
        <w:t>北京市昌平区双营西路</w:t>
      </w:r>
      <w:r>
        <w:rPr>
          <w:rFonts w:ascii="Times" w:hAnsi="Times" w:eastAsia="宋体"/>
          <w:sz w:val="18"/>
          <w:szCs w:val="18"/>
          <w:highlight w:val="none"/>
        </w:rPr>
        <w:t>79号院16号三、四、六层），风险转移至</w:t>
      </w:r>
      <w:r>
        <w:rPr>
          <w:rFonts w:hint="eastAsia" w:ascii="Times" w:hAnsi="Times" w:eastAsia="宋体"/>
          <w:sz w:val="18"/>
          <w:szCs w:val="18"/>
          <w:highlight w:val="none"/>
        </w:rPr>
        <w:t>买方</w:t>
      </w:r>
      <w:r>
        <w:rPr>
          <w:rFonts w:ascii="Times" w:hAnsi="Times" w:eastAsia="宋体"/>
          <w:sz w:val="18"/>
          <w:szCs w:val="18"/>
          <w:highlight w:val="none"/>
        </w:rPr>
        <w:t>。</w:t>
      </w:r>
    </w:p>
    <w:p>
      <w:pPr>
        <w:pStyle w:val="11"/>
        <w:numPr>
          <w:ilvl w:val="1"/>
          <w:numId w:val="9"/>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只有经双方书面明确确认，</w:t>
      </w:r>
      <w:r>
        <w:rPr>
          <w:rFonts w:ascii="Times" w:hAnsi="Times" w:eastAsia="宋体"/>
          <w:sz w:val="18"/>
          <w:szCs w:val="18"/>
          <w:highlight w:val="none"/>
        </w:rPr>
        <w:t>交付期限</w:t>
      </w:r>
      <w:r>
        <w:rPr>
          <w:rFonts w:ascii="Times" w:hAnsi="Times" w:eastAsia="宋体"/>
          <w:sz w:val="18"/>
          <w:szCs w:val="18"/>
          <w:highlight w:val="none"/>
        </w:rPr>
        <w:t>才能被视为双方同意。交付期限应自</w:t>
      </w:r>
      <w:r>
        <w:rPr>
          <w:rFonts w:hint="eastAsia" w:ascii="Times" w:hAnsi="Times" w:eastAsia="宋体"/>
          <w:sz w:val="18"/>
          <w:szCs w:val="18"/>
          <w:highlight w:val="none"/>
        </w:rPr>
        <w:t>图湃</w:t>
      </w:r>
      <w:r>
        <w:rPr>
          <w:rFonts w:ascii="Times" w:hAnsi="Times" w:eastAsia="宋体"/>
          <w:sz w:val="18"/>
          <w:szCs w:val="18"/>
          <w:highlight w:val="none"/>
        </w:rPr>
        <w:t>确认订单之日开始</w:t>
      </w:r>
      <w:r>
        <w:rPr>
          <w:rFonts w:hint="eastAsia" w:ascii="Times" w:hAnsi="Times" w:eastAsia="宋体"/>
          <w:sz w:val="18"/>
          <w:szCs w:val="18"/>
          <w:highlight w:val="none"/>
        </w:rPr>
        <w:t>计算</w:t>
      </w:r>
      <w:r>
        <w:rPr>
          <w:rFonts w:ascii="Times" w:hAnsi="Times" w:eastAsia="宋体"/>
          <w:sz w:val="18"/>
          <w:szCs w:val="18"/>
          <w:highlight w:val="none"/>
        </w:rPr>
        <w:t>，但是，在任何情况下均不得早于订单所有细节的解决，包括任何所需的官方证明的提供。如果非因</w:t>
      </w:r>
      <w:r>
        <w:rPr>
          <w:rFonts w:hint="eastAsia" w:ascii="Times" w:hAnsi="Times" w:eastAsia="宋体"/>
          <w:sz w:val="18"/>
          <w:szCs w:val="18"/>
          <w:highlight w:val="none"/>
        </w:rPr>
        <w:t>图湃</w:t>
      </w:r>
      <w:r>
        <w:rPr>
          <w:rFonts w:ascii="Times" w:hAnsi="Times" w:eastAsia="宋体"/>
          <w:sz w:val="18"/>
          <w:szCs w:val="18"/>
          <w:highlight w:val="none"/>
        </w:rPr>
        <w:t>过错导致</w:t>
      </w:r>
      <w:r>
        <w:rPr>
          <w:rFonts w:hint="eastAsia" w:ascii="Times" w:hAnsi="Times" w:eastAsia="宋体"/>
          <w:sz w:val="18"/>
          <w:szCs w:val="18"/>
          <w:highlight w:val="none"/>
        </w:rPr>
        <w:t>产品或</w:t>
      </w:r>
      <w:r>
        <w:rPr>
          <w:rFonts w:ascii="Times" w:hAnsi="Times" w:eastAsia="宋体"/>
          <w:sz w:val="18"/>
          <w:szCs w:val="18"/>
          <w:highlight w:val="none"/>
        </w:rPr>
        <w:t>服务无法按时交付，则在</w:t>
      </w:r>
      <w:r>
        <w:rPr>
          <w:rFonts w:hint="eastAsia" w:ascii="Times" w:hAnsi="Times" w:eastAsia="宋体"/>
          <w:sz w:val="18"/>
          <w:szCs w:val="18"/>
          <w:highlight w:val="none"/>
        </w:rPr>
        <w:t>图湃及时</w:t>
      </w:r>
      <w:r>
        <w:rPr>
          <w:rFonts w:ascii="Times" w:hAnsi="Times" w:eastAsia="宋体"/>
          <w:sz w:val="18"/>
          <w:szCs w:val="18"/>
          <w:highlight w:val="none"/>
        </w:rPr>
        <w:t>通知备妥装运</w:t>
      </w:r>
      <w:r>
        <w:rPr>
          <w:rFonts w:hint="eastAsia" w:ascii="Times" w:hAnsi="Times" w:eastAsia="宋体"/>
          <w:sz w:val="18"/>
          <w:szCs w:val="18"/>
          <w:highlight w:val="none"/>
        </w:rPr>
        <w:t>之日，</w:t>
      </w:r>
      <w:r>
        <w:rPr>
          <w:rFonts w:ascii="Times" w:hAnsi="Times" w:eastAsia="宋体"/>
          <w:sz w:val="18"/>
          <w:szCs w:val="18"/>
          <w:highlight w:val="none"/>
        </w:rPr>
        <w:t>应被视为</w:t>
      </w:r>
      <w:r>
        <w:rPr>
          <w:rFonts w:hint="eastAsia" w:ascii="Times" w:hAnsi="Times" w:eastAsia="宋体"/>
          <w:sz w:val="18"/>
          <w:szCs w:val="18"/>
          <w:highlight w:val="none"/>
        </w:rPr>
        <w:t>满足</w:t>
      </w:r>
      <w:r>
        <w:rPr>
          <w:rFonts w:ascii="Times" w:hAnsi="Times" w:eastAsia="宋体"/>
          <w:sz w:val="18"/>
          <w:szCs w:val="18"/>
          <w:highlight w:val="none"/>
        </w:rPr>
        <w:t>交付</w:t>
      </w:r>
      <w:r>
        <w:rPr>
          <w:rFonts w:hint="eastAsia" w:ascii="Times" w:hAnsi="Times" w:eastAsia="宋体"/>
          <w:sz w:val="18"/>
          <w:szCs w:val="18"/>
          <w:highlight w:val="none"/>
        </w:rPr>
        <w:t>期限</w:t>
      </w:r>
      <w:r>
        <w:rPr>
          <w:rFonts w:ascii="Times" w:hAnsi="Times" w:eastAsia="宋体"/>
          <w:sz w:val="18"/>
          <w:szCs w:val="18"/>
          <w:highlight w:val="none"/>
        </w:rPr>
        <w:t>。</w:t>
      </w:r>
    </w:p>
    <w:p>
      <w:pPr>
        <w:pStyle w:val="11"/>
        <w:numPr>
          <w:ilvl w:val="1"/>
          <w:numId w:val="9"/>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在不损害</w:t>
      </w:r>
      <w:r>
        <w:rPr>
          <w:rFonts w:hint="eastAsia" w:ascii="Times" w:hAnsi="Times" w:eastAsia="宋体"/>
          <w:sz w:val="18"/>
          <w:szCs w:val="18"/>
          <w:highlight w:val="none"/>
        </w:rPr>
        <w:t>图湃</w:t>
      </w:r>
      <w:r>
        <w:rPr>
          <w:rFonts w:ascii="Times" w:hAnsi="Times" w:eastAsia="宋体"/>
          <w:sz w:val="18"/>
          <w:szCs w:val="18"/>
          <w:highlight w:val="none"/>
        </w:rPr>
        <w:t>享有的进一步合法权利（包括但不限于因</w:t>
      </w:r>
      <w:r>
        <w:rPr>
          <w:rFonts w:hint="eastAsia" w:ascii="Times" w:hAnsi="Times" w:eastAsia="宋体"/>
          <w:sz w:val="18"/>
          <w:szCs w:val="18"/>
          <w:highlight w:val="none"/>
        </w:rPr>
        <w:t>买方</w:t>
      </w:r>
      <w:r>
        <w:rPr>
          <w:rFonts w:ascii="Times" w:hAnsi="Times" w:eastAsia="宋体"/>
          <w:sz w:val="18"/>
          <w:szCs w:val="18"/>
          <w:highlight w:val="none"/>
        </w:rPr>
        <w:t>违约而享有的权利）的前提下，期限和日期应按照</w:t>
      </w:r>
      <w:r>
        <w:rPr>
          <w:rFonts w:hint="eastAsia" w:ascii="Times" w:hAnsi="Times" w:eastAsia="宋体"/>
          <w:sz w:val="18"/>
          <w:szCs w:val="18"/>
          <w:highlight w:val="none"/>
        </w:rPr>
        <w:t>买方</w:t>
      </w:r>
      <w:r>
        <w:rPr>
          <w:rFonts w:ascii="Times" w:hAnsi="Times" w:eastAsia="宋体"/>
          <w:sz w:val="18"/>
          <w:szCs w:val="18"/>
          <w:highlight w:val="none"/>
        </w:rPr>
        <w:t>未能遵守其对</w:t>
      </w:r>
      <w:r>
        <w:rPr>
          <w:rFonts w:hint="eastAsia" w:ascii="Times" w:hAnsi="Times" w:eastAsia="宋体"/>
          <w:sz w:val="18"/>
          <w:szCs w:val="18"/>
          <w:highlight w:val="none"/>
        </w:rPr>
        <w:t>图湃</w:t>
      </w:r>
      <w:r>
        <w:rPr>
          <w:rFonts w:ascii="Times" w:hAnsi="Times" w:eastAsia="宋体"/>
          <w:sz w:val="18"/>
          <w:szCs w:val="18"/>
          <w:highlight w:val="none"/>
        </w:rPr>
        <w:t>负有的义务的期间相应顺延。</w:t>
      </w:r>
    </w:p>
    <w:p>
      <w:pPr>
        <w:pStyle w:val="11"/>
        <w:numPr>
          <w:ilvl w:val="1"/>
          <w:numId w:val="9"/>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如果对</w:t>
      </w:r>
      <w:r>
        <w:rPr>
          <w:rFonts w:hint="eastAsia" w:ascii="Times" w:hAnsi="Times" w:eastAsia="宋体"/>
          <w:sz w:val="18"/>
          <w:szCs w:val="18"/>
          <w:highlight w:val="none"/>
        </w:rPr>
        <w:t>买方</w:t>
      </w:r>
      <w:r>
        <w:rPr>
          <w:rFonts w:ascii="Times" w:hAnsi="Times" w:eastAsia="宋体"/>
          <w:sz w:val="18"/>
          <w:szCs w:val="18"/>
          <w:highlight w:val="none"/>
        </w:rPr>
        <w:t>而言是合理的，则</w:t>
      </w:r>
      <w:r>
        <w:rPr>
          <w:rFonts w:hint="eastAsia" w:ascii="Times" w:hAnsi="Times" w:eastAsia="宋体"/>
          <w:sz w:val="18"/>
          <w:szCs w:val="18"/>
          <w:highlight w:val="none"/>
        </w:rPr>
        <w:t>图湃</w:t>
      </w:r>
      <w:r>
        <w:rPr>
          <w:rFonts w:ascii="Times" w:hAnsi="Times" w:eastAsia="宋体"/>
          <w:sz w:val="18"/>
          <w:szCs w:val="18"/>
          <w:highlight w:val="none"/>
        </w:rPr>
        <w:t>有权要求</w:t>
      </w:r>
      <w:r>
        <w:rPr>
          <w:rFonts w:hint="eastAsia" w:ascii="Times" w:hAnsi="Times" w:eastAsia="宋体"/>
          <w:sz w:val="18"/>
          <w:szCs w:val="18"/>
          <w:highlight w:val="none"/>
        </w:rPr>
        <w:t>交付部分产品或服务</w:t>
      </w:r>
      <w:r>
        <w:rPr>
          <w:rFonts w:ascii="Times" w:hAnsi="Times" w:eastAsia="宋体"/>
          <w:sz w:val="18"/>
          <w:szCs w:val="18"/>
          <w:highlight w:val="none"/>
        </w:rPr>
        <w:t>。</w:t>
      </w:r>
    </w:p>
    <w:p>
      <w:pPr>
        <w:pStyle w:val="11"/>
        <w:numPr>
          <w:ilvl w:val="1"/>
          <w:numId w:val="9"/>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如果买方未能在销售合同/订单规定的</w:t>
      </w:r>
      <w:r>
        <w:rPr>
          <w:rFonts w:hint="eastAsia" w:ascii="Times" w:hAnsi="Times" w:eastAsia="宋体"/>
          <w:sz w:val="18"/>
          <w:szCs w:val="18"/>
          <w:highlight w:val="none"/>
        </w:rPr>
        <w:t>交付期限</w:t>
      </w:r>
      <w:r>
        <w:rPr>
          <w:rFonts w:ascii="Times" w:hAnsi="Times" w:eastAsia="宋体"/>
          <w:sz w:val="18"/>
          <w:szCs w:val="18"/>
          <w:highlight w:val="none"/>
        </w:rPr>
        <w:t>内接收</w:t>
      </w:r>
      <w:r>
        <w:rPr>
          <w:rFonts w:hint="eastAsia" w:ascii="Times" w:hAnsi="Times" w:eastAsia="宋体"/>
          <w:sz w:val="18"/>
          <w:szCs w:val="18"/>
          <w:highlight w:val="none"/>
        </w:rPr>
        <w:t>产品</w:t>
      </w:r>
      <w:r>
        <w:rPr>
          <w:rFonts w:ascii="Times" w:hAnsi="Times" w:eastAsia="宋体"/>
          <w:sz w:val="18"/>
          <w:szCs w:val="18"/>
          <w:highlight w:val="none"/>
        </w:rPr>
        <w:t>，卖方有权向买方发出通知终止本协议。在此情况下，卖方没有义务退还买方已支付的全部货款。在买方接收产品之前，产品存储过程中产生的额外费用由买方补偿给卖方。</w:t>
      </w:r>
    </w:p>
    <w:p>
      <w:pPr>
        <w:pStyle w:val="11"/>
        <w:numPr>
          <w:ilvl w:val="1"/>
          <w:numId w:val="9"/>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卖方在两次宽限期（累计不少于九十日）后仍未交付产品的，买方可以要求解除本合同，但妨碍交付的原因仅为临时性的且交付延误不会对买方造成不合理的影响除外。</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运输</w:t>
      </w:r>
      <w:r>
        <w:rPr>
          <w:rFonts w:ascii="Times" w:hAnsi="Times" w:eastAsia="宋体"/>
          <w:b/>
          <w:bCs/>
          <w:sz w:val="18"/>
          <w:szCs w:val="18"/>
          <w:highlight w:val="none"/>
        </w:rPr>
        <w:t>、风险转移</w:t>
      </w:r>
    </w:p>
    <w:p>
      <w:pPr>
        <w:pStyle w:val="11"/>
        <w:numPr>
          <w:ilvl w:val="0"/>
          <w:numId w:val="10"/>
        </w:numPr>
        <w:spacing w:after="0" w:line="240" w:lineRule="auto"/>
        <w:ind w:firstLineChars="0"/>
        <w:jc w:val="both"/>
        <w:rPr>
          <w:rFonts w:ascii="Times" w:hAnsi="Times" w:eastAsia="宋体"/>
          <w:vanish/>
          <w:sz w:val="18"/>
          <w:szCs w:val="18"/>
          <w:highlight w:val="none"/>
        </w:rPr>
      </w:pPr>
    </w:p>
    <w:p>
      <w:pPr>
        <w:pStyle w:val="11"/>
        <w:numPr>
          <w:ilvl w:val="1"/>
          <w:numId w:val="10"/>
        </w:numPr>
        <w:spacing w:after="0" w:line="240" w:lineRule="auto"/>
        <w:ind w:firstLineChars="0"/>
        <w:jc w:val="both"/>
        <w:rPr>
          <w:rFonts w:ascii="Times" w:hAnsi="Times" w:eastAsia="宋体"/>
          <w:vanish/>
          <w:sz w:val="18"/>
          <w:szCs w:val="18"/>
          <w:highlight w:val="none"/>
        </w:rPr>
      </w:pPr>
    </w:p>
    <w:p>
      <w:pPr>
        <w:pStyle w:val="11"/>
        <w:numPr>
          <w:ilvl w:val="1"/>
          <w:numId w:val="11"/>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因买方的原因导致某次装运发生延误，则产品意外性的变质、损失和损毁的风险应于卖方通知装运准备就绪之时便转移给买方。风险转移之后所需的仓储成本应由买方承担。上述规定不影响任何其他权利的主张。</w:t>
      </w:r>
    </w:p>
    <w:p>
      <w:pPr>
        <w:pStyle w:val="11"/>
        <w:numPr>
          <w:ilvl w:val="1"/>
          <w:numId w:val="11"/>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如果买方不履行收货义务，则卖方应有权向买方主张偿还与之有关的任何开支，且产品意外性的变质、损失和损毁的风险应转移给买方。</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付款</w:t>
      </w:r>
    </w:p>
    <w:p>
      <w:pPr>
        <w:pStyle w:val="11"/>
        <w:numPr>
          <w:ilvl w:val="0"/>
          <w:numId w:val="12"/>
        </w:numPr>
        <w:spacing w:after="0" w:line="240" w:lineRule="auto"/>
        <w:ind w:firstLineChars="0"/>
        <w:jc w:val="both"/>
        <w:rPr>
          <w:rFonts w:ascii="Times" w:hAnsi="Times" w:eastAsia="宋体"/>
          <w:vanish/>
          <w:sz w:val="18"/>
          <w:szCs w:val="18"/>
          <w:highlight w:val="none"/>
        </w:rPr>
      </w:pPr>
    </w:p>
    <w:p>
      <w:pPr>
        <w:pStyle w:val="11"/>
        <w:numPr>
          <w:ilvl w:val="1"/>
          <w:numId w:val="12"/>
        </w:numPr>
        <w:spacing w:after="0" w:line="240" w:lineRule="auto"/>
        <w:ind w:firstLineChars="0"/>
        <w:jc w:val="both"/>
        <w:rPr>
          <w:rFonts w:ascii="Times" w:hAnsi="Times" w:eastAsia="宋体"/>
          <w:vanish/>
          <w:sz w:val="18"/>
          <w:szCs w:val="18"/>
          <w:highlight w:val="none"/>
        </w:rPr>
      </w:pPr>
    </w:p>
    <w:p>
      <w:pPr>
        <w:pStyle w:val="11"/>
        <w:numPr>
          <w:ilvl w:val="1"/>
          <w:numId w:val="13"/>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除</w:t>
      </w:r>
      <w:r>
        <w:rPr>
          <w:rFonts w:hint="eastAsia" w:ascii="Times" w:hAnsi="Times" w:eastAsia="宋体"/>
          <w:sz w:val="18"/>
          <w:szCs w:val="18"/>
          <w:highlight w:val="none"/>
        </w:rPr>
        <w:t>双方另有约定外</w:t>
      </w:r>
      <w:r>
        <w:rPr>
          <w:rFonts w:ascii="Times" w:hAnsi="Times" w:eastAsia="宋体"/>
          <w:sz w:val="18"/>
          <w:szCs w:val="18"/>
          <w:highlight w:val="none"/>
        </w:rPr>
        <w:t>，产品应在以下条件下付款：卖方书面</w:t>
      </w:r>
      <w:r>
        <w:rPr>
          <w:rFonts w:hint="eastAsia" w:ascii="Times" w:hAnsi="Times" w:eastAsia="宋体"/>
          <w:sz w:val="18"/>
          <w:szCs w:val="18"/>
          <w:highlight w:val="none"/>
        </w:rPr>
        <w:t>确认</w:t>
      </w:r>
      <w:r>
        <w:rPr>
          <w:rFonts w:ascii="Times" w:hAnsi="Times" w:eastAsia="宋体"/>
          <w:sz w:val="18"/>
          <w:szCs w:val="18"/>
          <w:highlight w:val="none"/>
        </w:rPr>
        <w:t>销售合同/订单后[30]日内支付100%</w:t>
      </w:r>
      <w:r>
        <w:rPr>
          <w:rFonts w:hint="eastAsia" w:ascii="Times" w:hAnsi="Times" w:eastAsia="宋体"/>
          <w:sz w:val="18"/>
          <w:szCs w:val="18"/>
          <w:highlight w:val="none"/>
        </w:rPr>
        <w:t>预付款</w:t>
      </w:r>
      <w:r>
        <w:rPr>
          <w:rFonts w:ascii="Times" w:hAnsi="Times" w:eastAsia="宋体"/>
          <w:sz w:val="18"/>
          <w:szCs w:val="18"/>
          <w:highlight w:val="none"/>
        </w:rPr>
        <w:t>。如果买方未能根据第</w:t>
      </w:r>
      <w:r>
        <w:rPr>
          <w:rFonts w:hint="eastAsia" w:ascii="Times" w:hAnsi="Times" w:eastAsia="宋体"/>
          <w:sz w:val="18"/>
          <w:szCs w:val="18"/>
          <w:highlight w:val="none"/>
        </w:rPr>
        <w:t>6.1</w:t>
      </w:r>
      <w:r>
        <w:rPr>
          <w:rFonts w:ascii="Times" w:hAnsi="Times" w:eastAsia="宋体"/>
          <w:sz w:val="18"/>
          <w:szCs w:val="18"/>
          <w:highlight w:val="none"/>
        </w:rPr>
        <w:t>条向卖方支付任何款项，卖方有权暂停供应产品，直至收到买方的全额付款。</w:t>
      </w:r>
    </w:p>
    <w:p>
      <w:pPr>
        <w:pStyle w:val="11"/>
        <w:numPr>
          <w:ilvl w:val="1"/>
          <w:numId w:val="13"/>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一旦发生付款违约或者从付款到期日起，卖方有权要求买方支付每月百分之二的违约利息。</w:t>
      </w:r>
      <w:r>
        <w:rPr>
          <w:rFonts w:ascii="Times" w:hAnsi="Times" w:eastAsia="宋体"/>
          <w:sz w:val="18"/>
          <w:szCs w:val="18"/>
          <w:highlight w:val="none"/>
        </w:rPr>
        <w:t xml:space="preserve"> 卖方保留要求更高实际损失的权利。</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所有权的保留</w:t>
      </w:r>
    </w:p>
    <w:p>
      <w:pPr>
        <w:pStyle w:val="11"/>
        <w:numPr>
          <w:ilvl w:val="0"/>
          <w:numId w:val="14"/>
        </w:numPr>
        <w:spacing w:after="0" w:line="240" w:lineRule="auto"/>
        <w:ind w:firstLineChars="0"/>
        <w:jc w:val="both"/>
        <w:rPr>
          <w:rFonts w:ascii="Times" w:hAnsi="Times" w:eastAsia="宋体"/>
          <w:vanish/>
          <w:sz w:val="18"/>
          <w:szCs w:val="18"/>
          <w:highlight w:val="none"/>
        </w:rPr>
      </w:pPr>
    </w:p>
    <w:p>
      <w:pPr>
        <w:pStyle w:val="11"/>
        <w:numPr>
          <w:ilvl w:val="1"/>
          <w:numId w:val="14"/>
        </w:numPr>
        <w:spacing w:after="0" w:line="240" w:lineRule="auto"/>
        <w:ind w:firstLineChars="0"/>
        <w:jc w:val="both"/>
        <w:rPr>
          <w:rFonts w:ascii="Times" w:hAnsi="Times" w:eastAsia="宋体"/>
          <w:vanish/>
          <w:sz w:val="18"/>
          <w:szCs w:val="18"/>
          <w:highlight w:val="none"/>
        </w:rPr>
      </w:pPr>
    </w:p>
    <w:p>
      <w:pPr>
        <w:pStyle w:val="11"/>
        <w:numPr>
          <w:ilvl w:val="1"/>
          <w:numId w:val="15"/>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已交付的产品（在所有权保留的前提下出售的产品）仍是卖方的财产，直至所有合同价值的应收款（无论基于何种法律依据）全部付清。</w:t>
      </w:r>
    </w:p>
    <w:p>
      <w:pPr>
        <w:pStyle w:val="11"/>
        <w:numPr>
          <w:ilvl w:val="1"/>
          <w:numId w:val="15"/>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如果买方在完全支付货款前已将产品转卖的，则卖方在买方就交付产品应付账款范围内，对转卖产品的收益享有所有权，买方只是作为卖方的受托人对转卖收益进行占有。</w:t>
      </w:r>
    </w:p>
    <w:p>
      <w:pPr>
        <w:pStyle w:val="11"/>
        <w:numPr>
          <w:ilvl w:val="1"/>
          <w:numId w:val="15"/>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如果买方未履行付款义务或未完成合同其他约定义务，卖方依法享有解除合同并取回交付产品的权利。</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软件权利</w:t>
      </w:r>
    </w:p>
    <w:p>
      <w:pPr>
        <w:pStyle w:val="11"/>
        <w:numPr>
          <w:ilvl w:val="0"/>
          <w:numId w:val="16"/>
        </w:numPr>
        <w:spacing w:after="0" w:line="240" w:lineRule="auto"/>
        <w:ind w:firstLineChars="0"/>
        <w:jc w:val="both"/>
        <w:rPr>
          <w:rFonts w:ascii="Times" w:hAnsi="Times" w:eastAsia="宋体"/>
          <w:vanish/>
          <w:sz w:val="18"/>
          <w:szCs w:val="18"/>
          <w:highlight w:val="none"/>
        </w:rPr>
      </w:pPr>
    </w:p>
    <w:p>
      <w:pPr>
        <w:pStyle w:val="11"/>
        <w:numPr>
          <w:ilvl w:val="1"/>
          <w:numId w:val="16"/>
        </w:numPr>
        <w:spacing w:after="0" w:line="240" w:lineRule="auto"/>
        <w:ind w:firstLineChars="0"/>
        <w:jc w:val="both"/>
        <w:rPr>
          <w:rFonts w:ascii="Times" w:hAnsi="Times" w:eastAsia="宋体"/>
          <w:vanish/>
          <w:sz w:val="18"/>
          <w:szCs w:val="18"/>
          <w:highlight w:val="none"/>
        </w:rPr>
      </w:pPr>
    </w:p>
    <w:p>
      <w:pPr>
        <w:pStyle w:val="11"/>
        <w:numPr>
          <w:ilvl w:val="1"/>
          <w:numId w:val="16"/>
        </w:numPr>
        <w:spacing w:after="0" w:line="240" w:lineRule="auto"/>
        <w:ind w:firstLineChars="0"/>
        <w:jc w:val="both"/>
        <w:rPr>
          <w:rFonts w:ascii="Times" w:hAnsi="Times" w:eastAsia="宋体"/>
          <w:vanish/>
          <w:sz w:val="18"/>
          <w:szCs w:val="18"/>
          <w:highlight w:val="none"/>
        </w:rPr>
      </w:pPr>
    </w:p>
    <w:p>
      <w:pPr>
        <w:pStyle w:val="11"/>
        <w:numPr>
          <w:ilvl w:val="1"/>
          <w:numId w:val="17"/>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当交付</w:t>
      </w:r>
      <w:r>
        <w:rPr>
          <w:rFonts w:hint="eastAsia" w:ascii="Times" w:hAnsi="Times" w:eastAsia="宋体"/>
          <w:sz w:val="18"/>
          <w:szCs w:val="18"/>
          <w:highlight w:val="none"/>
        </w:rPr>
        <w:t>的产品</w:t>
      </w:r>
      <w:r>
        <w:rPr>
          <w:rFonts w:ascii="Times" w:hAnsi="Times" w:eastAsia="宋体"/>
          <w:sz w:val="18"/>
          <w:szCs w:val="18"/>
          <w:highlight w:val="none"/>
        </w:rPr>
        <w:t>中包含软件</w:t>
      </w:r>
      <w:r>
        <w:rPr>
          <w:rFonts w:hint="eastAsia" w:ascii="Times" w:hAnsi="Times" w:eastAsia="宋体"/>
          <w:sz w:val="18"/>
          <w:szCs w:val="18"/>
          <w:highlight w:val="none"/>
        </w:rPr>
        <w:t>时</w:t>
      </w:r>
      <w:r>
        <w:rPr>
          <w:rFonts w:ascii="Times" w:hAnsi="Times" w:eastAsia="宋体"/>
          <w:sz w:val="18"/>
          <w:szCs w:val="18"/>
          <w:highlight w:val="none"/>
        </w:rPr>
        <w:t>，</w:t>
      </w:r>
      <w:r>
        <w:rPr>
          <w:rFonts w:hint="eastAsia" w:ascii="Times" w:hAnsi="Times" w:eastAsia="宋体"/>
          <w:sz w:val="18"/>
          <w:szCs w:val="18"/>
          <w:highlight w:val="none"/>
        </w:rPr>
        <w:t>买方</w:t>
      </w:r>
      <w:r>
        <w:rPr>
          <w:rFonts w:ascii="Times" w:hAnsi="Times" w:eastAsia="宋体"/>
          <w:sz w:val="18"/>
          <w:szCs w:val="18"/>
          <w:highlight w:val="none"/>
        </w:rPr>
        <w:t>将被</w:t>
      </w:r>
      <w:r>
        <w:rPr>
          <w:rFonts w:hint="eastAsia" w:ascii="Times" w:hAnsi="Times" w:eastAsia="宋体"/>
          <w:sz w:val="18"/>
          <w:szCs w:val="18"/>
          <w:highlight w:val="none"/>
        </w:rPr>
        <w:t>授予一项</w:t>
      </w:r>
      <w:r>
        <w:rPr>
          <w:rFonts w:ascii="Times" w:hAnsi="Times" w:eastAsia="宋体"/>
          <w:sz w:val="18"/>
          <w:szCs w:val="18"/>
          <w:highlight w:val="none"/>
        </w:rPr>
        <w:t>非排他性</w:t>
      </w:r>
      <w:r>
        <w:rPr>
          <w:rFonts w:hint="eastAsia" w:ascii="Times" w:hAnsi="Times" w:eastAsia="宋体"/>
          <w:sz w:val="18"/>
          <w:szCs w:val="18"/>
          <w:highlight w:val="none"/>
        </w:rPr>
        <w:t>的许可，以</w:t>
      </w:r>
      <w:r>
        <w:rPr>
          <w:rFonts w:ascii="Times" w:hAnsi="Times" w:eastAsia="宋体"/>
          <w:sz w:val="18"/>
          <w:szCs w:val="18"/>
          <w:highlight w:val="none"/>
        </w:rPr>
        <w:t>使用该交付的软件（包括其文件）。</w:t>
      </w:r>
    </w:p>
    <w:p>
      <w:pPr>
        <w:pStyle w:val="11"/>
        <w:numPr>
          <w:ilvl w:val="1"/>
          <w:numId w:val="17"/>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源程序应仅根据单独的书面协议提供。</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检验</w:t>
      </w:r>
    </w:p>
    <w:p>
      <w:pPr>
        <w:pStyle w:val="11"/>
        <w:numPr>
          <w:ilvl w:val="0"/>
          <w:numId w:val="18"/>
        </w:numPr>
        <w:spacing w:after="0" w:line="240" w:lineRule="auto"/>
        <w:ind w:firstLineChars="0"/>
        <w:jc w:val="both"/>
        <w:rPr>
          <w:rFonts w:ascii="Times" w:hAnsi="Times" w:eastAsia="宋体"/>
          <w:vanish/>
          <w:sz w:val="18"/>
          <w:szCs w:val="18"/>
          <w:highlight w:val="none"/>
        </w:rPr>
      </w:pPr>
    </w:p>
    <w:p>
      <w:pPr>
        <w:pStyle w:val="11"/>
        <w:numPr>
          <w:ilvl w:val="0"/>
          <w:numId w:val="18"/>
        </w:numPr>
        <w:spacing w:after="0" w:line="240" w:lineRule="auto"/>
        <w:ind w:firstLineChars="0"/>
        <w:jc w:val="both"/>
        <w:rPr>
          <w:rFonts w:ascii="Times" w:hAnsi="Times" w:eastAsia="宋体"/>
          <w:vanish/>
          <w:sz w:val="18"/>
          <w:szCs w:val="18"/>
          <w:highlight w:val="none"/>
        </w:rPr>
      </w:pPr>
    </w:p>
    <w:p>
      <w:pPr>
        <w:pStyle w:val="11"/>
        <w:numPr>
          <w:ilvl w:val="0"/>
          <w:numId w:val="19"/>
        </w:numPr>
        <w:spacing w:after="0" w:line="240" w:lineRule="auto"/>
        <w:ind w:firstLineChars="0"/>
        <w:jc w:val="both"/>
        <w:rPr>
          <w:rFonts w:ascii="Times" w:hAnsi="Times" w:eastAsia="宋体"/>
          <w:vanish/>
          <w:sz w:val="18"/>
          <w:szCs w:val="18"/>
          <w:highlight w:val="none"/>
        </w:rPr>
      </w:pPr>
    </w:p>
    <w:p>
      <w:pPr>
        <w:pStyle w:val="11"/>
        <w:numPr>
          <w:ilvl w:val="0"/>
          <w:numId w:val="19"/>
        </w:numPr>
        <w:spacing w:after="0" w:line="240" w:lineRule="auto"/>
        <w:ind w:firstLineChars="0"/>
        <w:jc w:val="both"/>
        <w:rPr>
          <w:rFonts w:ascii="Times" w:hAnsi="Times" w:eastAsia="宋体"/>
          <w:vanish/>
          <w:sz w:val="18"/>
          <w:szCs w:val="18"/>
          <w:highlight w:val="none"/>
        </w:rPr>
      </w:pPr>
    </w:p>
    <w:p>
      <w:pPr>
        <w:pStyle w:val="11"/>
        <w:numPr>
          <w:ilvl w:val="1"/>
          <w:numId w:val="19"/>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产品交付后买方应立即仔细检验产品的状况，以此来审核交付是否完整。如果买方在交付后的合理期限内，最迟不超过七（</w:t>
      </w:r>
      <w:r>
        <w:rPr>
          <w:rFonts w:ascii="Times" w:hAnsi="Times" w:eastAsia="宋体"/>
          <w:sz w:val="18"/>
          <w:szCs w:val="18"/>
          <w:highlight w:val="none"/>
        </w:rPr>
        <w:t>7）日，未通知卖方任何规格不符，或买方在生产环境中或其日常业务过程中使用了产品，产品应视为已通过检验或验收，对修理或更换后的产品的再次检验或验收，适用前述期限的规定。</w:t>
      </w:r>
    </w:p>
    <w:p>
      <w:pPr>
        <w:pStyle w:val="11"/>
        <w:numPr>
          <w:ilvl w:val="1"/>
          <w:numId w:val="19"/>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在产品交付之后，若卖方和买方对产品的规格</w:t>
      </w:r>
      <w:r>
        <w:rPr>
          <w:rFonts w:ascii="Times" w:hAnsi="Times" w:eastAsia="宋体"/>
          <w:sz w:val="18"/>
          <w:szCs w:val="18"/>
          <w:highlight w:val="none"/>
        </w:rPr>
        <w:t>或数量上存在任何争议，买方应向双方一致认可的质量检验机构申请对产品的质量</w:t>
      </w:r>
      <w:r>
        <w:rPr>
          <w:rFonts w:hint="eastAsia" w:ascii="Times" w:hAnsi="Times" w:eastAsia="宋体"/>
          <w:sz w:val="18"/>
          <w:szCs w:val="18"/>
          <w:highlight w:val="none"/>
        </w:rPr>
        <w:t>或</w:t>
      </w:r>
      <w:r>
        <w:rPr>
          <w:rFonts w:ascii="Times" w:hAnsi="Times" w:eastAsia="宋体"/>
          <w:sz w:val="18"/>
          <w:szCs w:val="18"/>
          <w:highlight w:val="none"/>
        </w:rPr>
        <w:t>数量进行检验。</w:t>
      </w:r>
    </w:p>
    <w:p>
      <w:pPr>
        <w:pStyle w:val="11"/>
        <w:numPr>
          <w:ilvl w:val="1"/>
          <w:numId w:val="19"/>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本协议项下的质保规定不受产品检验或验收的影响。</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品质</w:t>
      </w:r>
      <w:r>
        <w:rPr>
          <w:rFonts w:ascii="Times" w:hAnsi="Times" w:eastAsia="宋体"/>
          <w:b/>
          <w:bCs/>
          <w:sz w:val="18"/>
          <w:szCs w:val="18"/>
          <w:highlight w:val="none"/>
        </w:rPr>
        <w:t>保证</w:t>
      </w:r>
    </w:p>
    <w:p>
      <w:pPr>
        <w:pStyle w:val="11"/>
        <w:numPr>
          <w:ilvl w:val="0"/>
          <w:numId w:val="20"/>
        </w:numPr>
        <w:spacing w:after="0" w:line="240" w:lineRule="auto"/>
        <w:ind w:firstLineChars="0"/>
        <w:jc w:val="both"/>
        <w:rPr>
          <w:rFonts w:ascii="Times" w:hAnsi="Times" w:eastAsia="宋体"/>
          <w:vanish/>
          <w:sz w:val="18"/>
          <w:szCs w:val="18"/>
          <w:highlight w:val="none"/>
        </w:rPr>
      </w:pPr>
    </w:p>
    <w:p>
      <w:pPr>
        <w:pStyle w:val="11"/>
        <w:numPr>
          <w:ilvl w:val="0"/>
          <w:numId w:val="20"/>
        </w:numPr>
        <w:spacing w:after="0" w:line="240" w:lineRule="auto"/>
        <w:ind w:firstLineChars="0"/>
        <w:jc w:val="both"/>
        <w:rPr>
          <w:rFonts w:ascii="Times" w:hAnsi="Times" w:eastAsia="宋体"/>
          <w:vanish/>
          <w:sz w:val="18"/>
          <w:szCs w:val="18"/>
          <w:highlight w:val="none"/>
        </w:rPr>
      </w:pPr>
    </w:p>
    <w:p>
      <w:pPr>
        <w:pStyle w:val="11"/>
        <w:numPr>
          <w:ilvl w:val="0"/>
          <w:numId w:val="19"/>
        </w:numPr>
        <w:spacing w:after="0" w:line="240" w:lineRule="auto"/>
        <w:ind w:firstLineChars="0"/>
        <w:jc w:val="both"/>
        <w:rPr>
          <w:rFonts w:ascii="Times" w:hAnsi="Times" w:eastAsia="宋体"/>
          <w:vanish/>
          <w:sz w:val="18"/>
          <w:szCs w:val="18"/>
          <w:highlight w:val="none"/>
        </w:rPr>
      </w:pPr>
    </w:p>
    <w:p>
      <w:pPr>
        <w:pStyle w:val="11"/>
        <w:numPr>
          <w:ilvl w:val="1"/>
          <w:numId w:val="19"/>
        </w:numPr>
        <w:spacing w:after="0" w:line="240" w:lineRule="auto"/>
        <w:ind w:firstLineChars="0"/>
        <w:jc w:val="both"/>
        <w:rPr>
          <w:rFonts w:ascii="Times" w:hAnsi="Times" w:eastAsia="宋体"/>
          <w:vanish/>
          <w:sz w:val="18"/>
          <w:szCs w:val="18"/>
          <w:highlight w:val="none"/>
        </w:rPr>
      </w:pPr>
    </w:p>
    <w:p>
      <w:pPr>
        <w:pStyle w:val="11"/>
        <w:numPr>
          <w:ilvl w:val="1"/>
          <w:numId w:val="19"/>
        </w:numPr>
        <w:spacing w:after="0" w:line="240" w:lineRule="auto"/>
        <w:ind w:firstLineChars="0"/>
        <w:jc w:val="both"/>
        <w:rPr>
          <w:rFonts w:ascii="Times" w:hAnsi="Times" w:eastAsia="宋体"/>
          <w:vanish/>
          <w:sz w:val="18"/>
          <w:szCs w:val="18"/>
          <w:highlight w:val="none"/>
        </w:rPr>
      </w:pPr>
    </w:p>
    <w:p>
      <w:pPr>
        <w:pStyle w:val="11"/>
        <w:numPr>
          <w:ilvl w:val="1"/>
          <w:numId w:val="19"/>
        </w:numPr>
        <w:spacing w:after="0" w:line="240" w:lineRule="auto"/>
        <w:ind w:firstLineChars="0"/>
        <w:jc w:val="both"/>
        <w:rPr>
          <w:rFonts w:ascii="Times" w:hAnsi="Times" w:eastAsia="宋体"/>
          <w:vanish/>
          <w:sz w:val="18"/>
          <w:szCs w:val="18"/>
          <w:highlight w:val="none"/>
        </w:rPr>
      </w:pPr>
    </w:p>
    <w:p>
      <w:pPr>
        <w:pStyle w:val="11"/>
        <w:numPr>
          <w:ilvl w:val="1"/>
          <w:numId w:val="21"/>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质保有效期为自安装之日起一年，但最长不超过装运后</w:t>
      </w:r>
      <w:r>
        <w:rPr>
          <w:rFonts w:ascii="Times" w:hAnsi="Times" w:eastAsia="宋体"/>
          <w:sz w:val="18"/>
          <w:szCs w:val="18"/>
          <w:highlight w:val="none"/>
        </w:rPr>
        <w:t>14个月，前提是质量缺陷是由</w:t>
      </w:r>
      <w:r>
        <w:rPr>
          <w:rFonts w:hint="eastAsia" w:ascii="Times" w:hAnsi="Times" w:eastAsia="宋体"/>
          <w:sz w:val="18"/>
          <w:szCs w:val="18"/>
          <w:highlight w:val="none"/>
        </w:rPr>
        <w:t>图湃</w:t>
      </w:r>
      <w:r>
        <w:rPr>
          <w:rFonts w:ascii="Times" w:hAnsi="Times" w:eastAsia="宋体"/>
          <w:sz w:val="18"/>
          <w:szCs w:val="18"/>
          <w:highlight w:val="none"/>
        </w:rPr>
        <w:t>的生产和制造</w:t>
      </w:r>
      <w:r>
        <w:rPr>
          <w:rFonts w:hint="eastAsia" w:ascii="Times" w:hAnsi="Times" w:eastAsia="宋体"/>
          <w:sz w:val="18"/>
          <w:szCs w:val="18"/>
          <w:highlight w:val="none"/>
        </w:rPr>
        <w:t>行为</w:t>
      </w:r>
      <w:r>
        <w:rPr>
          <w:rFonts w:ascii="Times" w:hAnsi="Times" w:eastAsia="宋体"/>
          <w:sz w:val="18"/>
          <w:szCs w:val="18"/>
          <w:highlight w:val="none"/>
        </w:rPr>
        <w:t>引起的。</w:t>
      </w:r>
    </w:p>
    <w:p>
      <w:pPr>
        <w:pStyle w:val="11"/>
        <w:numPr>
          <w:ilvl w:val="1"/>
          <w:numId w:val="22"/>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非图湃产品的质保有效期及保修条款按照该产品制造商的有关规定执行。</w:t>
      </w:r>
    </w:p>
    <w:p>
      <w:pPr>
        <w:pStyle w:val="11"/>
        <w:numPr>
          <w:ilvl w:val="1"/>
          <w:numId w:val="23"/>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买方在质保有效期内对产品提出有效的质保请求，则卖方应进行补救。补救的方式可以是维修瑕疵产品，也可以是调换瑕疵产品，由卖方自行决定。卖方应仅承担对瑕疵产品进行补救所需的成本。除卖方另行书面同意外，被指称具有瑕疵的产品应以原始包装或同等包装退回卖方检查，并由买方</w:t>
      </w:r>
      <w:r>
        <w:rPr>
          <w:rFonts w:hint="eastAsia" w:ascii="Times" w:hAnsi="Times" w:eastAsia="宋体"/>
          <w:sz w:val="18"/>
          <w:szCs w:val="18"/>
          <w:highlight w:val="none"/>
        </w:rPr>
        <w:t>预付</w:t>
      </w:r>
      <w:r>
        <w:rPr>
          <w:rFonts w:hint="eastAsia" w:ascii="Times" w:hAnsi="Times" w:eastAsia="宋体"/>
          <w:sz w:val="18"/>
          <w:szCs w:val="18"/>
          <w:highlight w:val="none"/>
        </w:rPr>
        <w:t>运输费。</w:t>
      </w:r>
    </w:p>
    <w:p>
      <w:pPr>
        <w:pStyle w:val="11"/>
        <w:numPr>
          <w:ilvl w:val="1"/>
          <w:numId w:val="24"/>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卖方应有权根据自己的法定权利拒绝对瑕疵产品进行补救。如果买方未遵守卖方关于退回瑕疵产品的要求，则卖方可拒绝对瑕疵产品进行补救。</w:t>
      </w:r>
      <w:r>
        <w:rPr>
          <w:rFonts w:ascii="Times" w:hAnsi="Times" w:eastAsia="宋体"/>
          <w:sz w:val="18"/>
          <w:szCs w:val="18"/>
          <w:highlight w:val="none"/>
        </w:rPr>
        <w:t xml:space="preserve"> </w:t>
      </w:r>
    </w:p>
    <w:p>
      <w:pPr>
        <w:pStyle w:val="11"/>
        <w:numPr>
          <w:ilvl w:val="1"/>
          <w:numId w:val="24"/>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卖方的产品的规格，尤其是要约和产品手册中所含的图片、图纸、重量数据、尺寸和容量，均将被视为平均数据。该等规格和数据在任何情况下，均不构成关于产品的品质保证，而只是关于产品的说明或标记。</w:t>
      </w:r>
    </w:p>
    <w:p>
      <w:pPr>
        <w:pStyle w:val="11"/>
        <w:numPr>
          <w:ilvl w:val="1"/>
          <w:numId w:val="24"/>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如果卖方供应的产品上的任何瑕疵系由</w:t>
      </w:r>
      <w:r>
        <w:rPr>
          <w:rFonts w:hint="eastAsia" w:ascii="Times" w:hAnsi="Times" w:eastAsia="宋体"/>
          <w:sz w:val="18"/>
          <w:szCs w:val="18"/>
          <w:highlight w:val="none"/>
        </w:rPr>
        <w:t>正常</w:t>
      </w:r>
      <w:r>
        <w:rPr>
          <w:rFonts w:hint="eastAsia" w:ascii="Times" w:hAnsi="Times" w:eastAsia="宋体"/>
          <w:sz w:val="18"/>
          <w:szCs w:val="18"/>
          <w:highlight w:val="none"/>
        </w:rPr>
        <w:t>磨损造成的（但不属于由图湃的生产和制造行为引起的质量缺陷），则卖方不承担此等瑕疵责任。未经卖方同意，买方对被篡改或更改的缺陷产品不享有任何权利，但买方能够证明所指的瑕疵并不是因为对产品的此等不当改动或篡改造成的情形除外。</w:t>
      </w:r>
    </w:p>
    <w:p>
      <w:pPr>
        <w:pStyle w:val="11"/>
        <w:numPr>
          <w:ilvl w:val="1"/>
          <w:numId w:val="24"/>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未遵守操作或维护说明，如果对交付的产品或服务进行了更改，如果更换的零件或使用的材料不符合卖方原产品规格，则任何保修均应无效，除非买方能够证明所述缺陷是由另一原因所致。卖方的质保责任不适用于以下几种情况：</w:t>
      </w:r>
      <w:r>
        <w:rPr>
          <w:rFonts w:ascii="Times" w:hAnsi="Times" w:eastAsia="宋体"/>
          <w:sz w:val="18"/>
          <w:szCs w:val="18"/>
          <w:highlight w:val="none"/>
        </w:rPr>
        <w:t>(i) 买方不当安装或测试</w:t>
      </w:r>
      <w:r>
        <w:rPr>
          <w:rFonts w:hint="eastAsia" w:ascii="Times" w:hAnsi="Times" w:eastAsia="宋体"/>
          <w:sz w:val="18"/>
          <w:szCs w:val="18"/>
          <w:highlight w:val="none"/>
        </w:rPr>
        <w:t>，</w:t>
      </w:r>
      <w:r>
        <w:rPr>
          <w:rFonts w:ascii="Times" w:hAnsi="Times" w:eastAsia="宋体"/>
          <w:sz w:val="18"/>
          <w:szCs w:val="18"/>
          <w:highlight w:val="none"/>
        </w:rPr>
        <w:t>(ii) 买方未能提供产品所需的合适的工作环境或仓储环境</w:t>
      </w:r>
      <w:r>
        <w:rPr>
          <w:rFonts w:hint="eastAsia" w:ascii="Times" w:hAnsi="Times" w:eastAsia="宋体"/>
          <w:sz w:val="18"/>
          <w:szCs w:val="18"/>
          <w:highlight w:val="none"/>
        </w:rPr>
        <w:t>，</w:t>
      </w:r>
      <w:r>
        <w:rPr>
          <w:rFonts w:ascii="Times" w:hAnsi="Times" w:eastAsia="宋体"/>
          <w:sz w:val="18"/>
          <w:szCs w:val="18"/>
          <w:highlight w:val="none"/>
        </w:rPr>
        <w:t>(iii) 买方将产品用于设计用途以外的目的</w:t>
      </w:r>
      <w:r>
        <w:rPr>
          <w:rFonts w:hint="eastAsia" w:ascii="Times" w:hAnsi="Times" w:eastAsia="宋体"/>
          <w:sz w:val="18"/>
          <w:szCs w:val="18"/>
          <w:highlight w:val="none"/>
        </w:rPr>
        <w:t>，</w:t>
      </w:r>
      <w:r>
        <w:rPr>
          <w:rFonts w:ascii="Times" w:hAnsi="Times" w:eastAsia="宋体"/>
          <w:sz w:val="18"/>
          <w:szCs w:val="18"/>
          <w:highlight w:val="none"/>
        </w:rPr>
        <w:t xml:space="preserve"> (iv)买方未能依照适用的操作流程对产品进行监控和操作</w:t>
      </w:r>
      <w:r>
        <w:rPr>
          <w:rFonts w:hint="eastAsia" w:ascii="Times" w:hAnsi="Times" w:eastAsia="宋体"/>
          <w:sz w:val="18"/>
          <w:szCs w:val="18"/>
          <w:highlight w:val="none"/>
        </w:rPr>
        <w:t>，</w:t>
      </w:r>
      <w:r>
        <w:rPr>
          <w:rFonts w:ascii="Times" w:hAnsi="Times" w:eastAsia="宋体"/>
          <w:sz w:val="18"/>
          <w:szCs w:val="18"/>
          <w:highlight w:val="none"/>
        </w:rPr>
        <w:t xml:space="preserve"> (v) 未经卖方授权买方擅自对产品作附加、拆解或改装</w:t>
      </w:r>
      <w:r>
        <w:rPr>
          <w:rFonts w:hint="eastAsia" w:ascii="Times" w:hAnsi="Times" w:eastAsia="宋体"/>
          <w:sz w:val="18"/>
          <w:szCs w:val="18"/>
          <w:highlight w:val="none"/>
        </w:rPr>
        <w:t>，</w:t>
      </w:r>
      <w:r>
        <w:rPr>
          <w:rFonts w:ascii="Times" w:hAnsi="Times" w:eastAsia="宋体"/>
          <w:sz w:val="18"/>
          <w:szCs w:val="18"/>
          <w:highlight w:val="none"/>
        </w:rPr>
        <w:t xml:space="preserve"> (vi) 异常的机械、物理或电气负载</w:t>
      </w:r>
      <w:r>
        <w:rPr>
          <w:rFonts w:hint="eastAsia" w:ascii="Times" w:hAnsi="Times" w:eastAsia="宋体"/>
          <w:sz w:val="18"/>
          <w:szCs w:val="18"/>
          <w:highlight w:val="none"/>
        </w:rPr>
        <w:t>，</w:t>
      </w:r>
      <w:r>
        <w:rPr>
          <w:rFonts w:ascii="Times" w:hAnsi="Times" w:eastAsia="宋体"/>
          <w:sz w:val="18"/>
          <w:szCs w:val="18"/>
          <w:highlight w:val="none"/>
        </w:rPr>
        <w:t xml:space="preserve"> (vii) 卖方以外</w:t>
      </w:r>
      <w:r>
        <w:rPr>
          <w:rFonts w:hint="eastAsia" w:ascii="Times" w:hAnsi="Times" w:eastAsia="宋体"/>
          <w:sz w:val="18"/>
          <w:szCs w:val="18"/>
          <w:highlight w:val="none"/>
        </w:rPr>
        <w:t>的任何人（经卖方授权的除外）对产品做的修理，</w:t>
      </w:r>
      <w:r>
        <w:rPr>
          <w:rFonts w:ascii="Times" w:hAnsi="Times" w:eastAsia="宋体"/>
          <w:sz w:val="18"/>
          <w:szCs w:val="18"/>
          <w:highlight w:val="none"/>
        </w:rPr>
        <w:t>(viii) 对产品的野蛮搬运或 (ix) 买方任何其他形式的滥用、不当使用、</w:t>
      </w:r>
      <w:r>
        <w:rPr>
          <w:rFonts w:hint="eastAsia" w:ascii="Times" w:hAnsi="Times" w:eastAsia="宋体"/>
          <w:sz w:val="18"/>
          <w:szCs w:val="18"/>
          <w:highlight w:val="none"/>
        </w:rPr>
        <w:t>疏忽</w:t>
      </w:r>
      <w:r>
        <w:rPr>
          <w:rFonts w:ascii="Times" w:hAnsi="Times" w:eastAsia="宋体"/>
          <w:sz w:val="18"/>
          <w:szCs w:val="18"/>
          <w:highlight w:val="none"/>
        </w:rPr>
        <w:t>或事故。</w:t>
      </w:r>
      <w:r>
        <w:rPr>
          <w:rFonts w:hint="eastAsia" w:ascii="Times" w:hAnsi="Times" w:eastAsia="宋体"/>
          <w:sz w:val="18"/>
          <w:szCs w:val="18"/>
          <w:highlight w:val="none"/>
        </w:rPr>
        <w:t>除上述规定的明示保证外，</w:t>
      </w:r>
      <w:r>
        <w:rPr>
          <w:rFonts w:ascii="Times" w:hAnsi="Times" w:eastAsia="宋体"/>
          <w:sz w:val="18"/>
          <w:szCs w:val="18"/>
          <w:highlight w:val="none"/>
        </w:rPr>
        <w:t>卖方不对所供产品的符合任何特殊目的、适销性、不造成任何侵权等做出任何明示或暗含的声明或保证。卖方仅在本条规定的范围内就违反质量保证义务承担责任，无论买方的索赔请求是基于合同还是侵权（包括过错和严格责任）或其他。</w:t>
      </w:r>
    </w:p>
    <w:p>
      <w:pPr>
        <w:pStyle w:val="11"/>
        <w:numPr>
          <w:ilvl w:val="1"/>
          <w:numId w:val="25"/>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买方应有义务在发现质量问题时立即以书面或邮件方式将产品瑕疵告知卖方，并应当尽其合理义务减少损失或者避免损失扩大。</w:t>
      </w:r>
    </w:p>
    <w:p>
      <w:pPr>
        <w:pStyle w:val="11"/>
        <w:numPr>
          <w:ilvl w:val="1"/>
          <w:numId w:val="26"/>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买方获得损害赔偿或补偿的任何权利，应受本条款和条件的第</w:t>
      </w:r>
      <w:r>
        <w:rPr>
          <w:rFonts w:ascii="Times" w:hAnsi="Times" w:eastAsia="宋体"/>
          <w:sz w:val="18"/>
          <w:szCs w:val="18"/>
          <w:highlight w:val="none"/>
        </w:rPr>
        <w:t>1</w:t>
      </w:r>
      <w:r>
        <w:rPr>
          <w:rFonts w:hint="eastAsia" w:ascii="Times" w:hAnsi="Times" w:eastAsia="宋体"/>
          <w:sz w:val="18"/>
          <w:szCs w:val="18"/>
          <w:highlight w:val="none"/>
        </w:rPr>
        <w:t>2</w:t>
      </w:r>
      <w:r>
        <w:rPr>
          <w:rFonts w:ascii="Times" w:hAnsi="Times" w:eastAsia="宋体"/>
          <w:sz w:val="18"/>
          <w:szCs w:val="18"/>
          <w:highlight w:val="none"/>
        </w:rPr>
        <w:t>条（有限责任）的约束。</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服务</w:t>
      </w:r>
    </w:p>
    <w:p>
      <w:pPr>
        <w:pStyle w:val="11"/>
        <w:numPr>
          <w:ilvl w:val="0"/>
          <w:numId w:val="27"/>
        </w:numPr>
        <w:spacing w:after="0" w:line="240" w:lineRule="auto"/>
        <w:ind w:firstLineChars="0"/>
        <w:jc w:val="both"/>
        <w:rPr>
          <w:rFonts w:ascii="Times" w:hAnsi="Times" w:eastAsia="宋体"/>
          <w:vanish/>
          <w:sz w:val="18"/>
          <w:szCs w:val="18"/>
          <w:highlight w:val="none"/>
        </w:rPr>
      </w:pPr>
    </w:p>
    <w:p>
      <w:pPr>
        <w:pStyle w:val="11"/>
        <w:numPr>
          <w:ilvl w:val="0"/>
          <w:numId w:val="27"/>
        </w:numPr>
        <w:spacing w:after="0" w:line="240" w:lineRule="auto"/>
        <w:ind w:firstLineChars="0"/>
        <w:jc w:val="both"/>
        <w:rPr>
          <w:rFonts w:ascii="Times" w:hAnsi="Times" w:eastAsia="宋体"/>
          <w:vanish/>
          <w:sz w:val="18"/>
          <w:szCs w:val="18"/>
          <w:highlight w:val="none"/>
        </w:rPr>
      </w:pPr>
    </w:p>
    <w:p>
      <w:pPr>
        <w:pStyle w:val="11"/>
        <w:numPr>
          <w:ilvl w:val="1"/>
          <w:numId w:val="28"/>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卖方可通过其指定的公司提供售</w:t>
      </w:r>
      <w:r>
        <w:rPr>
          <w:rFonts w:ascii="Times" w:hAnsi="Times" w:eastAsia="宋体"/>
          <w:sz w:val="18"/>
          <w:szCs w:val="18"/>
          <w:highlight w:val="none"/>
        </w:rPr>
        <w:t>后服务以及与产品</w:t>
      </w:r>
      <w:r>
        <w:rPr>
          <w:rFonts w:hint="eastAsia" w:ascii="Times" w:hAnsi="Times" w:eastAsia="宋体"/>
          <w:sz w:val="18"/>
          <w:szCs w:val="18"/>
          <w:highlight w:val="none"/>
        </w:rPr>
        <w:t>销售有关的其他服务</w:t>
      </w:r>
      <w:r>
        <w:rPr>
          <w:rFonts w:ascii="Times" w:hAnsi="Times" w:eastAsia="宋体"/>
          <w:sz w:val="18"/>
          <w:szCs w:val="18"/>
          <w:highlight w:val="none"/>
        </w:rPr>
        <w:t>（视具体情况而定）。</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有限责任</w:t>
      </w:r>
    </w:p>
    <w:p>
      <w:pPr>
        <w:pStyle w:val="11"/>
        <w:numPr>
          <w:ilvl w:val="0"/>
          <w:numId w:val="29"/>
        </w:numPr>
        <w:spacing w:after="0" w:line="240" w:lineRule="auto"/>
        <w:ind w:firstLineChars="0"/>
        <w:jc w:val="both"/>
        <w:rPr>
          <w:rFonts w:ascii="Times" w:hAnsi="Times" w:eastAsia="宋体"/>
          <w:vanish/>
          <w:sz w:val="18"/>
          <w:szCs w:val="18"/>
          <w:highlight w:val="none"/>
        </w:rPr>
      </w:pPr>
    </w:p>
    <w:p>
      <w:pPr>
        <w:pStyle w:val="11"/>
        <w:numPr>
          <w:ilvl w:val="1"/>
          <w:numId w:val="29"/>
        </w:numPr>
        <w:spacing w:after="0" w:line="240" w:lineRule="auto"/>
        <w:ind w:firstLineChars="0"/>
        <w:jc w:val="both"/>
        <w:rPr>
          <w:rFonts w:ascii="Times" w:hAnsi="Times" w:eastAsia="宋体"/>
          <w:vanish/>
          <w:sz w:val="18"/>
          <w:szCs w:val="18"/>
          <w:highlight w:val="none"/>
        </w:rPr>
      </w:pPr>
    </w:p>
    <w:p>
      <w:pPr>
        <w:pStyle w:val="11"/>
        <w:numPr>
          <w:ilvl w:val="1"/>
          <w:numId w:val="30"/>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卖方的损失赔偿责任，无论是因违约还侵权导致</w:t>
      </w:r>
      <w:r>
        <w:rPr>
          <w:rFonts w:hint="eastAsia" w:ascii="Times" w:hAnsi="Times" w:eastAsia="宋体"/>
          <w:sz w:val="18"/>
          <w:szCs w:val="18"/>
          <w:highlight w:val="none"/>
        </w:rPr>
        <w:t>，</w:t>
      </w:r>
      <w:r>
        <w:rPr>
          <w:rFonts w:ascii="Times" w:hAnsi="Times" w:eastAsia="宋体"/>
          <w:sz w:val="18"/>
          <w:szCs w:val="18"/>
          <w:highlight w:val="none"/>
        </w:rPr>
        <w:t>应仅限于卖方在缔结本合同时可预知因违反合同所造成的典型损害。在适用法律所允许的最大范围内，在任何情况下卖方无须对本协议或任何合同项下的任何特别的、</w:t>
      </w:r>
      <w:r>
        <w:rPr>
          <w:rFonts w:hint="eastAsia" w:ascii="Times" w:hAnsi="Times" w:eastAsia="宋体"/>
          <w:sz w:val="18"/>
          <w:szCs w:val="18"/>
          <w:highlight w:val="none"/>
        </w:rPr>
        <w:t>偶然的、惩罚性的、惩戒性的、非直接的或间接损失承担任何责任，包括但不限于无论何种原因引起的利润损失、生产损失、收入损失、利息损失、资金损失、财务损失、商誉损失、使用损失、机会损失或生产力损失，即使买方已被告知此类损失产生的可能性。且除因卖方故意或重大过失造成的财产损害以及人身伤害情形外，卖方对任何种类的损失或损害的累计赔偿责任在任何情况下不应超过造成损害的产品的价款。</w:t>
      </w:r>
    </w:p>
    <w:p>
      <w:pPr>
        <w:pStyle w:val="11"/>
        <w:numPr>
          <w:ilvl w:val="1"/>
          <w:numId w:val="31"/>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本合同下卖方承担的任何及所有违约金的金额累计不超过相关产品价格的百分之五（5％）。</w:t>
      </w:r>
    </w:p>
    <w:p>
      <w:pPr>
        <w:pStyle w:val="11"/>
        <w:numPr>
          <w:ilvl w:val="1"/>
          <w:numId w:val="32"/>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买方必须</w:t>
      </w:r>
      <w:r>
        <w:rPr>
          <w:rFonts w:hint="eastAsia" w:ascii="Times" w:hAnsi="Times" w:eastAsia="宋体"/>
          <w:sz w:val="18"/>
          <w:szCs w:val="18"/>
          <w:highlight w:val="none"/>
        </w:rPr>
        <w:t>提示最终用户</w:t>
      </w:r>
      <w:r>
        <w:rPr>
          <w:rFonts w:ascii="Times" w:hAnsi="Times" w:eastAsia="宋体"/>
          <w:sz w:val="18"/>
          <w:szCs w:val="18"/>
          <w:highlight w:val="none"/>
        </w:rPr>
        <w:t>每隔一段合理时间保存数据。卖方对自己供应的软件不承担软件程序造成的数据损失或篡改的责任。</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知识产权</w:t>
      </w:r>
    </w:p>
    <w:p>
      <w:pPr>
        <w:pStyle w:val="11"/>
        <w:numPr>
          <w:ilvl w:val="0"/>
          <w:numId w:val="31"/>
        </w:numPr>
        <w:spacing w:after="0" w:line="240" w:lineRule="auto"/>
        <w:ind w:firstLineChars="0"/>
        <w:jc w:val="both"/>
        <w:rPr>
          <w:rFonts w:ascii="Times" w:hAnsi="Times" w:eastAsia="宋体"/>
          <w:vanish/>
          <w:sz w:val="18"/>
          <w:szCs w:val="18"/>
          <w:highlight w:val="none"/>
        </w:rPr>
      </w:pPr>
    </w:p>
    <w:p>
      <w:pPr>
        <w:pStyle w:val="11"/>
        <w:numPr>
          <w:ilvl w:val="1"/>
          <w:numId w:val="31"/>
        </w:numPr>
        <w:spacing w:after="0" w:line="240" w:lineRule="auto"/>
        <w:ind w:firstLineChars="0"/>
        <w:jc w:val="both"/>
        <w:rPr>
          <w:rFonts w:ascii="Times" w:hAnsi="Times" w:eastAsia="宋体"/>
          <w:vanish/>
          <w:sz w:val="18"/>
          <w:szCs w:val="18"/>
          <w:highlight w:val="none"/>
        </w:rPr>
      </w:pPr>
    </w:p>
    <w:p>
      <w:pPr>
        <w:pStyle w:val="11"/>
        <w:numPr>
          <w:ilvl w:val="1"/>
          <w:numId w:val="31"/>
        </w:numPr>
        <w:spacing w:after="0" w:line="240" w:lineRule="auto"/>
        <w:ind w:firstLineChars="0"/>
        <w:jc w:val="both"/>
        <w:rPr>
          <w:rFonts w:ascii="Times" w:hAnsi="Times" w:eastAsia="宋体"/>
          <w:vanish/>
          <w:sz w:val="18"/>
          <w:szCs w:val="18"/>
          <w:highlight w:val="none"/>
        </w:rPr>
      </w:pPr>
    </w:p>
    <w:p>
      <w:pPr>
        <w:pStyle w:val="11"/>
        <w:numPr>
          <w:ilvl w:val="1"/>
          <w:numId w:val="31"/>
        </w:numPr>
        <w:spacing w:after="0" w:line="240" w:lineRule="auto"/>
        <w:ind w:firstLineChars="0"/>
        <w:jc w:val="both"/>
        <w:rPr>
          <w:rFonts w:ascii="Times" w:hAnsi="Times" w:eastAsia="宋体"/>
          <w:vanish/>
          <w:sz w:val="18"/>
          <w:szCs w:val="18"/>
          <w:highlight w:val="none"/>
        </w:rPr>
      </w:pPr>
    </w:p>
    <w:p>
      <w:pPr>
        <w:pStyle w:val="11"/>
        <w:numPr>
          <w:ilvl w:val="1"/>
          <w:numId w:val="33"/>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如果在使用卖方交付的产品或提供的服务过程中，出现由于侵犯某一知识产权而致</w:t>
      </w:r>
      <w:r>
        <w:rPr>
          <w:rFonts w:hint="eastAsia" w:ascii="Times" w:hAnsi="Times" w:eastAsia="宋体"/>
          <w:sz w:val="18"/>
          <w:szCs w:val="18"/>
          <w:highlight w:val="none"/>
        </w:rPr>
        <w:t>使第三方</w:t>
      </w:r>
      <w:r>
        <w:rPr>
          <w:rFonts w:ascii="Times" w:hAnsi="Times" w:eastAsia="宋体"/>
          <w:sz w:val="18"/>
          <w:szCs w:val="18"/>
          <w:highlight w:val="none"/>
        </w:rPr>
        <w:t>针对买方提出索赔之情形，则卖方应负责为买方取得继续使用产品或服务的权利，但前提是买方立即书面告知了此等第三方索赔，且保留了</w:t>
      </w:r>
      <w:r>
        <w:rPr>
          <w:rFonts w:hint="eastAsia" w:ascii="Times" w:hAnsi="Times" w:eastAsia="宋体"/>
          <w:sz w:val="18"/>
          <w:szCs w:val="18"/>
          <w:highlight w:val="none"/>
        </w:rPr>
        <w:t>卖方</w:t>
      </w:r>
      <w:r>
        <w:rPr>
          <w:rFonts w:ascii="Times" w:hAnsi="Times" w:eastAsia="宋体"/>
          <w:sz w:val="18"/>
          <w:szCs w:val="18"/>
          <w:highlight w:val="none"/>
        </w:rPr>
        <w:t>采取一切适当的抗辩和庭外行动的权利。无论是否采取上述行动，如果在合理的经济条件下继续使用卖方交付的产品或提供的服务被证明为不可能，则卖方可自行决定，</w:t>
      </w:r>
      <w:r>
        <w:rPr>
          <w:rFonts w:hint="eastAsia" w:ascii="Times" w:hAnsi="Times" w:eastAsia="宋体"/>
          <w:sz w:val="18"/>
          <w:szCs w:val="18"/>
          <w:highlight w:val="none"/>
        </w:rPr>
        <w:t>或是</w:t>
      </w:r>
      <w:r>
        <w:rPr>
          <w:rFonts w:ascii="Times" w:hAnsi="Times" w:eastAsia="宋体"/>
          <w:sz w:val="18"/>
          <w:szCs w:val="18"/>
          <w:highlight w:val="none"/>
        </w:rPr>
        <w:t>修改或调换特定产品或服务，以去除其法律上的瑕疵，或是收回该等产品或服务，同时将先前已支付给卖方的售价减去相当于该等产品或服务的使用寿命的金额后</w:t>
      </w:r>
      <w:r>
        <w:rPr>
          <w:rFonts w:hint="eastAsia" w:ascii="Times" w:hAnsi="Times" w:eastAsia="宋体"/>
          <w:sz w:val="18"/>
          <w:szCs w:val="18"/>
          <w:highlight w:val="none"/>
        </w:rPr>
        <w:t>的余额，退还给买方。</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hint="eastAsia" w:ascii="Times" w:hAnsi="Times" w:eastAsia="宋体"/>
          <w:b/>
          <w:bCs/>
          <w:sz w:val="18"/>
          <w:szCs w:val="18"/>
          <w:highlight w:val="none"/>
        </w:rPr>
        <w:t>不可抗力</w:t>
      </w:r>
    </w:p>
    <w:p>
      <w:pPr>
        <w:pStyle w:val="11"/>
        <w:numPr>
          <w:ilvl w:val="0"/>
          <w:numId w:val="34"/>
        </w:numPr>
        <w:spacing w:after="0" w:line="240" w:lineRule="auto"/>
        <w:ind w:firstLineChars="0"/>
        <w:jc w:val="both"/>
        <w:rPr>
          <w:rFonts w:ascii="Times" w:hAnsi="Times" w:eastAsia="宋体"/>
          <w:vanish/>
          <w:sz w:val="18"/>
          <w:szCs w:val="18"/>
          <w:highlight w:val="none"/>
        </w:rPr>
      </w:pPr>
    </w:p>
    <w:p>
      <w:pPr>
        <w:pStyle w:val="11"/>
        <w:numPr>
          <w:ilvl w:val="1"/>
          <w:numId w:val="34"/>
        </w:numPr>
        <w:spacing w:after="0" w:line="240" w:lineRule="auto"/>
        <w:ind w:firstLineChars="0"/>
        <w:jc w:val="both"/>
        <w:rPr>
          <w:rFonts w:ascii="Times" w:hAnsi="Times" w:eastAsia="宋体"/>
          <w:vanish/>
          <w:sz w:val="18"/>
          <w:szCs w:val="18"/>
          <w:highlight w:val="none"/>
        </w:rPr>
      </w:pPr>
    </w:p>
    <w:p>
      <w:pPr>
        <w:pStyle w:val="11"/>
        <w:numPr>
          <w:ilvl w:val="1"/>
          <w:numId w:val="35"/>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卖方不对因洪水、火灾、地震、干旱、战争、全球或地区流行病、政府限制、政府行为或任何其他在签订本合同时无法预测且卖方无法控制、避免或克服的事件而未能或延迟履行本合同的全部或任何部分负责。卖方履行本合同的期限应延长至与受上述事件影响的时间相等的程度。但是，卖方将尽快以书面形式通知买方此类不可抗力事件的发生。</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出口管制</w:t>
      </w:r>
    </w:p>
    <w:p>
      <w:pPr>
        <w:pStyle w:val="11"/>
        <w:numPr>
          <w:ilvl w:val="0"/>
          <w:numId w:val="36"/>
        </w:numPr>
        <w:spacing w:after="0" w:line="240" w:lineRule="auto"/>
        <w:ind w:firstLineChars="0"/>
        <w:jc w:val="both"/>
        <w:rPr>
          <w:rFonts w:ascii="Times" w:hAnsi="Times" w:eastAsia="宋体"/>
          <w:vanish/>
          <w:sz w:val="18"/>
          <w:szCs w:val="18"/>
          <w:highlight w:val="none"/>
        </w:rPr>
      </w:pPr>
    </w:p>
    <w:p>
      <w:pPr>
        <w:pStyle w:val="11"/>
        <w:numPr>
          <w:ilvl w:val="1"/>
          <w:numId w:val="36"/>
        </w:numPr>
        <w:spacing w:after="0" w:line="240" w:lineRule="auto"/>
        <w:ind w:firstLineChars="0"/>
        <w:jc w:val="both"/>
        <w:rPr>
          <w:rFonts w:ascii="Times" w:hAnsi="Times" w:eastAsia="宋体"/>
          <w:vanish/>
          <w:sz w:val="18"/>
          <w:szCs w:val="18"/>
          <w:highlight w:val="none"/>
        </w:rPr>
      </w:pPr>
    </w:p>
    <w:p>
      <w:pPr>
        <w:pStyle w:val="11"/>
        <w:numPr>
          <w:ilvl w:val="1"/>
          <w:numId w:val="37"/>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产品和服务（包括任何相关技术或文件在内）的销售、转售和处分应适用德国、欧盟、美国及其它有关国家在</w:t>
      </w:r>
      <w:r>
        <w:rPr>
          <w:rFonts w:hint="eastAsia" w:ascii="Times" w:hAnsi="Times" w:eastAsia="宋体"/>
          <w:sz w:val="18"/>
          <w:szCs w:val="18"/>
          <w:highlight w:val="none"/>
        </w:rPr>
        <w:t>进出口管制方面的规定。将产品转售给任何禁运国家、禁售相对人或者将产品用于或可能用于军事目的、</w:t>
      </w:r>
      <w:r>
        <w:rPr>
          <w:rFonts w:ascii="Times" w:hAnsi="Times" w:eastAsia="宋体"/>
          <w:sz w:val="18"/>
          <w:szCs w:val="18"/>
          <w:highlight w:val="none"/>
        </w:rPr>
        <w:t>ABC武器（即原子武器、细菌或生物武器和化学武器这三类武器的简称）或核技术的人士均需获得许可。买方在签发其订单的同时声明遵守上述法规和规定，并声明产品不会直接或间接地交付给禁止或限制进口该等产品的国家。买方承诺并保证其已取得其签署和履行本合同所需的一切许可与批准，包括但不限于营业执照、就产品的进口、转售、使用、转出口所需的一切许可与批准，视具体情况而定。</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保密及个人信息保护</w:t>
      </w:r>
    </w:p>
    <w:p>
      <w:pPr>
        <w:pStyle w:val="11"/>
        <w:numPr>
          <w:ilvl w:val="0"/>
          <w:numId w:val="38"/>
        </w:numPr>
        <w:spacing w:after="0" w:line="240" w:lineRule="auto"/>
        <w:ind w:firstLineChars="0"/>
        <w:jc w:val="both"/>
        <w:rPr>
          <w:rFonts w:ascii="Times" w:hAnsi="Times" w:eastAsia="宋体"/>
          <w:vanish/>
          <w:sz w:val="18"/>
          <w:szCs w:val="18"/>
          <w:highlight w:val="none"/>
        </w:rPr>
      </w:pPr>
    </w:p>
    <w:p>
      <w:pPr>
        <w:pStyle w:val="11"/>
        <w:numPr>
          <w:ilvl w:val="1"/>
          <w:numId w:val="38"/>
        </w:numPr>
        <w:spacing w:after="0" w:line="240" w:lineRule="auto"/>
        <w:ind w:firstLineChars="0"/>
        <w:jc w:val="both"/>
        <w:rPr>
          <w:rFonts w:ascii="Times" w:hAnsi="Times" w:eastAsia="宋体"/>
          <w:vanish/>
          <w:sz w:val="18"/>
          <w:szCs w:val="18"/>
          <w:highlight w:val="none"/>
        </w:rPr>
      </w:pPr>
    </w:p>
    <w:p>
      <w:pPr>
        <w:pStyle w:val="11"/>
        <w:numPr>
          <w:ilvl w:val="1"/>
          <w:numId w:val="39"/>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除以书面方式另作明确规定之情形外，向卖方提供的、与订单有关的任何信息均不被视为保密信息，但信息的保密性质显而易见的情形除外。</w:t>
      </w:r>
    </w:p>
    <w:p>
      <w:pPr>
        <w:pStyle w:val="11"/>
        <w:numPr>
          <w:ilvl w:val="1"/>
          <w:numId w:val="39"/>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如果在</w:t>
      </w:r>
      <w:r>
        <w:rPr>
          <w:rFonts w:ascii="Times" w:hAnsi="Times" w:eastAsia="宋体"/>
          <w:sz w:val="18"/>
          <w:szCs w:val="18"/>
          <w:highlight w:val="none"/>
        </w:rPr>
        <w:t>合同的谈判、订立和履行过程中买方向卖方提供</w:t>
      </w:r>
      <w:r>
        <w:rPr>
          <w:rFonts w:hint="eastAsia" w:ascii="Times" w:hAnsi="Times" w:eastAsia="宋体"/>
          <w:sz w:val="18"/>
          <w:szCs w:val="18"/>
          <w:highlight w:val="none"/>
        </w:rPr>
        <w:t>了</w:t>
      </w:r>
      <w:r>
        <w:rPr>
          <w:rFonts w:ascii="Times" w:hAnsi="Times" w:eastAsia="宋体"/>
          <w:sz w:val="18"/>
          <w:szCs w:val="18"/>
          <w:highlight w:val="none"/>
        </w:rPr>
        <w:t>个人信息(“个人信息”)</w:t>
      </w:r>
      <w:r>
        <w:rPr>
          <w:rFonts w:hint="eastAsia" w:ascii="Times" w:hAnsi="Times" w:eastAsia="宋体"/>
          <w:sz w:val="18"/>
          <w:szCs w:val="18"/>
          <w:highlight w:val="none"/>
        </w:rPr>
        <w:t>，</w:t>
      </w:r>
      <w:r>
        <w:rPr>
          <w:rFonts w:ascii="Times" w:hAnsi="Times" w:eastAsia="宋体"/>
          <w:sz w:val="18"/>
          <w:szCs w:val="18"/>
          <w:highlight w:val="none"/>
        </w:rPr>
        <w:t>买方承诺个人信息均以合法方式获得并向卖方提供，并授予卖方及其关联公司（无论是位于中国境内或境外），存储、处理、传递和使用个人信息的许可。“使用”是指用于本合同的履行以及双方业务关系管理（“用途”）。</w:t>
      </w:r>
      <w:r>
        <w:rPr>
          <w:rFonts w:hint="eastAsia" w:ascii="Times" w:hAnsi="Times" w:eastAsia="宋体"/>
          <w:sz w:val="18"/>
          <w:szCs w:val="18"/>
          <w:highlight w:val="none"/>
        </w:rPr>
        <w:t>并</w:t>
      </w:r>
      <w:r>
        <w:rPr>
          <w:rFonts w:ascii="Times" w:hAnsi="Times" w:eastAsia="宋体"/>
          <w:sz w:val="18"/>
          <w:szCs w:val="18"/>
          <w:highlight w:val="none"/>
        </w:rPr>
        <w:t>且买方理解并同意，在对个人信息保密且遵守适用的法律法规的情况下，为前述用途，卖方可在第三方数据库平台（无论是位于中国境内或境外）上使用、存储个人信息。</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适用法律及争议解决</w:t>
      </w:r>
    </w:p>
    <w:p>
      <w:pPr>
        <w:pStyle w:val="11"/>
        <w:numPr>
          <w:ilvl w:val="0"/>
          <w:numId w:val="40"/>
        </w:numPr>
        <w:spacing w:after="0" w:line="240" w:lineRule="auto"/>
        <w:ind w:firstLineChars="0"/>
        <w:jc w:val="both"/>
        <w:rPr>
          <w:rFonts w:ascii="Times" w:hAnsi="Times" w:eastAsia="宋体"/>
          <w:vanish/>
          <w:sz w:val="18"/>
          <w:szCs w:val="18"/>
          <w:highlight w:val="none"/>
        </w:rPr>
      </w:pPr>
    </w:p>
    <w:p>
      <w:pPr>
        <w:pStyle w:val="11"/>
        <w:numPr>
          <w:ilvl w:val="1"/>
          <w:numId w:val="40"/>
        </w:numPr>
        <w:spacing w:after="0" w:line="240" w:lineRule="auto"/>
        <w:ind w:firstLineChars="0"/>
        <w:jc w:val="both"/>
        <w:rPr>
          <w:rFonts w:ascii="Times" w:hAnsi="Times" w:eastAsia="宋体"/>
          <w:vanish/>
          <w:sz w:val="18"/>
          <w:szCs w:val="18"/>
          <w:highlight w:val="none"/>
        </w:rPr>
      </w:pPr>
    </w:p>
    <w:p>
      <w:pPr>
        <w:pStyle w:val="11"/>
        <w:numPr>
          <w:ilvl w:val="1"/>
          <w:numId w:val="40"/>
        </w:numPr>
        <w:spacing w:after="0" w:line="240" w:lineRule="auto"/>
        <w:ind w:firstLineChars="0"/>
        <w:jc w:val="both"/>
        <w:rPr>
          <w:rFonts w:ascii="Times" w:hAnsi="Times" w:eastAsia="宋体"/>
          <w:vanish/>
          <w:sz w:val="18"/>
          <w:szCs w:val="18"/>
          <w:highlight w:val="none"/>
        </w:rPr>
      </w:pPr>
    </w:p>
    <w:p>
      <w:pPr>
        <w:pStyle w:val="11"/>
        <w:numPr>
          <w:ilvl w:val="1"/>
          <w:numId w:val="41"/>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本协议的效力、解释和执行以及本协议项下产生的双方的权利和义务应受中华人民共和国法律（为本协议之目的，不包括香港特别行政区、澳门特别行政区或台湾的法律）管辖，但冲突规范除外。</w:t>
      </w:r>
      <w:r>
        <w:rPr>
          <w:rFonts w:ascii="Times" w:hAnsi="Times" w:eastAsia="宋体"/>
          <w:sz w:val="18"/>
          <w:szCs w:val="18"/>
          <w:highlight w:val="none"/>
        </w:rPr>
        <w:t>本协议明确排除《联合国国际货物销售合同公约》。</w:t>
      </w:r>
    </w:p>
    <w:p>
      <w:pPr>
        <w:pStyle w:val="11"/>
        <w:numPr>
          <w:ilvl w:val="1"/>
          <w:numId w:val="41"/>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由本合同引起的或与之相关的任何争议、争论、分歧或权利主张，包括本合同的存在、有效性、解释、履行、违约或终止，或者由本合同引起的或与之相关的非合同义务方面的任何争议，均应提交上海国际经济贸易仲裁委员会，根据申请仲裁时上海国际经济贸易仲裁委员会现行有效的仲裁规则仲裁解决。本仲裁条款适用的法律为中华人民共和国法律</w:t>
      </w:r>
      <w:r>
        <w:rPr>
          <w:rFonts w:ascii="Times" w:hAnsi="Times" w:eastAsia="宋体"/>
          <w:sz w:val="18"/>
          <w:szCs w:val="18"/>
          <w:highlight w:val="none"/>
        </w:rPr>
        <w:t>（仅为本协议之目的，不包括香港特别行政区、澳门特别行政区和台湾地区的法律）</w:t>
      </w:r>
      <w:r>
        <w:rPr>
          <w:rFonts w:hint="eastAsia" w:ascii="Times" w:hAnsi="Times" w:eastAsia="宋体"/>
          <w:sz w:val="18"/>
          <w:szCs w:val="18"/>
          <w:highlight w:val="none"/>
        </w:rPr>
        <w:t>。</w:t>
      </w:r>
      <w:r>
        <w:rPr>
          <w:rFonts w:ascii="Times" w:hAnsi="Times" w:eastAsia="宋体"/>
          <w:sz w:val="18"/>
          <w:szCs w:val="18"/>
          <w:highlight w:val="none"/>
        </w:rPr>
        <w:t>仲裁地为上海。仲裁员人数为三名。仲裁程序以</w:t>
      </w:r>
      <w:r>
        <w:rPr>
          <w:rFonts w:hint="eastAsia" w:ascii="Times" w:hAnsi="Times" w:eastAsia="宋体"/>
          <w:sz w:val="18"/>
          <w:szCs w:val="18"/>
          <w:highlight w:val="none"/>
        </w:rPr>
        <w:t>中文</w:t>
      </w:r>
      <w:r>
        <w:rPr>
          <w:rFonts w:ascii="Times" w:hAnsi="Times" w:eastAsia="宋体"/>
          <w:sz w:val="18"/>
          <w:szCs w:val="18"/>
          <w:highlight w:val="none"/>
        </w:rPr>
        <w:t>进行。</w:t>
      </w:r>
    </w:p>
    <w:p>
      <w:pPr>
        <w:pStyle w:val="11"/>
        <w:numPr>
          <w:ilvl w:val="1"/>
          <w:numId w:val="41"/>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在仲裁过程中，除存</w:t>
      </w:r>
      <w:r>
        <w:rPr>
          <w:rFonts w:hint="eastAsia" w:ascii="Times" w:hAnsi="Times" w:eastAsia="宋体"/>
          <w:sz w:val="18"/>
          <w:szCs w:val="18"/>
          <w:highlight w:val="none"/>
        </w:rPr>
        <w:t>在</w:t>
      </w:r>
      <w:r>
        <w:rPr>
          <w:rFonts w:ascii="Times" w:hAnsi="Times" w:eastAsia="宋体"/>
          <w:sz w:val="18"/>
          <w:szCs w:val="18"/>
          <w:highlight w:val="none"/>
        </w:rPr>
        <w:t>争议、正进行的部分外</w:t>
      </w:r>
      <w:r>
        <w:rPr>
          <w:rFonts w:hint="eastAsia" w:ascii="Times" w:hAnsi="Times" w:eastAsia="宋体"/>
          <w:sz w:val="18"/>
          <w:szCs w:val="18"/>
          <w:highlight w:val="none"/>
        </w:rPr>
        <w:t>，</w:t>
      </w:r>
      <w:r>
        <w:rPr>
          <w:rFonts w:ascii="Times" w:hAnsi="Times" w:eastAsia="宋体"/>
          <w:sz w:val="18"/>
          <w:szCs w:val="18"/>
          <w:highlight w:val="none"/>
        </w:rPr>
        <w:t>应继续履行本合同。</w:t>
      </w:r>
    </w:p>
    <w:p>
      <w:pPr>
        <w:pStyle w:val="11"/>
        <w:numPr>
          <w:ilvl w:val="0"/>
          <w:numId w:val="6"/>
        </w:numPr>
        <w:spacing w:after="0" w:line="240" w:lineRule="auto"/>
        <w:ind w:left="567" w:hanging="567" w:firstLineChars="0"/>
        <w:jc w:val="both"/>
        <w:rPr>
          <w:rFonts w:ascii="Times" w:hAnsi="Times" w:eastAsia="宋体"/>
          <w:b/>
          <w:bCs/>
          <w:sz w:val="18"/>
          <w:szCs w:val="18"/>
          <w:highlight w:val="none"/>
        </w:rPr>
      </w:pPr>
      <w:r>
        <w:rPr>
          <w:rFonts w:ascii="Times" w:hAnsi="Times" w:eastAsia="宋体"/>
          <w:b/>
          <w:bCs/>
          <w:sz w:val="18"/>
          <w:szCs w:val="18"/>
          <w:highlight w:val="none"/>
        </w:rPr>
        <w:t>其他规定</w:t>
      </w:r>
    </w:p>
    <w:p>
      <w:pPr>
        <w:pStyle w:val="11"/>
        <w:numPr>
          <w:ilvl w:val="0"/>
          <w:numId w:val="42"/>
        </w:numPr>
        <w:spacing w:after="0" w:line="240" w:lineRule="auto"/>
        <w:ind w:firstLineChars="0"/>
        <w:jc w:val="both"/>
        <w:rPr>
          <w:rFonts w:ascii="Times" w:hAnsi="Times" w:eastAsia="宋体"/>
          <w:vanish/>
          <w:sz w:val="18"/>
          <w:szCs w:val="18"/>
          <w:highlight w:val="none"/>
        </w:rPr>
      </w:pPr>
    </w:p>
    <w:p>
      <w:pPr>
        <w:pStyle w:val="11"/>
        <w:numPr>
          <w:ilvl w:val="1"/>
          <w:numId w:val="42"/>
        </w:numPr>
        <w:spacing w:after="0" w:line="240" w:lineRule="auto"/>
        <w:ind w:firstLineChars="0"/>
        <w:jc w:val="both"/>
        <w:rPr>
          <w:rFonts w:ascii="Times" w:hAnsi="Times" w:eastAsia="宋体"/>
          <w:vanish/>
          <w:sz w:val="18"/>
          <w:szCs w:val="18"/>
          <w:highlight w:val="none"/>
        </w:rPr>
      </w:pPr>
    </w:p>
    <w:p>
      <w:pPr>
        <w:pStyle w:val="11"/>
        <w:numPr>
          <w:ilvl w:val="1"/>
          <w:numId w:val="42"/>
        </w:numPr>
        <w:spacing w:after="0" w:line="240" w:lineRule="auto"/>
        <w:ind w:firstLineChars="0"/>
        <w:jc w:val="both"/>
        <w:rPr>
          <w:rFonts w:ascii="Times" w:hAnsi="Times" w:eastAsia="宋体"/>
          <w:vanish/>
          <w:sz w:val="18"/>
          <w:szCs w:val="18"/>
          <w:highlight w:val="none"/>
        </w:rPr>
      </w:pPr>
    </w:p>
    <w:p>
      <w:pPr>
        <w:pStyle w:val="11"/>
        <w:numPr>
          <w:ilvl w:val="1"/>
          <w:numId w:val="42"/>
        </w:numPr>
        <w:spacing w:after="0" w:line="240" w:lineRule="auto"/>
        <w:ind w:firstLineChars="0"/>
        <w:jc w:val="both"/>
        <w:rPr>
          <w:rFonts w:ascii="Times" w:hAnsi="Times" w:eastAsia="宋体"/>
          <w:vanish/>
          <w:sz w:val="18"/>
          <w:szCs w:val="18"/>
          <w:highlight w:val="none"/>
        </w:rPr>
      </w:pPr>
    </w:p>
    <w:p>
      <w:pPr>
        <w:pStyle w:val="11"/>
        <w:numPr>
          <w:ilvl w:val="1"/>
          <w:numId w:val="42"/>
        </w:numPr>
        <w:spacing w:after="0" w:line="240" w:lineRule="auto"/>
        <w:ind w:firstLineChars="0"/>
        <w:jc w:val="both"/>
        <w:rPr>
          <w:rFonts w:ascii="Times" w:hAnsi="Times" w:eastAsia="宋体"/>
          <w:vanish/>
          <w:sz w:val="18"/>
          <w:szCs w:val="18"/>
          <w:highlight w:val="none"/>
        </w:rPr>
      </w:pPr>
    </w:p>
    <w:p>
      <w:pPr>
        <w:pStyle w:val="11"/>
        <w:numPr>
          <w:ilvl w:val="1"/>
          <w:numId w:val="43"/>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如果本通用条款和条件的任何条款全部或部分无效，其余条款或其中各部分的有效性不受影响。</w:t>
      </w:r>
    </w:p>
    <w:p>
      <w:pPr>
        <w:pStyle w:val="11"/>
        <w:numPr>
          <w:ilvl w:val="1"/>
          <w:numId w:val="43"/>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未经卖方事先书面同意，买方在本合同下的任何或全部权利和义务不得转让给任何第三方。</w:t>
      </w:r>
    </w:p>
    <w:p>
      <w:pPr>
        <w:pStyle w:val="11"/>
        <w:numPr>
          <w:ilvl w:val="1"/>
          <w:numId w:val="43"/>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除非双方另行书面同意，否则不得对本合同的全部或任何部分进行修订。</w:t>
      </w:r>
    </w:p>
    <w:p>
      <w:pPr>
        <w:pStyle w:val="11"/>
        <w:numPr>
          <w:ilvl w:val="1"/>
          <w:numId w:val="43"/>
        </w:numPr>
        <w:spacing w:after="0" w:line="240" w:lineRule="auto"/>
        <w:ind w:left="567" w:hanging="567" w:firstLineChars="0"/>
        <w:jc w:val="both"/>
        <w:rPr>
          <w:rFonts w:ascii="Times" w:hAnsi="Times" w:eastAsia="宋体"/>
          <w:sz w:val="18"/>
          <w:szCs w:val="18"/>
          <w:highlight w:val="none"/>
        </w:rPr>
      </w:pPr>
      <w:r>
        <w:rPr>
          <w:rFonts w:ascii="Times" w:hAnsi="Times" w:eastAsia="宋体"/>
          <w:sz w:val="18"/>
          <w:szCs w:val="18"/>
          <w:highlight w:val="none"/>
        </w:rPr>
        <w:t>本合同如以英文和中</w:t>
      </w:r>
      <w:r>
        <w:rPr>
          <w:rFonts w:hint="eastAsia" w:ascii="Times" w:hAnsi="Times" w:eastAsia="宋体"/>
          <w:sz w:val="18"/>
          <w:szCs w:val="18"/>
          <w:highlight w:val="none"/>
        </w:rPr>
        <w:t>文</w:t>
      </w:r>
      <w:r>
        <w:rPr>
          <w:rFonts w:ascii="Times" w:hAnsi="Times" w:eastAsia="宋体"/>
          <w:sz w:val="18"/>
          <w:szCs w:val="18"/>
          <w:highlight w:val="none"/>
        </w:rPr>
        <w:t>两种语言书就，两种语言</w:t>
      </w:r>
      <w:r>
        <w:rPr>
          <w:rFonts w:hint="eastAsia" w:ascii="Times" w:hAnsi="Times" w:eastAsia="宋体"/>
          <w:sz w:val="18"/>
          <w:szCs w:val="18"/>
          <w:highlight w:val="none"/>
        </w:rPr>
        <w:t>的文本如有冲突，以英文文本为准。</w:t>
      </w:r>
    </w:p>
    <w:p>
      <w:pPr>
        <w:pStyle w:val="11"/>
        <w:numPr>
          <w:ilvl w:val="1"/>
          <w:numId w:val="44"/>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通过电子邮件交换</w:t>
      </w:r>
      <w:r>
        <w:rPr>
          <w:rFonts w:ascii="Times" w:hAnsi="Times" w:eastAsia="宋体"/>
          <w:sz w:val="18"/>
          <w:szCs w:val="18"/>
          <w:highlight w:val="none"/>
        </w:rPr>
        <w:t>pdf格式的已签署文件应与交换湿墨水签名原件具有相同的法律效力。</w:t>
      </w:r>
    </w:p>
    <w:p>
      <w:pPr>
        <w:pStyle w:val="11"/>
        <w:numPr>
          <w:ilvl w:val="1"/>
          <w:numId w:val="44"/>
        </w:numPr>
        <w:spacing w:after="0" w:line="240" w:lineRule="auto"/>
        <w:ind w:left="567" w:hanging="567" w:firstLineChars="0"/>
        <w:jc w:val="both"/>
        <w:rPr>
          <w:rFonts w:ascii="Times" w:hAnsi="Times" w:eastAsia="宋体"/>
          <w:sz w:val="18"/>
          <w:szCs w:val="18"/>
          <w:highlight w:val="none"/>
        </w:rPr>
      </w:pPr>
      <w:r>
        <w:rPr>
          <w:rFonts w:hint="eastAsia" w:ascii="Times" w:hAnsi="Times" w:eastAsia="宋体"/>
          <w:sz w:val="18"/>
          <w:szCs w:val="18"/>
          <w:highlight w:val="none"/>
        </w:rPr>
        <w:t>本通用销售条款和条件在</w:t>
      </w:r>
      <w:r>
        <w:rPr>
          <w:rFonts w:ascii="Times" w:hAnsi="Times" w:eastAsia="宋体"/>
          <w:sz w:val="18"/>
          <w:szCs w:val="18"/>
          <w:highlight w:val="none"/>
        </w:rPr>
        <w:t xml:space="preserve"> TowardPi的官方网站[]上公布，该</w:t>
      </w:r>
      <w:r>
        <w:rPr>
          <w:rFonts w:hint="eastAsia" w:ascii="Times" w:hAnsi="Times" w:eastAsia="宋体"/>
          <w:sz w:val="18"/>
          <w:szCs w:val="18"/>
          <w:highlight w:val="none"/>
        </w:rPr>
        <w:t>通用销售条款和条件</w:t>
      </w:r>
      <w:r>
        <w:rPr>
          <w:rFonts w:ascii="Times" w:hAnsi="Times" w:eastAsia="宋体"/>
          <w:sz w:val="18"/>
          <w:szCs w:val="18"/>
          <w:highlight w:val="none"/>
        </w:rPr>
        <w:t>可能会随时间更新。</w:t>
      </w:r>
    </w:p>
    <w:p>
      <w:pPr>
        <w:spacing w:after="0" w:line="240" w:lineRule="auto"/>
        <w:jc w:val="both"/>
        <w:rPr>
          <w:rFonts w:ascii="Times" w:hAnsi="Times" w:eastAsia="宋体"/>
          <w:sz w:val="18"/>
          <w:szCs w:val="18"/>
          <w:highlight w:val="none"/>
        </w:rPr>
      </w:pPr>
    </w:p>
    <w:p>
      <w:pPr>
        <w:spacing w:after="0" w:line="240" w:lineRule="auto"/>
        <w:jc w:val="both"/>
        <w:rPr>
          <w:rFonts w:ascii="Times" w:hAnsi="Times" w:eastAsia="宋体"/>
          <w:sz w:val="18"/>
          <w:szCs w:val="18"/>
          <w:highlight w:val="none"/>
        </w:rPr>
      </w:pPr>
    </w:p>
    <w:p>
      <w:pPr>
        <w:spacing w:after="0" w:line="240" w:lineRule="auto"/>
        <w:jc w:val="both"/>
        <w:rPr>
          <w:rFonts w:ascii="Times" w:hAnsi="Times" w:eastAsia="宋体"/>
          <w:sz w:val="18"/>
          <w:szCs w:val="18"/>
          <w:highlight w:val="none"/>
        </w:rPr>
      </w:pPr>
      <w:r>
        <w:rPr>
          <w:rFonts w:hint="eastAsia" w:ascii="Times" w:hAnsi="Times" w:eastAsia="宋体"/>
          <w:sz w:val="18"/>
          <w:szCs w:val="18"/>
          <w:highlight w:val="none"/>
        </w:rPr>
        <w:t>制于：2024年8月</w:t>
      </w:r>
    </w:p>
    <w:bookmarkEnd w:id="0"/>
    <w:sectPr>
      <w:type w:val="continuous"/>
      <w:pgSz w:w="11906" w:h="16838"/>
      <w:pgMar w:top="1440" w:right="1800" w:bottom="1440" w:left="1800" w:header="851" w:footer="992" w:gutter="0"/>
      <w:cols w:space="425" w:num="2"/>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Heiti SC Medium">
    <w:panose1 w:val="02000000000000000000"/>
    <w:charset w:val="86"/>
    <w:family w:val="auto"/>
    <w:pitch w:val="default"/>
    <w:sig w:usb0="8000002F" w:usb1="0800004A" w:usb2="00000000" w:usb3="00000000" w:csb0="203E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Times">
    <w:panose1 w:val="00000500000000020000"/>
    <w:charset w:val="00"/>
    <w:family w:val="auto"/>
    <w:pitch w:val="default"/>
    <w:sig w:usb0="E00002FF" w:usb1="5000205A" w:usb2="00000000" w:usb3="00000000" w:csb0="2000019F" w:csb1="4F01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9821361"/>
      <w:docPartObj>
        <w:docPartGallery w:val="AutoText"/>
      </w:docPartObj>
    </w:sdtPr>
    <w:sdtContent>
      <w:sdt>
        <w:sdtPr>
          <w:id w:val="1728636285"/>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C33F21"/>
    <w:multiLevelType w:val="multilevel"/>
    <w:tmpl w:val="08C33F21"/>
    <w:lvl w:ilvl="0" w:tentative="0">
      <w:start w:val="15"/>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
    <w:nsid w:val="0A0C2878"/>
    <w:multiLevelType w:val="multilevel"/>
    <w:tmpl w:val="0A0C2878"/>
    <w:lvl w:ilvl="0" w:tentative="0">
      <w:start w:val="13"/>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
    <w:nsid w:val="0B9D43A4"/>
    <w:multiLevelType w:val="multilevel"/>
    <w:tmpl w:val="0B9D43A4"/>
    <w:lvl w:ilvl="0" w:tentative="0">
      <w:start w:val="7"/>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
    <w:nsid w:val="0BFA27F5"/>
    <w:multiLevelType w:val="multilevel"/>
    <w:tmpl w:val="0BFA27F5"/>
    <w:lvl w:ilvl="0" w:tentative="0">
      <w:start w:val="10"/>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4">
    <w:nsid w:val="0D2C7DCC"/>
    <w:multiLevelType w:val="multilevel"/>
    <w:tmpl w:val="0D2C7DCC"/>
    <w:lvl w:ilvl="0" w:tentative="0">
      <w:start w:val="17"/>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5">
    <w:nsid w:val="0D871807"/>
    <w:multiLevelType w:val="multilevel"/>
    <w:tmpl w:val="0D871807"/>
    <w:lvl w:ilvl="0" w:tentative="0">
      <w:start w:val="14"/>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6">
    <w:nsid w:val="0F6267CF"/>
    <w:multiLevelType w:val="multilevel"/>
    <w:tmpl w:val="0F6267CF"/>
    <w:lvl w:ilvl="0" w:tentative="0">
      <w:start w:val="18"/>
      <w:numFmt w:val="decimal"/>
      <w:lvlText w:val="%1."/>
      <w:lvlJc w:val="left"/>
      <w:pPr>
        <w:ind w:left="360" w:hanging="360"/>
      </w:pPr>
      <w:rPr>
        <w:rFonts w:hint="default"/>
      </w:rPr>
    </w:lvl>
    <w:lvl w:ilvl="1" w:tentative="0">
      <w:start w:val="5"/>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7">
    <w:nsid w:val="11285BE7"/>
    <w:multiLevelType w:val="multilevel"/>
    <w:tmpl w:val="11285BE7"/>
    <w:lvl w:ilvl="0" w:tentative="0">
      <w:start w:val="8"/>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8">
    <w:nsid w:val="134E512B"/>
    <w:multiLevelType w:val="multilevel"/>
    <w:tmpl w:val="134E512B"/>
    <w:lvl w:ilvl="0" w:tentative="0">
      <w:start w:val="2"/>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9">
    <w:nsid w:val="145C453F"/>
    <w:multiLevelType w:val="multilevel"/>
    <w:tmpl w:val="145C453F"/>
    <w:lvl w:ilvl="0" w:tentative="0">
      <w:start w:val="12"/>
      <w:numFmt w:val="decimal"/>
      <w:lvlText w:val="%1."/>
      <w:lvlJc w:val="left"/>
      <w:pPr>
        <w:ind w:left="360" w:hanging="360"/>
      </w:pPr>
      <w:rPr>
        <w:rFonts w:hint="default"/>
      </w:rPr>
    </w:lvl>
    <w:lvl w:ilvl="1" w:tentative="0">
      <w:start w:val="2"/>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0">
    <w:nsid w:val="18982EF7"/>
    <w:multiLevelType w:val="multilevel"/>
    <w:tmpl w:val="18982EF7"/>
    <w:lvl w:ilvl="0" w:tentative="0">
      <w:start w:val="10"/>
      <w:numFmt w:val="decimal"/>
      <w:lvlText w:val="%1."/>
      <w:lvlJc w:val="left"/>
      <w:pPr>
        <w:ind w:left="360" w:hanging="360"/>
      </w:pPr>
      <w:rPr>
        <w:rFonts w:hint="default"/>
      </w:rPr>
    </w:lvl>
    <w:lvl w:ilvl="1" w:tentative="0">
      <w:start w:val="3"/>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1">
    <w:nsid w:val="1A685074"/>
    <w:multiLevelType w:val="multilevel"/>
    <w:tmpl w:val="1A685074"/>
    <w:lvl w:ilvl="0" w:tentative="0">
      <w:start w:val="10"/>
      <w:numFmt w:val="decimal"/>
      <w:lvlText w:val="%1."/>
      <w:lvlJc w:val="left"/>
      <w:pPr>
        <w:ind w:left="360" w:hanging="360"/>
      </w:pPr>
      <w:rPr>
        <w:rFonts w:hint="default"/>
      </w:rPr>
    </w:lvl>
    <w:lvl w:ilvl="1" w:tentative="0">
      <w:start w:val="9"/>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2">
    <w:nsid w:val="1B8D2040"/>
    <w:multiLevelType w:val="multilevel"/>
    <w:tmpl w:val="1B8D2040"/>
    <w:lvl w:ilvl="0" w:tentative="0">
      <w:start w:val="16"/>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3">
    <w:nsid w:val="1D1A279C"/>
    <w:multiLevelType w:val="multilevel"/>
    <w:tmpl w:val="1D1A279C"/>
    <w:lvl w:ilvl="0" w:tentative="0">
      <w:start w:val="2"/>
      <w:numFmt w:val="upperRoman"/>
      <w:lvlText w:val="%1."/>
      <w:lvlJc w:val="left"/>
      <w:pPr>
        <w:ind w:left="360" w:hanging="360"/>
      </w:pPr>
      <w:rPr>
        <w:rFonts w:hint="eastAsia"/>
      </w:rPr>
    </w:lvl>
    <w:lvl w:ilvl="1" w:tentative="0">
      <w:start w:val="1"/>
      <w:numFmt w:val="decimal"/>
      <w:isLgl/>
      <w:lvlText w:val="%1.%2"/>
      <w:lvlJc w:val="left"/>
      <w:pPr>
        <w:ind w:left="420" w:hanging="4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4">
    <w:nsid w:val="1E596E77"/>
    <w:multiLevelType w:val="multilevel"/>
    <w:tmpl w:val="1E596E77"/>
    <w:lvl w:ilvl="0" w:tentative="0">
      <w:start w:val="18"/>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5">
    <w:nsid w:val="254D35FD"/>
    <w:multiLevelType w:val="multilevel"/>
    <w:tmpl w:val="254D35FD"/>
    <w:lvl w:ilvl="0" w:tentative="0">
      <w:start w:val="3"/>
      <w:numFmt w:val="decimal"/>
      <w:lvlText w:val="%1."/>
      <w:lvlJc w:val="left"/>
      <w:pPr>
        <w:ind w:left="360" w:hanging="360"/>
      </w:pPr>
      <w:rPr>
        <w:rFonts w:hint="default"/>
      </w:rPr>
    </w:lvl>
    <w:lvl w:ilvl="1" w:tentative="0">
      <w:start w:val="3"/>
      <w:numFmt w:val="decimal"/>
      <w:isLgl/>
      <w:lvlText w:val="%1.%2"/>
      <w:lvlJc w:val="left"/>
      <w:pPr>
        <w:ind w:left="420" w:hanging="4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6">
    <w:nsid w:val="259C0FCD"/>
    <w:multiLevelType w:val="multilevel"/>
    <w:tmpl w:val="259C0FCD"/>
    <w:lvl w:ilvl="0" w:tentative="0">
      <w:start w:val="11"/>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7">
    <w:nsid w:val="297A71B4"/>
    <w:multiLevelType w:val="multilevel"/>
    <w:tmpl w:val="297A71B4"/>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8">
    <w:nsid w:val="298645BA"/>
    <w:multiLevelType w:val="multilevel"/>
    <w:tmpl w:val="298645BA"/>
    <w:lvl w:ilvl="0" w:tentative="0">
      <w:start w:val="12"/>
      <w:numFmt w:val="decimal"/>
      <w:lvlText w:val="%1."/>
      <w:lvlJc w:val="left"/>
      <w:pPr>
        <w:ind w:left="360" w:hanging="360"/>
      </w:pPr>
      <w:rPr>
        <w:rFonts w:hint="default"/>
      </w:rPr>
    </w:lvl>
    <w:lvl w:ilvl="1" w:tentative="0">
      <w:start w:val="3"/>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9">
    <w:nsid w:val="2987564B"/>
    <w:multiLevelType w:val="multilevel"/>
    <w:tmpl w:val="2987564B"/>
    <w:lvl w:ilvl="0" w:tentative="0">
      <w:start w:val="10"/>
      <w:numFmt w:val="decimal"/>
      <w:lvlText w:val="%1."/>
      <w:lvlJc w:val="left"/>
      <w:pPr>
        <w:ind w:left="360" w:hanging="360"/>
      </w:pPr>
      <w:rPr>
        <w:rFonts w:hint="default"/>
      </w:rPr>
    </w:lvl>
    <w:lvl w:ilvl="1" w:tentative="0">
      <w:start w:val="1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0">
    <w:nsid w:val="2E2D4384"/>
    <w:multiLevelType w:val="multilevel"/>
    <w:tmpl w:val="2E2D4384"/>
    <w:lvl w:ilvl="0" w:tentative="0">
      <w:start w:val="13"/>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1">
    <w:nsid w:val="2EDC6D1F"/>
    <w:multiLevelType w:val="multilevel"/>
    <w:tmpl w:val="2EDC6D1F"/>
    <w:lvl w:ilvl="0" w:tentative="0">
      <w:start w:val="5"/>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2">
    <w:nsid w:val="32AF1517"/>
    <w:multiLevelType w:val="multilevel"/>
    <w:tmpl w:val="32AF1517"/>
    <w:lvl w:ilvl="0" w:tentative="0">
      <w:start w:val="8"/>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3">
    <w:nsid w:val="33A163EE"/>
    <w:multiLevelType w:val="multilevel"/>
    <w:tmpl w:val="33A163EE"/>
    <w:lvl w:ilvl="0" w:tentative="0">
      <w:start w:val="10"/>
      <w:numFmt w:val="decimal"/>
      <w:lvlText w:val="%1."/>
      <w:lvlJc w:val="left"/>
      <w:pPr>
        <w:ind w:left="360" w:hanging="360"/>
      </w:pPr>
      <w:rPr>
        <w:rFonts w:hint="default"/>
      </w:rPr>
    </w:lvl>
    <w:lvl w:ilvl="1" w:tentative="0">
      <w:start w:val="8"/>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4">
    <w:nsid w:val="391D5EDA"/>
    <w:multiLevelType w:val="multilevel"/>
    <w:tmpl w:val="391D5EDA"/>
    <w:lvl w:ilvl="0" w:tentative="0">
      <w:start w:val="1"/>
      <w:numFmt w:val="decimal"/>
      <w:lvlText w:val="%1"/>
      <w:lvlJc w:val="left"/>
      <w:pPr>
        <w:ind w:left="420" w:hanging="420"/>
      </w:pPr>
      <w:rPr>
        <w:rFonts w:hint="default"/>
      </w:rPr>
    </w:lvl>
    <w:lvl w:ilvl="1" w:tentative="0">
      <w:start w:val="1"/>
      <w:numFmt w:val="decimal"/>
      <w:lvlText w:val="%1.%2"/>
      <w:lvlJc w:val="left"/>
      <w:pPr>
        <w:ind w:left="420" w:hanging="4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5">
    <w:nsid w:val="39610F4C"/>
    <w:multiLevelType w:val="multilevel"/>
    <w:tmpl w:val="39610F4C"/>
    <w:lvl w:ilvl="0" w:tentative="0">
      <w:start w:val="8"/>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6">
    <w:nsid w:val="408E46D0"/>
    <w:multiLevelType w:val="multilevel"/>
    <w:tmpl w:val="408E46D0"/>
    <w:lvl w:ilvl="0" w:tentative="0">
      <w:start w:val="17"/>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7">
    <w:nsid w:val="47096CC6"/>
    <w:multiLevelType w:val="multilevel"/>
    <w:tmpl w:val="47096CC6"/>
    <w:lvl w:ilvl="0" w:tentative="0">
      <w:start w:val="16"/>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8">
    <w:nsid w:val="480247DF"/>
    <w:multiLevelType w:val="multilevel"/>
    <w:tmpl w:val="480247DF"/>
    <w:lvl w:ilvl="0" w:tentative="0">
      <w:start w:val="12"/>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9">
    <w:nsid w:val="4D835229"/>
    <w:multiLevelType w:val="multilevel"/>
    <w:tmpl w:val="4D835229"/>
    <w:lvl w:ilvl="0" w:tentative="0">
      <w:start w:val="10"/>
      <w:numFmt w:val="decimal"/>
      <w:lvlText w:val="%1."/>
      <w:lvlJc w:val="left"/>
      <w:pPr>
        <w:ind w:left="360" w:hanging="360"/>
      </w:pPr>
      <w:rPr>
        <w:rFonts w:hint="default"/>
      </w:rPr>
    </w:lvl>
    <w:lvl w:ilvl="1" w:tentative="0">
      <w:start w:val="4"/>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0">
    <w:nsid w:val="500D5100"/>
    <w:multiLevelType w:val="multilevel"/>
    <w:tmpl w:val="500D5100"/>
    <w:lvl w:ilvl="0" w:tentative="0">
      <w:start w:val="4"/>
      <w:numFmt w:val="decimal"/>
      <w:lvlText w:val="%1."/>
      <w:lvlJc w:val="left"/>
      <w:pPr>
        <w:ind w:left="360" w:hanging="360"/>
      </w:pPr>
      <w:rPr>
        <w:rFonts w:hint="default"/>
      </w:rPr>
    </w:lvl>
    <w:lvl w:ilvl="1" w:tentative="0">
      <w:start w:val="8"/>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1">
    <w:nsid w:val="55C65401"/>
    <w:multiLevelType w:val="multilevel"/>
    <w:tmpl w:val="55C65401"/>
    <w:lvl w:ilvl="0" w:tentative="0">
      <w:start w:val="14"/>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2">
    <w:nsid w:val="600E4E02"/>
    <w:multiLevelType w:val="multilevel"/>
    <w:tmpl w:val="600E4E02"/>
    <w:lvl w:ilvl="0" w:tentative="0">
      <w:start w:val="10"/>
      <w:numFmt w:val="decimal"/>
      <w:lvlText w:val="%1."/>
      <w:lvlJc w:val="left"/>
      <w:pPr>
        <w:ind w:left="360" w:hanging="360"/>
      </w:pPr>
      <w:rPr>
        <w:rFonts w:hint="default"/>
      </w:rPr>
    </w:lvl>
    <w:lvl w:ilvl="1" w:tentative="0">
      <w:start w:val="2"/>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3">
    <w:nsid w:val="60986B52"/>
    <w:multiLevelType w:val="multilevel"/>
    <w:tmpl w:val="60986B52"/>
    <w:lvl w:ilvl="0" w:tentative="0">
      <w:start w:val="9"/>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4">
    <w:nsid w:val="61BB09CE"/>
    <w:multiLevelType w:val="multilevel"/>
    <w:tmpl w:val="61BB09CE"/>
    <w:lvl w:ilvl="0" w:tentative="0">
      <w:start w:val="7"/>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5">
    <w:nsid w:val="624A70E2"/>
    <w:multiLevelType w:val="multilevel"/>
    <w:tmpl w:val="624A70E2"/>
    <w:lvl w:ilvl="0" w:tentative="0">
      <w:start w:val="4"/>
      <w:numFmt w:val="decimal"/>
      <w:lvlText w:val="%1."/>
      <w:lvlJc w:val="left"/>
      <w:pPr>
        <w:ind w:left="360" w:hanging="360"/>
      </w:pPr>
      <w:rPr>
        <w:rFonts w:hint="default"/>
      </w:rPr>
    </w:lvl>
    <w:lvl w:ilvl="1" w:tentative="0">
      <w:start w:val="1"/>
      <w:numFmt w:val="decimal"/>
      <w:isLgl/>
      <w:lvlText w:val="%1.%2"/>
      <w:lvlJc w:val="left"/>
      <w:pPr>
        <w:ind w:left="420" w:hanging="4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6">
    <w:nsid w:val="67766813"/>
    <w:multiLevelType w:val="multilevel"/>
    <w:tmpl w:val="67766813"/>
    <w:lvl w:ilvl="0" w:tentative="0">
      <w:start w:val="15"/>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7">
    <w:nsid w:val="67976285"/>
    <w:multiLevelType w:val="multilevel"/>
    <w:tmpl w:val="67976285"/>
    <w:lvl w:ilvl="0" w:tentative="0">
      <w:start w:val="6"/>
      <w:numFmt w:val="decimal"/>
      <w:lvlText w:val="%1."/>
      <w:lvlJc w:val="left"/>
      <w:pPr>
        <w:ind w:left="360" w:hanging="360"/>
      </w:pPr>
      <w:rPr>
        <w:rFonts w:hint="default"/>
      </w:rPr>
    </w:lvl>
    <w:lvl w:ilvl="1" w:tentative="0">
      <w:start w:val="2"/>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8">
    <w:nsid w:val="6AD83632"/>
    <w:multiLevelType w:val="multilevel"/>
    <w:tmpl w:val="6AD83632"/>
    <w:lvl w:ilvl="0" w:tentative="0">
      <w:start w:val="5"/>
      <w:numFmt w:val="decimal"/>
      <w:lvlText w:val="%1."/>
      <w:lvlJc w:val="left"/>
      <w:pPr>
        <w:ind w:left="360" w:hanging="360"/>
      </w:pPr>
      <w:rPr>
        <w:rFonts w:hint="default"/>
      </w:rPr>
    </w:lvl>
    <w:lvl w:ilvl="1" w:tentative="0">
      <w:start w:val="3"/>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9">
    <w:nsid w:val="6C5837BD"/>
    <w:multiLevelType w:val="multilevel"/>
    <w:tmpl w:val="6C5837BD"/>
    <w:lvl w:ilvl="0" w:tentative="0">
      <w:start w:val="3"/>
      <w:numFmt w:val="upperRoman"/>
      <w:lvlText w:val="%1."/>
      <w:lvlJc w:val="left"/>
      <w:pPr>
        <w:ind w:left="360" w:hanging="360"/>
      </w:pPr>
      <w:rPr>
        <w:rFonts w:hint="eastAsia"/>
      </w:rPr>
    </w:lvl>
    <w:lvl w:ilvl="1" w:tentative="0">
      <w:start w:val="1"/>
      <w:numFmt w:val="decimal"/>
      <w:isLgl/>
      <w:lvlText w:val="%1.%2"/>
      <w:lvlJc w:val="left"/>
      <w:pPr>
        <w:ind w:left="420" w:hanging="4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40">
    <w:nsid w:val="6FAC5E0A"/>
    <w:multiLevelType w:val="multilevel"/>
    <w:tmpl w:val="6FAC5E0A"/>
    <w:lvl w:ilvl="0" w:tentative="0">
      <w:start w:val="3"/>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41">
    <w:nsid w:val="76405856"/>
    <w:multiLevelType w:val="multilevel"/>
    <w:tmpl w:val="76405856"/>
    <w:lvl w:ilvl="0" w:tentative="0">
      <w:start w:val="1"/>
      <w:numFmt w:val="upperRoman"/>
      <w:lvlText w:val="%1."/>
      <w:lvlJc w:val="left"/>
      <w:pPr>
        <w:ind w:left="360" w:hanging="360"/>
      </w:pPr>
      <w:rPr>
        <w:rFonts w:hint="eastAsia"/>
      </w:rPr>
    </w:lvl>
    <w:lvl w:ilvl="1" w:tentative="0">
      <w:start w:val="1"/>
      <w:numFmt w:val="decimal"/>
      <w:isLgl/>
      <w:lvlText w:val="%1.%2"/>
      <w:lvlJc w:val="left"/>
      <w:pPr>
        <w:ind w:left="420" w:hanging="4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42">
    <w:nsid w:val="76450BA2"/>
    <w:multiLevelType w:val="multilevel"/>
    <w:tmpl w:val="76450BA2"/>
    <w:lvl w:ilvl="0" w:tentative="0">
      <w:start w:val="11"/>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43">
    <w:nsid w:val="7BEB2F91"/>
    <w:multiLevelType w:val="multilevel"/>
    <w:tmpl w:val="7BEB2F91"/>
    <w:lvl w:ilvl="0" w:tentative="0">
      <w:start w:val="6"/>
      <w:numFmt w:val="decimal"/>
      <w:lvlText w:val="%1."/>
      <w:lvlJc w:val="left"/>
      <w:pPr>
        <w:ind w:left="360" w:hanging="360"/>
      </w:pPr>
      <w:rPr>
        <w:rFonts w:hint="default"/>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num w:numId="1">
    <w:abstractNumId w:val="41"/>
  </w:num>
  <w:num w:numId="2">
    <w:abstractNumId w:val="24"/>
  </w:num>
  <w:num w:numId="3">
    <w:abstractNumId w:val="13"/>
  </w:num>
  <w:num w:numId="4">
    <w:abstractNumId w:val="17"/>
  </w:num>
  <w:num w:numId="5">
    <w:abstractNumId w:val="8"/>
  </w:num>
  <w:num w:numId="6">
    <w:abstractNumId w:val="39"/>
  </w:num>
  <w:num w:numId="7">
    <w:abstractNumId w:val="40"/>
  </w:num>
  <w:num w:numId="8">
    <w:abstractNumId w:val="15"/>
  </w:num>
  <w:num w:numId="9">
    <w:abstractNumId w:val="35"/>
  </w:num>
  <w:num w:numId="10">
    <w:abstractNumId w:val="30"/>
  </w:num>
  <w:num w:numId="11">
    <w:abstractNumId w:val="21"/>
  </w:num>
  <w:num w:numId="12">
    <w:abstractNumId w:val="38"/>
  </w:num>
  <w:num w:numId="13">
    <w:abstractNumId w:val="43"/>
  </w:num>
  <w:num w:numId="14">
    <w:abstractNumId w:val="37"/>
  </w:num>
  <w:num w:numId="15">
    <w:abstractNumId w:val="2"/>
  </w:num>
  <w:num w:numId="16">
    <w:abstractNumId w:val="34"/>
  </w:num>
  <w:num w:numId="17">
    <w:abstractNumId w:val="25"/>
  </w:num>
  <w:num w:numId="18">
    <w:abstractNumId w:val="7"/>
  </w:num>
  <w:num w:numId="19">
    <w:abstractNumId w:val="22"/>
  </w:num>
  <w:num w:numId="20">
    <w:abstractNumId w:val="33"/>
  </w:num>
  <w:num w:numId="21">
    <w:abstractNumId w:val="3"/>
  </w:num>
  <w:num w:numId="22">
    <w:abstractNumId w:val="32"/>
  </w:num>
  <w:num w:numId="23">
    <w:abstractNumId w:val="10"/>
  </w:num>
  <w:num w:numId="24">
    <w:abstractNumId w:val="29"/>
  </w:num>
  <w:num w:numId="25">
    <w:abstractNumId w:val="23"/>
  </w:num>
  <w:num w:numId="26">
    <w:abstractNumId w:val="11"/>
  </w:num>
  <w:num w:numId="27">
    <w:abstractNumId w:val="19"/>
  </w:num>
  <w:num w:numId="28">
    <w:abstractNumId w:val="16"/>
  </w:num>
  <w:num w:numId="29">
    <w:abstractNumId w:val="42"/>
  </w:num>
  <w:num w:numId="30">
    <w:abstractNumId w:val="28"/>
  </w:num>
  <w:num w:numId="31">
    <w:abstractNumId w:val="9"/>
  </w:num>
  <w:num w:numId="32">
    <w:abstractNumId w:val="18"/>
  </w:num>
  <w:num w:numId="33">
    <w:abstractNumId w:val="1"/>
  </w:num>
  <w:num w:numId="34">
    <w:abstractNumId w:val="20"/>
  </w:num>
  <w:num w:numId="35">
    <w:abstractNumId w:val="31"/>
  </w:num>
  <w:num w:numId="36">
    <w:abstractNumId w:val="5"/>
  </w:num>
  <w:num w:numId="37">
    <w:abstractNumId w:val="0"/>
  </w:num>
  <w:num w:numId="38">
    <w:abstractNumId w:val="36"/>
  </w:num>
  <w:num w:numId="39">
    <w:abstractNumId w:val="12"/>
  </w:num>
  <w:num w:numId="40">
    <w:abstractNumId w:val="27"/>
  </w:num>
  <w:num w:numId="41">
    <w:abstractNumId w:val="4"/>
  </w:num>
  <w:num w:numId="42">
    <w:abstractNumId w:val="26"/>
  </w:num>
  <w:num w:numId="43">
    <w:abstractNumId w:val="14"/>
  </w:num>
  <w:num w:numId="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B44"/>
    <w:rsid w:val="000111F4"/>
    <w:rsid w:val="000344E6"/>
    <w:rsid w:val="000630A6"/>
    <w:rsid w:val="00083C9C"/>
    <w:rsid w:val="000B1A4C"/>
    <w:rsid w:val="000C3A13"/>
    <w:rsid w:val="000D30BB"/>
    <w:rsid w:val="000E0AC0"/>
    <w:rsid w:val="000E3D9C"/>
    <w:rsid w:val="000F232E"/>
    <w:rsid w:val="000F632E"/>
    <w:rsid w:val="00135A85"/>
    <w:rsid w:val="00156676"/>
    <w:rsid w:val="00167882"/>
    <w:rsid w:val="001843E3"/>
    <w:rsid w:val="001C0B44"/>
    <w:rsid w:val="002064F2"/>
    <w:rsid w:val="002320FD"/>
    <w:rsid w:val="00235C63"/>
    <w:rsid w:val="002378C9"/>
    <w:rsid w:val="002A7CEC"/>
    <w:rsid w:val="002C7E81"/>
    <w:rsid w:val="002F2BF8"/>
    <w:rsid w:val="002F3ABB"/>
    <w:rsid w:val="003210C1"/>
    <w:rsid w:val="00323CCD"/>
    <w:rsid w:val="003263F1"/>
    <w:rsid w:val="003C6F23"/>
    <w:rsid w:val="003D6093"/>
    <w:rsid w:val="00414CB1"/>
    <w:rsid w:val="004235F4"/>
    <w:rsid w:val="004278D8"/>
    <w:rsid w:val="0044423D"/>
    <w:rsid w:val="00462335"/>
    <w:rsid w:val="00475993"/>
    <w:rsid w:val="004869EC"/>
    <w:rsid w:val="004A1FB0"/>
    <w:rsid w:val="004E22A5"/>
    <w:rsid w:val="00507953"/>
    <w:rsid w:val="0051209B"/>
    <w:rsid w:val="00525C91"/>
    <w:rsid w:val="00530446"/>
    <w:rsid w:val="00556946"/>
    <w:rsid w:val="0056674F"/>
    <w:rsid w:val="0057201E"/>
    <w:rsid w:val="005851C9"/>
    <w:rsid w:val="005E5089"/>
    <w:rsid w:val="00604090"/>
    <w:rsid w:val="006052BF"/>
    <w:rsid w:val="00611D33"/>
    <w:rsid w:val="00626CA6"/>
    <w:rsid w:val="006541BE"/>
    <w:rsid w:val="006B241F"/>
    <w:rsid w:val="006C35BC"/>
    <w:rsid w:val="006D56A9"/>
    <w:rsid w:val="006E2BCB"/>
    <w:rsid w:val="006E4766"/>
    <w:rsid w:val="006F48BA"/>
    <w:rsid w:val="00716060"/>
    <w:rsid w:val="00794C0F"/>
    <w:rsid w:val="007A2CFA"/>
    <w:rsid w:val="007B5D92"/>
    <w:rsid w:val="007B5F93"/>
    <w:rsid w:val="007C3F98"/>
    <w:rsid w:val="007C6522"/>
    <w:rsid w:val="008061FA"/>
    <w:rsid w:val="00814634"/>
    <w:rsid w:val="008368F1"/>
    <w:rsid w:val="0085387B"/>
    <w:rsid w:val="008C3762"/>
    <w:rsid w:val="008C6039"/>
    <w:rsid w:val="008D54E4"/>
    <w:rsid w:val="008E700D"/>
    <w:rsid w:val="008F624B"/>
    <w:rsid w:val="00932DC2"/>
    <w:rsid w:val="009378D2"/>
    <w:rsid w:val="00966163"/>
    <w:rsid w:val="0096786E"/>
    <w:rsid w:val="009C63CB"/>
    <w:rsid w:val="009D1965"/>
    <w:rsid w:val="00A02F02"/>
    <w:rsid w:val="00A03FB2"/>
    <w:rsid w:val="00A04FE1"/>
    <w:rsid w:val="00A477F9"/>
    <w:rsid w:val="00A619C8"/>
    <w:rsid w:val="00A7418B"/>
    <w:rsid w:val="00AC0162"/>
    <w:rsid w:val="00AC0CF5"/>
    <w:rsid w:val="00AE74A8"/>
    <w:rsid w:val="00AF6FE3"/>
    <w:rsid w:val="00B04C6A"/>
    <w:rsid w:val="00B06388"/>
    <w:rsid w:val="00B634CC"/>
    <w:rsid w:val="00B647CA"/>
    <w:rsid w:val="00B75F0C"/>
    <w:rsid w:val="00B93E2F"/>
    <w:rsid w:val="00BA1631"/>
    <w:rsid w:val="00BC1E7D"/>
    <w:rsid w:val="00BF43E3"/>
    <w:rsid w:val="00BF6329"/>
    <w:rsid w:val="00C510C9"/>
    <w:rsid w:val="00C657A7"/>
    <w:rsid w:val="00C87BB8"/>
    <w:rsid w:val="00CA4414"/>
    <w:rsid w:val="00CC5447"/>
    <w:rsid w:val="00CC57B1"/>
    <w:rsid w:val="00CE3AAA"/>
    <w:rsid w:val="00D171FC"/>
    <w:rsid w:val="00D22978"/>
    <w:rsid w:val="00D27533"/>
    <w:rsid w:val="00D5042F"/>
    <w:rsid w:val="00D55A7F"/>
    <w:rsid w:val="00D867C8"/>
    <w:rsid w:val="00D9723C"/>
    <w:rsid w:val="00DC0727"/>
    <w:rsid w:val="00DE4DE4"/>
    <w:rsid w:val="00E05532"/>
    <w:rsid w:val="00E058A1"/>
    <w:rsid w:val="00E20E7E"/>
    <w:rsid w:val="00E21D9C"/>
    <w:rsid w:val="00E4485C"/>
    <w:rsid w:val="00E44F4A"/>
    <w:rsid w:val="00E51ADF"/>
    <w:rsid w:val="00E52233"/>
    <w:rsid w:val="00EB372B"/>
    <w:rsid w:val="00F25D93"/>
    <w:rsid w:val="00F36C35"/>
    <w:rsid w:val="00F4351B"/>
    <w:rsid w:val="00F63A8A"/>
    <w:rsid w:val="00F92FCD"/>
    <w:rsid w:val="00F96DFC"/>
    <w:rsid w:val="00F97F1D"/>
    <w:rsid w:val="00FA3801"/>
    <w:rsid w:val="00FC2422"/>
    <w:rsid w:val="00FD5B3C"/>
    <w:rsid w:val="00FF7A7F"/>
    <w:rsid w:val="7C17C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semiHidden/>
    <w:unhideWhenUsed/>
    <w:uiPriority w:val="99"/>
  </w:style>
  <w:style w:type="paragraph" w:styleId="3">
    <w:name w:val="footer"/>
    <w:basedOn w:val="1"/>
    <w:link w:val="10"/>
    <w:unhideWhenUsed/>
    <w:qFormat/>
    <w:uiPriority w:val="99"/>
    <w:pPr>
      <w:tabs>
        <w:tab w:val="center" w:pos="4153"/>
        <w:tab w:val="right" w:pos="8306"/>
      </w:tabs>
      <w:snapToGrid w:val="0"/>
      <w:spacing w:line="240" w:lineRule="auto"/>
    </w:pPr>
    <w:rPr>
      <w:sz w:val="18"/>
      <w:szCs w:val="18"/>
    </w:rPr>
  </w:style>
  <w:style w:type="paragraph" w:styleId="4">
    <w:name w:val="header"/>
    <w:basedOn w:val="1"/>
    <w:link w:val="9"/>
    <w:unhideWhenUsed/>
    <w:qFormat/>
    <w:uiPriority w:val="99"/>
    <w:pPr>
      <w:tabs>
        <w:tab w:val="center" w:pos="4153"/>
        <w:tab w:val="right" w:pos="8306"/>
      </w:tabs>
      <w:snapToGrid w:val="0"/>
      <w:spacing w:line="240" w:lineRule="auto"/>
      <w:jc w:val="center"/>
    </w:pPr>
    <w:rPr>
      <w:sz w:val="18"/>
      <w:szCs w:val="18"/>
    </w:rPr>
  </w:style>
  <w:style w:type="paragraph" w:styleId="5">
    <w:name w:val="annotation subject"/>
    <w:basedOn w:val="2"/>
    <w:next w:val="2"/>
    <w:link w:val="14"/>
    <w:semiHidden/>
    <w:unhideWhenUsed/>
    <w:uiPriority w:val="99"/>
    <w:rPr>
      <w:b/>
      <w:bCs/>
    </w:rPr>
  </w:style>
  <w:style w:type="character" w:styleId="8">
    <w:name w:val="annotation reference"/>
    <w:basedOn w:val="7"/>
    <w:semiHidden/>
    <w:unhideWhenUsed/>
    <w:qFormat/>
    <w:uiPriority w:val="99"/>
    <w:rPr>
      <w:sz w:val="21"/>
      <w:szCs w:val="21"/>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styleId="11">
    <w:name w:val="List Paragraph"/>
    <w:basedOn w:val="1"/>
    <w:qFormat/>
    <w:uiPriority w:val="34"/>
    <w:pPr>
      <w:ind w:firstLine="420" w:firstLineChars="200"/>
    </w:pPr>
  </w:style>
  <w:style w:type="paragraph" w:customStyle="1" w:styleId="12">
    <w:name w:val="Default"/>
    <w:uiPriority w:val="0"/>
    <w:pPr>
      <w:widowControl w:val="0"/>
      <w:autoSpaceDE w:val="0"/>
      <w:autoSpaceDN w:val="0"/>
      <w:adjustRightInd w:val="0"/>
      <w:spacing w:after="0" w:line="240" w:lineRule="auto"/>
    </w:pPr>
    <w:rPr>
      <w:rFonts w:ascii="Arial" w:hAnsi="Arial" w:cs="Arial" w:eastAsiaTheme="minorEastAsia"/>
      <w:color w:val="000000"/>
      <w:kern w:val="0"/>
      <w:sz w:val="24"/>
      <w:szCs w:val="24"/>
      <w:lang w:val="en-US" w:eastAsia="zh-CN" w:bidi="ar-SA"/>
      <w14:ligatures w14:val="standardContextual"/>
    </w:rPr>
  </w:style>
  <w:style w:type="character" w:customStyle="1" w:styleId="13">
    <w:name w:val="批注文字 字符"/>
    <w:basedOn w:val="7"/>
    <w:link w:val="2"/>
    <w:semiHidden/>
    <w:qFormat/>
    <w:uiPriority w:val="99"/>
  </w:style>
  <w:style w:type="character" w:customStyle="1" w:styleId="14">
    <w:name w:val="批注主题 字符"/>
    <w:basedOn w:val="13"/>
    <w:link w:val="5"/>
    <w:semiHidden/>
    <w:qFormat/>
    <w:uiPriority w:val="99"/>
    <w:rPr>
      <w:b/>
      <w:bCs/>
    </w:rPr>
  </w:style>
  <w:style w:type="paragraph" w:customStyle="1" w:styleId="15">
    <w:name w:val="Revision"/>
    <w:hidden/>
    <w:semiHidden/>
    <w:uiPriority w:val="99"/>
    <w:pPr>
      <w:spacing w:after="0" w:line="240" w:lineRule="auto"/>
    </w:pPr>
    <w:rPr>
      <w:rFonts w:asciiTheme="minorHAnsi" w:hAnsiTheme="minorHAnsi" w:eastAsiaTheme="minorEastAsia" w:cstheme="minorBidi"/>
      <w:kern w:val="2"/>
      <w:sz w:val="22"/>
      <w:szCs w:val="24"/>
      <w:lang w:val="en-US" w:eastAsia="zh-CN" w:bidi="ar-SA"/>
      <w14:ligatures w14:val="standardContextua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742</Words>
  <Characters>4231</Characters>
  <Lines>35</Lines>
  <Paragraphs>9</Paragraphs>
  <TotalTime>4</TotalTime>
  <ScaleCrop>false</ScaleCrop>
  <LinksUpToDate>false</LinksUpToDate>
  <CharactersWithSpaces>4964</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2024-08-28T12:57:00Z</dcterms:created>
  <dc:creator>图湃</dc:creator>
  <cp:lastModifiedBy>图湃</cp:lastModifiedBy>
  <cp:lastPrinted>2024-08-28T12:57:00Z</cp:lastPrinted>
  <dcterms:modified xsi:type="dcterms:W3CDTF">2024-09-03T14:41:23Z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06307EBBF99E116D93AFD666B48F025F_42</vt:lpwstr>
  </property>
</Properties>
</file>