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08858C">
      <w:pPr>
        <w:jc w:val="center"/>
        <w:rPr>
          <w:rFonts w:hint="eastAsia" w:ascii="宋体" w:hAnsi="宋体" w:cs="宋体"/>
          <w:b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color w:val="000000"/>
          <w:sz w:val="32"/>
          <w:szCs w:val="32"/>
          <w:lang w:val="en-US" w:eastAsia="zh-CN"/>
        </w:rPr>
        <w:t>犍为县人民医院呼出气一氧化氮检测仪</w:t>
      </w:r>
    </w:p>
    <w:p w14:paraId="338BF45E">
      <w:pPr>
        <w:jc w:val="center"/>
        <w:rPr>
          <w:rFonts w:hint="eastAsia" w:ascii="宋体" w:hAnsi="宋体" w:cs="宋体"/>
          <w:b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color w:val="000000"/>
          <w:sz w:val="32"/>
          <w:szCs w:val="32"/>
          <w:lang w:val="en-US" w:eastAsia="zh-CN"/>
        </w:rPr>
        <w:t>及配套耗材采购项目（二次）报价表</w:t>
      </w:r>
      <w:bookmarkStart w:id="0" w:name="_GoBack"/>
      <w:bookmarkEnd w:id="0"/>
    </w:p>
    <w:p w14:paraId="75257D06">
      <w:pPr>
        <w:pStyle w:val="2"/>
        <w:rPr>
          <w:rFonts w:hint="default"/>
          <w:lang w:val="en-US" w:eastAsia="zh-CN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1869"/>
        <w:gridCol w:w="2158"/>
        <w:gridCol w:w="1463"/>
        <w:gridCol w:w="1290"/>
        <w:gridCol w:w="1283"/>
      </w:tblGrid>
      <w:tr w14:paraId="735C8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459" w:type="dxa"/>
          </w:tcPr>
          <w:p w14:paraId="150DBE7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869" w:type="dxa"/>
          </w:tcPr>
          <w:p w14:paraId="75DEE81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标的名称</w:t>
            </w:r>
          </w:p>
        </w:tc>
        <w:tc>
          <w:tcPr>
            <w:tcW w:w="2158" w:type="dxa"/>
          </w:tcPr>
          <w:p w14:paraId="78CE077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品牌型号</w:t>
            </w:r>
          </w:p>
        </w:tc>
        <w:tc>
          <w:tcPr>
            <w:tcW w:w="1463" w:type="dxa"/>
          </w:tcPr>
          <w:p w14:paraId="793E0B6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数量、单位</w:t>
            </w:r>
          </w:p>
        </w:tc>
        <w:tc>
          <w:tcPr>
            <w:tcW w:w="1290" w:type="dxa"/>
          </w:tcPr>
          <w:p w14:paraId="5D64631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283" w:type="dxa"/>
          </w:tcPr>
          <w:p w14:paraId="3EB54AB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总价（元）</w:t>
            </w:r>
          </w:p>
        </w:tc>
      </w:tr>
      <w:tr w14:paraId="35DFE9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</w:trPr>
        <w:tc>
          <w:tcPr>
            <w:tcW w:w="459" w:type="dxa"/>
          </w:tcPr>
          <w:p w14:paraId="4DF9C38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 w14:paraId="1E3942E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869" w:type="dxa"/>
          </w:tcPr>
          <w:p w14:paraId="0911415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呼出气一氧化氮检测仪</w:t>
            </w:r>
          </w:p>
        </w:tc>
        <w:tc>
          <w:tcPr>
            <w:tcW w:w="2158" w:type="dxa"/>
          </w:tcPr>
          <w:p w14:paraId="207DD95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3" w:type="dxa"/>
          </w:tcPr>
          <w:p w14:paraId="10A7618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1台</w:t>
            </w:r>
          </w:p>
        </w:tc>
        <w:tc>
          <w:tcPr>
            <w:tcW w:w="1290" w:type="dxa"/>
          </w:tcPr>
          <w:p w14:paraId="58B635C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3" w:type="dxa"/>
          </w:tcPr>
          <w:p w14:paraId="77746A3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7429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459" w:type="dxa"/>
          </w:tcPr>
          <w:p w14:paraId="2B24046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869" w:type="dxa"/>
          </w:tcPr>
          <w:p w14:paraId="70AD35D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一氧化氮检测器</w:t>
            </w:r>
          </w:p>
        </w:tc>
        <w:tc>
          <w:tcPr>
            <w:tcW w:w="2158" w:type="dxa"/>
          </w:tcPr>
          <w:p w14:paraId="6C0CB35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3" w:type="dxa"/>
          </w:tcPr>
          <w:p w14:paraId="43DA706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300份</w:t>
            </w:r>
          </w:p>
        </w:tc>
        <w:tc>
          <w:tcPr>
            <w:tcW w:w="1290" w:type="dxa"/>
          </w:tcPr>
          <w:p w14:paraId="181BB5D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3" w:type="dxa"/>
          </w:tcPr>
          <w:p w14:paraId="6C33ADC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10A0A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8522" w:type="dxa"/>
            <w:gridSpan w:val="6"/>
          </w:tcPr>
          <w:p w14:paraId="473F696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合计小写：</w:t>
            </w:r>
          </w:p>
          <w:p w14:paraId="498BF81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合计大写：</w:t>
            </w:r>
          </w:p>
        </w:tc>
      </w:tr>
    </w:tbl>
    <w:tbl>
      <w:tblPr>
        <w:tblStyle w:val="6"/>
        <w:tblpPr w:leftFromText="180" w:rightFromText="180" w:vertAnchor="text" w:horzAnchor="page" w:tblpX="1746" w:tblpY="2009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3F3311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4C9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注：1</w:t>
            </w:r>
            <w:r>
              <w:rPr>
                <w:rFonts w:hint="eastAsia" w:ascii="Times New Roman" w:hAnsi="Times New Roman" w:eastAsia="仿宋_GB2312" w:cs="仿宋_GB2312"/>
                <w:sz w:val="24"/>
                <w:lang w:val="en-US" w:eastAsia="zh-CN"/>
              </w:rPr>
              <w:t xml:space="preserve">. </w:t>
            </w:r>
            <w:r>
              <w:rPr>
                <w:rFonts w:hint="eastAsia" w:ascii="Times New Roman" w:hAnsi="Times New Roman" w:eastAsia="仿宋_GB2312" w:cs="仿宋_GB2312"/>
                <w:sz w:val="24"/>
              </w:rPr>
              <w:t>报价应是最终用户验收合格后的总价，包括供应商履约过程中的人工费、资料费、差旅费、</w:t>
            </w:r>
            <w:r>
              <w:rPr>
                <w:rFonts w:hint="eastAsia" w:ascii="Times New Roman" w:hAnsi="Times New Roman" w:eastAsia="仿宋_GB2312" w:cs="仿宋_GB2312"/>
                <w:sz w:val="24"/>
                <w:lang w:val="en-US" w:eastAsia="zh-CN"/>
              </w:rPr>
              <w:t>税费</w:t>
            </w:r>
            <w:r>
              <w:rPr>
                <w:rFonts w:hint="eastAsia" w:ascii="Times New Roman" w:hAnsi="Times New Roman" w:eastAsia="仿宋_GB2312" w:cs="仿宋_GB2312"/>
                <w:sz w:val="24"/>
              </w:rPr>
              <w:t>等与供应商履约完成本项目所需要的所有费用。</w:t>
            </w:r>
          </w:p>
          <w:p w14:paraId="48EB8DF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报价汇总表金额应与分项报价明细表中的分项报价合计金额一致。开标时，“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报价单</w:t>
            </w:r>
            <w:r>
              <w:rPr>
                <w:rFonts w:hint="eastAsia" w:ascii="仿宋" w:hAnsi="仿宋" w:eastAsia="仿宋" w:cs="仿宋"/>
                <w:sz w:val="24"/>
              </w:rPr>
              <w:t>”中的大写金额与小写金额不一致的，以大写金额为准；总价金额与按单价计算的汇总金额不一致的，以单价计算的汇总金额为准；单价金额有明显小数点错误的，以总价为准，并修改单价。</w:t>
            </w:r>
          </w:p>
          <w:p w14:paraId="655A97A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3、出现下列情形之一的，评审委员会应当启动异常低价投标（响应）审查程序：</w:t>
            </w:r>
          </w:p>
          <w:p w14:paraId="027C01C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3.1.投标（响应）报价低于全部通过符合性审查供应商投标（响应）报价平均值50%的，即投标（响应）报价&lt;全部通过符合性审查供应商投标（响应）报价平均值×50%；</w:t>
            </w:r>
          </w:p>
          <w:p w14:paraId="14B52D4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3.2投标（响应）报价低于通过符合性审查的次低报价供应商投标（响应）报价50%的，即投标（响应）报价&lt;通过符合性审查的次低报价供应商投标（响应）报价×50%；</w:t>
            </w:r>
          </w:p>
          <w:p w14:paraId="525F967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3.3投标（响应）报价低于采购项目最高限价45%的，即投标（响应）报价&lt;采购项目最高限价×45%；</w:t>
            </w:r>
          </w:p>
          <w:p w14:paraId="08F7D8E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3.4评审委员会基于专业判断，认为供应商报价过低，有可能影响产品质量或者不能诚信履约的其他情形。</w:t>
            </w:r>
          </w:p>
          <w:p w14:paraId="6D3FF2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 w14:paraId="0C0A896E">
            <w:pPr>
              <w:pStyle w:val="5"/>
              <w:numPr>
                <w:ilvl w:val="0"/>
                <w:numId w:val="0"/>
              </w:numPr>
              <w:ind w:leftChars="0"/>
              <w:rPr>
                <w:rFonts w:hint="eastAsia"/>
              </w:rPr>
            </w:pPr>
          </w:p>
          <w:p w14:paraId="0B767B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供应商全称：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 xml:space="preserve">                                       </w:t>
            </w:r>
            <w:r>
              <w:rPr>
                <w:rStyle w:val="10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（盖章）</w:t>
            </w:r>
          </w:p>
        </w:tc>
      </w:tr>
      <w:tr w14:paraId="7C2E9F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BA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法定代表人或被授权人（签字或盖章）：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 xml:space="preserve">                    </w:t>
            </w:r>
            <w:r>
              <w:rPr>
                <w:rStyle w:val="10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（签字）</w:t>
            </w:r>
          </w:p>
        </w:tc>
      </w:tr>
      <w:tr w14:paraId="47CF89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69B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法定代表人或被授权人联系电话：</w:t>
            </w:r>
          </w:p>
        </w:tc>
      </w:tr>
      <w:tr w14:paraId="4BA9B6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166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报价时间：     年    月   日</w:t>
            </w:r>
          </w:p>
        </w:tc>
      </w:tr>
    </w:tbl>
    <w:p w14:paraId="70D9A499">
      <w:pP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</w:p>
    <w:p w14:paraId="570C5FDA">
      <w:pPr>
        <w:pStyle w:val="5"/>
        <w:ind w:left="0" w:leftChars="0" w:firstLine="0" w:firstLineChars="0"/>
        <w:rPr>
          <w:rFonts w:hint="eastAsia"/>
        </w:rPr>
      </w:pPr>
    </w:p>
    <w:p w14:paraId="1B79DCE5">
      <w:pPr>
        <w:numPr>
          <w:ilvl w:val="0"/>
          <w:numId w:val="0"/>
        </w:numPr>
        <w:ind w:leftChars="0"/>
        <w:jc w:val="left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98F6A6"/>
    <w:multiLevelType w:val="singleLevel"/>
    <w:tmpl w:val="F598F6A6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DZlNWQyODVhNjhhZWVkZWNmNzE2MDk3YTU3MDMifQ=="/>
  </w:docVars>
  <w:rsids>
    <w:rsidRoot w:val="00000000"/>
    <w:rsid w:val="0855291D"/>
    <w:rsid w:val="08B7099F"/>
    <w:rsid w:val="0F242EBB"/>
    <w:rsid w:val="17900381"/>
    <w:rsid w:val="17E1574E"/>
    <w:rsid w:val="19187490"/>
    <w:rsid w:val="1CD11E26"/>
    <w:rsid w:val="1DB95831"/>
    <w:rsid w:val="21DD738F"/>
    <w:rsid w:val="249F516A"/>
    <w:rsid w:val="29855CA1"/>
    <w:rsid w:val="2A120893"/>
    <w:rsid w:val="2FA63021"/>
    <w:rsid w:val="30265F6A"/>
    <w:rsid w:val="307D6477"/>
    <w:rsid w:val="3196159F"/>
    <w:rsid w:val="32FA34ED"/>
    <w:rsid w:val="39050DB8"/>
    <w:rsid w:val="40E93FE6"/>
    <w:rsid w:val="41636FC4"/>
    <w:rsid w:val="442C7DFC"/>
    <w:rsid w:val="45DE3127"/>
    <w:rsid w:val="482F0F14"/>
    <w:rsid w:val="4A604889"/>
    <w:rsid w:val="4F9F4787"/>
    <w:rsid w:val="52C32695"/>
    <w:rsid w:val="5C6A7532"/>
    <w:rsid w:val="5F33635C"/>
    <w:rsid w:val="63737E1B"/>
    <w:rsid w:val="6BD83F86"/>
    <w:rsid w:val="6C805117"/>
    <w:rsid w:val="6D8D0DA1"/>
    <w:rsid w:val="6E69536A"/>
    <w:rsid w:val="6EE964AB"/>
    <w:rsid w:val="703A703F"/>
    <w:rsid w:val="70A802F3"/>
    <w:rsid w:val="77D23F80"/>
    <w:rsid w:val="795D3D1D"/>
    <w:rsid w:val="799D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spacing w:before="154"/>
      <w:ind w:left="701"/>
      <w:jc w:val="left"/>
    </w:pPr>
    <w:rPr>
      <w:rFonts w:ascii="宋体" w:hAnsi="宋体" w:cs="Times New Roman"/>
      <w:kern w:val="0"/>
      <w:sz w:val="24"/>
      <w:szCs w:val="24"/>
      <w:lang w:eastAsia="en-US"/>
    </w:rPr>
  </w:style>
  <w:style w:type="paragraph" w:styleId="3">
    <w:name w:val="index 8"/>
    <w:basedOn w:val="1"/>
    <w:next w:val="1"/>
    <w:qFormat/>
    <w:uiPriority w:val="0"/>
    <w:pPr>
      <w:spacing w:line="276" w:lineRule="auto"/>
      <w:jc w:val="left"/>
    </w:pPr>
    <w:rPr>
      <w:rFonts w:ascii="宋体" w:hAnsi="宋体"/>
      <w:color w:val="FF0000"/>
    </w:rPr>
  </w:style>
  <w:style w:type="paragraph" w:styleId="4">
    <w:name w:val="Date"/>
    <w:basedOn w:val="1"/>
    <w:next w:val="1"/>
    <w:qFormat/>
    <w:uiPriority w:val="0"/>
    <w:pPr>
      <w:ind w:left="100" w:leftChars="2500"/>
    </w:pPr>
  </w:style>
  <w:style w:type="paragraph" w:styleId="5">
    <w:name w:val="Body Text First Indent"/>
    <w:basedOn w:val="2"/>
    <w:unhideWhenUsed/>
    <w:qFormat/>
    <w:uiPriority w:val="0"/>
    <w:pPr>
      <w:tabs>
        <w:tab w:val="left" w:pos="425"/>
        <w:tab w:val="left" w:pos="720"/>
      </w:tabs>
      <w:spacing w:beforeLines="50" w:afterLines="0"/>
      <w:ind w:left="720" w:hanging="720"/>
      <w:jc w:val="left"/>
    </w:pPr>
    <w:rPr>
      <w:rFonts w:hint="default" w:hAnsi="宋体"/>
      <w:color w:val="000000"/>
      <w:kern w:val="0"/>
      <w:sz w:val="24"/>
      <w:szCs w:val="24"/>
      <w:lang w:val="zh-CN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Default"/>
    <w:next w:val="1"/>
    <w:qFormat/>
    <w:uiPriority w:val="99"/>
    <w:pPr>
      <w:widowControl w:val="0"/>
      <w:autoSpaceDE w:val="0"/>
      <w:autoSpaceDN w:val="0"/>
      <w:adjustRightInd w:val="0"/>
      <w:spacing w:line="360" w:lineRule="auto"/>
      <w:ind w:firstLine="147" w:firstLineChars="147"/>
      <w:jc w:val="both"/>
    </w:pPr>
    <w:rPr>
      <w:rFonts w:ascii="宋体" w:hAnsi="Arial" w:eastAsia="宋体" w:cs="Times New Roman"/>
      <w:color w:val="000000"/>
      <w:kern w:val="2"/>
      <w:sz w:val="24"/>
      <w:szCs w:val="24"/>
      <w:lang w:val="en-US" w:eastAsia="zh-CN" w:bidi="ar-SA"/>
    </w:rPr>
  </w:style>
  <w:style w:type="character" w:customStyle="1" w:styleId="10">
    <w:name w:val="font11"/>
    <w:basedOn w:val="8"/>
    <w:autoRedefine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11">
    <w:name w:val="font21"/>
    <w:basedOn w:val="8"/>
    <w:autoRedefine/>
    <w:qFormat/>
    <w:uiPriority w:val="0"/>
    <w:rPr>
      <w:rFonts w:hint="eastAsia" w:ascii="宋体" w:hAnsi="宋体" w:eastAsia="宋体" w:cs="宋体"/>
      <w:color w:val="000000"/>
      <w:sz w:val="32"/>
      <w:szCs w:val="32"/>
      <w:u w:val="single"/>
    </w:rPr>
  </w:style>
  <w:style w:type="character" w:customStyle="1" w:styleId="12">
    <w:name w:val="font61"/>
    <w:basedOn w:val="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3">
    <w:name w:val="font71"/>
    <w:basedOn w:val="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paragraph" w:customStyle="1" w:styleId="14">
    <w:name w:val="12、表格内左对齐正文"/>
    <w:basedOn w:val="1"/>
    <w:autoRedefine/>
    <w:qFormat/>
    <w:uiPriority w:val="0"/>
    <w:pPr>
      <w:tabs>
        <w:tab w:val="left" w:pos="0"/>
      </w:tabs>
      <w:wordWrap w:val="0"/>
      <w:topLinePunct/>
      <w:spacing w:line="360" w:lineRule="exact"/>
      <w:ind w:left="48" w:leftChars="20" w:firstLine="0" w:firstLineChars="0"/>
    </w:pPr>
    <w:rPr>
      <w:rFonts w:ascii="宋体" w:hAnsi="宋体" w:eastAsia="宋体"/>
      <w:snapToGrid w:val="0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600</Words>
  <Characters>624</Characters>
  <Lines>0</Lines>
  <Paragraphs>0</Paragraphs>
  <TotalTime>2</TotalTime>
  <ScaleCrop>false</ScaleCrop>
  <LinksUpToDate>false</LinksUpToDate>
  <CharactersWithSpaces>696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2025-06-04T01:18:00Z</dcterms:created>
  <dc:creator>lenovo</dc:creator>
  <cp:lastModifiedBy>刘皓伟</cp:lastModifiedBy>
  <dcterms:modified xsi:type="dcterms:W3CDTF">2026-04-20T07:20:22Z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KSOTemplateDocerSaveRecord">
    <vt:lpwstr>eyJoZGlkIjoiYjI3M2M4N2FkNzBhMTUzMGU1ODI4NGJlMjFmM2VmODgiLCJ1c2VySWQiOiI3NTg3MjM2NTkifQ==</vt:lpwstr>
  </property>
  <property fmtid="{D5CDD505-2E9C-101B-9397-08002B2CF9AE}" pid="4" name="ICV">
    <vt:lpwstr>57CE9423234446AE9E22928D7254704E_12</vt:lpwstr>
  </property>
</Properties>
</file>