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734711">
      <w:pPr>
        <w:tabs>
          <w:tab w:val="left" w:pos="142"/>
          <w:tab w:val="left" w:pos="426"/>
        </w:tabs>
        <w:adjustRightInd w:val="0"/>
        <w:snapToGrid w:val="0"/>
        <w:spacing w:line="360" w:lineRule="auto"/>
        <w:jc w:val="center"/>
        <w:rPr>
          <w:rFonts w:ascii="宋体" w:hAnsi="宋体"/>
          <w:b/>
          <w:sz w:val="30"/>
          <w:szCs w:val="30"/>
        </w:rPr>
      </w:pPr>
      <w:r>
        <w:rPr>
          <w:rFonts w:hint="eastAsia" w:ascii="宋体" w:hAnsi="宋体"/>
          <w:b/>
          <w:sz w:val="30"/>
          <w:szCs w:val="30"/>
        </w:rPr>
        <w:t>采购需求书</w:t>
      </w:r>
    </w:p>
    <w:p w14:paraId="4C3308DD">
      <w:pPr>
        <w:tabs>
          <w:tab w:val="left" w:pos="142"/>
          <w:tab w:val="left" w:pos="426"/>
        </w:tabs>
        <w:adjustRightInd w:val="0"/>
        <w:snapToGrid w:val="0"/>
        <w:spacing w:line="360" w:lineRule="auto"/>
        <w:jc w:val="center"/>
        <w:rPr>
          <w:rFonts w:ascii="宋体" w:hAnsi="宋体"/>
          <w:b/>
          <w:sz w:val="30"/>
          <w:szCs w:val="30"/>
        </w:rPr>
      </w:pPr>
    </w:p>
    <w:p w14:paraId="19469CB7">
      <w:pPr>
        <w:snapToGrid w:val="0"/>
        <w:spacing w:line="360" w:lineRule="auto"/>
        <w:rPr>
          <w:rFonts w:ascii="宋体" w:hAnsi="宋体"/>
          <w:b/>
          <w:bCs/>
          <w:szCs w:val="21"/>
        </w:rPr>
      </w:pPr>
      <w:r>
        <w:rPr>
          <w:rFonts w:hint="eastAsia" w:ascii="宋体" w:hAnsi="宋体"/>
          <w:b/>
          <w:bCs/>
          <w:szCs w:val="21"/>
        </w:rPr>
        <w:t>说明：</w:t>
      </w:r>
    </w:p>
    <w:p w14:paraId="44F6E85B">
      <w:pPr>
        <w:numPr>
          <w:ilvl w:val="0"/>
          <w:numId w:val="1"/>
        </w:numPr>
        <w:snapToGrid w:val="0"/>
        <w:spacing w:line="360" w:lineRule="auto"/>
        <w:ind w:left="422" w:hanging="422" w:hangingChars="200"/>
        <w:rPr>
          <w:rFonts w:ascii="宋体" w:hAnsi="宋体"/>
          <w:b/>
          <w:bCs/>
          <w:szCs w:val="21"/>
        </w:rPr>
      </w:pPr>
      <w:r>
        <w:rPr>
          <w:rFonts w:hint="eastAsia" w:ascii="宋体" w:hAnsi="宋体"/>
          <w:b/>
          <w:bCs/>
          <w:szCs w:val="21"/>
        </w:rPr>
        <w:t>投标人须对本项目为单位的采购标的进行整体响应，任何只对采购标的其中一部分内容进行的响应都被视为无效投标。</w:t>
      </w:r>
    </w:p>
    <w:p w14:paraId="4F3CB6A9">
      <w:pPr>
        <w:numPr>
          <w:ilvl w:val="0"/>
          <w:numId w:val="1"/>
        </w:numPr>
        <w:snapToGrid w:val="0"/>
        <w:spacing w:line="360" w:lineRule="auto"/>
        <w:ind w:left="422" w:hanging="422" w:hangingChars="200"/>
        <w:rPr>
          <w:rFonts w:ascii="宋体" w:hAnsi="宋体"/>
          <w:b/>
          <w:bCs/>
          <w:szCs w:val="21"/>
        </w:rPr>
      </w:pPr>
      <w:r>
        <w:rPr>
          <w:rFonts w:hint="eastAsia" w:ascii="宋体" w:hAnsi="宋体"/>
          <w:b/>
          <w:bCs/>
          <w:szCs w:val="21"/>
        </w:rPr>
        <w:t>采购需求书中打</w:t>
      </w:r>
      <w:r>
        <w:rPr>
          <w:rFonts w:ascii="宋体" w:hAnsi="宋体"/>
          <w:b/>
          <w:bCs/>
          <w:szCs w:val="21"/>
        </w:rPr>
        <w:t>“</w:t>
      </w:r>
      <w:r>
        <w:rPr>
          <w:rFonts w:hint="eastAsia" w:ascii="宋体" w:hAnsi="宋体"/>
          <w:b/>
          <w:bCs/>
          <w:szCs w:val="21"/>
        </w:rPr>
        <w:t>★</w:t>
      </w:r>
      <w:r>
        <w:rPr>
          <w:rFonts w:ascii="宋体" w:hAnsi="宋体"/>
          <w:b/>
          <w:bCs/>
          <w:szCs w:val="21"/>
        </w:rPr>
        <w:t>”</w:t>
      </w:r>
      <w:r>
        <w:rPr>
          <w:rFonts w:hint="eastAsia" w:ascii="宋体" w:hAnsi="宋体"/>
          <w:b/>
          <w:bCs/>
          <w:szCs w:val="21"/>
        </w:rPr>
        <w:t>号条款为实质性条款，有任何一条负偏离则导致无效投标。</w:t>
      </w:r>
    </w:p>
    <w:p w14:paraId="673855CC">
      <w:pPr>
        <w:numPr>
          <w:ilvl w:val="0"/>
          <w:numId w:val="1"/>
        </w:numPr>
        <w:snapToGrid w:val="0"/>
        <w:spacing w:line="360" w:lineRule="auto"/>
        <w:ind w:left="422" w:hanging="422" w:hangingChars="200"/>
        <w:rPr>
          <w:rFonts w:ascii="宋体" w:hAnsi="宋体"/>
          <w:b/>
          <w:bCs/>
          <w:szCs w:val="21"/>
        </w:rPr>
      </w:pPr>
      <w:r>
        <w:rPr>
          <w:rFonts w:hint="eastAsia" w:ascii="宋体" w:hAnsi="宋体"/>
          <w:b/>
          <w:bCs/>
          <w:szCs w:val="21"/>
        </w:rPr>
        <w:t>采购需求书中打</w:t>
      </w:r>
      <w:r>
        <w:rPr>
          <w:rFonts w:ascii="宋体" w:hAnsi="宋体"/>
          <w:b/>
          <w:bCs/>
          <w:szCs w:val="21"/>
        </w:rPr>
        <w:t>“</w:t>
      </w:r>
      <w:r>
        <w:rPr>
          <w:rFonts w:hint="eastAsia" w:ascii="宋体" w:hAnsi="宋体"/>
          <w:b/>
          <w:bCs/>
          <w:szCs w:val="21"/>
        </w:rPr>
        <w:t>▲</w:t>
      </w:r>
      <w:r>
        <w:rPr>
          <w:rFonts w:ascii="宋体" w:hAnsi="宋体"/>
          <w:b/>
          <w:bCs/>
          <w:szCs w:val="21"/>
        </w:rPr>
        <w:t>”</w:t>
      </w:r>
      <w:r>
        <w:rPr>
          <w:rFonts w:hint="eastAsia" w:ascii="宋体" w:hAnsi="宋体"/>
          <w:b/>
          <w:bCs/>
          <w:szCs w:val="21"/>
        </w:rPr>
        <w:t>号条款为重要技术参数，但不作为无效投标条款。</w:t>
      </w:r>
    </w:p>
    <w:p w14:paraId="77405C3B">
      <w:pPr>
        <w:numPr>
          <w:ilvl w:val="0"/>
          <w:numId w:val="1"/>
        </w:numPr>
        <w:tabs>
          <w:tab w:val="left" w:pos="540"/>
        </w:tabs>
        <w:adjustRightInd w:val="0"/>
        <w:snapToGrid w:val="0"/>
        <w:spacing w:line="360" w:lineRule="auto"/>
        <w:ind w:hangingChars="200"/>
        <w:rPr>
          <w:rFonts w:ascii="宋体" w:hAnsi="宋体"/>
          <w:b/>
          <w:szCs w:val="21"/>
        </w:rPr>
      </w:pPr>
      <w:r>
        <w:rPr>
          <w:rFonts w:hint="eastAsia" w:ascii="宋体" w:hAnsi="宋体" w:cs="宋体"/>
          <w:szCs w:val="21"/>
          <w:lang w:eastAsia="zh-TW"/>
        </w:rPr>
        <w:t>投标报价</w:t>
      </w:r>
      <w:r>
        <w:rPr>
          <w:rFonts w:hint="eastAsia" w:ascii="宋体" w:hAnsi="宋体" w:cs="宋体"/>
          <w:szCs w:val="21"/>
        </w:rPr>
        <w:t>（总价）</w:t>
      </w:r>
      <w:r>
        <w:rPr>
          <w:rFonts w:hint="eastAsia" w:ascii="宋体" w:hAnsi="宋体" w:cs="宋体"/>
          <w:szCs w:val="21"/>
          <w:lang w:eastAsia="zh-TW"/>
        </w:rPr>
        <w:t>中</w:t>
      </w:r>
      <w:r>
        <w:rPr>
          <w:rFonts w:hint="eastAsia" w:ascii="宋体" w:hAnsi="宋体" w:cs="宋体"/>
          <w:szCs w:val="21"/>
        </w:rPr>
        <w:t>包括所提供设备抵达指定交货地点的货物价格、运输、装卸、安装、调试、验收、培训、保修期费用、税费及一切技术和售后服务等费用。</w:t>
      </w:r>
      <w:r>
        <w:rPr>
          <w:rFonts w:hint="eastAsia" w:ascii="宋体" w:hAnsi="宋体" w:cs="宋体"/>
          <w:szCs w:val="21"/>
          <w:lang w:eastAsia="zh-TW"/>
        </w:rPr>
        <w:t>不得包含招标文件要求以外的内容，否则，在评标时不予核减。若投标报价有缺漏项的，缺漏项部分的价格视为已包含在投标报价中，中标后不作任何调整。</w:t>
      </w:r>
    </w:p>
    <w:p w14:paraId="7B1F3D90">
      <w:pPr>
        <w:numPr>
          <w:ilvl w:val="0"/>
          <w:numId w:val="1"/>
        </w:numPr>
        <w:tabs>
          <w:tab w:val="left" w:pos="540"/>
        </w:tabs>
        <w:adjustRightInd w:val="0"/>
        <w:snapToGrid w:val="0"/>
        <w:spacing w:line="360" w:lineRule="auto"/>
        <w:ind w:hangingChars="200"/>
        <w:rPr>
          <w:rFonts w:ascii="宋体" w:hAnsi="宋体"/>
          <w:b/>
          <w:szCs w:val="21"/>
        </w:rPr>
      </w:pPr>
      <w:r>
        <w:rPr>
          <w:rFonts w:hint="eastAsia" w:ascii="宋体" w:hAnsi="宋体" w:cs="宋体"/>
          <w:szCs w:val="21"/>
        </w:rPr>
        <w:t xml:space="preserve"> </w:t>
      </w:r>
      <w:r>
        <w:rPr>
          <w:rFonts w:hint="eastAsia" w:ascii="宋体" w:hAnsi="宋体" w:cs="宋体"/>
          <w:kern w:val="0"/>
          <w:szCs w:val="21"/>
        </w:rPr>
        <w:t>进口设备必须具备商检局的检验证明及合法进货渠道证明。</w:t>
      </w:r>
    </w:p>
    <w:p w14:paraId="7889C082">
      <w:pPr>
        <w:pStyle w:val="12"/>
        <w:numPr>
          <w:ilvl w:val="0"/>
          <w:numId w:val="2"/>
        </w:numPr>
        <w:tabs>
          <w:tab w:val="left" w:pos="540"/>
        </w:tabs>
        <w:adjustRightInd w:val="0"/>
        <w:snapToGrid w:val="0"/>
        <w:spacing w:line="360" w:lineRule="auto"/>
        <w:rPr>
          <w:rFonts w:hAnsi="宋体" w:eastAsia="宋体"/>
          <w:b/>
        </w:rPr>
      </w:pPr>
      <w:r>
        <w:rPr>
          <w:rFonts w:hint="eastAsia" w:hAnsi="宋体" w:eastAsia="宋体"/>
          <w:b/>
        </w:rPr>
        <w:t>项目一览表</w:t>
      </w:r>
    </w:p>
    <w:tbl>
      <w:tblPr>
        <w:tblStyle w:val="17"/>
        <w:tblW w:w="825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2"/>
        <w:gridCol w:w="993"/>
        <w:gridCol w:w="2693"/>
        <w:gridCol w:w="1843"/>
      </w:tblGrid>
      <w:tr w14:paraId="49ACF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trPr>
        <w:tc>
          <w:tcPr>
            <w:tcW w:w="2722" w:type="dxa"/>
            <w:shd w:val="clear" w:color="auto" w:fill="EEECE1"/>
            <w:vAlign w:val="center"/>
          </w:tcPr>
          <w:p w14:paraId="57AB3D87">
            <w:pPr>
              <w:jc w:val="center"/>
              <w:rPr>
                <w:rFonts w:ascii="宋体" w:hAnsi="宋体"/>
                <w:b/>
                <w:szCs w:val="21"/>
              </w:rPr>
            </w:pPr>
            <w:r>
              <w:rPr>
                <w:rFonts w:hint="eastAsia" w:ascii="宋体" w:hAnsi="宋体"/>
                <w:b/>
                <w:szCs w:val="21"/>
              </w:rPr>
              <w:t>采购内容</w:t>
            </w:r>
          </w:p>
        </w:tc>
        <w:tc>
          <w:tcPr>
            <w:tcW w:w="993" w:type="dxa"/>
            <w:shd w:val="clear" w:color="auto" w:fill="EEECE1"/>
            <w:vAlign w:val="center"/>
          </w:tcPr>
          <w:p w14:paraId="5F643916">
            <w:pPr>
              <w:jc w:val="center"/>
              <w:rPr>
                <w:rFonts w:ascii="宋体" w:hAnsi="宋体"/>
                <w:b/>
                <w:szCs w:val="21"/>
              </w:rPr>
            </w:pPr>
            <w:r>
              <w:rPr>
                <w:rFonts w:hint="eastAsia" w:ascii="宋体" w:hAnsi="宋体"/>
                <w:b/>
                <w:szCs w:val="21"/>
              </w:rPr>
              <w:t>数量</w:t>
            </w:r>
          </w:p>
        </w:tc>
        <w:tc>
          <w:tcPr>
            <w:tcW w:w="2693" w:type="dxa"/>
            <w:shd w:val="clear" w:color="auto" w:fill="EEECE1"/>
            <w:vAlign w:val="center"/>
          </w:tcPr>
          <w:p w14:paraId="22EEE10D">
            <w:pPr>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交货期</w:t>
            </w:r>
          </w:p>
        </w:tc>
        <w:tc>
          <w:tcPr>
            <w:tcW w:w="1843" w:type="dxa"/>
            <w:shd w:val="clear" w:color="auto" w:fill="EEECE1"/>
            <w:vAlign w:val="center"/>
          </w:tcPr>
          <w:p w14:paraId="413C8451">
            <w:pPr>
              <w:jc w:val="center"/>
              <w:rPr>
                <w:rFonts w:ascii="宋体" w:hAnsi="宋体"/>
                <w:b/>
                <w:szCs w:val="21"/>
              </w:rPr>
            </w:pPr>
            <w:r>
              <w:rPr>
                <w:rFonts w:hint="eastAsia" w:ascii="宋体" w:hAnsi="宋体"/>
                <w:b/>
                <w:szCs w:val="21"/>
              </w:rPr>
              <w:t>最高限价</w:t>
            </w:r>
          </w:p>
        </w:tc>
      </w:tr>
      <w:tr w14:paraId="4AA4E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9" w:hRule="atLeast"/>
        </w:trPr>
        <w:tc>
          <w:tcPr>
            <w:tcW w:w="2722" w:type="dxa"/>
            <w:vAlign w:val="center"/>
          </w:tcPr>
          <w:p w14:paraId="0B1AEA98">
            <w:pPr>
              <w:jc w:val="center"/>
              <w:rPr>
                <w:rFonts w:ascii="宋体" w:hAnsi="宋体"/>
                <w:bCs/>
                <w:szCs w:val="21"/>
              </w:rPr>
            </w:pPr>
            <w:r>
              <w:rPr>
                <w:rFonts w:hint="eastAsia" w:ascii="宋体" w:hAnsi="宋体"/>
                <w:bCs/>
                <w:szCs w:val="21"/>
              </w:rPr>
              <w:t>汕头大学医学院第一附属医院无创心输出量测量仪</w:t>
            </w:r>
          </w:p>
        </w:tc>
        <w:tc>
          <w:tcPr>
            <w:tcW w:w="993" w:type="dxa"/>
            <w:vAlign w:val="center"/>
          </w:tcPr>
          <w:p w14:paraId="22A67D39">
            <w:pPr>
              <w:jc w:val="center"/>
              <w:rPr>
                <w:rFonts w:ascii="宋体" w:hAnsi="宋体"/>
                <w:bCs/>
                <w:szCs w:val="21"/>
              </w:rPr>
            </w:pPr>
            <w:r>
              <w:rPr>
                <w:rFonts w:hint="eastAsia" w:ascii="宋体" w:hAnsi="宋体"/>
                <w:bCs/>
                <w:szCs w:val="21"/>
              </w:rPr>
              <w:t>1台</w:t>
            </w:r>
          </w:p>
        </w:tc>
        <w:tc>
          <w:tcPr>
            <w:tcW w:w="2693" w:type="dxa"/>
            <w:vAlign w:val="center"/>
          </w:tcPr>
          <w:p w14:paraId="681EA96E">
            <w:pPr>
              <w:pStyle w:val="39"/>
              <w:spacing w:line="240" w:lineRule="auto"/>
              <w:rPr>
                <w:rFonts w:ascii="宋体" w:hAnsi="宋体"/>
                <w:snapToGrid/>
                <w:color w:val="000000" w:themeColor="text1"/>
                <w:spacing w:val="0"/>
                <w:kern w:val="2"/>
                <w:sz w:val="21"/>
                <w:szCs w:val="21"/>
                <w14:textFill>
                  <w14:solidFill>
                    <w14:schemeClr w14:val="tx1"/>
                  </w14:solidFill>
                </w14:textFill>
              </w:rPr>
            </w:pPr>
            <w:r>
              <w:rPr>
                <w:rFonts w:hint="eastAsia" w:ascii="宋体" w:hAnsi="宋体"/>
                <w:snapToGrid/>
                <w:color w:val="000000" w:themeColor="text1"/>
                <w:spacing w:val="0"/>
                <w:kern w:val="2"/>
                <w:sz w:val="21"/>
                <w:szCs w:val="21"/>
                <w14:textFill>
                  <w14:solidFill>
                    <w14:schemeClr w14:val="tx1"/>
                  </w14:solidFill>
                </w14:textFill>
              </w:rPr>
              <w:t>自合同签订之日起45日内完成到货、安装、调试并验收合格通过。</w:t>
            </w:r>
          </w:p>
        </w:tc>
        <w:tc>
          <w:tcPr>
            <w:tcW w:w="1843" w:type="dxa"/>
            <w:vAlign w:val="center"/>
          </w:tcPr>
          <w:p w14:paraId="7B56C3DD">
            <w:pPr>
              <w:pStyle w:val="39"/>
              <w:rPr>
                <w:rFonts w:ascii="宋体" w:hAnsi="宋体"/>
                <w:snapToGrid/>
                <w:spacing w:val="0"/>
                <w:kern w:val="2"/>
                <w:sz w:val="21"/>
                <w:szCs w:val="21"/>
              </w:rPr>
            </w:pPr>
            <w:r>
              <w:rPr>
                <w:rFonts w:hint="eastAsia" w:ascii="宋体" w:hAnsi="宋体"/>
                <w:snapToGrid/>
                <w:spacing w:val="0"/>
                <w:kern w:val="2"/>
                <w:sz w:val="21"/>
                <w:szCs w:val="21"/>
              </w:rPr>
              <w:t>人民币</w:t>
            </w:r>
            <w:r>
              <w:rPr>
                <w:rFonts w:ascii="宋体" w:hAnsi="宋体"/>
                <w:snapToGrid/>
                <w:spacing w:val="0"/>
                <w:kern w:val="2"/>
                <w:sz w:val="21"/>
                <w:szCs w:val="21"/>
              </w:rPr>
              <w:t>440000.00</w:t>
            </w:r>
            <w:r>
              <w:rPr>
                <w:rFonts w:hint="eastAsia" w:ascii="宋体" w:hAnsi="宋体"/>
                <w:snapToGrid/>
                <w:spacing w:val="0"/>
                <w:kern w:val="2"/>
                <w:sz w:val="21"/>
                <w:szCs w:val="21"/>
              </w:rPr>
              <w:t>元</w:t>
            </w:r>
          </w:p>
        </w:tc>
      </w:tr>
    </w:tbl>
    <w:p w14:paraId="34119DAD">
      <w:pPr>
        <w:pStyle w:val="12"/>
        <w:tabs>
          <w:tab w:val="left" w:pos="420"/>
          <w:tab w:val="left" w:pos="540"/>
        </w:tabs>
        <w:adjustRightInd w:val="0"/>
        <w:snapToGrid w:val="0"/>
        <w:spacing w:line="360" w:lineRule="auto"/>
        <w:rPr>
          <w:rFonts w:hAnsi="宋体" w:eastAsia="宋体"/>
          <w:b/>
        </w:rPr>
      </w:pPr>
    </w:p>
    <w:p w14:paraId="22DAD203">
      <w:pPr>
        <w:pStyle w:val="12"/>
        <w:numPr>
          <w:ilvl w:val="0"/>
          <w:numId w:val="2"/>
        </w:numPr>
        <w:tabs>
          <w:tab w:val="left" w:pos="540"/>
        </w:tabs>
        <w:adjustRightInd w:val="0"/>
        <w:snapToGrid w:val="0"/>
        <w:spacing w:line="360" w:lineRule="auto"/>
        <w:rPr>
          <w:rFonts w:hAnsi="宋体" w:eastAsia="宋体"/>
          <w:b/>
        </w:rPr>
      </w:pPr>
      <w:r>
        <w:rPr>
          <w:rFonts w:hint="eastAsia" w:hAnsi="宋体" w:eastAsia="宋体"/>
          <w:b/>
        </w:rPr>
        <w:t>项目基本概况</w:t>
      </w:r>
    </w:p>
    <w:p w14:paraId="3FB7809A">
      <w:pPr>
        <w:pStyle w:val="12"/>
        <w:adjustRightInd w:val="0"/>
        <w:snapToGrid w:val="0"/>
        <w:spacing w:line="360" w:lineRule="auto"/>
        <w:ind w:firstLine="420" w:firstLineChars="200"/>
        <w:rPr>
          <w:rFonts w:hAnsi="宋体" w:eastAsia="宋体"/>
          <w:bCs/>
        </w:rPr>
      </w:pPr>
      <w:r>
        <w:rPr>
          <w:rFonts w:hint="eastAsia" w:hAnsi="宋体" w:eastAsia="宋体"/>
          <w:bCs/>
        </w:rPr>
        <w:t>为提高医疗服务质量，汕头大学医学院第一附属医院拟通过公开招标选取优秀供应商采购无创心输出量测量仪。</w:t>
      </w:r>
    </w:p>
    <w:p w14:paraId="7DCD60AB">
      <w:pPr>
        <w:pStyle w:val="12"/>
        <w:numPr>
          <w:ilvl w:val="0"/>
          <w:numId w:val="2"/>
        </w:numPr>
        <w:tabs>
          <w:tab w:val="left" w:pos="540"/>
        </w:tabs>
        <w:adjustRightInd w:val="0"/>
        <w:snapToGrid w:val="0"/>
        <w:spacing w:line="360" w:lineRule="auto"/>
        <w:rPr>
          <w:rFonts w:hAnsi="宋体" w:eastAsia="宋体"/>
          <w:b/>
        </w:rPr>
      </w:pPr>
      <w:r>
        <w:rPr>
          <w:rFonts w:hint="eastAsia" w:hAnsi="宋体" w:eastAsia="宋体"/>
          <w:b/>
        </w:rPr>
        <w:t>项目采购标的清单</w:t>
      </w:r>
    </w:p>
    <w:tbl>
      <w:tblPr>
        <w:tblStyle w:val="17"/>
        <w:tblpPr w:leftFromText="180" w:rightFromText="180" w:vertAnchor="text" w:horzAnchor="margin" w:tblpXSpec="center" w:tblpY="148"/>
        <w:tblOverlap w:val="never"/>
        <w:tblW w:w="473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6647"/>
      </w:tblGrid>
      <w:tr w14:paraId="70787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881" w:type="pct"/>
            <w:vAlign w:val="center"/>
          </w:tcPr>
          <w:p w14:paraId="4B028053">
            <w:pPr>
              <w:snapToGrid w:val="0"/>
              <w:jc w:val="center"/>
              <w:rPr>
                <w:rFonts w:ascii="宋体" w:hAnsi="宋体"/>
                <w:b/>
                <w:bCs/>
                <w:szCs w:val="21"/>
              </w:rPr>
            </w:pPr>
            <w:r>
              <w:rPr>
                <w:rFonts w:hint="eastAsia" w:ascii="宋体" w:hAnsi="宋体"/>
                <w:b/>
                <w:bCs/>
                <w:szCs w:val="21"/>
              </w:rPr>
              <w:t>设备名称</w:t>
            </w:r>
          </w:p>
        </w:tc>
        <w:tc>
          <w:tcPr>
            <w:tcW w:w="4119" w:type="pct"/>
            <w:vAlign w:val="center"/>
          </w:tcPr>
          <w:p w14:paraId="3A01C1E6">
            <w:pPr>
              <w:snapToGrid w:val="0"/>
              <w:jc w:val="center"/>
              <w:rPr>
                <w:rFonts w:ascii="宋体" w:hAnsi="宋体"/>
                <w:b/>
                <w:bCs/>
                <w:szCs w:val="21"/>
              </w:rPr>
            </w:pPr>
            <w:r>
              <w:rPr>
                <w:rFonts w:hint="eastAsia" w:ascii="宋体" w:hAnsi="宋体"/>
                <w:b/>
                <w:bCs/>
                <w:szCs w:val="21"/>
              </w:rPr>
              <w:t>技术</w:t>
            </w:r>
            <w:r>
              <w:rPr>
                <w:rFonts w:ascii="宋体" w:hAnsi="宋体"/>
                <w:b/>
                <w:bCs/>
                <w:szCs w:val="21"/>
              </w:rPr>
              <w:t>参数</w:t>
            </w:r>
          </w:p>
        </w:tc>
      </w:tr>
      <w:tr w14:paraId="4FE36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881" w:type="pct"/>
            <w:vAlign w:val="center"/>
          </w:tcPr>
          <w:p w14:paraId="5829FF1C">
            <w:pPr>
              <w:jc w:val="center"/>
              <w:rPr>
                <w:rFonts w:ascii="宋体" w:hAnsi="宋体"/>
                <w:szCs w:val="21"/>
              </w:rPr>
            </w:pPr>
            <w:r>
              <w:rPr>
                <w:rFonts w:hint="eastAsia" w:ascii="宋体" w:hAnsi="宋体"/>
                <w:szCs w:val="21"/>
              </w:rPr>
              <w:t>无创心输出量测量仪</w:t>
            </w:r>
          </w:p>
        </w:tc>
        <w:tc>
          <w:tcPr>
            <w:tcW w:w="4119" w:type="pct"/>
            <w:vAlign w:val="center"/>
          </w:tcPr>
          <w:p w14:paraId="5E2CC7BC">
            <w:pPr>
              <w:spacing w:line="360" w:lineRule="auto"/>
              <w:rPr>
                <w:rFonts w:ascii="宋体" w:hAnsi="宋体" w:cs="Cascadia Mono SemiBold"/>
                <w:bCs/>
                <w:iCs/>
                <w:szCs w:val="21"/>
              </w:rPr>
            </w:pPr>
            <w:r>
              <w:rPr>
                <w:rFonts w:hint="eastAsia" w:ascii="宋体" w:hAnsi="宋体" w:cs="Cascadia Mono SemiBold"/>
                <w:bCs/>
                <w:iCs/>
                <w:szCs w:val="21"/>
              </w:rPr>
              <w:t>1、▲适用范围：适用于任何年龄、身高、体型的新生儿、小儿及成人患者。</w:t>
            </w:r>
          </w:p>
          <w:p w14:paraId="76F76D15">
            <w:pPr>
              <w:spacing w:line="360" w:lineRule="auto"/>
              <w:rPr>
                <w:rFonts w:ascii="宋体" w:hAnsi="宋体" w:cs="Cascadia Mono SemiBold"/>
                <w:bCs/>
                <w:iCs/>
                <w:szCs w:val="21"/>
              </w:rPr>
            </w:pPr>
            <w:r>
              <w:rPr>
                <w:rFonts w:hint="eastAsia" w:ascii="宋体" w:hAnsi="宋体" w:cs="Cascadia Mono SemiBold"/>
                <w:bCs/>
                <w:iCs/>
                <w:szCs w:val="21"/>
              </w:rPr>
              <w:t>2、测量参数：</w:t>
            </w:r>
          </w:p>
          <w:p w14:paraId="0D20AD27">
            <w:pPr>
              <w:spacing w:line="360" w:lineRule="auto"/>
              <w:rPr>
                <w:rFonts w:ascii="宋体" w:hAnsi="宋体" w:cs="Cascadia Mono SemiBold"/>
                <w:bCs/>
                <w:iCs/>
                <w:szCs w:val="21"/>
              </w:rPr>
            </w:pPr>
            <w:r>
              <w:rPr>
                <w:rFonts w:hint="eastAsia" w:ascii="宋体" w:hAnsi="宋体" w:cs="Cascadia Mono SemiBold"/>
                <w:bCs/>
                <w:iCs/>
                <w:szCs w:val="21"/>
              </w:rPr>
              <w:t xml:space="preserve">2.1、血流排量：每搏输出量SV、每博输出指数SI、心率HR、心输出量CO、心脏指数CI </w:t>
            </w:r>
          </w:p>
          <w:p w14:paraId="399F61A6">
            <w:pPr>
              <w:spacing w:line="360" w:lineRule="auto"/>
              <w:rPr>
                <w:rFonts w:ascii="宋体" w:hAnsi="宋体" w:cs="Cascadia Mono SemiBold"/>
                <w:bCs/>
                <w:iCs/>
                <w:szCs w:val="21"/>
              </w:rPr>
            </w:pPr>
            <w:r>
              <w:rPr>
                <w:rFonts w:hint="eastAsia" w:ascii="宋体" w:hAnsi="宋体" w:cs="Cascadia Mono SemiBold"/>
                <w:bCs/>
                <w:iCs/>
                <w:szCs w:val="21"/>
              </w:rPr>
              <w:t>2</w:t>
            </w:r>
            <w:r>
              <w:rPr>
                <w:rFonts w:ascii="宋体" w:hAnsi="宋体" w:cs="Cascadia Mono SemiBold"/>
                <w:bCs/>
                <w:iCs/>
                <w:szCs w:val="21"/>
              </w:rPr>
              <w:t>.1.1、</w:t>
            </w:r>
            <w:r>
              <w:rPr>
                <w:rFonts w:hint="eastAsia" w:ascii="宋体" w:hAnsi="宋体" w:cs="Cascadia Mono SemiBold"/>
                <w:bCs/>
                <w:iCs/>
                <w:szCs w:val="21"/>
              </w:rPr>
              <w:t>每博输出量，监测范围：1–200ml</w:t>
            </w:r>
          </w:p>
          <w:p w14:paraId="3271E4CA">
            <w:pPr>
              <w:spacing w:line="360" w:lineRule="auto"/>
              <w:rPr>
                <w:rFonts w:ascii="宋体" w:hAnsi="宋体" w:cs="Cascadia Mono SemiBold"/>
                <w:bCs/>
                <w:iCs/>
                <w:szCs w:val="21"/>
              </w:rPr>
            </w:pPr>
            <w:r>
              <w:rPr>
                <w:rFonts w:hint="eastAsia" w:ascii="宋体" w:hAnsi="宋体" w:cs="Cascadia Mono SemiBold"/>
                <w:bCs/>
                <w:iCs/>
                <w:szCs w:val="21"/>
              </w:rPr>
              <w:t>2</w:t>
            </w:r>
            <w:r>
              <w:rPr>
                <w:rFonts w:ascii="宋体" w:hAnsi="宋体" w:cs="Cascadia Mono SemiBold"/>
                <w:bCs/>
                <w:iCs/>
                <w:szCs w:val="21"/>
              </w:rPr>
              <w:t>.1.2、</w:t>
            </w:r>
            <w:r>
              <w:rPr>
                <w:rFonts w:hint="eastAsia" w:ascii="宋体" w:hAnsi="宋体" w:cs="Cascadia Mono SemiBold"/>
                <w:bCs/>
                <w:iCs/>
                <w:szCs w:val="21"/>
              </w:rPr>
              <w:t>每博输出量指数，监测范围：0.5-2500ml/m2</w:t>
            </w:r>
          </w:p>
          <w:p w14:paraId="5662D7CC">
            <w:pPr>
              <w:spacing w:line="360" w:lineRule="auto"/>
              <w:rPr>
                <w:rFonts w:ascii="宋体" w:hAnsi="宋体" w:cs="Cascadia Mono SemiBold"/>
                <w:bCs/>
                <w:iCs/>
                <w:szCs w:val="21"/>
              </w:rPr>
            </w:pPr>
            <w:r>
              <w:rPr>
                <w:rFonts w:hint="eastAsia" w:ascii="宋体" w:hAnsi="宋体" w:cs="Cascadia Mono SemiBold"/>
                <w:bCs/>
                <w:iCs/>
                <w:szCs w:val="21"/>
              </w:rPr>
              <w:t>2</w:t>
            </w:r>
            <w:r>
              <w:rPr>
                <w:rFonts w:ascii="宋体" w:hAnsi="宋体" w:cs="Cascadia Mono SemiBold"/>
                <w:bCs/>
                <w:iCs/>
                <w:szCs w:val="21"/>
              </w:rPr>
              <w:t>.1.3、</w:t>
            </w:r>
            <w:r>
              <w:rPr>
                <w:rFonts w:hint="eastAsia" w:ascii="宋体" w:hAnsi="宋体" w:cs="Cascadia Mono SemiBold"/>
                <w:bCs/>
                <w:iCs/>
                <w:szCs w:val="21"/>
              </w:rPr>
              <w:t>心率，监测范围：30-300bpm</w:t>
            </w:r>
          </w:p>
          <w:p w14:paraId="28FD92B7">
            <w:pPr>
              <w:spacing w:line="360" w:lineRule="auto"/>
              <w:rPr>
                <w:rFonts w:ascii="宋体" w:hAnsi="宋体" w:cs="Cascadia Mono SemiBold"/>
                <w:bCs/>
                <w:iCs/>
                <w:szCs w:val="21"/>
              </w:rPr>
            </w:pPr>
            <w:r>
              <w:rPr>
                <w:rFonts w:hint="eastAsia" w:ascii="宋体" w:hAnsi="宋体" w:cs="Cascadia Mono SemiBold"/>
                <w:bCs/>
                <w:iCs/>
                <w:szCs w:val="21"/>
              </w:rPr>
              <w:t>2</w:t>
            </w:r>
            <w:r>
              <w:rPr>
                <w:rFonts w:ascii="宋体" w:hAnsi="宋体" w:cs="Cascadia Mono SemiBold"/>
                <w:bCs/>
                <w:iCs/>
                <w:szCs w:val="21"/>
              </w:rPr>
              <w:t>.1.4、</w:t>
            </w:r>
            <w:r>
              <w:rPr>
                <w:rFonts w:hint="eastAsia" w:ascii="宋体" w:hAnsi="宋体" w:cs="Cascadia Mono SemiBold"/>
                <w:bCs/>
                <w:iCs/>
                <w:szCs w:val="21"/>
              </w:rPr>
              <w:t>心输出量，监测范围：0.1–20 l/min</w:t>
            </w:r>
          </w:p>
          <w:p w14:paraId="22F235A6">
            <w:pPr>
              <w:spacing w:line="360" w:lineRule="auto"/>
              <w:rPr>
                <w:rFonts w:ascii="宋体" w:hAnsi="宋体" w:cs="Cascadia Mono SemiBold"/>
                <w:bCs/>
                <w:iCs/>
                <w:szCs w:val="21"/>
              </w:rPr>
            </w:pPr>
            <w:r>
              <w:rPr>
                <w:rFonts w:hint="eastAsia" w:ascii="宋体" w:hAnsi="宋体" w:cs="Cascadia Mono SemiBold"/>
                <w:bCs/>
                <w:iCs/>
                <w:szCs w:val="21"/>
              </w:rPr>
              <w:t>2.2、▲液体状态：胸腔液体水平TFC、每搏输出变异SVV等。</w:t>
            </w:r>
          </w:p>
          <w:p w14:paraId="4100D980">
            <w:pPr>
              <w:spacing w:line="360" w:lineRule="auto"/>
              <w:rPr>
                <w:rFonts w:ascii="宋体" w:hAnsi="宋体" w:cs="Cascadia Mono SemiBold"/>
                <w:bCs/>
                <w:iCs/>
                <w:szCs w:val="21"/>
              </w:rPr>
            </w:pPr>
            <w:r>
              <w:rPr>
                <w:rFonts w:hint="eastAsia" w:ascii="宋体" w:hAnsi="宋体" w:cs="Cascadia Mono SemiBold"/>
                <w:bCs/>
                <w:iCs/>
                <w:szCs w:val="21"/>
              </w:rPr>
              <w:t>2</w:t>
            </w:r>
            <w:r>
              <w:rPr>
                <w:rFonts w:ascii="宋体" w:hAnsi="宋体" w:cs="Cascadia Mono SemiBold"/>
                <w:bCs/>
                <w:iCs/>
                <w:szCs w:val="21"/>
              </w:rPr>
              <w:t>.2.1、</w:t>
            </w:r>
            <w:r>
              <w:rPr>
                <w:rFonts w:hint="eastAsia" w:ascii="宋体" w:hAnsi="宋体" w:cs="Cascadia Mono SemiBold"/>
                <w:bCs/>
                <w:iCs/>
                <w:szCs w:val="21"/>
              </w:rPr>
              <w:t>胸腔液体水平，监测范围：5-100kohm^-1</w:t>
            </w:r>
          </w:p>
          <w:p w14:paraId="58A4E62E">
            <w:pPr>
              <w:spacing w:line="360" w:lineRule="auto"/>
              <w:rPr>
                <w:rFonts w:ascii="宋体" w:hAnsi="宋体" w:cs="Cascadia Mono SemiBold"/>
                <w:bCs/>
                <w:iCs/>
                <w:szCs w:val="21"/>
              </w:rPr>
            </w:pPr>
            <w:r>
              <w:rPr>
                <w:rFonts w:hint="eastAsia" w:ascii="宋体" w:hAnsi="宋体" w:cs="Cascadia Mono SemiBold"/>
                <w:bCs/>
                <w:iCs/>
                <w:szCs w:val="21"/>
              </w:rPr>
              <w:t>2</w:t>
            </w:r>
            <w:r>
              <w:rPr>
                <w:rFonts w:ascii="宋体" w:hAnsi="宋体" w:cs="Cascadia Mono SemiBold"/>
                <w:bCs/>
                <w:iCs/>
                <w:szCs w:val="21"/>
              </w:rPr>
              <w:t>.2.2</w:t>
            </w:r>
            <w:r>
              <w:rPr>
                <w:rFonts w:hint="eastAsia" w:ascii="宋体" w:hAnsi="宋体" w:cs="Cascadia Mono SemiBold"/>
                <w:bCs/>
                <w:iCs/>
                <w:szCs w:val="21"/>
              </w:rPr>
              <w:t>每搏输出量变异，监测范围：1-50%</w:t>
            </w:r>
          </w:p>
          <w:p w14:paraId="491F5504">
            <w:pPr>
              <w:spacing w:line="360" w:lineRule="auto"/>
              <w:rPr>
                <w:rFonts w:ascii="宋体" w:hAnsi="宋体" w:cs="Cascadia Mono SemiBold"/>
                <w:bCs/>
                <w:iCs/>
                <w:szCs w:val="21"/>
              </w:rPr>
            </w:pPr>
            <w:r>
              <w:rPr>
                <w:rFonts w:hint="eastAsia" w:ascii="宋体" w:hAnsi="宋体" w:cs="Cascadia Mono SemiBold"/>
                <w:bCs/>
                <w:iCs/>
                <w:szCs w:val="21"/>
              </w:rPr>
              <w:t>2.3、▲心肌收缩力：心肌收缩力指数ICON、心肌收缩力指数变异VIC、收缩时间比例STR、左室射血时间LVET、左室预射血前期PEP、心脏绩效指数CPI。</w:t>
            </w:r>
          </w:p>
          <w:p w14:paraId="520D6048">
            <w:pPr>
              <w:spacing w:line="360" w:lineRule="auto"/>
              <w:rPr>
                <w:rFonts w:ascii="宋体" w:hAnsi="宋体" w:cs="Cascadia Mono SemiBold"/>
                <w:bCs/>
                <w:iCs/>
                <w:szCs w:val="21"/>
              </w:rPr>
            </w:pPr>
            <w:r>
              <w:rPr>
                <w:rFonts w:hint="eastAsia" w:ascii="宋体" w:hAnsi="宋体" w:cs="Cascadia Mono SemiBold"/>
                <w:bCs/>
                <w:iCs/>
                <w:szCs w:val="21"/>
              </w:rPr>
              <w:t>2</w:t>
            </w:r>
            <w:r>
              <w:rPr>
                <w:rFonts w:ascii="宋体" w:hAnsi="宋体" w:cs="Cascadia Mono SemiBold"/>
                <w:bCs/>
                <w:iCs/>
                <w:szCs w:val="21"/>
              </w:rPr>
              <w:t>.3.1、</w:t>
            </w:r>
            <w:r>
              <w:rPr>
                <w:rFonts w:hint="eastAsia" w:ascii="宋体" w:hAnsi="宋体" w:cs="Cascadia Mono SemiBold"/>
                <w:bCs/>
                <w:iCs/>
                <w:szCs w:val="21"/>
              </w:rPr>
              <w:t>心肌收缩力指数变异，监测范围：1%-50%</w:t>
            </w:r>
          </w:p>
          <w:p w14:paraId="66337E39">
            <w:pPr>
              <w:spacing w:line="360" w:lineRule="auto"/>
              <w:rPr>
                <w:rFonts w:ascii="宋体" w:hAnsi="宋体" w:cs="Cascadia Mono SemiBold"/>
                <w:bCs/>
                <w:iCs/>
                <w:szCs w:val="21"/>
              </w:rPr>
            </w:pPr>
            <w:r>
              <w:rPr>
                <w:rFonts w:hint="eastAsia" w:ascii="宋体" w:hAnsi="宋体" w:cs="Cascadia Mono SemiBold"/>
                <w:bCs/>
                <w:iCs/>
                <w:szCs w:val="21"/>
              </w:rPr>
              <w:t>2</w:t>
            </w:r>
            <w:r>
              <w:rPr>
                <w:rFonts w:ascii="宋体" w:hAnsi="宋体" w:cs="Cascadia Mono SemiBold"/>
                <w:bCs/>
                <w:iCs/>
                <w:szCs w:val="21"/>
              </w:rPr>
              <w:t>.3.2、</w:t>
            </w:r>
            <w:r>
              <w:rPr>
                <w:rFonts w:hint="eastAsia" w:ascii="宋体" w:hAnsi="宋体" w:cs="Cascadia Mono SemiBold"/>
                <w:bCs/>
                <w:iCs/>
                <w:szCs w:val="21"/>
              </w:rPr>
              <w:t>收缩时间比例，监测范围：0.1-0.9（10%-90%）</w:t>
            </w:r>
          </w:p>
          <w:p w14:paraId="607E4944">
            <w:pPr>
              <w:spacing w:line="360" w:lineRule="auto"/>
              <w:rPr>
                <w:rFonts w:ascii="宋体" w:hAnsi="宋体" w:cs="Cascadia Mono SemiBold"/>
                <w:bCs/>
                <w:iCs/>
                <w:szCs w:val="21"/>
              </w:rPr>
            </w:pPr>
            <w:r>
              <w:rPr>
                <w:rFonts w:ascii="宋体" w:hAnsi="宋体" w:cs="Cascadia Mono SemiBold"/>
                <w:bCs/>
                <w:iCs/>
                <w:szCs w:val="21"/>
              </w:rPr>
              <w:t>2.3.3、</w:t>
            </w:r>
            <w:r>
              <w:rPr>
                <w:rFonts w:hint="eastAsia" w:ascii="宋体" w:hAnsi="宋体" w:cs="Cascadia Mono SemiBold"/>
                <w:bCs/>
                <w:iCs/>
                <w:szCs w:val="21"/>
              </w:rPr>
              <w:t>心脏功能指数，监测范围：0.01-1.0BSA</w:t>
            </w:r>
          </w:p>
          <w:p w14:paraId="67CD9981">
            <w:pPr>
              <w:spacing w:line="360" w:lineRule="auto"/>
              <w:rPr>
                <w:rFonts w:ascii="宋体" w:hAnsi="宋体" w:cs="Cascadia Mono SemiBold"/>
                <w:bCs/>
                <w:iCs/>
                <w:szCs w:val="21"/>
              </w:rPr>
            </w:pPr>
            <w:r>
              <w:rPr>
                <w:rFonts w:hint="eastAsia" w:ascii="宋体" w:hAnsi="宋体" w:cs="Cascadia Mono SemiBold"/>
                <w:bCs/>
                <w:iCs/>
                <w:szCs w:val="21"/>
              </w:rPr>
              <w:t>2</w:t>
            </w:r>
            <w:r>
              <w:rPr>
                <w:rFonts w:ascii="宋体" w:hAnsi="宋体" w:cs="Cascadia Mono SemiBold"/>
                <w:bCs/>
                <w:iCs/>
                <w:szCs w:val="21"/>
              </w:rPr>
              <w:t>.3.4、</w:t>
            </w:r>
            <w:r>
              <w:rPr>
                <w:rFonts w:hint="eastAsia" w:ascii="宋体" w:hAnsi="宋体" w:cs="Cascadia Mono SemiBold"/>
                <w:bCs/>
                <w:iCs/>
                <w:szCs w:val="21"/>
              </w:rPr>
              <w:t>预射血期，监测范围：50-200ms</w:t>
            </w:r>
          </w:p>
          <w:p w14:paraId="5586E7F7">
            <w:pPr>
              <w:spacing w:line="360" w:lineRule="auto"/>
              <w:rPr>
                <w:rFonts w:ascii="宋体" w:hAnsi="宋体" w:cs="Cascadia Mono SemiBold"/>
                <w:bCs/>
                <w:iCs/>
                <w:szCs w:val="21"/>
              </w:rPr>
            </w:pPr>
            <w:r>
              <w:rPr>
                <w:rFonts w:hint="eastAsia" w:ascii="宋体" w:hAnsi="宋体" w:cs="Cascadia Mono SemiBold"/>
                <w:bCs/>
                <w:iCs/>
                <w:szCs w:val="21"/>
              </w:rPr>
              <w:t>2</w:t>
            </w:r>
            <w:r>
              <w:rPr>
                <w:rFonts w:ascii="宋体" w:hAnsi="宋体" w:cs="Cascadia Mono SemiBold"/>
                <w:bCs/>
                <w:iCs/>
                <w:szCs w:val="21"/>
              </w:rPr>
              <w:t>.3.5、</w:t>
            </w:r>
            <w:r>
              <w:rPr>
                <w:rFonts w:hint="eastAsia" w:ascii="宋体" w:hAnsi="宋体" w:cs="Cascadia Mono SemiBold"/>
                <w:bCs/>
                <w:iCs/>
                <w:szCs w:val="21"/>
              </w:rPr>
              <w:t>左室射血时间，监测范围：100-400ms</w:t>
            </w:r>
          </w:p>
          <w:p w14:paraId="337DE378">
            <w:pPr>
              <w:spacing w:line="360" w:lineRule="auto"/>
              <w:rPr>
                <w:rFonts w:ascii="宋体" w:hAnsi="宋体" w:cs="Cascadia Mono SemiBold"/>
                <w:bCs/>
                <w:iCs/>
                <w:szCs w:val="21"/>
              </w:rPr>
            </w:pPr>
            <w:r>
              <w:rPr>
                <w:rFonts w:hint="eastAsia" w:ascii="宋体" w:hAnsi="宋体" w:cs="Cascadia Mono SemiBold"/>
                <w:bCs/>
                <w:iCs/>
                <w:szCs w:val="21"/>
              </w:rPr>
              <w:t>2.4、血管系统：外周血管阻力 SVR、外周血管阻力指数SVRI</w:t>
            </w:r>
          </w:p>
          <w:p w14:paraId="7F8C4C48">
            <w:pPr>
              <w:spacing w:line="360" w:lineRule="auto"/>
              <w:rPr>
                <w:rFonts w:ascii="宋体" w:hAnsi="宋体" w:cs="Cascadia Mono SemiBold"/>
                <w:bCs/>
                <w:iCs/>
                <w:szCs w:val="21"/>
              </w:rPr>
            </w:pPr>
            <w:r>
              <w:rPr>
                <w:rFonts w:hint="eastAsia" w:ascii="宋体" w:hAnsi="宋体" w:cs="Cascadia Mono SemiBold"/>
                <w:bCs/>
                <w:iCs/>
                <w:szCs w:val="21"/>
              </w:rPr>
              <w:t>2</w:t>
            </w:r>
            <w:r>
              <w:rPr>
                <w:rFonts w:ascii="宋体" w:hAnsi="宋体" w:cs="Cascadia Mono SemiBold"/>
                <w:bCs/>
                <w:iCs/>
                <w:szCs w:val="21"/>
              </w:rPr>
              <w:t>.4.1、</w:t>
            </w:r>
            <w:r>
              <w:rPr>
                <w:rFonts w:hint="eastAsia" w:ascii="宋体" w:hAnsi="宋体" w:cs="Cascadia Mono SemiBold"/>
                <w:bCs/>
                <w:iCs/>
                <w:szCs w:val="21"/>
              </w:rPr>
              <w:t>外周血管阻力，监测范围：200-38000dynes/sec/cm-5</w:t>
            </w:r>
          </w:p>
          <w:p w14:paraId="44575041">
            <w:pPr>
              <w:spacing w:line="360" w:lineRule="auto"/>
              <w:rPr>
                <w:rFonts w:ascii="宋体" w:hAnsi="宋体" w:cs="Cascadia Mono SemiBold"/>
                <w:bCs/>
                <w:iCs/>
                <w:szCs w:val="21"/>
              </w:rPr>
            </w:pPr>
            <w:r>
              <w:rPr>
                <w:rFonts w:hint="eastAsia" w:ascii="宋体" w:hAnsi="宋体" w:cs="Cascadia Mono SemiBold"/>
                <w:bCs/>
                <w:iCs/>
                <w:szCs w:val="21"/>
              </w:rPr>
              <w:t>2</w:t>
            </w:r>
            <w:r>
              <w:rPr>
                <w:rFonts w:ascii="宋体" w:hAnsi="宋体" w:cs="Cascadia Mono SemiBold"/>
                <w:bCs/>
                <w:iCs/>
                <w:szCs w:val="21"/>
              </w:rPr>
              <w:t>.4.2、</w:t>
            </w:r>
            <w:r>
              <w:rPr>
                <w:rFonts w:hint="eastAsia" w:ascii="宋体" w:hAnsi="宋体" w:cs="Cascadia Mono SemiBold"/>
                <w:bCs/>
                <w:iCs/>
                <w:szCs w:val="21"/>
              </w:rPr>
              <w:t>外周血管阻力指数，监测范围：200-15000dynes/sec/cm-5/m2</w:t>
            </w:r>
          </w:p>
          <w:p w14:paraId="64AEAF3E">
            <w:pPr>
              <w:spacing w:line="360" w:lineRule="auto"/>
              <w:rPr>
                <w:rFonts w:ascii="宋体" w:hAnsi="宋体" w:cs="Cascadia Mono SemiBold"/>
                <w:bCs/>
                <w:iCs/>
                <w:szCs w:val="21"/>
              </w:rPr>
            </w:pPr>
            <w:r>
              <w:rPr>
                <w:rFonts w:hint="eastAsia" w:ascii="宋体" w:hAnsi="宋体" w:cs="Cascadia Mono SemiBold"/>
                <w:bCs/>
                <w:iCs/>
                <w:szCs w:val="21"/>
              </w:rPr>
              <w:t>2.5、▲氧合状况：输氧量和输氧指数</w:t>
            </w:r>
          </w:p>
          <w:p w14:paraId="1C85D15D">
            <w:pPr>
              <w:spacing w:line="360" w:lineRule="auto"/>
              <w:rPr>
                <w:rFonts w:ascii="宋体" w:hAnsi="宋体" w:cs="Cascadia Mono SemiBold"/>
                <w:bCs/>
                <w:iCs/>
                <w:szCs w:val="21"/>
              </w:rPr>
            </w:pPr>
            <w:r>
              <w:rPr>
                <w:rFonts w:hint="eastAsia" w:ascii="宋体" w:hAnsi="宋体" w:cs="Cascadia Mono SemiBold"/>
                <w:bCs/>
                <w:iCs/>
                <w:szCs w:val="21"/>
              </w:rPr>
              <w:t>2</w:t>
            </w:r>
            <w:r>
              <w:rPr>
                <w:rFonts w:ascii="宋体" w:hAnsi="宋体" w:cs="Cascadia Mono SemiBold"/>
                <w:bCs/>
                <w:iCs/>
                <w:szCs w:val="21"/>
              </w:rPr>
              <w:t>.5.1、</w:t>
            </w:r>
            <w:r>
              <w:rPr>
                <w:rFonts w:hint="eastAsia" w:ascii="宋体" w:hAnsi="宋体" w:cs="Cascadia Mono SemiBold"/>
                <w:bCs/>
                <w:iCs/>
                <w:szCs w:val="21"/>
              </w:rPr>
              <w:t>输氧量，监测范围：0-1500ml/min</w:t>
            </w:r>
          </w:p>
          <w:p w14:paraId="54BDAF94">
            <w:pPr>
              <w:spacing w:line="360" w:lineRule="auto"/>
              <w:rPr>
                <w:rFonts w:ascii="宋体" w:hAnsi="宋体" w:cs="Cascadia Mono SemiBold"/>
                <w:bCs/>
                <w:iCs/>
                <w:szCs w:val="21"/>
              </w:rPr>
            </w:pPr>
            <w:r>
              <w:rPr>
                <w:rFonts w:ascii="宋体" w:hAnsi="宋体" w:cs="Cascadia Mono SemiBold"/>
                <w:bCs/>
                <w:iCs/>
                <w:szCs w:val="21"/>
              </w:rPr>
              <w:t>2.5.2、</w:t>
            </w:r>
            <w:r>
              <w:rPr>
                <w:rFonts w:hint="eastAsia" w:ascii="宋体" w:hAnsi="宋体" w:cs="Cascadia Mono SemiBold"/>
                <w:bCs/>
                <w:iCs/>
                <w:szCs w:val="21"/>
              </w:rPr>
              <w:t>输氧指数，监测范围：0-3000ml/min/</w:t>
            </w:r>
            <w:r>
              <w:rPr>
                <w:rFonts w:ascii="宋体" w:hAnsi="宋体" w:cs="Cascadia Mono SemiBold"/>
                <w:bCs/>
                <w:iCs/>
                <w:szCs w:val="21"/>
              </w:rPr>
              <w:t>㎡</w:t>
            </w:r>
          </w:p>
          <w:p w14:paraId="0C05B5F5">
            <w:pPr>
              <w:spacing w:line="360" w:lineRule="auto"/>
              <w:rPr>
                <w:rFonts w:ascii="宋体" w:hAnsi="宋体" w:cs="Cascadia Mono SemiBold"/>
                <w:bCs/>
                <w:iCs/>
                <w:szCs w:val="21"/>
              </w:rPr>
            </w:pPr>
            <w:r>
              <w:rPr>
                <w:rFonts w:hint="eastAsia" w:ascii="宋体" w:hAnsi="宋体" w:cs="Cascadia Mono SemiBold"/>
                <w:bCs/>
                <w:iCs/>
                <w:szCs w:val="21"/>
              </w:rPr>
              <w:t>3、屏幕显示：</w:t>
            </w:r>
          </w:p>
          <w:p w14:paraId="52222EC7">
            <w:pPr>
              <w:spacing w:line="360" w:lineRule="auto"/>
              <w:rPr>
                <w:rFonts w:ascii="宋体" w:hAnsi="宋体" w:cs="Cascadia Mono SemiBold"/>
                <w:bCs/>
                <w:iCs/>
                <w:szCs w:val="21"/>
              </w:rPr>
            </w:pPr>
            <w:r>
              <w:rPr>
                <w:rFonts w:hint="eastAsia" w:ascii="宋体" w:hAnsi="宋体" w:cs="Cascadia Mono SemiBold"/>
                <w:bCs/>
                <w:iCs/>
                <w:szCs w:val="21"/>
              </w:rPr>
              <w:t>3.1 所有测量参数有数据、条形图及参考值同屏显示。</w:t>
            </w:r>
          </w:p>
          <w:p w14:paraId="046959AB">
            <w:pPr>
              <w:spacing w:line="360" w:lineRule="auto"/>
              <w:rPr>
                <w:rFonts w:ascii="宋体" w:hAnsi="宋体" w:cs="Cascadia Mono SemiBold"/>
                <w:bCs/>
                <w:iCs/>
                <w:szCs w:val="21"/>
              </w:rPr>
            </w:pPr>
            <w:r>
              <w:rPr>
                <w:rFonts w:hint="eastAsia" w:ascii="宋体" w:hAnsi="宋体" w:cs="Cascadia Mono SemiBold"/>
                <w:bCs/>
                <w:iCs/>
                <w:szCs w:val="21"/>
              </w:rPr>
              <w:t>3.2 可同时提供不低于6个参数栏图表视图，带正常值范围和数值，有时间分辨变化趋势和放大功能。</w:t>
            </w:r>
          </w:p>
          <w:p w14:paraId="58A1B2A3">
            <w:pPr>
              <w:spacing w:line="360" w:lineRule="auto"/>
              <w:rPr>
                <w:rFonts w:ascii="宋体" w:hAnsi="宋体" w:cs="Cascadia Mono SemiBold"/>
                <w:bCs/>
                <w:iCs/>
                <w:szCs w:val="21"/>
              </w:rPr>
            </w:pPr>
            <w:r>
              <w:rPr>
                <w:rFonts w:hint="eastAsia" w:ascii="宋体" w:hAnsi="宋体" w:cs="Cascadia Mono SemiBold"/>
                <w:bCs/>
                <w:iCs/>
                <w:szCs w:val="21"/>
              </w:rPr>
              <w:t>3.3 具备测量参数的趋势图显示功能，可同屏显示两条趋势曲线。</w:t>
            </w:r>
          </w:p>
          <w:p w14:paraId="4E4EF5EC">
            <w:pPr>
              <w:spacing w:line="360" w:lineRule="auto"/>
              <w:rPr>
                <w:rFonts w:ascii="宋体" w:hAnsi="宋体" w:cs="Cascadia Mono SemiBold"/>
                <w:bCs/>
                <w:iCs/>
                <w:szCs w:val="21"/>
              </w:rPr>
            </w:pPr>
            <w:r>
              <w:rPr>
                <w:rFonts w:hint="eastAsia" w:ascii="宋体" w:hAnsi="宋体" w:cs="Cascadia Mono SemiBold"/>
                <w:bCs/>
                <w:iCs/>
                <w:szCs w:val="21"/>
              </w:rPr>
              <w:t>3</w:t>
            </w:r>
            <w:r>
              <w:rPr>
                <w:rFonts w:ascii="宋体" w:hAnsi="宋体" w:cs="Cascadia Mono SemiBold"/>
                <w:bCs/>
                <w:iCs/>
                <w:szCs w:val="21"/>
              </w:rPr>
              <w:t>.4、</w:t>
            </w:r>
            <w:r>
              <w:rPr>
                <w:rFonts w:hint="eastAsia" w:ascii="宋体" w:hAnsi="宋体" w:cs="Cascadia Mono SemiBold"/>
                <w:bCs/>
                <w:iCs/>
                <w:szCs w:val="21"/>
              </w:rPr>
              <w:t>▲数据显示：CO/CI、SV/SI、HR、SVR/SVRI、ICON、VIC、STR、CPI、TFC、SVV等不少于18项</w:t>
            </w:r>
          </w:p>
          <w:p w14:paraId="463D4F5A">
            <w:pPr>
              <w:spacing w:line="360" w:lineRule="auto"/>
              <w:rPr>
                <w:rFonts w:ascii="宋体" w:hAnsi="宋体" w:cs="Cascadia Mono SemiBold"/>
                <w:bCs/>
                <w:iCs/>
                <w:szCs w:val="21"/>
              </w:rPr>
            </w:pPr>
            <w:r>
              <w:rPr>
                <w:rFonts w:hint="eastAsia" w:ascii="宋体" w:hAnsi="宋体" w:cs="Cascadia Mono SemiBold"/>
                <w:bCs/>
                <w:iCs/>
                <w:szCs w:val="21"/>
              </w:rPr>
              <w:t>4、▲自动检测患者是否安装起搏器，可用于起搏器优化调整，为起搏器植入患者获得最佳（AV和VV间隔）设置。</w:t>
            </w:r>
          </w:p>
          <w:p w14:paraId="391A09C3">
            <w:pPr>
              <w:spacing w:line="360" w:lineRule="auto"/>
              <w:rPr>
                <w:rFonts w:ascii="宋体" w:hAnsi="宋体" w:cs="Cascadia Mono SemiBold"/>
                <w:bCs/>
                <w:iCs/>
                <w:szCs w:val="21"/>
              </w:rPr>
            </w:pPr>
            <w:r>
              <w:rPr>
                <w:rFonts w:hint="eastAsia" w:ascii="宋体" w:hAnsi="宋体" w:cs="Cascadia Mono SemiBold"/>
                <w:bCs/>
                <w:iCs/>
                <w:szCs w:val="21"/>
              </w:rPr>
              <w:t>5、报警功能：</w:t>
            </w:r>
          </w:p>
          <w:p w14:paraId="36F53E0E">
            <w:pPr>
              <w:spacing w:line="360" w:lineRule="auto"/>
              <w:rPr>
                <w:rFonts w:ascii="宋体" w:hAnsi="宋体" w:cs="Cascadia Mono SemiBold"/>
                <w:bCs/>
                <w:iCs/>
                <w:szCs w:val="21"/>
              </w:rPr>
            </w:pPr>
            <w:r>
              <w:rPr>
                <w:rFonts w:hint="eastAsia" w:ascii="宋体" w:hAnsi="宋体" w:cs="Cascadia Mono SemiBold"/>
                <w:bCs/>
                <w:iCs/>
                <w:szCs w:val="21"/>
              </w:rPr>
              <w:t>5.1、高低心输出量及其所有容量参数</w:t>
            </w:r>
          </w:p>
          <w:p w14:paraId="795A6C1C">
            <w:pPr>
              <w:spacing w:line="360" w:lineRule="auto"/>
              <w:rPr>
                <w:rFonts w:ascii="宋体" w:hAnsi="宋体" w:cs="Cascadia Mono SemiBold"/>
                <w:bCs/>
                <w:iCs/>
                <w:szCs w:val="21"/>
              </w:rPr>
            </w:pPr>
            <w:r>
              <w:rPr>
                <w:rFonts w:hint="eastAsia" w:ascii="宋体" w:hAnsi="宋体" w:cs="Cascadia Mono SemiBold"/>
                <w:bCs/>
                <w:iCs/>
                <w:szCs w:val="21"/>
              </w:rPr>
              <w:t>5.2、高低外周血管阻力及其所有阻力参数</w:t>
            </w:r>
          </w:p>
          <w:p w14:paraId="1CF263E3">
            <w:pPr>
              <w:spacing w:line="360" w:lineRule="auto"/>
              <w:rPr>
                <w:rFonts w:ascii="宋体" w:hAnsi="宋体" w:cs="Cascadia Mono SemiBold"/>
                <w:bCs/>
                <w:iCs/>
                <w:szCs w:val="21"/>
              </w:rPr>
            </w:pPr>
            <w:r>
              <w:rPr>
                <w:rFonts w:hint="eastAsia" w:ascii="宋体" w:hAnsi="宋体" w:cs="Cascadia Mono SemiBold"/>
                <w:bCs/>
                <w:iCs/>
                <w:szCs w:val="21"/>
              </w:rPr>
              <w:t>5.3、传感器状态、系统故障和电池电量低报警</w:t>
            </w:r>
          </w:p>
          <w:p w14:paraId="19EEBCBB">
            <w:pPr>
              <w:spacing w:line="360" w:lineRule="auto"/>
              <w:rPr>
                <w:rFonts w:ascii="宋体" w:hAnsi="宋体" w:cs="Cascadia Mono SemiBold"/>
                <w:bCs/>
                <w:iCs/>
                <w:szCs w:val="21"/>
              </w:rPr>
            </w:pPr>
            <w:r>
              <w:rPr>
                <w:rFonts w:hint="eastAsia" w:ascii="宋体" w:hAnsi="宋体" w:cs="Cascadia Mono SemiBold"/>
                <w:bCs/>
                <w:iCs/>
                <w:szCs w:val="21"/>
              </w:rPr>
              <w:t>5.4、声音和可视报警</w:t>
            </w:r>
          </w:p>
          <w:p w14:paraId="76CB0D6C">
            <w:pPr>
              <w:spacing w:line="360" w:lineRule="auto"/>
              <w:rPr>
                <w:rFonts w:ascii="宋体" w:hAnsi="宋体" w:cs="Cascadia Mono SemiBold"/>
                <w:bCs/>
                <w:iCs/>
                <w:szCs w:val="21"/>
              </w:rPr>
            </w:pPr>
            <w:r>
              <w:rPr>
                <w:rFonts w:hint="eastAsia" w:ascii="宋体" w:hAnsi="宋体" w:cs="Cascadia Mono SemiBold"/>
                <w:bCs/>
                <w:iCs/>
                <w:szCs w:val="21"/>
              </w:rPr>
              <w:t>5.5、三维报警，可提供急性心衰和有效循环容量不足/低血容量性休克报警</w:t>
            </w:r>
          </w:p>
          <w:p w14:paraId="66CEF0FA">
            <w:pPr>
              <w:spacing w:line="360" w:lineRule="auto"/>
              <w:rPr>
                <w:rFonts w:ascii="宋体" w:hAnsi="宋体" w:cs="Cascadia Mono SemiBold"/>
                <w:bCs/>
                <w:iCs/>
                <w:szCs w:val="21"/>
              </w:rPr>
            </w:pPr>
            <w:r>
              <w:rPr>
                <w:rFonts w:hint="eastAsia" w:ascii="宋体" w:hAnsi="宋体" w:cs="Cascadia Mono SemiBold"/>
                <w:bCs/>
                <w:iCs/>
                <w:szCs w:val="21"/>
              </w:rPr>
              <w:t>6、工作原理：电阻抗法</w:t>
            </w:r>
          </w:p>
          <w:p w14:paraId="2BFF93B1">
            <w:pPr>
              <w:spacing w:line="360" w:lineRule="auto"/>
              <w:rPr>
                <w:rFonts w:ascii="宋体" w:hAnsi="宋体" w:cs="Cascadia Mono SemiBold"/>
                <w:bCs/>
                <w:iCs/>
                <w:szCs w:val="21"/>
              </w:rPr>
            </w:pPr>
            <w:r>
              <w:rPr>
                <w:rFonts w:hint="eastAsia" w:ascii="宋体" w:hAnsi="宋体" w:cs="Cascadia Mono SemiBold"/>
                <w:bCs/>
                <w:iCs/>
                <w:szCs w:val="21"/>
              </w:rPr>
              <w:t>7、▲主机自带监测屏幕，可脱离电脑独立显示参数及趋势图，内置电池供电，供电时间≥2 小时，主机重量≤1000g。</w:t>
            </w:r>
          </w:p>
          <w:p w14:paraId="06D1C439">
            <w:pPr>
              <w:spacing w:line="360" w:lineRule="auto"/>
              <w:rPr>
                <w:rFonts w:ascii="宋体" w:hAnsi="宋体" w:cs="Cascadia Mono SemiBold"/>
                <w:bCs/>
                <w:iCs/>
                <w:szCs w:val="21"/>
              </w:rPr>
            </w:pPr>
            <w:r>
              <w:rPr>
                <w:rFonts w:ascii="宋体" w:hAnsi="宋体" w:cs="Cascadia Mono SemiBold"/>
                <w:bCs/>
                <w:iCs/>
                <w:szCs w:val="21"/>
              </w:rPr>
              <w:t>8</w:t>
            </w:r>
            <w:r>
              <w:rPr>
                <w:rFonts w:hint="eastAsia" w:ascii="宋体" w:hAnsi="宋体" w:cs="Cascadia Mono SemiBold"/>
                <w:bCs/>
                <w:iCs/>
                <w:szCs w:val="21"/>
              </w:rPr>
              <w:t>、▲具备被动抬腿试验功能并配备相应模块。</w:t>
            </w:r>
          </w:p>
          <w:p w14:paraId="386166CB">
            <w:pPr>
              <w:spacing w:line="360" w:lineRule="auto"/>
              <w:rPr>
                <w:rFonts w:ascii="宋体" w:hAnsi="宋体" w:cs="Cascadia Mono SemiBold"/>
                <w:bCs/>
                <w:iCs/>
                <w:szCs w:val="21"/>
              </w:rPr>
            </w:pPr>
            <w:r>
              <w:rPr>
                <w:rFonts w:ascii="宋体" w:hAnsi="宋体" w:cs="Cascadia Mono SemiBold"/>
                <w:bCs/>
                <w:iCs/>
                <w:szCs w:val="21"/>
              </w:rPr>
              <w:t>9</w:t>
            </w:r>
            <w:r>
              <w:rPr>
                <w:rFonts w:hint="eastAsia" w:ascii="宋体" w:hAnsi="宋体" w:cs="Cascadia Mono SemiBold"/>
                <w:bCs/>
                <w:iCs/>
                <w:szCs w:val="21"/>
              </w:rPr>
              <w:t>、▲在临床使用 ECMO、CRRT、IABP辅助治疗设备时仍可测量。</w:t>
            </w:r>
          </w:p>
          <w:p w14:paraId="0BB15A68">
            <w:pPr>
              <w:spacing w:line="360" w:lineRule="auto"/>
              <w:rPr>
                <w:rFonts w:ascii="宋体" w:hAnsi="宋体" w:cs="Cascadia Mono SemiBold"/>
                <w:bCs/>
                <w:iCs/>
                <w:szCs w:val="21"/>
              </w:rPr>
            </w:pPr>
            <w:r>
              <w:rPr>
                <w:rFonts w:hint="eastAsia" w:ascii="宋体" w:hAnsi="宋体" w:cs="Cascadia Mono SemiBold"/>
                <w:bCs/>
                <w:iCs/>
                <w:szCs w:val="21"/>
              </w:rPr>
              <w:t>1</w:t>
            </w:r>
            <w:r>
              <w:rPr>
                <w:rFonts w:ascii="宋体" w:hAnsi="宋体" w:cs="Cascadia Mono SemiBold"/>
                <w:bCs/>
                <w:iCs/>
                <w:szCs w:val="21"/>
              </w:rPr>
              <w:t>0、配置清单：</w:t>
            </w:r>
          </w:p>
          <w:p w14:paraId="2DE60766">
            <w:pPr>
              <w:spacing w:line="360" w:lineRule="auto"/>
              <w:rPr>
                <w:rFonts w:ascii="宋体" w:hAnsi="宋体" w:cs="Cascadia Mono SemiBold"/>
                <w:bCs/>
                <w:iCs/>
                <w:szCs w:val="21"/>
              </w:rPr>
            </w:pPr>
            <w:r>
              <w:rPr>
                <w:rFonts w:ascii="宋体" w:hAnsi="宋体" w:cs="Cascadia Mono SemiBold"/>
                <w:bCs/>
                <w:iCs/>
                <w:szCs w:val="21"/>
              </w:rPr>
              <w:t>1）</w:t>
            </w:r>
            <w:r>
              <w:rPr>
                <w:rFonts w:hint="eastAsia" w:ascii="宋体" w:hAnsi="宋体" w:cs="Cascadia Mono SemiBold"/>
                <w:bCs/>
                <w:iCs/>
                <w:szCs w:val="21"/>
              </w:rPr>
              <w:t>主机1台</w:t>
            </w:r>
          </w:p>
          <w:p w14:paraId="6CB68FB2">
            <w:pPr>
              <w:spacing w:line="360" w:lineRule="auto"/>
              <w:rPr>
                <w:rFonts w:ascii="宋体" w:hAnsi="宋体" w:cs="Cascadia Mono SemiBold"/>
                <w:bCs/>
                <w:iCs/>
                <w:szCs w:val="21"/>
              </w:rPr>
            </w:pPr>
            <w:r>
              <w:rPr>
                <w:rFonts w:ascii="宋体" w:hAnsi="宋体" w:cs="Cascadia Mono SemiBold"/>
                <w:bCs/>
                <w:iCs/>
                <w:szCs w:val="21"/>
              </w:rPr>
              <w:t>2）</w:t>
            </w:r>
            <w:r>
              <w:rPr>
                <w:rFonts w:hint="eastAsia" w:ascii="宋体" w:hAnsi="宋体" w:cs="Cascadia Mono SemiBold"/>
                <w:bCs/>
                <w:iCs/>
                <w:szCs w:val="21"/>
              </w:rPr>
              <w:t>病人测量电缆线</w:t>
            </w:r>
            <w:r>
              <w:rPr>
                <w:rFonts w:ascii="宋体" w:hAnsi="宋体" w:cs="Cascadia Mono SemiBold"/>
                <w:bCs/>
                <w:iCs/>
                <w:szCs w:val="21"/>
              </w:rPr>
              <w:t>1个</w:t>
            </w:r>
          </w:p>
          <w:p w14:paraId="32B38FFC">
            <w:pPr>
              <w:spacing w:line="360" w:lineRule="auto"/>
              <w:rPr>
                <w:rFonts w:ascii="宋体" w:hAnsi="宋体" w:cs="Cascadia Mono SemiBold"/>
                <w:bCs/>
                <w:iCs/>
                <w:szCs w:val="21"/>
              </w:rPr>
            </w:pPr>
            <w:r>
              <w:rPr>
                <w:rFonts w:hint="eastAsia" w:ascii="宋体" w:hAnsi="宋体" w:cs="Cascadia Mono SemiBold"/>
                <w:bCs/>
                <w:iCs/>
                <w:szCs w:val="21"/>
              </w:rPr>
              <w:t>3）台车1台</w:t>
            </w:r>
          </w:p>
          <w:p w14:paraId="2DA774D0">
            <w:pPr>
              <w:spacing w:line="360" w:lineRule="auto"/>
              <w:rPr>
                <w:rFonts w:ascii="宋体" w:hAnsi="宋体" w:cs="Cascadia Mono SemiBold"/>
                <w:bCs/>
                <w:iCs/>
                <w:szCs w:val="21"/>
              </w:rPr>
            </w:pPr>
            <w:r>
              <w:rPr>
                <w:rFonts w:ascii="宋体" w:hAnsi="宋体" w:cs="Cascadia Mono SemiBold"/>
                <w:bCs/>
                <w:iCs/>
                <w:szCs w:val="21"/>
              </w:rPr>
              <w:t>4）</w:t>
            </w:r>
            <w:r>
              <w:rPr>
                <w:rFonts w:hint="eastAsia" w:ascii="宋体" w:hAnsi="宋体" w:cs="Cascadia Mono SemiBold"/>
                <w:bCs/>
                <w:iCs/>
                <w:szCs w:val="21"/>
              </w:rPr>
              <w:t>打印机1台</w:t>
            </w:r>
          </w:p>
          <w:p w14:paraId="0C39273B">
            <w:pPr>
              <w:spacing w:line="360" w:lineRule="auto"/>
              <w:rPr>
                <w:rFonts w:ascii="宋体" w:hAnsi="宋体" w:cs="Cascadia Mono SemiBold"/>
                <w:bCs/>
                <w:iCs/>
                <w:szCs w:val="21"/>
              </w:rPr>
            </w:pPr>
            <w:r>
              <w:rPr>
                <w:rFonts w:ascii="宋体" w:hAnsi="宋体" w:cs="Cascadia Mono SemiBold"/>
                <w:bCs/>
                <w:iCs/>
                <w:szCs w:val="21"/>
              </w:rPr>
              <w:t>5）工作站及软件</w:t>
            </w:r>
            <w:r>
              <w:rPr>
                <w:rFonts w:hint="eastAsia" w:ascii="宋体" w:hAnsi="宋体" w:cs="Cascadia Mono SemiBold"/>
                <w:bCs/>
                <w:iCs/>
                <w:szCs w:val="21"/>
              </w:rPr>
              <w:t>1套</w:t>
            </w:r>
          </w:p>
          <w:p w14:paraId="07A2C9D8">
            <w:pPr>
              <w:spacing w:line="360" w:lineRule="auto"/>
              <w:rPr>
                <w:rFonts w:ascii="宋体" w:hAnsi="宋体" w:cs="Cascadia Mono SemiBold"/>
                <w:bCs/>
                <w:iCs/>
                <w:szCs w:val="21"/>
              </w:rPr>
            </w:pPr>
            <w:r>
              <w:rPr>
                <w:rFonts w:ascii="宋体" w:hAnsi="宋体" w:cs="Cascadia Mono SemiBold"/>
                <w:bCs/>
                <w:iCs/>
                <w:szCs w:val="21"/>
              </w:rPr>
              <w:t>6）</w:t>
            </w:r>
            <w:r>
              <w:rPr>
                <w:rFonts w:hint="eastAsia" w:ascii="宋体" w:hAnsi="宋体" w:cs="Cascadia Mono SemiBold"/>
                <w:bCs/>
                <w:iCs/>
                <w:szCs w:val="21"/>
              </w:rPr>
              <w:t>被动抬腿测试模块1个</w:t>
            </w:r>
          </w:p>
          <w:p w14:paraId="0B261AEB">
            <w:pPr>
              <w:spacing w:line="360" w:lineRule="auto"/>
              <w:rPr>
                <w:rFonts w:ascii="宋体" w:hAnsi="宋体" w:cs="Cascadia Mono SemiBold"/>
                <w:bCs/>
                <w:iCs/>
                <w:szCs w:val="21"/>
              </w:rPr>
            </w:pPr>
            <w:r>
              <w:rPr>
                <w:rFonts w:ascii="宋体" w:hAnsi="宋体" w:cs="Cascadia Mono SemiBold"/>
                <w:bCs/>
                <w:iCs/>
                <w:szCs w:val="21"/>
              </w:rPr>
              <w:t>7）</w:t>
            </w:r>
            <w:r>
              <w:rPr>
                <w:rFonts w:hint="eastAsia" w:ascii="宋体" w:hAnsi="宋体" w:cs="Cascadia Mono SemiBold"/>
                <w:bCs/>
                <w:iCs/>
                <w:szCs w:val="21"/>
              </w:rPr>
              <w:t>阻抗电极50包</w:t>
            </w:r>
          </w:p>
        </w:tc>
      </w:tr>
    </w:tbl>
    <w:p w14:paraId="457449F9">
      <w:pPr>
        <w:tabs>
          <w:tab w:val="left" w:pos="142"/>
          <w:tab w:val="left" w:pos="426"/>
        </w:tabs>
        <w:adjustRightInd w:val="0"/>
        <w:snapToGrid w:val="0"/>
        <w:spacing w:line="360" w:lineRule="auto"/>
        <w:ind w:firstLine="422" w:firstLineChars="200"/>
        <w:jc w:val="left"/>
        <w:rPr>
          <w:rFonts w:hint="eastAsia" w:ascii="宋体" w:hAnsi="宋体"/>
          <w:b/>
          <w:szCs w:val="21"/>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Cascadia Mono SemiBold">
    <w:altName w:val="Segoe Print"/>
    <w:panose1 w:val="020B0609020000020004"/>
    <w:charset w:val="00"/>
    <w:family w:val="modern"/>
    <w:pitch w:val="default"/>
    <w:sig w:usb0="00000000" w:usb1="00000000" w:usb2="00040020" w:usb3="00000000" w:csb0="000001FF"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AC778E"/>
    <w:multiLevelType w:val="multilevel"/>
    <w:tmpl w:val="25AC778E"/>
    <w:lvl w:ilvl="0" w:tentative="0">
      <w:start w:val="1"/>
      <w:numFmt w:val="japaneseCounting"/>
      <w:lvlText w:val="%1、"/>
      <w:lvlJc w:val="left"/>
      <w:pPr>
        <w:tabs>
          <w:tab w:val="left" w:pos="420"/>
        </w:tabs>
        <w:ind w:left="420" w:hanging="420"/>
      </w:pPr>
      <w:rPr>
        <w:rFonts w:ascii="宋体" w:hAnsi="宋体" w:eastAsia="宋体" w:cs="Courier New"/>
      </w:rPr>
    </w:lvl>
    <w:lvl w:ilvl="1" w:tentative="0">
      <w:start w:val="1"/>
      <w:numFmt w:val="decimal"/>
      <w:lvlText w:val="%2、"/>
      <w:lvlJc w:val="left"/>
      <w:pPr>
        <w:tabs>
          <w:tab w:val="left" w:pos="780"/>
        </w:tabs>
        <w:ind w:left="780" w:hanging="360"/>
      </w:pPr>
      <w:rPr>
        <w:rFonts w:hint="default"/>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4501719F"/>
    <w:multiLevelType w:val="multilevel"/>
    <w:tmpl w:val="4501719F"/>
    <w:lvl w:ilvl="0" w:tentative="0">
      <w:start w:val="1"/>
      <w:numFmt w:val="decimal"/>
      <w:lvlText w:val="%1."/>
      <w:lvlJc w:val="left"/>
      <w:pPr>
        <w:tabs>
          <w:tab w:val="left" w:pos="420"/>
        </w:tabs>
        <w:ind w:left="420" w:hanging="420"/>
      </w:pPr>
      <w:rPr>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EA7"/>
    <w:rsid w:val="004F1AFE"/>
    <w:rsid w:val="007409D4"/>
    <w:rsid w:val="009A2A40"/>
    <w:rsid w:val="00A33DA1"/>
    <w:rsid w:val="00E833E6"/>
    <w:rsid w:val="00ED4EA7"/>
    <w:rsid w:val="1BA17641"/>
    <w:rsid w:val="46D15A53"/>
    <w:rsid w:val="59CB55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0"/>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1"/>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2"/>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3"/>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4"/>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5"/>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6"/>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7"/>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8"/>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8">
    <w:name w:val="Default Paragraph Font"/>
    <w:semiHidden/>
    <w:unhideWhenUsed/>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11">
    <w:name w:val="Normal Indent"/>
    <w:basedOn w:val="1"/>
    <w:link w:val="40"/>
    <w:qFormat/>
    <w:uiPriority w:val="0"/>
    <w:pPr>
      <w:ind w:firstLine="420" w:firstLineChars="200"/>
    </w:pPr>
    <w:rPr>
      <w:szCs w:val="21"/>
    </w:rPr>
  </w:style>
  <w:style w:type="paragraph" w:styleId="12">
    <w:name w:val="Plain Text"/>
    <w:basedOn w:val="1"/>
    <w:link w:val="38"/>
    <w:qFormat/>
    <w:uiPriority w:val="0"/>
    <w:rPr>
      <w:rFonts w:ascii="宋体" w:hAnsi="Courier New" w:cs="Courier New" w:eastAsiaTheme="minorEastAsia"/>
      <w:szCs w:val="21"/>
    </w:rPr>
  </w:style>
  <w:style w:type="paragraph" w:styleId="13">
    <w:name w:val="footer"/>
    <w:basedOn w:val="1"/>
    <w:link w:val="42"/>
    <w:unhideWhenUsed/>
    <w:uiPriority w:val="99"/>
    <w:pPr>
      <w:tabs>
        <w:tab w:val="center" w:pos="4153"/>
        <w:tab w:val="right" w:pos="8306"/>
      </w:tabs>
      <w:snapToGrid w:val="0"/>
      <w:jc w:val="left"/>
    </w:pPr>
    <w:rPr>
      <w:sz w:val="18"/>
      <w:szCs w:val="18"/>
    </w:rPr>
  </w:style>
  <w:style w:type="paragraph" w:styleId="14">
    <w:name w:val="header"/>
    <w:basedOn w:val="1"/>
    <w:link w:val="41"/>
    <w:unhideWhenUsed/>
    <w:uiPriority w:val="99"/>
    <w:pPr>
      <w:pBdr>
        <w:bottom w:val="single" w:color="auto" w:sz="6" w:space="1"/>
      </w:pBdr>
      <w:tabs>
        <w:tab w:val="center" w:pos="4153"/>
        <w:tab w:val="right" w:pos="8306"/>
      </w:tabs>
      <w:snapToGrid w:val="0"/>
      <w:jc w:val="center"/>
    </w:pPr>
    <w:rPr>
      <w:sz w:val="18"/>
      <w:szCs w:val="18"/>
    </w:rPr>
  </w:style>
  <w:style w:type="paragraph" w:styleId="15">
    <w:name w:val="Subtitle"/>
    <w:basedOn w:val="1"/>
    <w:next w:val="1"/>
    <w:link w:val="30"/>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6">
    <w:name w:val="Title"/>
    <w:basedOn w:val="1"/>
    <w:next w:val="1"/>
    <w:link w:val="29"/>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styleId="19">
    <w:name w:val="Hyperlink"/>
    <w:qFormat/>
    <w:uiPriority w:val="99"/>
    <w:rPr>
      <w:rFonts w:eastAsia="宋体"/>
      <w:color w:val="0000FF"/>
      <w:sz w:val="28"/>
      <w:u w:val="single"/>
    </w:rPr>
  </w:style>
  <w:style w:type="character" w:customStyle="1" w:styleId="20">
    <w:name w:val="标题 1 字符"/>
    <w:basedOn w:val="18"/>
    <w:link w:val="2"/>
    <w:uiPriority w:val="9"/>
    <w:rPr>
      <w:rFonts w:asciiTheme="majorHAnsi" w:hAnsiTheme="majorHAnsi" w:eastAsiaTheme="majorEastAsia" w:cstheme="majorBidi"/>
      <w:color w:val="104862" w:themeColor="accent1" w:themeShade="BF"/>
      <w:sz w:val="48"/>
      <w:szCs w:val="48"/>
    </w:rPr>
  </w:style>
  <w:style w:type="character" w:customStyle="1" w:styleId="21">
    <w:name w:val="标题 2 字符"/>
    <w:basedOn w:val="18"/>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2">
    <w:name w:val="标题 3 字符"/>
    <w:basedOn w:val="18"/>
    <w:link w:val="4"/>
    <w:semiHidden/>
    <w:uiPriority w:val="9"/>
    <w:rPr>
      <w:rFonts w:asciiTheme="majorHAnsi" w:hAnsiTheme="majorHAnsi" w:eastAsiaTheme="majorEastAsia" w:cstheme="majorBidi"/>
      <w:color w:val="104862" w:themeColor="accent1" w:themeShade="BF"/>
      <w:sz w:val="32"/>
      <w:szCs w:val="32"/>
    </w:rPr>
  </w:style>
  <w:style w:type="character" w:customStyle="1" w:styleId="23">
    <w:name w:val="标题 4 字符"/>
    <w:basedOn w:val="18"/>
    <w:link w:val="5"/>
    <w:semiHidden/>
    <w:qFormat/>
    <w:uiPriority w:val="9"/>
    <w:rPr>
      <w:rFonts w:cstheme="majorBidi"/>
      <w:color w:val="104862" w:themeColor="accent1" w:themeShade="BF"/>
      <w:sz w:val="28"/>
      <w:szCs w:val="28"/>
    </w:rPr>
  </w:style>
  <w:style w:type="character" w:customStyle="1" w:styleId="24">
    <w:name w:val="标题 5 字符"/>
    <w:basedOn w:val="18"/>
    <w:link w:val="6"/>
    <w:semiHidden/>
    <w:qFormat/>
    <w:uiPriority w:val="9"/>
    <w:rPr>
      <w:rFonts w:cstheme="majorBidi"/>
      <w:color w:val="104862" w:themeColor="accent1" w:themeShade="BF"/>
      <w:sz w:val="24"/>
      <w:szCs w:val="24"/>
    </w:rPr>
  </w:style>
  <w:style w:type="character" w:customStyle="1" w:styleId="25">
    <w:name w:val="标题 6 字符"/>
    <w:basedOn w:val="18"/>
    <w:link w:val="7"/>
    <w:semiHidden/>
    <w:uiPriority w:val="9"/>
    <w:rPr>
      <w:rFonts w:cstheme="majorBidi"/>
      <w:b/>
      <w:bCs/>
      <w:color w:val="104862" w:themeColor="accent1" w:themeShade="BF"/>
    </w:rPr>
  </w:style>
  <w:style w:type="character" w:customStyle="1" w:styleId="26">
    <w:name w:val="标题 7 字符"/>
    <w:basedOn w:val="18"/>
    <w:link w:val="8"/>
    <w:semiHidden/>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7">
    <w:name w:val="标题 8 字符"/>
    <w:basedOn w:val="18"/>
    <w:link w:val="9"/>
    <w:semiHidden/>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8">
    <w:name w:val="标题 9 字符"/>
    <w:basedOn w:val="18"/>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9">
    <w:name w:val="标题 字符"/>
    <w:basedOn w:val="18"/>
    <w:link w:val="16"/>
    <w:uiPriority w:val="10"/>
    <w:rPr>
      <w:rFonts w:asciiTheme="majorHAnsi" w:hAnsiTheme="majorHAnsi" w:eastAsiaTheme="majorEastAsia" w:cstheme="majorBidi"/>
      <w:spacing w:val="-10"/>
      <w:kern w:val="28"/>
      <w:sz w:val="56"/>
      <w:szCs w:val="56"/>
    </w:rPr>
  </w:style>
  <w:style w:type="character" w:customStyle="1" w:styleId="30">
    <w:name w:val="副标题 字符"/>
    <w:basedOn w:val="18"/>
    <w:link w:val="15"/>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1">
    <w:name w:val="Quote"/>
    <w:basedOn w:val="1"/>
    <w:next w:val="1"/>
    <w:link w:val="32"/>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2">
    <w:name w:val="引用 字符"/>
    <w:basedOn w:val="18"/>
    <w:link w:val="31"/>
    <w:qFormat/>
    <w:uiPriority w:val="29"/>
    <w:rPr>
      <w:i/>
      <w:iCs/>
      <w:color w:val="404040" w:themeColor="text1" w:themeTint="BF"/>
      <w14:textFill>
        <w14:solidFill>
          <w14:schemeClr w14:val="tx1">
            <w14:lumMod w14:val="75000"/>
            <w14:lumOff w14:val="25000"/>
          </w14:schemeClr>
        </w14:solidFill>
      </w14:textFill>
    </w:rPr>
  </w:style>
  <w:style w:type="paragraph" w:styleId="33">
    <w:name w:val="List Paragraph"/>
    <w:basedOn w:val="1"/>
    <w:qFormat/>
    <w:uiPriority w:val="34"/>
    <w:pPr>
      <w:ind w:left="720"/>
      <w:contextualSpacing/>
    </w:pPr>
  </w:style>
  <w:style w:type="character" w:customStyle="1" w:styleId="34">
    <w:name w:val="Intense Emphasis"/>
    <w:basedOn w:val="18"/>
    <w:qFormat/>
    <w:uiPriority w:val="21"/>
    <w:rPr>
      <w:i/>
      <w:iCs/>
      <w:color w:val="104862" w:themeColor="accent1" w:themeShade="BF"/>
    </w:rPr>
  </w:style>
  <w:style w:type="paragraph" w:styleId="35">
    <w:name w:val="Intense Quote"/>
    <w:basedOn w:val="1"/>
    <w:next w:val="1"/>
    <w:link w:val="36"/>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6">
    <w:name w:val="明显引用 字符"/>
    <w:basedOn w:val="18"/>
    <w:link w:val="35"/>
    <w:uiPriority w:val="30"/>
    <w:rPr>
      <w:i/>
      <w:iCs/>
      <w:color w:val="104862" w:themeColor="accent1" w:themeShade="BF"/>
    </w:rPr>
  </w:style>
  <w:style w:type="character" w:customStyle="1" w:styleId="37">
    <w:name w:val="Intense Reference"/>
    <w:basedOn w:val="18"/>
    <w:qFormat/>
    <w:uiPriority w:val="32"/>
    <w:rPr>
      <w:b/>
      <w:bCs/>
      <w:smallCaps/>
      <w:color w:val="104862" w:themeColor="accent1" w:themeShade="BF"/>
      <w:spacing w:val="5"/>
    </w:rPr>
  </w:style>
  <w:style w:type="character" w:customStyle="1" w:styleId="38">
    <w:name w:val="纯文本 字符"/>
    <w:basedOn w:val="18"/>
    <w:link w:val="12"/>
    <w:qFormat/>
    <w:uiPriority w:val="0"/>
    <w:rPr>
      <w:rFonts w:ascii="宋体" w:hAnsi="Courier New" w:cs="Courier New"/>
      <w:szCs w:val="21"/>
    </w:rPr>
  </w:style>
  <w:style w:type="paragraph" w:customStyle="1" w:styleId="39">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character" w:customStyle="1" w:styleId="40">
    <w:name w:val="正文缩进 字符"/>
    <w:link w:val="11"/>
    <w:qFormat/>
    <w:uiPriority w:val="0"/>
    <w:rPr>
      <w:rFonts w:ascii="Times New Roman" w:hAnsi="Times New Roman" w:eastAsia="宋体" w:cs="Times New Roman"/>
      <w:szCs w:val="21"/>
    </w:rPr>
  </w:style>
  <w:style w:type="character" w:customStyle="1" w:styleId="41">
    <w:name w:val="页眉 字符"/>
    <w:basedOn w:val="18"/>
    <w:link w:val="14"/>
    <w:uiPriority w:val="99"/>
    <w:rPr>
      <w:rFonts w:ascii="Times New Roman" w:hAnsi="Times New Roman" w:eastAsia="宋体" w:cs="Times New Roman"/>
      <w:sz w:val="18"/>
      <w:szCs w:val="18"/>
    </w:rPr>
  </w:style>
  <w:style w:type="character" w:customStyle="1" w:styleId="42">
    <w:name w:val="页脚 字符"/>
    <w:basedOn w:val="18"/>
    <w:link w:val="13"/>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2894</Words>
  <Characters>3230</Characters>
  <Lines>23</Lines>
  <Paragraphs>6</Paragraphs>
  <TotalTime>7</TotalTime>
  <ScaleCrop>false</ScaleCrop>
  <LinksUpToDate>false</LinksUpToDate>
  <CharactersWithSpaces>3240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2025-08-07T00:47:00Z</dcterms:created>
  <dc:creator>360598736@qq.com</dc:creator>
  <cp:lastModifiedBy>张丽韶</cp:lastModifiedBy>
  <dcterms:modified xsi:type="dcterms:W3CDTF">2025-10-29T00:41:21Z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eyJoZGlkIjoiMTYwZmY5ZWRkNmM0MDk5NDgwZDYwNTk2NjA2ZTNhYmUifQ==</vt:lpwstr>
  </property>
  <property fmtid="{D5CDD505-2E9C-101B-9397-08002B2CF9AE}" pid="3" name="KSOProductBuildVer">
    <vt:lpwstr>2052-12.1.0.23125</vt:lpwstr>
  </property>
  <property fmtid="{D5CDD505-2E9C-101B-9397-08002B2CF9AE}" pid="4" name="ICV">
    <vt:lpwstr>0FC546A8DD6C4456AA5EE61220A55BE6_12</vt:lpwstr>
  </property>
</Properties>
</file>