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page" w:horzAnchor="page" w:tblpX="1551" w:tblpY="2448"/>
        <w:tblOverlap w:val="never"/>
        <w:tblW w:w="494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427"/>
        <w:gridCol w:w="894"/>
        <w:gridCol w:w="5357"/>
        <w:gridCol w:w="6006"/>
        <w:gridCol w:w="884"/>
      </w:tblGrid>
      <w:tr w14:paraId="35FB2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163" w:type="pct"/>
            <w:vMerge w:val="restart"/>
          </w:tcPr>
          <w:p w14:paraId="5EF82149">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eastAsiaTheme="minorEastAsia"/>
                <w:b/>
                <w:bCs/>
                <w:vertAlign w:val="baseline"/>
                <w:lang w:val="en-US" w:eastAsia="zh-CN"/>
              </w:rPr>
            </w:pPr>
            <w:r>
              <w:rPr>
                <w:rFonts w:hint="eastAsia"/>
                <w:b/>
                <w:bCs/>
                <w:vertAlign w:val="baseline"/>
                <w:lang w:val="en-US" w:eastAsia="zh-CN"/>
              </w:rPr>
              <w:t>类别</w:t>
            </w:r>
          </w:p>
        </w:tc>
        <w:tc>
          <w:tcPr>
            <w:tcW w:w="151" w:type="pct"/>
            <w:vMerge w:val="restart"/>
          </w:tcPr>
          <w:p w14:paraId="033728E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eastAsiaTheme="minorEastAsia"/>
                <w:b/>
                <w:bCs/>
                <w:vertAlign w:val="baseline"/>
                <w:lang w:val="en-US" w:eastAsia="zh-CN"/>
              </w:rPr>
            </w:pPr>
            <w:r>
              <w:rPr>
                <w:rFonts w:hint="eastAsia"/>
                <w:b/>
                <w:bCs/>
                <w:vertAlign w:val="baseline"/>
                <w:lang w:val="en-US" w:eastAsia="zh-CN"/>
              </w:rPr>
              <w:t>序号</w:t>
            </w:r>
          </w:p>
        </w:tc>
        <w:tc>
          <w:tcPr>
            <w:tcW w:w="319" w:type="pct"/>
            <w:vMerge w:val="restart"/>
          </w:tcPr>
          <w:p w14:paraId="0E1A393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eastAsiaTheme="minorEastAsia"/>
                <w:b/>
                <w:bCs/>
                <w:vertAlign w:val="baseline"/>
                <w:lang w:val="en-US" w:eastAsia="zh-CN"/>
              </w:rPr>
            </w:pPr>
            <w:r>
              <w:rPr>
                <w:rFonts w:hint="eastAsia"/>
                <w:b/>
                <w:bCs/>
                <w:vertAlign w:val="baseline"/>
                <w:lang w:val="en-US" w:eastAsia="zh-CN"/>
              </w:rPr>
              <w:t>指标</w:t>
            </w:r>
          </w:p>
        </w:tc>
        <w:tc>
          <w:tcPr>
            <w:tcW w:w="4049" w:type="pct"/>
            <w:gridSpan w:val="2"/>
          </w:tcPr>
          <w:p w14:paraId="670037A9">
            <w:pPr>
              <w:spacing w:line="720" w:lineRule="auto"/>
              <w:jc w:val="center"/>
              <w:rPr>
                <w:rFonts w:hint="default"/>
                <w:b/>
                <w:bCs/>
                <w:vertAlign w:val="baseline"/>
                <w:lang w:val="en-US" w:eastAsia="zh-CN"/>
              </w:rPr>
            </w:pPr>
            <w:r>
              <w:rPr>
                <w:rFonts w:hint="eastAsia"/>
                <w:b/>
                <w:bCs/>
                <w:vertAlign w:val="baseline"/>
                <w:lang w:val="en-US" w:eastAsia="zh-CN"/>
              </w:rPr>
              <w:t>能力级别</w:t>
            </w:r>
          </w:p>
        </w:tc>
        <w:tc>
          <w:tcPr>
            <w:tcW w:w="315" w:type="pct"/>
            <w:vMerge w:val="restart"/>
          </w:tcPr>
          <w:p w14:paraId="447D5F7C">
            <w:pPr>
              <w:spacing w:line="720" w:lineRule="auto"/>
              <w:jc w:val="center"/>
              <w:rPr>
                <w:rFonts w:hint="default"/>
                <w:vertAlign w:val="baseline"/>
                <w:lang w:val="en-US" w:eastAsia="zh-CN"/>
              </w:rPr>
            </w:pPr>
            <w:r>
              <w:rPr>
                <w:rFonts w:hint="eastAsia"/>
                <w:b/>
                <w:bCs/>
                <w:vertAlign w:val="baseline"/>
                <w:lang w:val="en-US" w:eastAsia="zh-CN"/>
              </w:rPr>
              <w:t>备注</w:t>
            </w:r>
          </w:p>
        </w:tc>
      </w:tr>
      <w:tr w14:paraId="62116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63" w:type="pct"/>
            <w:vMerge w:val="continue"/>
          </w:tcPr>
          <w:p w14:paraId="47EEA6CA">
            <w:pPr>
              <w:jc w:val="center"/>
              <w:rPr>
                <w:rFonts w:hint="eastAsia" w:eastAsiaTheme="minorEastAsia"/>
                <w:b/>
                <w:bCs/>
                <w:vertAlign w:val="baseline"/>
                <w:lang w:val="en-US" w:eastAsia="zh-CN"/>
              </w:rPr>
            </w:pPr>
          </w:p>
        </w:tc>
        <w:tc>
          <w:tcPr>
            <w:tcW w:w="151" w:type="pct"/>
            <w:vMerge w:val="continue"/>
          </w:tcPr>
          <w:p w14:paraId="3E5E902C">
            <w:pPr>
              <w:jc w:val="center"/>
              <w:rPr>
                <w:rFonts w:hint="eastAsia" w:eastAsiaTheme="minorEastAsia"/>
                <w:b/>
                <w:bCs/>
                <w:vertAlign w:val="baseline"/>
                <w:lang w:val="en-US" w:eastAsia="zh-CN"/>
              </w:rPr>
            </w:pPr>
          </w:p>
        </w:tc>
        <w:tc>
          <w:tcPr>
            <w:tcW w:w="319" w:type="pct"/>
            <w:vMerge w:val="continue"/>
          </w:tcPr>
          <w:p w14:paraId="74E6493D">
            <w:pPr>
              <w:jc w:val="center"/>
              <w:rPr>
                <w:rFonts w:hint="eastAsia" w:eastAsiaTheme="minorEastAsia"/>
                <w:b/>
                <w:bCs/>
                <w:vertAlign w:val="baseline"/>
                <w:lang w:val="en-US" w:eastAsia="zh-CN"/>
              </w:rPr>
            </w:pPr>
          </w:p>
        </w:tc>
        <w:tc>
          <w:tcPr>
            <w:tcW w:w="1909" w:type="pct"/>
          </w:tcPr>
          <w:p w14:paraId="0501FACB">
            <w:pPr>
              <w:jc w:val="center"/>
              <w:rPr>
                <w:rFonts w:hint="eastAsia" w:eastAsiaTheme="minorEastAsia"/>
                <w:b/>
                <w:bCs/>
                <w:vertAlign w:val="baseline"/>
                <w:lang w:val="en-US" w:eastAsia="zh-CN"/>
              </w:rPr>
            </w:pPr>
            <w:r>
              <w:rPr>
                <w:rFonts w:hint="eastAsia"/>
                <w:b/>
                <w:bCs/>
                <w:vertAlign w:val="baseline"/>
                <w:lang w:val="en-US" w:eastAsia="zh-CN"/>
              </w:rPr>
              <w:t>一级</w:t>
            </w:r>
          </w:p>
        </w:tc>
        <w:tc>
          <w:tcPr>
            <w:tcW w:w="2139" w:type="pct"/>
          </w:tcPr>
          <w:p w14:paraId="5AB92526">
            <w:pPr>
              <w:jc w:val="center"/>
              <w:rPr>
                <w:rFonts w:hint="eastAsia" w:eastAsiaTheme="minorEastAsia"/>
                <w:b/>
                <w:bCs/>
                <w:vertAlign w:val="baseline"/>
                <w:lang w:val="en-US" w:eastAsia="zh-CN"/>
              </w:rPr>
            </w:pPr>
            <w:r>
              <w:rPr>
                <w:rFonts w:hint="eastAsia"/>
                <w:b/>
                <w:bCs/>
                <w:vertAlign w:val="baseline"/>
                <w:lang w:val="en-US" w:eastAsia="zh-CN"/>
              </w:rPr>
              <w:t>二级</w:t>
            </w:r>
          </w:p>
        </w:tc>
        <w:tc>
          <w:tcPr>
            <w:tcW w:w="315" w:type="pct"/>
            <w:vMerge w:val="continue"/>
          </w:tcPr>
          <w:p w14:paraId="5B24B5AF">
            <w:pPr>
              <w:jc w:val="center"/>
              <w:rPr>
                <w:rFonts w:hint="eastAsia"/>
                <w:vertAlign w:val="baseline"/>
                <w:lang w:val="en-US" w:eastAsia="zh-CN"/>
              </w:rPr>
            </w:pPr>
          </w:p>
        </w:tc>
      </w:tr>
      <w:tr w14:paraId="6B22D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63" w:type="pct"/>
            <w:vMerge w:val="restart"/>
          </w:tcPr>
          <w:p w14:paraId="3F7B7272">
            <w:pPr>
              <w:keepNext w:val="0"/>
              <w:keepLines w:val="0"/>
              <w:pageBreakBefore w:val="0"/>
              <w:widowControl w:val="0"/>
              <w:kinsoku/>
              <w:wordWrap/>
              <w:overflowPunct/>
              <w:topLinePunct w:val="0"/>
              <w:autoSpaceDE/>
              <w:autoSpaceDN/>
              <w:bidi w:val="0"/>
              <w:adjustRightInd/>
              <w:snapToGrid/>
              <w:jc w:val="center"/>
              <w:textAlignment w:val="auto"/>
              <w:rPr>
                <w:rFonts w:hint="eastAsia"/>
                <w:vertAlign w:val="baseline"/>
                <w:lang w:val="en-US" w:eastAsia="zh-CN"/>
              </w:rPr>
            </w:pPr>
          </w:p>
          <w:p w14:paraId="5B651E2C">
            <w:pPr>
              <w:keepNext w:val="0"/>
              <w:keepLines w:val="0"/>
              <w:pageBreakBefore w:val="0"/>
              <w:widowControl w:val="0"/>
              <w:kinsoku/>
              <w:wordWrap/>
              <w:overflowPunct/>
              <w:topLinePunct w:val="0"/>
              <w:autoSpaceDE/>
              <w:autoSpaceDN/>
              <w:bidi w:val="0"/>
              <w:adjustRightInd/>
              <w:snapToGrid/>
              <w:jc w:val="center"/>
              <w:textAlignment w:val="auto"/>
              <w:rPr>
                <w:rFonts w:hint="default" w:eastAsiaTheme="minorEastAsia"/>
                <w:vertAlign w:val="baseline"/>
                <w:lang w:val="en-US" w:eastAsia="zh-CN"/>
              </w:rPr>
            </w:pPr>
            <w:r>
              <w:rPr>
                <w:rFonts w:hint="eastAsia"/>
                <w:vertAlign w:val="baseline"/>
                <w:lang w:val="en-US" w:eastAsia="zh-CN"/>
              </w:rPr>
              <w:t>质量管理</w:t>
            </w:r>
          </w:p>
        </w:tc>
        <w:tc>
          <w:tcPr>
            <w:tcW w:w="151" w:type="pct"/>
          </w:tcPr>
          <w:p w14:paraId="3592EF59">
            <w:pPr>
              <w:keepNext w:val="0"/>
              <w:keepLines w:val="0"/>
              <w:pageBreakBefore w:val="0"/>
              <w:widowControl w:val="0"/>
              <w:kinsoku/>
              <w:wordWrap/>
              <w:overflowPunct/>
              <w:topLinePunct w:val="0"/>
              <w:autoSpaceDE/>
              <w:autoSpaceDN/>
              <w:bidi w:val="0"/>
              <w:adjustRightInd/>
              <w:snapToGrid/>
              <w:spacing w:line="720" w:lineRule="auto"/>
              <w:ind w:left="106" w:leftChars="0" w:hanging="106" w:firstLineChars="0"/>
              <w:jc w:val="center"/>
              <w:textAlignment w:val="auto"/>
              <w:rPr>
                <w:rFonts w:hint="default" w:eastAsiaTheme="minorEastAsia"/>
                <w:vertAlign w:val="baseline"/>
                <w:lang w:val="en-US" w:eastAsia="zh-CN"/>
              </w:rPr>
            </w:pPr>
            <w:r>
              <w:rPr>
                <w:rFonts w:hint="eastAsia"/>
                <w:vertAlign w:val="baseline"/>
                <w:lang w:val="en-US" w:eastAsia="zh-CN"/>
              </w:rPr>
              <w:t>1</w:t>
            </w:r>
          </w:p>
        </w:tc>
        <w:tc>
          <w:tcPr>
            <w:tcW w:w="319" w:type="pct"/>
          </w:tcPr>
          <w:p w14:paraId="0C803D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rPr>
            </w:pPr>
          </w:p>
          <w:p w14:paraId="247055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Theme="minorEastAsia"/>
                <w:vertAlign w:val="baseline"/>
                <w:lang w:val="en-US" w:eastAsia="zh-CN"/>
              </w:rPr>
            </w:pPr>
            <w:r>
              <w:rPr>
                <w:rFonts w:hint="eastAsia"/>
                <w:color w:val="000000"/>
              </w:rPr>
              <w:t>质量管理体系</w:t>
            </w:r>
          </w:p>
        </w:tc>
        <w:tc>
          <w:tcPr>
            <w:tcW w:w="1909" w:type="pct"/>
          </w:tcPr>
          <w:p w14:paraId="45BCBF31">
            <w:pPr>
              <w:keepNext w:val="0"/>
              <w:keepLines w:val="0"/>
              <w:pageBreakBefore w:val="0"/>
              <w:widowControl w:val="0"/>
              <w:kinsoku/>
              <w:wordWrap/>
              <w:overflowPunct/>
              <w:topLinePunct w:val="0"/>
              <w:autoSpaceDE/>
              <w:autoSpaceDN/>
              <w:bidi w:val="0"/>
              <w:adjustRightInd/>
              <w:snapToGrid/>
              <w:jc w:val="left"/>
              <w:textAlignment w:val="auto"/>
              <w:rPr>
                <w:rFonts w:hint="default" w:eastAsiaTheme="minorEastAsia"/>
                <w:vertAlign w:val="baseline"/>
                <w:lang w:val="en-US" w:eastAsia="zh-CN"/>
              </w:rPr>
            </w:pPr>
            <w:r>
              <w:rPr>
                <w:rFonts w:hint="eastAsia" w:ascii="宋体" w:hAnsi="宋体" w:cs="宋体"/>
                <w:color w:val="000000"/>
                <w:kern w:val="0"/>
                <w:szCs w:val="21"/>
              </w:rPr>
              <w:t>具备符合ISO9001要求的运行服务质量管理文件以及与其运行项目相适应的规章制度、工艺文件和作业指导书，项目运行过程中严格执行，相关记录完整</w:t>
            </w:r>
            <w:r>
              <w:rPr>
                <w:rFonts w:hint="eastAsia" w:ascii="宋体" w:hAnsi="宋体" w:cs="宋体"/>
                <w:color w:val="000000"/>
                <w:kern w:val="0"/>
                <w:szCs w:val="21"/>
                <w:lang w:eastAsia="zh-CN"/>
              </w:rPr>
              <w:t>。</w:t>
            </w:r>
            <w:r>
              <w:rPr>
                <w:rFonts w:hint="eastAsia" w:ascii="宋体" w:hAnsi="宋体" w:cs="宋体"/>
                <w:color w:val="000000"/>
                <w:kern w:val="0"/>
                <w:szCs w:val="21"/>
                <w:lang w:val="en-US" w:eastAsia="zh-CN"/>
              </w:rPr>
              <w:t>或有第三方体系认证证书</w:t>
            </w:r>
          </w:p>
        </w:tc>
        <w:tc>
          <w:tcPr>
            <w:tcW w:w="2139" w:type="pct"/>
          </w:tcPr>
          <w:p w14:paraId="1C57EEC4">
            <w:pPr>
              <w:keepNext w:val="0"/>
              <w:keepLines w:val="0"/>
              <w:pageBreakBefore w:val="0"/>
              <w:widowControl w:val="0"/>
              <w:kinsoku/>
              <w:wordWrap/>
              <w:overflowPunct/>
              <w:topLinePunct w:val="0"/>
              <w:autoSpaceDE/>
              <w:autoSpaceDN/>
              <w:bidi w:val="0"/>
              <w:adjustRightInd/>
              <w:snapToGrid/>
              <w:jc w:val="left"/>
              <w:textAlignment w:val="auto"/>
              <w:rPr>
                <w:rFonts w:hint="eastAsia"/>
                <w:vertAlign w:val="baseline"/>
                <w:lang w:val="en-US" w:eastAsia="zh-CN"/>
              </w:rPr>
            </w:pPr>
            <w:r>
              <w:rPr>
                <w:rFonts w:hint="eastAsia"/>
                <w:color w:val="000000"/>
              </w:rPr>
              <w:t>建立了</w:t>
            </w:r>
            <w:r>
              <w:rPr>
                <w:rFonts w:hint="eastAsia" w:ascii="宋体" w:hAnsi="宋体" w:cs="宋体"/>
                <w:color w:val="000000"/>
                <w:kern w:val="0"/>
                <w:szCs w:val="21"/>
              </w:rPr>
              <w:t>运行服务质量管理文件以及与其运行项目相适应的规章制度、工艺文件和作业指导书，并在项目运行过程中执行，具有相关记录。</w:t>
            </w:r>
          </w:p>
        </w:tc>
        <w:tc>
          <w:tcPr>
            <w:tcW w:w="315" w:type="pct"/>
          </w:tcPr>
          <w:p w14:paraId="3EF31973">
            <w:pPr>
              <w:keepNext w:val="0"/>
              <w:keepLines w:val="0"/>
              <w:pageBreakBefore w:val="0"/>
              <w:widowControl w:val="0"/>
              <w:kinsoku/>
              <w:wordWrap/>
              <w:overflowPunct/>
              <w:topLinePunct w:val="0"/>
              <w:autoSpaceDE/>
              <w:autoSpaceDN/>
              <w:bidi w:val="0"/>
              <w:adjustRightInd/>
              <w:snapToGrid/>
              <w:jc w:val="left"/>
              <w:textAlignment w:val="auto"/>
              <w:rPr>
                <w:rFonts w:hint="eastAsia"/>
                <w:color w:val="000000"/>
              </w:rPr>
            </w:pPr>
          </w:p>
        </w:tc>
      </w:tr>
      <w:tr w14:paraId="7DD4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63" w:type="pct"/>
            <w:vMerge w:val="continue"/>
          </w:tcPr>
          <w:p w14:paraId="05501112">
            <w:pPr>
              <w:keepNext w:val="0"/>
              <w:keepLines w:val="0"/>
              <w:pageBreakBefore w:val="0"/>
              <w:widowControl w:val="0"/>
              <w:kinsoku/>
              <w:wordWrap/>
              <w:overflowPunct/>
              <w:topLinePunct w:val="0"/>
              <w:autoSpaceDE/>
              <w:autoSpaceDN/>
              <w:bidi w:val="0"/>
              <w:adjustRightInd/>
              <w:snapToGrid/>
              <w:jc w:val="left"/>
              <w:textAlignment w:val="auto"/>
              <w:rPr>
                <w:rFonts w:hint="eastAsia" w:eastAsiaTheme="minorEastAsia"/>
                <w:vertAlign w:val="baseline"/>
                <w:lang w:val="en-US" w:eastAsia="zh-CN"/>
              </w:rPr>
            </w:pPr>
          </w:p>
        </w:tc>
        <w:tc>
          <w:tcPr>
            <w:tcW w:w="151" w:type="pct"/>
            <w:vAlign w:val="center"/>
          </w:tcPr>
          <w:p w14:paraId="265B5CE7">
            <w:pPr>
              <w:adjustRightInd w:val="0"/>
              <w:snapToGrid w:val="0"/>
              <w:jc w:val="center"/>
              <w:rPr>
                <w:rFonts w:hint="eastAsia"/>
                <w:vertAlign w:val="baseline"/>
                <w:lang w:val="en-US" w:eastAsia="zh-CN"/>
              </w:rPr>
            </w:pPr>
            <w:r>
              <w:rPr>
                <w:rFonts w:hint="eastAsia"/>
                <w:color w:val="000000"/>
              </w:rPr>
              <w:t>2</w:t>
            </w:r>
          </w:p>
        </w:tc>
        <w:tc>
          <w:tcPr>
            <w:tcW w:w="319" w:type="pct"/>
            <w:vAlign w:val="center"/>
          </w:tcPr>
          <w:p w14:paraId="28B0B5C7">
            <w:pPr>
              <w:adjustRightInd w:val="0"/>
              <w:snapToGrid w:val="0"/>
              <w:jc w:val="center"/>
              <w:rPr>
                <w:rFonts w:hint="eastAsia" w:eastAsiaTheme="minorEastAsia"/>
                <w:color w:val="000000"/>
                <w:lang w:val="en-US" w:eastAsia="zh-CN"/>
              </w:rPr>
            </w:pPr>
            <w:r>
              <w:rPr>
                <w:rFonts w:hint="eastAsia"/>
                <w:color w:val="000000"/>
              </w:rPr>
              <w:t>突发环境事件应急</w:t>
            </w:r>
            <w:r>
              <w:rPr>
                <w:rFonts w:hint="eastAsia"/>
                <w:color w:val="000000"/>
                <w:lang w:val="en-US" w:eastAsia="zh-CN"/>
              </w:rPr>
              <w:t>能力</w:t>
            </w:r>
          </w:p>
        </w:tc>
        <w:tc>
          <w:tcPr>
            <w:tcW w:w="1909" w:type="pct"/>
            <w:vAlign w:val="center"/>
          </w:tcPr>
          <w:p w14:paraId="320884F1">
            <w:pPr>
              <w:widowControl/>
              <w:adjustRightInd w:val="0"/>
              <w:snapToGrid w:val="0"/>
              <w:jc w:val="left"/>
              <w:outlineLvl w:val="0"/>
              <w:rPr>
                <w:rFonts w:hint="eastAsia" w:ascii="宋体" w:hAnsi="宋体" w:cs="宋体"/>
                <w:color w:val="000000"/>
                <w:kern w:val="0"/>
                <w:szCs w:val="21"/>
              </w:rPr>
            </w:pPr>
            <w:r>
              <w:rPr>
                <w:rFonts w:hint="eastAsia"/>
                <w:color w:val="000000"/>
              </w:rPr>
              <w:t>编制完善的突发环境事件应急预案</w:t>
            </w:r>
            <w:r>
              <w:rPr>
                <w:rFonts w:hint="eastAsia"/>
                <w:color w:val="000000"/>
                <w:lang w:val="en-US" w:eastAsia="zh-CN"/>
              </w:rPr>
              <w:t>或处置方案</w:t>
            </w:r>
            <w:r>
              <w:rPr>
                <w:rFonts w:hint="eastAsia"/>
                <w:color w:val="000000"/>
              </w:rPr>
              <w:t>，对预警因素和应急措施考虑充分，并对</w:t>
            </w:r>
            <w:r>
              <w:rPr>
                <w:rFonts w:hint="eastAsia" w:ascii="宋体" w:hAnsi="宋体" w:cs="宋体"/>
                <w:color w:val="000000"/>
                <w:kern w:val="0"/>
                <w:szCs w:val="21"/>
              </w:rPr>
              <w:t>实际发生的紧急情况和事故作出响应</w:t>
            </w:r>
            <w:r>
              <w:rPr>
                <w:rFonts w:hint="eastAsia"/>
                <w:color w:val="000000"/>
              </w:rPr>
              <w:t>。</w:t>
            </w:r>
          </w:p>
        </w:tc>
        <w:tc>
          <w:tcPr>
            <w:tcW w:w="2139" w:type="pct"/>
            <w:vAlign w:val="center"/>
          </w:tcPr>
          <w:p w14:paraId="6B70C1F6">
            <w:pPr>
              <w:adjustRightInd w:val="0"/>
              <w:snapToGrid w:val="0"/>
              <w:jc w:val="left"/>
              <w:rPr>
                <w:rFonts w:hint="eastAsia"/>
                <w:color w:val="000000"/>
              </w:rPr>
            </w:pPr>
            <w:r>
              <w:rPr>
                <w:rFonts w:hint="eastAsia"/>
                <w:color w:val="000000"/>
              </w:rPr>
              <w:t>编制突发环境事件应急预案</w:t>
            </w:r>
            <w:r>
              <w:rPr>
                <w:rFonts w:hint="eastAsia"/>
                <w:color w:val="000000"/>
                <w:lang w:val="en-US" w:eastAsia="zh-CN"/>
              </w:rPr>
              <w:t>或处置方案</w:t>
            </w:r>
            <w:r>
              <w:rPr>
                <w:rFonts w:hint="eastAsia"/>
                <w:color w:val="000000"/>
              </w:rPr>
              <w:t>，并对</w:t>
            </w:r>
            <w:r>
              <w:rPr>
                <w:rFonts w:hint="eastAsia" w:ascii="宋体" w:hAnsi="宋体" w:cs="宋体"/>
                <w:color w:val="000000"/>
                <w:kern w:val="0"/>
                <w:szCs w:val="21"/>
              </w:rPr>
              <w:t>实际发生的紧急情况和事故作出响应</w:t>
            </w:r>
            <w:r>
              <w:rPr>
                <w:rFonts w:hint="eastAsia"/>
                <w:color w:val="000000"/>
              </w:rPr>
              <w:t>。</w:t>
            </w:r>
          </w:p>
        </w:tc>
        <w:tc>
          <w:tcPr>
            <w:tcW w:w="315" w:type="pct"/>
            <w:vAlign w:val="center"/>
          </w:tcPr>
          <w:p w14:paraId="05BE331E">
            <w:pPr>
              <w:adjustRightInd w:val="0"/>
              <w:snapToGrid w:val="0"/>
              <w:jc w:val="left"/>
              <w:rPr>
                <w:rFonts w:hint="eastAsia"/>
                <w:color w:val="000000"/>
              </w:rPr>
            </w:pPr>
          </w:p>
        </w:tc>
      </w:tr>
      <w:tr w14:paraId="3014F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163" w:type="pct"/>
          </w:tcPr>
          <w:p w14:paraId="3A526026">
            <w:pPr>
              <w:keepNext w:val="0"/>
              <w:keepLines w:val="0"/>
              <w:pageBreakBefore w:val="0"/>
              <w:widowControl w:val="0"/>
              <w:kinsoku/>
              <w:wordWrap/>
              <w:overflowPunct/>
              <w:topLinePunct w:val="0"/>
              <w:autoSpaceDE/>
              <w:autoSpaceDN/>
              <w:bidi w:val="0"/>
              <w:adjustRightInd/>
              <w:snapToGrid/>
              <w:jc w:val="left"/>
              <w:textAlignment w:val="auto"/>
              <w:rPr>
                <w:rFonts w:hint="default" w:eastAsiaTheme="minorEastAsia"/>
                <w:vertAlign w:val="baseline"/>
                <w:lang w:val="en-US" w:eastAsia="zh-CN"/>
              </w:rPr>
            </w:pPr>
            <w:r>
              <w:rPr>
                <w:rFonts w:hint="eastAsia"/>
                <w:vertAlign w:val="baseline"/>
                <w:lang w:val="en-US" w:eastAsia="zh-CN"/>
              </w:rPr>
              <w:t>检测要求</w:t>
            </w:r>
          </w:p>
        </w:tc>
        <w:tc>
          <w:tcPr>
            <w:tcW w:w="151" w:type="pct"/>
            <w:shd w:val="clear" w:color="auto" w:fill="auto"/>
            <w:vAlign w:val="center"/>
          </w:tcPr>
          <w:p w14:paraId="0F3A30B3">
            <w:pPr>
              <w:adjustRightInd w:val="0"/>
              <w:snapToGrid w:val="0"/>
              <w:jc w:val="center"/>
              <w:rPr>
                <w:rFonts w:hint="default" w:asciiTheme="minorHAnsi" w:hAnsiTheme="minorHAnsi" w:eastAsiaTheme="minorEastAsia" w:cstheme="minorBidi"/>
                <w:color w:val="000000"/>
                <w:kern w:val="2"/>
                <w:sz w:val="21"/>
                <w:szCs w:val="24"/>
                <w:lang w:val="en-US" w:eastAsia="zh-CN" w:bidi="ar-SA"/>
              </w:rPr>
            </w:pPr>
            <w:r>
              <w:rPr>
                <w:rFonts w:hint="eastAsia" w:cstheme="minorBidi"/>
                <w:color w:val="000000"/>
                <w:kern w:val="2"/>
                <w:sz w:val="21"/>
                <w:szCs w:val="24"/>
                <w:lang w:val="en-US" w:eastAsia="zh-CN" w:bidi="ar-SA"/>
              </w:rPr>
              <w:t>3</w:t>
            </w:r>
          </w:p>
        </w:tc>
        <w:tc>
          <w:tcPr>
            <w:tcW w:w="319" w:type="pct"/>
            <w:shd w:val="clear" w:color="auto" w:fill="auto"/>
            <w:vAlign w:val="center"/>
          </w:tcPr>
          <w:p w14:paraId="353D4C07">
            <w:pPr>
              <w:adjustRightInd w:val="0"/>
              <w:snapToGrid w:val="0"/>
              <w:jc w:val="center"/>
              <w:rPr>
                <w:rFonts w:hint="eastAsia" w:asciiTheme="minorHAnsi" w:hAnsiTheme="minorHAnsi" w:eastAsiaTheme="minorEastAsia" w:cstheme="minorBidi"/>
                <w:color w:val="000000"/>
                <w:kern w:val="2"/>
                <w:sz w:val="21"/>
                <w:szCs w:val="24"/>
                <w:lang w:val="en-US" w:eastAsia="zh-CN" w:bidi="ar-SA"/>
              </w:rPr>
            </w:pPr>
            <w:r>
              <w:rPr>
                <w:rFonts w:hint="eastAsia"/>
                <w:color w:val="000000"/>
                <w:lang w:val="en-US" w:eastAsia="zh-CN"/>
              </w:rPr>
              <w:t>检测委托情况</w:t>
            </w:r>
          </w:p>
        </w:tc>
        <w:tc>
          <w:tcPr>
            <w:tcW w:w="1909" w:type="pct"/>
            <w:shd w:val="clear" w:color="auto" w:fill="auto"/>
            <w:vAlign w:val="center"/>
          </w:tcPr>
          <w:p w14:paraId="5740EFEA">
            <w:pPr>
              <w:adjustRightInd w:val="0"/>
              <w:snapToGrid w:val="0"/>
              <w:jc w:val="left"/>
              <w:rPr>
                <w:rFonts w:hint="eastAsia" w:asciiTheme="minorHAnsi" w:hAnsiTheme="minorHAnsi" w:eastAsiaTheme="minorEastAsia" w:cstheme="minorBidi"/>
                <w:color w:val="000000"/>
                <w:kern w:val="2"/>
                <w:sz w:val="21"/>
                <w:szCs w:val="24"/>
                <w:lang w:val="en-US" w:eastAsia="zh-CN" w:bidi="ar-SA"/>
              </w:rPr>
            </w:pPr>
            <w:r>
              <w:rPr>
                <w:rFonts w:hint="eastAsia"/>
                <w:color w:val="000000"/>
                <w:lang w:val="en-US" w:eastAsia="zh-CN"/>
              </w:rPr>
              <w:t>法律法规要求进行检测时，委托有</w:t>
            </w:r>
            <w:r>
              <w:rPr>
                <w:rFonts w:hint="eastAsia"/>
                <w:color w:val="000000"/>
              </w:rPr>
              <w:t>CMA</w:t>
            </w:r>
            <w:r>
              <w:rPr>
                <w:rFonts w:hint="eastAsia"/>
                <w:color w:val="000000"/>
                <w:lang w:val="en-US" w:eastAsia="zh-CN"/>
              </w:rPr>
              <w:t>资质检测单位，有相应的合同、检测报告，除按监测要求委托外还根据企业的相应特点增加指标和频次</w:t>
            </w:r>
          </w:p>
        </w:tc>
        <w:tc>
          <w:tcPr>
            <w:tcW w:w="2139" w:type="pct"/>
            <w:shd w:val="clear" w:color="auto" w:fill="auto"/>
            <w:vAlign w:val="center"/>
          </w:tcPr>
          <w:p w14:paraId="40882C10">
            <w:pPr>
              <w:adjustRightInd w:val="0"/>
              <w:snapToGrid w:val="0"/>
              <w:jc w:val="left"/>
              <w:rPr>
                <w:rFonts w:hint="eastAsia" w:asciiTheme="minorHAnsi" w:hAnsiTheme="minorHAnsi" w:eastAsiaTheme="minorEastAsia" w:cstheme="minorBidi"/>
                <w:color w:val="000000"/>
                <w:kern w:val="2"/>
                <w:sz w:val="21"/>
                <w:szCs w:val="24"/>
                <w:lang w:val="en-US" w:eastAsia="zh-CN" w:bidi="ar-SA"/>
              </w:rPr>
            </w:pPr>
            <w:r>
              <w:rPr>
                <w:rFonts w:hint="eastAsia"/>
                <w:color w:val="000000"/>
                <w:lang w:val="en-US" w:eastAsia="zh-CN"/>
              </w:rPr>
              <w:t>法律法规要求进行检测时，委托有</w:t>
            </w:r>
            <w:r>
              <w:rPr>
                <w:rFonts w:hint="eastAsia"/>
                <w:color w:val="000000"/>
              </w:rPr>
              <w:t>CMA</w:t>
            </w:r>
            <w:r>
              <w:rPr>
                <w:rFonts w:hint="eastAsia"/>
                <w:color w:val="000000"/>
                <w:lang w:val="en-US" w:eastAsia="zh-CN"/>
              </w:rPr>
              <w:t>资质检测单位，有相应的合同、满足相关要求的检测报告</w:t>
            </w:r>
          </w:p>
        </w:tc>
        <w:tc>
          <w:tcPr>
            <w:tcW w:w="315" w:type="pct"/>
            <w:vAlign w:val="center"/>
          </w:tcPr>
          <w:p w14:paraId="48C7ABF2">
            <w:pPr>
              <w:adjustRightInd w:val="0"/>
              <w:snapToGrid w:val="0"/>
              <w:jc w:val="left"/>
              <w:rPr>
                <w:rFonts w:hint="eastAsia" w:ascii="宋体" w:hAnsi="宋体" w:cs="宋体"/>
                <w:color w:val="000000"/>
                <w:kern w:val="0"/>
                <w:szCs w:val="21"/>
              </w:rPr>
            </w:pPr>
          </w:p>
        </w:tc>
      </w:tr>
      <w:tr w14:paraId="0BD7E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63" w:type="pct"/>
            <w:vMerge w:val="restart"/>
          </w:tcPr>
          <w:p w14:paraId="45AD3FAB">
            <w:pPr>
              <w:keepNext w:val="0"/>
              <w:keepLines w:val="0"/>
              <w:pageBreakBefore w:val="0"/>
              <w:widowControl w:val="0"/>
              <w:kinsoku/>
              <w:wordWrap/>
              <w:overflowPunct/>
              <w:topLinePunct w:val="0"/>
              <w:autoSpaceDE/>
              <w:autoSpaceDN/>
              <w:bidi w:val="0"/>
              <w:adjustRightInd/>
              <w:snapToGrid/>
              <w:jc w:val="left"/>
              <w:textAlignment w:val="auto"/>
              <w:rPr>
                <w:rFonts w:hint="eastAsia"/>
                <w:vertAlign w:val="baseline"/>
                <w:lang w:val="en-US" w:eastAsia="zh-CN"/>
              </w:rPr>
            </w:pPr>
          </w:p>
          <w:p w14:paraId="31F2CAC9">
            <w:pPr>
              <w:keepNext w:val="0"/>
              <w:keepLines w:val="0"/>
              <w:pageBreakBefore w:val="0"/>
              <w:widowControl w:val="0"/>
              <w:kinsoku/>
              <w:wordWrap/>
              <w:overflowPunct/>
              <w:topLinePunct w:val="0"/>
              <w:autoSpaceDE/>
              <w:autoSpaceDN/>
              <w:bidi w:val="0"/>
              <w:adjustRightInd/>
              <w:snapToGrid/>
              <w:jc w:val="left"/>
              <w:textAlignment w:val="auto"/>
              <w:rPr>
                <w:rFonts w:hint="eastAsia" w:eastAsiaTheme="minorEastAsia"/>
                <w:vertAlign w:val="baseline"/>
                <w:lang w:val="en-US" w:eastAsia="zh-CN"/>
              </w:rPr>
            </w:pPr>
            <w:r>
              <w:rPr>
                <w:rFonts w:hint="eastAsia"/>
                <w:vertAlign w:val="baseline"/>
                <w:lang w:val="en-US" w:eastAsia="zh-CN"/>
              </w:rPr>
              <w:t>人员要求</w:t>
            </w:r>
          </w:p>
        </w:tc>
        <w:tc>
          <w:tcPr>
            <w:tcW w:w="151" w:type="pct"/>
            <w:shd w:val="clear" w:color="auto" w:fill="auto"/>
            <w:vAlign w:val="center"/>
          </w:tcPr>
          <w:p w14:paraId="2D2183E9">
            <w:pPr>
              <w:adjustRightInd w:val="0"/>
              <w:snapToGrid w:val="0"/>
              <w:jc w:val="center"/>
              <w:rPr>
                <w:rFonts w:hint="default" w:asciiTheme="minorHAnsi" w:hAnsiTheme="minorHAnsi" w:eastAsiaTheme="minorEastAsia" w:cstheme="minorBidi"/>
                <w:color w:val="000000"/>
                <w:kern w:val="2"/>
                <w:sz w:val="21"/>
                <w:szCs w:val="24"/>
                <w:lang w:val="en-US" w:eastAsia="zh-CN" w:bidi="ar-SA"/>
              </w:rPr>
            </w:pPr>
            <w:r>
              <w:rPr>
                <w:rFonts w:hint="eastAsia" w:cstheme="minorBidi"/>
                <w:color w:val="000000"/>
                <w:kern w:val="2"/>
                <w:sz w:val="21"/>
                <w:szCs w:val="24"/>
                <w:lang w:val="en-US" w:eastAsia="zh-CN" w:bidi="ar-SA"/>
              </w:rPr>
              <w:t>4</w:t>
            </w:r>
          </w:p>
        </w:tc>
        <w:tc>
          <w:tcPr>
            <w:tcW w:w="319" w:type="pct"/>
            <w:shd w:val="clear" w:color="auto" w:fill="auto"/>
            <w:vAlign w:val="center"/>
          </w:tcPr>
          <w:p w14:paraId="14B2B549">
            <w:pPr>
              <w:adjustRightInd w:val="0"/>
              <w:snapToGrid w:val="0"/>
              <w:jc w:val="center"/>
              <w:rPr>
                <w:rFonts w:hint="default" w:asciiTheme="minorHAnsi" w:hAnsiTheme="minorHAnsi" w:eastAsiaTheme="minorEastAsia" w:cstheme="minorBidi"/>
                <w:color w:val="000000"/>
                <w:kern w:val="2"/>
                <w:sz w:val="21"/>
                <w:szCs w:val="24"/>
                <w:lang w:val="en-US" w:eastAsia="zh-CN" w:bidi="ar-SA"/>
              </w:rPr>
            </w:pPr>
            <w:r>
              <w:rPr>
                <w:rFonts w:hint="eastAsia"/>
                <w:color w:val="000000"/>
              </w:rPr>
              <w:t>技术人员</w:t>
            </w:r>
          </w:p>
        </w:tc>
        <w:tc>
          <w:tcPr>
            <w:tcW w:w="1909" w:type="pct"/>
            <w:shd w:val="clear" w:color="auto" w:fill="auto"/>
            <w:vAlign w:val="center"/>
          </w:tcPr>
          <w:p w14:paraId="6CA51AFD">
            <w:pPr>
              <w:adjustRightInd w:val="0"/>
              <w:snapToGrid w:val="0"/>
              <w:jc w:val="left"/>
              <w:rPr>
                <w:rFonts w:hint="eastAsia" w:asciiTheme="minorHAnsi" w:hAnsiTheme="minorHAnsi" w:eastAsiaTheme="minorEastAsia" w:cstheme="minorBidi"/>
                <w:color w:val="000000"/>
                <w:kern w:val="2"/>
                <w:sz w:val="21"/>
                <w:szCs w:val="24"/>
                <w:lang w:val="en-US" w:eastAsia="zh-CN" w:bidi="ar-SA"/>
              </w:rPr>
            </w:pPr>
            <w:r>
              <w:rPr>
                <w:rFonts w:hint="eastAsia" w:ascii="宋体" w:hAnsi="宋体" w:cs="宋体"/>
                <w:color w:val="000000"/>
                <w:kern w:val="0"/>
                <w:szCs w:val="21"/>
              </w:rPr>
              <w:t>具备</w:t>
            </w:r>
            <w:r>
              <w:rPr>
                <w:rFonts w:hint="eastAsia" w:ascii="宋体" w:hAnsi="宋体" w:cs="宋体"/>
                <w:color w:val="000000"/>
                <w:kern w:val="0"/>
                <w:szCs w:val="21"/>
                <w:lang w:val="en-US" w:eastAsia="zh-CN"/>
              </w:rPr>
              <w:t>不少于</w:t>
            </w:r>
            <w:r>
              <w:rPr>
                <w:rFonts w:hint="eastAsia" w:ascii="宋体" w:hAnsi="宋体" w:cs="宋体"/>
                <w:b/>
                <w:bCs/>
                <w:color w:val="000000"/>
                <w:kern w:val="0"/>
                <w:szCs w:val="21"/>
                <w:lang w:val="en-US" w:eastAsia="zh-CN"/>
              </w:rPr>
              <w:t>4</w:t>
            </w:r>
            <w:r>
              <w:rPr>
                <w:rFonts w:hint="eastAsia" w:ascii="宋体" w:hAnsi="宋体" w:cs="宋体"/>
                <w:color w:val="000000"/>
                <w:kern w:val="0"/>
                <w:szCs w:val="21"/>
              </w:rPr>
              <w:t>名与专业类别相适应的、具有中、高级技术职称的技术人员。</w:t>
            </w:r>
          </w:p>
        </w:tc>
        <w:tc>
          <w:tcPr>
            <w:tcW w:w="2139" w:type="pct"/>
            <w:shd w:val="clear" w:color="auto" w:fill="auto"/>
            <w:vAlign w:val="center"/>
          </w:tcPr>
          <w:p w14:paraId="74314EBF">
            <w:pPr>
              <w:adjustRightInd w:val="0"/>
              <w:snapToGrid w:val="0"/>
              <w:jc w:val="left"/>
              <w:rPr>
                <w:rFonts w:hint="eastAsia" w:asciiTheme="minorHAnsi" w:hAnsiTheme="minorHAnsi" w:eastAsiaTheme="minorEastAsia" w:cstheme="minorBidi"/>
                <w:color w:val="000000"/>
                <w:kern w:val="2"/>
                <w:sz w:val="21"/>
                <w:szCs w:val="24"/>
                <w:lang w:val="en-US" w:eastAsia="zh-CN" w:bidi="ar-SA"/>
              </w:rPr>
            </w:pPr>
            <w:r>
              <w:rPr>
                <w:rFonts w:hint="eastAsia" w:ascii="宋体" w:hAnsi="宋体" w:cs="宋体"/>
                <w:color w:val="000000"/>
                <w:kern w:val="0"/>
                <w:szCs w:val="21"/>
              </w:rPr>
              <w:t>具备</w:t>
            </w:r>
            <w:r>
              <w:rPr>
                <w:rFonts w:hint="eastAsia" w:ascii="宋体" w:hAnsi="宋体" w:cs="宋体"/>
                <w:color w:val="000000"/>
                <w:kern w:val="0"/>
                <w:szCs w:val="21"/>
                <w:lang w:val="en-US" w:eastAsia="zh-CN"/>
              </w:rPr>
              <w:t>不少于</w:t>
            </w:r>
            <w:r>
              <w:rPr>
                <w:rFonts w:hint="eastAsia" w:ascii="宋体" w:hAnsi="宋体" w:cs="宋体"/>
                <w:b/>
                <w:bCs/>
                <w:color w:val="000000"/>
                <w:kern w:val="0"/>
                <w:szCs w:val="21"/>
                <w:lang w:val="en-US" w:eastAsia="zh-CN"/>
              </w:rPr>
              <w:t>2名</w:t>
            </w:r>
            <w:r>
              <w:rPr>
                <w:rFonts w:hint="eastAsia" w:ascii="宋体" w:hAnsi="宋体" w:cs="宋体"/>
                <w:color w:val="000000"/>
                <w:kern w:val="0"/>
                <w:szCs w:val="21"/>
              </w:rPr>
              <w:t>与专业类别相适应的、具有中、高级技术职称的技术人员。</w:t>
            </w:r>
          </w:p>
        </w:tc>
        <w:tc>
          <w:tcPr>
            <w:tcW w:w="315" w:type="pct"/>
            <w:vAlign w:val="center"/>
          </w:tcPr>
          <w:p w14:paraId="295CB637">
            <w:pPr>
              <w:adjustRightInd w:val="0"/>
              <w:snapToGrid w:val="0"/>
              <w:jc w:val="left"/>
              <w:rPr>
                <w:rFonts w:hint="eastAsia" w:ascii="宋体" w:hAnsi="宋体" w:cs="宋体"/>
                <w:color w:val="000000"/>
                <w:kern w:val="0"/>
                <w:szCs w:val="21"/>
              </w:rPr>
            </w:pPr>
          </w:p>
        </w:tc>
      </w:tr>
      <w:tr w14:paraId="6E400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63" w:type="pct"/>
            <w:vMerge w:val="continue"/>
          </w:tcPr>
          <w:p w14:paraId="7F3192D1">
            <w:pPr>
              <w:keepNext w:val="0"/>
              <w:keepLines w:val="0"/>
              <w:pageBreakBefore w:val="0"/>
              <w:widowControl w:val="0"/>
              <w:kinsoku/>
              <w:wordWrap/>
              <w:overflowPunct/>
              <w:topLinePunct w:val="0"/>
              <w:autoSpaceDE/>
              <w:autoSpaceDN/>
              <w:bidi w:val="0"/>
              <w:adjustRightInd/>
              <w:snapToGrid/>
              <w:jc w:val="left"/>
              <w:textAlignment w:val="auto"/>
              <w:rPr>
                <w:rFonts w:hint="eastAsia" w:eastAsiaTheme="minorEastAsia"/>
                <w:vertAlign w:val="baseline"/>
                <w:lang w:val="en-US" w:eastAsia="zh-CN"/>
              </w:rPr>
            </w:pPr>
          </w:p>
        </w:tc>
        <w:tc>
          <w:tcPr>
            <w:tcW w:w="151" w:type="pct"/>
            <w:shd w:val="clear" w:color="auto" w:fill="auto"/>
            <w:vAlign w:val="center"/>
          </w:tcPr>
          <w:p w14:paraId="3D009AF2">
            <w:pPr>
              <w:adjustRightInd w:val="0"/>
              <w:snapToGrid w:val="0"/>
              <w:jc w:val="center"/>
              <w:rPr>
                <w:rFonts w:hint="default" w:asciiTheme="minorHAnsi" w:hAnsiTheme="minorHAnsi" w:eastAsiaTheme="minorEastAsia" w:cstheme="minorBidi"/>
                <w:color w:val="000000"/>
                <w:kern w:val="2"/>
                <w:sz w:val="21"/>
                <w:szCs w:val="24"/>
                <w:lang w:val="en-US" w:eastAsia="zh-CN" w:bidi="ar-SA"/>
              </w:rPr>
            </w:pPr>
            <w:r>
              <w:rPr>
                <w:rFonts w:hint="eastAsia" w:cstheme="minorBidi"/>
                <w:color w:val="000000"/>
                <w:kern w:val="2"/>
                <w:sz w:val="21"/>
                <w:szCs w:val="24"/>
                <w:lang w:val="en-US" w:eastAsia="zh-CN" w:bidi="ar-SA"/>
              </w:rPr>
              <w:t>5</w:t>
            </w:r>
          </w:p>
        </w:tc>
        <w:tc>
          <w:tcPr>
            <w:tcW w:w="319" w:type="pct"/>
            <w:shd w:val="clear" w:color="auto" w:fill="auto"/>
            <w:vAlign w:val="center"/>
          </w:tcPr>
          <w:p w14:paraId="59D2106E">
            <w:pPr>
              <w:adjustRightInd w:val="0"/>
              <w:snapToGrid w:val="0"/>
              <w:jc w:val="center"/>
              <w:rPr>
                <w:rFonts w:hint="eastAsia"/>
                <w:color w:val="000000"/>
              </w:rPr>
            </w:pPr>
          </w:p>
          <w:p w14:paraId="0CC863AE">
            <w:pPr>
              <w:adjustRightInd w:val="0"/>
              <w:snapToGrid w:val="0"/>
              <w:jc w:val="center"/>
              <w:rPr>
                <w:rFonts w:hint="eastAsia" w:asciiTheme="minorHAnsi" w:hAnsiTheme="minorHAnsi" w:eastAsiaTheme="minorEastAsia" w:cstheme="minorBidi"/>
                <w:color w:val="000000"/>
                <w:kern w:val="2"/>
                <w:sz w:val="21"/>
                <w:szCs w:val="24"/>
                <w:lang w:val="en-US" w:eastAsia="zh-CN" w:bidi="ar-SA"/>
              </w:rPr>
            </w:pPr>
            <w:r>
              <w:rPr>
                <w:rFonts w:hint="eastAsia"/>
                <w:color w:val="000000"/>
                <w:lang w:val="en-US" w:eastAsia="zh-CN"/>
              </w:rPr>
              <w:t>工作人员</w:t>
            </w:r>
          </w:p>
        </w:tc>
        <w:tc>
          <w:tcPr>
            <w:tcW w:w="1909" w:type="pct"/>
            <w:shd w:val="clear" w:color="auto" w:fill="auto"/>
            <w:vAlign w:val="center"/>
          </w:tcPr>
          <w:p w14:paraId="6E784CD6">
            <w:pPr>
              <w:adjustRightInd w:val="0"/>
              <w:snapToGrid w:val="0"/>
              <w:jc w:val="left"/>
              <w:rPr>
                <w:rFonts w:hint="eastAsia" w:asciiTheme="minorHAnsi" w:hAnsiTheme="minorHAnsi" w:eastAsiaTheme="minorEastAsia" w:cstheme="minorBidi"/>
                <w:color w:val="000000"/>
                <w:kern w:val="2"/>
                <w:sz w:val="21"/>
                <w:szCs w:val="24"/>
                <w:lang w:val="en-US" w:eastAsia="zh-CN" w:bidi="ar-SA"/>
              </w:rPr>
            </w:pPr>
            <w:r>
              <w:rPr>
                <w:rFonts w:hint="eastAsia" w:ascii="宋体" w:hAnsi="宋体" w:cs="宋体"/>
                <w:color w:val="000000"/>
                <w:kern w:val="0"/>
                <w:szCs w:val="21"/>
              </w:rPr>
              <w:t>具备</w:t>
            </w:r>
            <w:r>
              <w:rPr>
                <w:rFonts w:hint="eastAsia" w:ascii="宋体" w:hAnsi="宋体" w:cs="宋体"/>
                <w:b/>
                <w:bCs/>
                <w:color w:val="000000"/>
                <w:kern w:val="0"/>
                <w:szCs w:val="21"/>
                <w:lang w:val="en-US" w:eastAsia="zh-CN"/>
              </w:rPr>
              <w:t>不少于20名</w:t>
            </w:r>
            <w:r>
              <w:rPr>
                <w:rFonts w:hint="eastAsia" w:ascii="宋体" w:hAnsi="宋体" w:cs="宋体"/>
                <w:color w:val="000000"/>
                <w:kern w:val="0"/>
                <w:szCs w:val="21"/>
              </w:rPr>
              <w:t>与专业类别相适应的、取得</w:t>
            </w:r>
            <w:r>
              <w:rPr>
                <w:rFonts w:hint="eastAsia" w:ascii="宋体" w:hAnsi="宋体" w:cs="宋体"/>
                <w:color w:val="000000"/>
                <w:kern w:val="0"/>
                <w:szCs w:val="21"/>
                <w:lang w:val="en-US" w:eastAsia="zh-CN"/>
              </w:rPr>
              <w:t>相应职业</w:t>
            </w:r>
            <w:r>
              <w:rPr>
                <w:rFonts w:hint="eastAsia" w:ascii="宋体" w:hAnsi="宋体" w:cs="宋体"/>
                <w:color w:val="000000"/>
                <w:kern w:val="0"/>
                <w:szCs w:val="21"/>
              </w:rPr>
              <w:t>考试合格证书人员。</w:t>
            </w:r>
          </w:p>
        </w:tc>
        <w:tc>
          <w:tcPr>
            <w:tcW w:w="2139" w:type="pct"/>
            <w:shd w:val="clear" w:color="auto" w:fill="auto"/>
            <w:vAlign w:val="center"/>
          </w:tcPr>
          <w:p w14:paraId="664ACB84">
            <w:pPr>
              <w:adjustRightInd w:val="0"/>
              <w:snapToGrid w:val="0"/>
              <w:jc w:val="left"/>
              <w:rPr>
                <w:rFonts w:hint="eastAsia" w:asciiTheme="minorHAnsi" w:hAnsiTheme="minorHAnsi" w:eastAsiaTheme="minorEastAsia" w:cstheme="minorBidi"/>
                <w:color w:val="000000"/>
                <w:kern w:val="2"/>
                <w:sz w:val="21"/>
                <w:szCs w:val="24"/>
                <w:lang w:val="en-US" w:eastAsia="zh-CN" w:bidi="ar-SA"/>
              </w:rPr>
            </w:pPr>
            <w:r>
              <w:rPr>
                <w:rFonts w:hint="eastAsia" w:ascii="宋体" w:hAnsi="宋体" w:cs="宋体"/>
                <w:color w:val="000000"/>
                <w:kern w:val="0"/>
                <w:szCs w:val="21"/>
              </w:rPr>
              <w:t>具备</w:t>
            </w:r>
            <w:r>
              <w:rPr>
                <w:rFonts w:hint="eastAsia" w:ascii="宋体" w:hAnsi="宋体" w:cs="宋体"/>
                <w:b/>
                <w:bCs/>
                <w:color w:val="000000"/>
                <w:kern w:val="0"/>
                <w:szCs w:val="21"/>
                <w:lang w:val="en-US" w:eastAsia="zh-CN"/>
              </w:rPr>
              <w:t>不少于10名</w:t>
            </w:r>
            <w:r>
              <w:rPr>
                <w:rFonts w:hint="eastAsia" w:ascii="宋体" w:hAnsi="宋体" w:cs="宋体"/>
                <w:color w:val="000000"/>
                <w:kern w:val="0"/>
                <w:szCs w:val="21"/>
              </w:rPr>
              <w:t>与专业类别相适应的、取得</w:t>
            </w:r>
            <w:r>
              <w:rPr>
                <w:rFonts w:hint="eastAsia" w:ascii="宋体" w:hAnsi="宋体" w:cs="宋体"/>
                <w:color w:val="000000"/>
                <w:kern w:val="0"/>
                <w:szCs w:val="21"/>
                <w:lang w:val="en-US" w:eastAsia="zh-CN"/>
              </w:rPr>
              <w:t>相应职业</w:t>
            </w:r>
            <w:r>
              <w:rPr>
                <w:rFonts w:hint="eastAsia" w:ascii="宋体" w:hAnsi="宋体" w:cs="宋体"/>
                <w:color w:val="000000"/>
                <w:kern w:val="0"/>
                <w:szCs w:val="21"/>
              </w:rPr>
              <w:t>考试合格证书人员。</w:t>
            </w:r>
          </w:p>
        </w:tc>
        <w:tc>
          <w:tcPr>
            <w:tcW w:w="315" w:type="pct"/>
            <w:vAlign w:val="center"/>
          </w:tcPr>
          <w:p w14:paraId="63D02A2C">
            <w:pPr>
              <w:adjustRightInd w:val="0"/>
              <w:snapToGrid w:val="0"/>
              <w:jc w:val="left"/>
              <w:rPr>
                <w:rFonts w:hint="eastAsia" w:ascii="宋体" w:hAnsi="宋体" w:cs="宋体"/>
                <w:color w:val="000000"/>
                <w:kern w:val="0"/>
                <w:szCs w:val="21"/>
              </w:rPr>
            </w:pPr>
          </w:p>
        </w:tc>
      </w:tr>
      <w:tr w14:paraId="2D40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163" w:type="pct"/>
          </w:tcPr>
          <w:p w14:paraId="33F3FD6F">
            <w:pPr>
              <w:keepNext w:val="0"/>
              <w:keepLines w:val="0"/>
              <w:pageBreakBefore w:val="0"/>
              <w:widowControl w:val="0"/>
              <w:kinsoku/>
              <w:wordWrap/>
              <w:overflowPunct/>
              <w:topLinePunct w:val="0"/>
              <w:autoSpaceDE/>
              <w:autoSpaceDN/>
              <w:bidi w:val="0"/>
              <w:adjustRightInd/>
              <w:snapToGrid/>
              <w:jc w:val="left"/>
              <w:textAlignment w:val="auto"/>
              <w:rPr>
                <w:rFonts w:hint="default" w:eastAsiaTheme="minorEastAsia"/>
                <w:vertAlign w:val="baseline"/>
                <w:lang w:val="en-US" w:eastAsia="zh-CN"/>
              </w:rPr>
            </w:pPr>
            <w:r>
              <w:rPr>
                <w:rFonts w:hint="eastAsia"/>
                <w:vertAlign w:val="baseline"/>
                <w:lang w:val="en-US" w:eastAsia="zh-CN"/>
              </w:rPr>
              <w:t>会员要求</w:t>
            </w:r>
          </w:p>
        </w:tc>
        <w:tc>
          <w:tcPr>
            <w:tcW w:w="151" w:type="pct"/>
            <w:shd w:val="clear" w:color="auto" w:fill="auto"/>
            <w:vAlign w:val="center"/>
          </w:tcPr>
          <w:p w14:paraId="47A399E2">
            <w:pPr>
              <w:adjustRightInd w:val="0"/>
              <w:snapToGrid w:val="0"/>
              <w:jc w:val="center"/>
              <w:rPr>
                <w:rFonts w:hint="default" w:cstheme="minorBidi"/>
                <w:color w:val="000000"/>
                <w:kern w:val="2"/>
                <w:sz w:val="21"/>
                <w:szCs w:val="24"/>
                <w:lang w:val="en-US" w:eastAsia="zh-CN" w:bidi="ar-SA"/>
              </w:rPr>
            </w:pPr>
            <w:r>
              <w:rPr>
                <w:rFonts w:hint="eastAsia" w:cstheme="minorBidi"/>
                <w:color w:val="000000"/>
                <w:kern w:val="2"/>
                <w:sz w:val="21"/>
                <w:szCs w:val="24"/>
                <w:lang w:val="en-US" w:eastAsia="zh-CN" w:bidi="ar-SA"/>
              </w:rPr>
              <w:t>6</w:t>
            </w:r>
          </w:p>
        </w:tc>
        <w:tc>
          <w:tcPr>
            <w:tcW w:w="319" w:type="pct"/>
            <w:shd w:val="clear" w:color="auto" w:fill="auto"/>
            <w:vAlign w:val="center"/>
          </w:tcPr>
          <w:p w14:paraId="6FC8734A">
            <w:pPr>
              <w:adjustRightInd w:val="0"/>
              <w:snapToGrid w:val="0"/>
              <w:jc w:val="center"/>
              <w:rPr>
                <w:rFonts w:hint="default"/>
                <w:color w:val="000000"/>
                <w:lang w:val="en-US" w:eastAsia="zh-CN"/>
              </w:rPr>
            </w:pPr>
            <w:r>
              <w:rPr>
                <w:rFonts w:hint="eastAsia"/>
                <w:color w:val="000000"/>
                <w:lang w:val="en-US" w:eastAsia="zh-CN"/>
              </w:rPr>
              <w:t>会员类别</w:t>
            </w:r>
          </w:p>
        </w:tc>
        <w:tc>
          <w:tcPr>
            <w:tcW w:w="1909" w:type="pct"/>
            <w:shd w:val="clear" w:color="auto" w:fill="auto"/>
            <w:vAlign w:val="center"/>
          </w:tcPr>
          <w:p w14:paraId="41A12AE2">
            <w:pPr>
              <w:adjustRightInd w:val="0"/>
              <w:snapToGrid w:val="0"/>
              <w:jc w:val="left"/>
              <w:rPr>
                <w:rFonts w:hint="default" w:ascii="宋体" w:hAnsi="宋体" w:cs="宋体" w:eastAsiaTheme="minorEastAsia"/>
                <w:color w:val="000000"/>
                <w:kern w:val="0"/>
                <w:szCs w:val="21"/>
                <w:lang w:val="en-US" w:eastAsia="zh-CN"/>
              </w:rPr>
            </w:pPr>
            <w:r>
              <w:rPr>
                <w:rFonts w:hint="eastAsia" w:ascii="宋体" w:hAnsi="宋体" w:cs="宋体"/>
                <w:color w:val="000000"/>
                <w:kern w:val="0"/>
                <w:szCs w:val="21"/>
                <w:lang w:val="en-US" w:eastAsia="zh-CN"/>
              </w:rPr>
              <w:t>副会长单位、理事单位</w:t>
            </w:r>
          </w:p>
        </w:tc>
        <w:tc>
          <w:tcPr>
            <w:tcW w:w="2139" w:type="pct"/>
            <w:shd w:val="clear" w:color="auto" w:fill="auto"/>
            <w:vAlign w:val="center"/>
          </w:tcPr>
          <w:p w14:paraId="32919A4A">
            <w:pPr>
              <w:adjustRightInd w:val="0"/>
              <w:snapToGrid w:val="0"/>
              <w:jc w:val="left"/>
              <w:rPr>
                <w:rFonts w:hint="default" w:ascii="宋体" w:hAnsi="宋体" w:cs="宋体" w:eastAsiaTheme="minorEastAsia"/>
                <w:color w:val="000000"/>
                <w:kern w:val="0"/>
                <w:szCs w:val="21"/>
                <w:lang w:val="en-US" w:eastAsia="zh-CN"/>
              </w:rPr>
            </w:pPr>
            <w:r>
              <w:rPr>
                <w:rFonts w:hint="eastAsia" w:ascii="宋体" w:hAnsi="宋体" w:cs="宋体"/>
                <w:color w:val="000000"/>
                <w:kern w:val="0"/>
                <w:szCs w:val="21"/>
                <w:lang w:val="en-US" w:eastAsia="zh-CN"/>
              </w:rPr>
              <w:t>副会长单位、理事单位、会员单位</w:t>
            </w:r>
          </w:p>
        </w:tc>
        <w:tc>
          <w:tcPr>
            <w:tcW w:w="315" w:type="pct"/>
            <w:vAlign w:val="center"/>
          </w:tcPr>
          <w:p w14:paraId="7D9A272F">
            <w:pPr>
              <w:adjustRightInd w:val="0"/>
              <w:snapToGrid w:val="0"/>
              <w:jc w:val="left"/>
              <w:rPr>
                <w:rFonts w:hint="eastAsia" w:ascii="宋体" w:hAnsi="宋体" w:cs="宋体"/>
                <w:color w:val="000000"/>
                <w:kern w:val="0"/>
                <w:szCs w:val="21"/>
              </w:rPr>
            </w:pPr>
          </w:p>
        </w:tc>
      </w:tr>
    </w:tbl>
    <w:p w14:paraId="1860A3C1">
      <w:pPr>
        <w:jc w:val="center"/>
        <w:rPr>
          <w:rFonts w:hint="eastAsia" w:ascii="黑体" w:hAnsi="黑体" w:eastAsia="黑体" w:cs="宋体"/>
          <w:color w:val="000000"/>
          <w:kern w:val="0"/>
          <w:sz w:val="32"/>
          <w:szCs w:val="32"/>
          <w:lang w:val="en-US" w:eastAsia="zh-CN"/>
        </w:rPr>
      </w:pPr>
      <w:r>
        <w:rPr>
          <w:rFonts w:hint="eastAsia" w:ascii="黑体" w:hAnsi="黑体" w:eastAsia="黑体" w:cs="宋体"/>
          <w:color w:val="000000"/>
          <w:kern w:val="0"/>
          <w:sz w:val="32"/>
          <w:szCs w:val="32"/>
        </w:rPr>
        <w:t>服务能力评价指标</w:t>
      </w:r>
      <w:r>
        <w:rPr>
          <w:rFonts w:hint="eastAsia" w:ascii="黑体" w:hAnsi="黑体" w:eastAsia="黑体" w:cs="宋体"/>
          <w:color w:val="000000"/>
          <w:kern w:val="0"/>
          <w:sz w:val="32"/>
          <w:szCs w:val="32"/>
          <w:lang w:eastAsia="zh-CN"/>
        </w:rPr>
        <w:t>（</w:t>
      </w:r>
      <w:r>
        <w:rPr>
          <w:rFonts w:hint="eastAsia" w:ascii="黑体" w:hAnsi="黑体" w:eastAsia="黑体" w:cs="宋体"/>
          <w:color w:val="000000"/>
          <w:kern w:val="0"/>
          <w:sz w:val="32"/>
          <w:szCs w:val="32"/>
          <w:lang w:val="en-US" w:eastAsia="zh-CN"/>
        </w:rPr>
        <w:t>基本要求）</w:t>
      </w:r>
    </w:p>
    <w:p w14:paraId="6484C165">
      <w:pPr>
        <w:jc w:val="center"/>
        <w:rPr>
          <w:rFonts w:hint="default" w:eastAsia="黑体"/>
          <w:vertAlign w:val="baseline"/>
          <w:lang w:val="en-US" w:eastAsia="zh-CN"/>
        </w:rPr>
      </w:pPr>
      <w:r>
        <w:rPr>
          <w:rFonts w:hint="eastAsia" w:ascii="黑体" w:hAnsi="黑体" w:eastAsia="黑体" w:cs="宋体"/>
          <w:color w:val="000000"/>
          <w:kern w:val="0"/>
          <w:sz w:val="32"/>
          <w:szCs w:val="32"/>
        </w:rPr>
        <w:t>服务能力评价指标</w:t>
      </w:r>
      <w:r>
        <w:rPr>
          <w:rFonts w:hint="eastAsia" w:ascii="黑体" w:hAnsi="黑体" w:eastAsia="黑体" w:cs="宋体"/>
          <w:color w:val="000000"/>
          <w:kern w:val="0"/>
          <w:sz w:val="32"/>
          <w:szCs w:val="32"/>
          <w:lang w:eastAsia="zh-CN"/>
        </w:rPr>
        <w:t>（</w:t>
      </w:r>
      <w:r>
        <w:rPr>
          <w:rFonts w:hint="eastAsia" w:ascii="黑体" w:hAnsi="黑体" w:eastAsia="黑体" w:cs="宋体"/>
          <w:color w:val="000000"/>
          <w:kern w:val="0"/>
          <w:sz w:val="32"/>
          <w:szCs w:val="32"/>
          <w:lang w:val="en-US" w:eastAsia="zh-CN"/>
        </w:rPr>
        <w:t>业绩要求）</w:t>
      </w:r>
    </w:p>
    <w:tbl>
      <w:tblPr>
        <w:tblStyle w:val="3"/>
        <w:tblpPr w:leftFromText="180" w:rightFromText="180" w:vertAnchor="page" w:horzAnchor="page" w:tblpX="1641" w:tblpY="2670"/>
        <w:tblOverlap w:val="never"/>
        <w:tblW w:w="494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513"/>
        <w:gridCol w:w="872"/>
        <w:gridCol w:w="5682"/>
        <w:gridCol w:w="5837"/>
        <w:gridCol w:w="693"/>
      </w:tblGrid>
      <w:tr w14:paraId="27D3B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51" w:type="pct"/>
            <w:vMerge w:val="restart"/>
          </w:tcPr>
          <w:p w14:paraId="26061675">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eastAsiaTheme="minorEastAsia"/>
                <w:b/>
                <w:bCs/>
                <w:vertAlign w:val="baseline"/>
                <w:lang w:val="en-US" w:eastAsia="zh-CN"/>
              </w:rPr>
            </w:pPr>
            <w:r>
              <w:rPr>
                <w:rFonts w:hint="eastAsia"/>
                <w:b/>
                <w:bCs/>
                <w:vertAlign w:val="baseline"/>
                <w:lang w:val="en-US" w:eastAsia="zh-CN"/>
              </w:rPr>
              <w:t>类别</w:t>
            </w:r>
          </w:p>
        </w:tc>
        <w:tc>
          <w:tcPr>
            <w:tcW w:w="183" w:type="pct"/>
            <w:vMerge w:val="restart"/>
          </w:tcPr>
          <w:p w14:paraId="167AB05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eastAsiaTheme="minorEastAsia"/>
                <w:b/>
                <w:bCs/>
                <w:vertAlign w:val="baseline"/>
                <w:lang w:val="en-US" w:eastAsia="zh-CN"/>
              </w:rPr>
            </w:pPr>
            <w:r>
              <w:rPr>
                <w:rFonts w:hint="eastAsia"/>
                <w:b/>
                <w:bCs/>
                <w:vertAlign w:val="baseline"/>
                <w:lang w:val="en-US" w:eastAsia="zh-CN"/>
              </w:rPr>
              <w:t>序号</w:t>
            </w:r>
          </w:p>
        </w:tc>
        <w:tc>
          <w:tcPr>
            <w:tcW w:w="311" w:type="pct"/>
            <w:vMerge w:val="restart"/>
          </w:tcPr>
          <w:p w14:paraId="4665197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b/>
                <w:bCs/>
                <w:vertAlign w:val="baseline"/>
                <w:lang w:val="en-US" w:eastAsia="zh-CN"/>
              </w:rPr>
            </w:pPr>
          </w:p>
          <w:p w14:paraId="28BED3D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b/>
                <w:bCs/>
                <w:vertAlign w:val="baseline"/>
                <w:lang w:val="en-US" w:eastAsia="zh-CN"/>
              </w:rPr>
            </w:pPr>
          </w:p>
          <w:p w14:paraId="1E8D0B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Theme="minorEastAsia"/>
                <w:b/>
                <w:bCs/>
                <w:vertAlign w:val="baseline"/>
                <w:lang w:val="en-US" w:eastAsia="zh-CN"/>
              </w:rPr>
            </w:pPr>
            <w:r>
              <w:rPr>
                <w:rFonts w:hint="eastAsia"/>
                <w:b/>
                <w:bCs/>
                <w:vertAlign w:val="baseline"/>
                <w:lang w:val="en-US" w:eastAsia="zh-CN"/>
              </w:rPr>
              <w:t>指标</w:t>
            </w:r>
          </w:p>
        </w:tc>
        <w:tc>
          <w:tcPr>
            <w:tcW w:w="4105" w:type="pct"/>
            <w:gridSpan w:val="2"/>
          </w:tcPr>
          <w:p w14:paraId="130DC96B">
            <w:pPr>
              <w:spacing w:line="720" w:lineRule="auto"/>
              <w:jc w:val="center"/>
              <w:rPr>
                <w:rFonts w:hint="default"/>
                <w:b/>
                <w:bCs/>
                <w:vertAlign w:val="baseline"/>
                <w:lang w:val="en-US" w:eastAsia="zh-CN"/>
              </w:rPr>
            </w:pPr>
            <w:r>
              <w:rPr>
                <w:rFonts w:hint="eastAsia"/>
                <w:b/>
                <w:bCs/>
                <w:vertAlign w:val="baseline"/>
                <w:lang w:val="en-US" w:eastAsia="zh-CN"/>
              </w:rPr>
              <w:t>能力级别</w:t>
            </w:r>
          </w:p>
        </w:tc>
        <w:tc>
          <w:tcPr>
            <w:tcW w:w="247" w:type="pct"/>
            <w:vMerge w:val="restart"/>
          </w:tcPr>
          <w:p w14:paraId="7B7E87D5">
            <w:pPr>
              <w:spacing w:line="720" w:lineRule="auto"/>
              <w:jc w:val="center"/>
              <w:rPr>
                <w:rFonts w:hint="default"/>
                <w:vertAlign w:val="baseline"/>
                <w:lang w:val="en-US" w:eastAsia="zh-CN"/>
              </w:rPr>
            </w:pPr>
            <w:r>
              <w:rPr>
                <w:rFonts w:hint="eastAsia"/>
                <w:vertAlign w:val="baseline"/>
                <w:lang w:val="en-US" w:eastAsia="zh-CN"/>
              </w:rPr>
              <w:t>备注</w:t>
            </w:r>
          </w:p>
        </w:tc>
      </w:tr>
      <w:tr w14:paraId="6E2E5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 w:type="pct"/>
            <w:vMerge w:val="continue"/>
          </w:tcPr>
          <w:p w14:paraId="5CD5FAD8">
            <w:pPr>
              <w:jc w:val="center"/>
              <w:rPr>
                <w:rFonts w:hint="eastAsia" w:eastAsiaTheme="minorEastAsia"/>
                <w:b/>
                <w:bCs/>
                <w:vertAlign w:val="baseline"/>
                <w:lang w:val="en-US" w:eastAsia="zh-CN"/>
              </w:rPr>
            </w:pPr>
          </w:p>
        </w:tc>
        <w:tc>
          <w:tcPr>
            <w:tcW w:w="183" w:type="pct"/>
            <w:vMerge w:val="continue"/>
          </w:tcPr>
          <w:p w14:paraId="3BADDA5A">
            <w:pPr>
              <w:jc w:val="center"/>
              <w:rPr>
                <w:rFonts w:hint="eastAsia" w:eastAsiaTheme="minorEastAsia"/>
                <w:b/>
                <w:bCs/>
                <w:vertAlign w:val="baseline"/>
                <w:lang w:val="en-US" w:eastAsia="zh-CN"/>
              </w:rPr>
            </w:pPr>
          </w:p>
        </w:tc>
        <w:tc>
          <w:tcPr>
            <w:tcW w:w="311" w:type="pct"/>
            <w:vMerge w:val="continue"/>
          </w:tcPr>
          <w:p w14:paraId="21B49E14">
            <w:pPr>
              <w:jc w:val="center"/>
              <w:rPr>
                <w:rFonts w:hint="eastAsia" w:eastAsiaTheme="minorEastAsia"/>
                <w:b/>
                <w:bCs/>
                <w:vertAlign w:val="baseline"/>
                <w:lang w:val="en-US" w:eastAsia="zh-CN"/>
              </w:rPr>
            </w:pPr>
          </w:p>
        </w:tc>
        <w:tc>
          <w:tcPr>
            <w:tcW w:w="2025" w:type="pct"/>
          </w:tcPr>
          <w:p w14:paraId="20040001">
            <w:pPr>
              <w:jc w:val="center"/>
              <w:rPr>
                <w:rFonts w:hint="eastAsia" w:eastAsiaTheme="minorEastAsia"/>
                <w:b/>
                <w:bCs/>
                <w:vertAlign w:val="baseline"/>
                <w:lang w:val="en-US" w:eastAsia="zh-CN"/>
              </w:rPr>
            </w:pPr>
            <w:r>
              <w:rPr>
                <w:rFonts w:hint="eastAsia"/>
                <w:b/>
                <w:bCs/>
                <w:vertAlign w:val="baseline"/>
                <w:lang w:val="en-US" w:eastAsia="zh-CN"/>
              </w:rPr>
              <w:t>一级</w:t>
            </w:r>
          </w:p>
        </w:tc>
        <w:tc>
          <w:tcPr>
            <w:tcW w:w="2080" w:type="pct"/>
          </w:tcPr>
          <w:p w14:paraId="59C0BDEB">
            <w:pPr>
              <w:jc w:val="center"/>
              <w:rPr>
                <w:rFonts w:hint="eastAsia" w:eastAsiaTheme="minorEastAsia"/>
                <w:b/>
                <w:bCs/>
                <w:vertAlign w:val="baseline"/>
                <w:lang w:val="en-US" w:eastAsia="zh-CN"/>
              </w:rPr>
            </w:pPr>
            <w:r>
              <w:rPr>
                <w:rFonts w:hint="eastAsia"/>
                <w:b/>
                <w:bCs/>
                <w:vertAlign w:val="baseline"/>
                <w:lang w:val="en-US" w:eastAsia="zh-CN"/>
              </w:rPr>
              <w:t>二级</w:t>
            </w:r>
          </w:p>
        </w:tc>
        <w:tc>
          <w:tcPr>
            <w:tcW w:w="247" w:type="pct"/>
            <w:vMerge w:val="continue"/>
          </w:tcPr>
          <w:p w14:paraId="3F1F3553">
            <w:pPr>
              <w:jc w:val="center"/>
              <w:rPr>
                <w:rFonts w:hint="eastAsia"/>
                <w:vertAlign w:val="baseline"/>
                <w:lang w:val="en-US" w:eastAsia="zh-CN"/>
              </w:rPr>
            </w:pPr>
          </w:p>
        </w:tc>
      </w:tr>
      <w:tr w14:paraId="7D04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8" w:hRule="atLeast"/>
        </w:trPr>
        <w:tc>
          <w:tcPr>
            <w:tcW w:w="151" w:type="pct"/>
            <w:vMerge w:val="restart"/>
          </w:tcPr>
          <w:p w14:paraId="7018B9B1">
            <w:pPr>
              <w:keepNext w:val="0"/>
              <w:keepLines w:val="0"/>
              <w:pageBreakBefore w:val="0"/>
              <w:widowControl w:val="0"/>
              <w:kinsoku/>
              <w:wordWrap/>
              <w:overflowPunct/>
              <w:topLinePunct w:val="0"/>
              <w:autoSpaceDE/>
              <w:autoSpaceDN/>
              <w:bidi w:val="0"/>
              <w:adjustRightInd/>
              <w:snapToGrid/>
              <w:jc w:val="center"/>
              <w:textAlignment w:val="auto"/>
              <w:rPr>
                <w:rFonts w:hint="eastAsia"/>
                <w:vertAlign w:val="baseline"/>
                <w:lang w:val="en-US" w:eastAsia="zh-CN"/>
              </w:rPr>
            </w:pPr>
          </w:p>
          <w:p w14:paraId="500D73D9">
            <w:pPr>
              <w:keepNext w:val="0"/>
              <w:keepLines w:val="0"/>
              <w:pageBreakBefore w:val="0"/>
              <w:widowControl w:val="0"/>
              <w:kinsoku/>
              <w:wordWrap/>
              <w:overflowPunct/>
              <w:topLinePunct w:val="0"/>
              <w:autoSpaceDE/>
              <w:autoSpaceDN/>
              <w:bidi w:val="0"/>
              <w:adjustRightInd/>
              <w:snapToGrid/>
              <w:jc w:val="center"/>
              <w:textAlignment w:val="auto"/>
              <w:rPr>
                <w:rFonts w:hint="eastAsia"/>
                <w:vertAlign w:val="baseline"/>
                <w:lang w:val="en-US" w:eastAsia="zh-CN"/>
              </w:rPr>
            </w:pPr>
          </w:p>
          <w:p w14:paraId="31DB5602">
            <w:pPr>
              <w:keepNext w:val="0"/>
              <w:keepLines w:val="0"/>
              <w:pageBreakBefore w:val="0"/>
              <w:widowControl w:val="0"/>
              <w:kinsoku/>
              <w:wordWrap/>
              <w:overflowPunct/>
              <w:topLinePunct w:val="0"/>
              <w:autoSpaceDE/>
              <w:autoSpaceDN/>
              <w:bidi w:val="0"/>
              <w:adjustRightInd/>
              <w:snapToGrid/>
              <w:jc w:val="center"/>
              <w:textAlignment w:val="auto"/>
              <w:rPr>
                <w:rFonts w:hint="eastAsia"/>
                <w:vertAlign w:val="baseline"/>
                <w:lang w:val="en-US" w:eastAsia="zh-CN"/>
              </w:rPr>
            </w:pPr>
          </w:p>
          <w:p w14:paraId="00DA3FE8">
            <w:pPr>
              <w:keepNext w:val="0"/>
              <w:keepLines w:val="0"/>
              <w:pageBreakBefore w:val="0"/>
              <w:widowControl w:val="0"/>
              <w:kinsoku/>
              <w:wordWrap/>
              <w:overflowPunct/>
              <w:topLinePunct w:val="0"/>
              <w:autoSpaceDE/>
              <w:autoSpaceDN/>
              <w:bidi w:val="0"/>
              <w:adjustRightInd/>
              <w:snapToGrid/>
              <w:jc w:val="center"/>
              <w:textAlignment w:val="auto"/>
              <w:rPr>
                <w:rFonts w:hint="eastAsia"/>
                <w:vertAlign w:val="baseline"/>
                <w:lang w:val="en-US" w:eastAsia="zh-CN"/>
              </w:rPr>
            </w:pPr>
          </w:p>
          <w:p w14:paraId="649CC2C9">
            <w:pPr>
              <w:keepNext w:val="0"/>
              <w:keepLines w:val="0"/>
              <w:pageBreakBefore w:val="0"/>
              <w:widowControl w:val="0"/>
              <w:kinsoku/>
              <w:wordWrap/>
              <w:overflowPunct/>
              <w:topLinePunct w:val="0"/>
              <w:autoSpaceDE/>
              <w:autoSpaceDN/>
              <w:bidi w:val="0"/>
              <w:adjustRightInd/>
              <w:snapToGrid/>
              <w:jc w:val="center"/>
              <w:textAlignment w:val="auto"/>
              <w:rPr>
                <w:rFonts w:hint="eastAsia"/>
                <w:vertAlign w:val="baseline"/>
                <w:lang w:val="en-US" w:eastAsia="zh-CN"/>
              </w:rPr>
            </w:pPr>
          </w:p>
          <w:p w14:paraId="22B46A63">
            <w:pPr>
              <w:keepNext w:val="0"/>
              <w:keepLines w:val="0"/>
              <w:pageBreakBefore w:val="0"/>
              <w:widowControl w:val="0"/>
              <w:kinsoku/>
              <w:wordWrap/>
              <w:overflowPunct/>
              <w:topLinePunct w:val="0"/>
              <w:autoSpaceDE/>
              <w:autoSpaceDN/>
              <w:bidi w:val="0"/>
              <w:adjustRightInd/>
              <w:snapToGrid/>
              <w:jc w:val="center"/>
              <w:textAlignment w:val="auto"/>
              <w:rPr>
                <w:rFonts w:hint="eastAsia"/>
                <w:vertAlign w:val="baseline"/>
                <w:lang w:val="en-US" w:eastAsia="zh-CN"/>
              </w:rPr>
            </w:pPr>
          </w:p>
          <w:p w14:paraId="16819D2A">
            <w:pPr>
              <w:keepNext w:val="0"/>
              <w:keepLines w:val="0"/>
              <w:pageBreakBefore w:val="0"/>
              <w:widowControl w:val="0"/>
              <w:kinsoku/>
              <w:wordWrap/>
              <w:overflowPunct/>
              <w:topLinePunct w:val="0"/>
              <w:autoSpaceDE/>
              <w:autoSpaceDN/>
              <w:bidi w:val="0"/>
              <w:adjustRightInd/>
              <w:snapToGrid/>
              <w:jc w:val="center"/>
              <w:textAlignment w:val="auto"/>
              <w:rPr>
                <w:rFonts w:hint="eastAsia"/>
                <w:vertAlign w:val="baseline"/>
                <w:lang w:val="en-US" w:eastAsia="zh-CN"/>
              </w:rPr>
            </w:pPr>
          </w:p>
          <w:p w14:paraId="7F0BF7E2">
            <w:pPr>
              <w:keepNext w:val="0"/>
              <w:keepLines w:val="0"/>
              <w:pageBreakBefore w:val="0"/>
              <w:widowControl w:val="0"/>
              <w:kinsoku/>
              <w:wordWrap/>
              <w:overflowPunct/>
              <w:topLinePunct w:val="0"/>
              <w:autoSpaceDE/>
              <w:autoSpaceDN/>
              <w:bidi w:val="0"/>
              <w:adjustRightInd/>
              <w:snapToGrid/>
              <w:jc w:val="center"/>
              <w:textAlignment w:val="auto"/>
              <w:rPr>
                <w:rFonts w:hint="default" w:eastAsiaTheme="minorEastAsia"/>
                <w:vertAlign w:val="baseline"/>
                <w:lang w:val="en-US" w:eastAsia="zh-CN"/>
              </w:rPr>
            </w:pPr>
            <w:r>
              <w:rPr>
                <w:rFonts w:hint="eastAsia"/>
                <w:vertAlign w:val="baseline"/>
                <w:lang w:val="en-US" w:eastAsia="zh-CN"/>
              </w:rPr>
              <w:t>业绩要求</w:t>
            </w:r>
          </w:p>
        </w:tc>
        <w:tc>
          <w:tcPr>
            <w:tcW w:w="183" w:type="pct"/>
          </w:tcPr>
          <w:p w14:paraId="07E01B03">
            <w:pPr>
              <w:keepNext w:val="0"/>
              <w:keepLines w:val="0"/>
              <w:pageBreakBefore w:val="0"/>
              <w:widowControl w:val="0"/>
              <w:kinsoku/>
              <w:wordWrap/>
              <w:overflowPunct/>
              <w:topLinePunct w:val="0"/>
              <w:autoSpaceDE/>
              <w:autoSpaceDN/>
              <w:bidi w:val="0"/>
              <w:adjustRightInd/>
              <w:snapToGrid/>
              <w:spacing w:line="720" w:lineRule="auto"/>
              <w:ind w:left="106" w:leftChars="0" w:hanging="106" w:firstLineChars="0"/>
              <w:jc w:val="center"/>
              <w:textAlignment w:val="auto"/>
              <w:rPr>
                <w:rFonts w:hint="eastAsia"/>
                <w:vertAlign w:val="baseline"/>
                <w:lang w:val="en-US" w:eastAsia="zh-CN"/>
              </w:rPr>
            </w:pPr>
            <w:r>
              <w:rPr>
                <w:rFonts w:hint="eastAsia"/>
                <w:vertAlign w:val="baseline"/>
                <w:lang w:val="en-US" w:eastAsia="zh-CN"/>
              </w:rPr>
              <w:t xml:space="preserve"> </w:t>
            </w:r>
          </w:p>
          <w:p w14:paraId="6A8CDD17">
            <w:pPr>
              <w:keepNext w:val="0"/>
              <w:keepLines w:val="0"/>
              <w:pageBreakBefore w:val="0"/>
              <w:widowControl w:val="0"/>
              <w:kinsoku/>
              <w:wordWrap/>
              <w:overflowPunct/>
              <w:topLinePunct w:val="0"/>
              <w:autoSpaceDE/>
              <w:autoSpaceDN/>
              <w:bidi w:val="0"/>
              <w:adjustRightInd/>
              <w:snapToGrid/>
              <w:spacing w:line="720" w:lineRule="auto"/>
              <w:ind w:left="106" w:leftChars="0" w:hanging="106" w:firstLineChars="0"/>
              <w:jc w:val="center"/>
              <w:textAlignment w:val="auto"/>
              <w:rPr>
                <w:rFonts w:hint="default" w:eastAsiaTheme="minorEastAsia"/>
                <w:vertAlign w:val="baseline"/>
                <w:lang w:val="en-US" w:eastAsia="zh-CN"/>
              </w:rPr>
            </w:pPr>
            <w:r>
              <w:rPr>
                <w:rFonts w:hint="eastAsia"/>
                <w:vertAlign w:val="baseline"/>
                <w:lang w:val="en-US" w:eastAsia="zh-CN"/>
              </w:rPr>
              <w:t>7</w:t>
            </w:r>
          </w:p>
        </w:tc>
        <w:tc>
          <w:tcPr>
            <w:tcW w:w="311" w:type="pct"/>
            <w:vAlign w:val="center"/>
          </w:tcPr>
          <w:p w14:paraId="008D39E1">
            <w:pPr>
              <w:widowControl/>
              <w:adjustRightInd w:val="0"/>
              <w:snapToGrid w:val="0"/>
              <w:rPr>
                <w:rFonts w:hint="eastAsia" w:eastAsiaTheme="minorEastAsia"/>
                <w:vertAlign w:val="baseline"/>
                <w:lang w:val="en-US" w:eastAsia="zh-CN"/>
              </w:rPr>
            </w:pPr>
            <w:r>
              <w:rPr>
                <w:rFonts w:hint="eastAsia" w:ascii="宋体" w:hAnsi="宋体" w:cs="宋体"/>
                <w:color w:val="000000"/>
                <w:kern w:val="0"/>
                <w:szCs w:val="21"/>
              </w:rPr>
              <w:t>污水处理</w:t>
            </w:r>
          </w:p>
        </w:tc>
        <w:tc>
          <w:tcPr>
            <w:tcW w:w="2025" w:type="pct"/>
            <w:vAlign w:val="center"/>
          </w:tcPr>
          <w:p w14:paraId="192B93A5">
            <w:pPr>
              <w:widowControl/>
              <w:adjustRightInd w:val="0"/>
              <w:snapToGrid w:val="0"/>
              <w:rPr>
                <w:rFonts w:hint="eastAsia"/>
                <w:color w:val="000000"/>
              </w:rPr>
            </w:pPr>
            <w:r>
              <w:rPr>
                <w:rFonts w:hint="eastAsia"/>
                <w:color w:val="000000"/>
                <w:lang w:val="en-US" w:eastAsia="zh-CN"/>
              </w:rPr>
              <w:t>1.</w:t>
            </w:r>
            <w:r>
              <w:rPr>
                <w:rFonts w:hint="eastAsia"/>
                <w:color w:val="000000"/>
              </w:rPr>
              <w:t>拥有自有实验室，仪器配置齐全，相关检定手续完备，能够满足运行服务需要，除特殊项目外，不需要委托第三方检测机构检测。</w:t>
            </w:r>
          </w:p>
          <w:p w14:paraId="46D7E27D">
            <w:pPr>
              <w:widowControl/>
              <w:adjustRightInd w:val="0"/>
              <w:snapToGrid w:val="0"/>
              <w:rPr>
                <w:rFonts w:hint="eastAsia"/>
                <w:color w:val="000000"/>
              </w:rPr>
            </w:pPr>
            <w:r>
              <w:rPr>
                <w:rFonts w:hint="eastAsia" w:ascii="宋体" w:hAnsi="宋体" w:cs="宋体"/>
                <w:color w:val="000000"/>
                <w:kern w:val="0"/>
                <w:szCs w:val="21"/>
                <w:lang w:val="en-US" w:eastAsia="zh-CN"/>
              </w:rPr>
              <w:t>2.</w:t>
            </w:r>
            <w:r>
              <w:rPr>
                <w:rFonts w:hint="eastAsia" w:ascii="宋体" w:hAnsi="宋体" w:cs="宋体"/>
                <w:color w:val="000000"/>
                <w:kern w:val="0"/>
                <w:szCs w:val="21"/>
              </w:rPr>
              <w:t>配备专职实验室检测人员，检测人员具有相关教育背景，掌握检测方法、标准和操作。</w:t>
            </w:r>
          </w:p>
          <w:p w14:paraId="62F3C37E">
            <w:pPr>
              <w:widowControl/>
              <w:adjustRightInd w:val="0"/>
              <w:snapToGrid w:val="0"/>
              <w:rPr>
                <w:rFonts w:ascii="宋体" w:hAnsi="宋体" w:cs="宋体"/>
                <w:color w:val="000000"/>
                <w:kern w:val="0"/>
                <w:szCs w:val="21"/>
              </w:rPr>
            </w:pPr>
            <w:r>
              <w:rPr>
                <w:rFonts w:hint="eastAsia" w:ascii="宋体" w:hAnsi="宋体" w:cs="宋体"/>
                <w:color w:val="000000"/>
                <w:kern w:val="0"/>
                <w:szCs w:val="21"/>
                <w:lang w:val="en-US" w:eastAsia="zh-CN"/>
              </w:rPr>
              <w:t>3a*</w:t>
            </w:r>
            <w:r>
              <w:rPr>
                <w:rFonts w:hint="eastAsia" w:ascii="宋体" w:hAnsi="宋体" w:cs="宋体"/>
                <w:color w:val="000000"/>
                <w:kern w:val="0"/>
                <w:szCs w:val="21"/>
              </w:rPr>
              <w:t>运行的城镇污水处理设施的处理能力之和≥5</w:t>
            </w:r>
            <w:r>
              <w:rPr>
                <w:rFonts w:ascii="宋体" w:hAnsi="宋体" w:cs="宋体"/>
                <w:color w:val="000000"/>
                <w:kern w:val="0"/>
                <w:szCs w:val="21"/>
              </w:rPr>
              <w:t>万吨/天，且其中至少有1个设施的处理能力</w:t>
            </w:r>
            <w:r>
              <w:rPr>
                <w:rFonts w:hint="eastAsia" w:ascii="宋体" w:hAnsi="宋体" w:cs="宋体"/>
                <w:color w:val="000000"/>
                <w:kern w:val="0"/>
                <w:szCs w:val="21"/>
              </w:rPr>
              <w:t>≥2</w:t>
            </w:r>
            <w:r>
              <w:rPr>
                <w:rFonts w:ascii="宋体" w:hAnsi="宋体" w:cs="宋体"/>
                <w:color w:val="000000"/>
                <w:kern w:val="0"/>
                <w:szCs w:val="21"/>
              </w:rPr>
              <w:t>万吨/天。</w:t>
            </w:r>
          </w:p>
          <w:p w14:paraId="18682390">
            <w:pPr>
              <w:widowControl/>
              <w:adjustRightInd w:val="0"/>
              <w:snapToGrid w:val="0"/>
              <w:rPr>
                <w:rFonts w:ascii="宋体" w:hAnsi="宋体" w:cs="宋体"/>
                <w:color w:val="000000"/>
                <w:kern w:val="0"/>
                <w:szCs w:val="21"/>
              </w:rPr>
            </w:pPr>
            <w:r>
              <w:rPr>
                <w:rFonts w:hint="eastAsia" w:ascii="宋体" w:hAnsi="宋体" w:cs="宋体"/>
                <w:color w:val="000000"/>
                <w:kern w:val="0"/>
                <w:szCs w:val="21"/>
                <w:lang w:val="en-US" w:eastAsia="zh-CN"/>
              </w:rPr>
              <w:t>3b*</w:t>
            </w:r>
            <w:r>
              <w:rPr>
                <w:rFonts w:hint="eastAsia" w:ascii="宋体" w:hAnsi="宋体" w:cs="宋体"/>
                <w:color w:val="000000"/>
                <w:kern w:val="0"/>
                <w:szCs w:val="21"/>
              </w:rPr>
              <w:t>.运行的工业园区废水处理设施或工业企业内废水处理设施的处理能力之和≥</w:t>
            </w:r>
            <w:r>
              <w:rPr>
                <w:rFonts w:hint="eastAsia" w:ascii="宋体" w:hAnsi="宋体" w:cs="宋体"/>
                <w:color w:val="000000"/>
                <w:kern w:val="0"/>
                <w:szCs w:val="21"/>
                <w:lang w:val="en-US" w:eastAsia="zh-CN"/>
              </w:rPr>
              <w:t>1</w:t>
            </w:r>
            <w:r>
              <w:rPr>
                <w:rFonts w:hint="eastAsia" w:ascii="宋体" w:hAnsi="宋体" w:cs="宋体"/>
                <w:color w:val="000000"/>
                <w:kern w:val="0"/>
                <w:szCs w:val="21"/>
              </w:rPr>
              <w:t>万吨/天，且其中至少有1个设施的处理能力≥</w:t>
            </w:r>
            <w:r>
              <w:rPr>
                <w:rFonts w:hint="eastAsia" w:ascii="宋体" w:hAnsi="宋体" w:cs="宋体"/>
                <w:color w:val="000000"/>
                <w:kern w:val="0"/>
                <w:szCs w:val="21"/>
                <w:lang w:val="en-US" w:eastAsia="zh-CN"/>
              </w:rPr>
              <w:t>1</w:t>
            </w:r>
            <w:r>
              <w:rPr>
                <w:rFonts w:hint="eastAsia" w:ascii="宋体" w:hAnsi="宋体" w:cs="宋体"/>
                <w:color w:val="000000"/>
                <w:kern w:val="0"/>
                <w:szCs w:val="21"/>
              </w:rPr>
              <w:t>000吨/天；</w:t>
            </w:r>
          </w:p>
          <w:p w14:paraId="3F10CA36">
            <w:pPr>
              <w:widowControl/>
              <w:adjustRightInd w:val="0"/>
              <w:snapToGrid w:val="0"/>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3c*</w:t>
            </w:r>
            <w:r>
              <w:rPr>
                <w:rFonts w:hint="eastAsia" w:ascii="宋体" w:hAnsi="宋体" w:cs="宋体"/>
                <w:color w:val="000000"/>
                <w:kern w:val="0"/>
                <w:szCs w:val="21"/>
              </w:rPr>
              <w:t>.运行的垃圾渗滤液处理设施的处理能力之和≥</w:t>
            </w:r>
            <w:r>
              <w:rPr>
                <w:rFonts w:hint="eastAsia" w:ascii="宋体" w:hAnsi="宋体" w:cs="宋体"/>
                <w:color w:val="000000"/>
                <w:kern w:val="0"/>
                <w:szCs w:val="21"/>
                <w:lang w:val="en-US" w:eastAsia="zh-CN"/>
              </w:rPr>
              <w:t>1</w:t>
            </w:r>
            <w:r>
              <w:rPr>
                <w:rFonts w:hint="eastAsia" w:ascii="宋体" w:hAnsi="宋体" w:cs="宋体"/>
                <w:color w:val="000000"/>
                <w:kern w:val="0"/>
                <w:szCs w:val="21"/>
              </w:rPr>
              <w:t>000吨/天，且其中至少有1个设施的处理能力≥</w:t>
            </w:r>
            <w:r>
              <w:rPr>
                <w:rFonts w:hint="eastAsia" w:ascii="宋体" w:hAnsi="宋体" w:cs="宋体"/>
                <w:color w:val="000000"/>
                <w:kern w:val="0"/>
                <w:szCs w:val="21"/>
                <w:lang w:val="en-US" w:eastAsia="zh-CN"/>
              </w:rPr>
              <w:t>3</w:t>
            </w:r>
            <w:r>
              <w:rPr>
                <w:rFonts w:hint="eastAsia" w:ascii="宋体" w:hAnsi="宋体" w:cs="宋体"/>
                <w:color w:val="000000"/>
                <w:kern w:val="0"/>
                <w:szCs w:val="21"/>
              </w:rPr>
              <w:t>00吨/天。</w:t>
            </w:r>
          </w:p>
        </w:tc>
        <w:tc>
          <w:tcPr>
            <w:tcW w:w="2080" w:type="pct"/>
            <w:vAlign w:val="center"/>
          </w:tcPr>
          <w:p w14:paraId="1126A9F2">
            <w:pPr>
              <w:widowControl/>
              <w:adjustRightInd w:val="0"/>
              <w:snapToGrid w:val="0"/>
              <w:rPr>
                <w:rFonts w:hint="eastAsia"/>
                <w:color w:val="000000"/>
              </w:rPr>
            </w:pPr>
            <w:r>
              <w:rPr>
                <w:rFonts w:hint="eastAsia"/>
                <w:color w:val="000000"/>
                <w:lang w:val="en-US" w:eastAsia="zh-CN"/>
              </w:rPr>
              <w:t>1.</w:t>
            </w:r>
            <w:r>
              <w:rPr>
                <w:rFonts w:hint="eastAsia"/>
                <w:color w:val="000000"/>
              </w:rPr>
              <w:t>拥有自有实验室，仪器配置可满足运行服务范围内常规、主要污染物的检测需求，部分污染物检测委托具有CMA资质的第三方检测机构。</w:t>
            </w:r>
          </w:p>
          <w:p w14:paraId="367C32AC">
            <w:pPr>
              <w:widowControl/>
              <w:adjustRightInd w:val="0"/>
              <w:snapToGrid w:val="0"/>
              <w:rPr>
                <w:rFonts w:hint="eastAsia"/>
                <w:color w:val="000000"/>
              </w:rPr>
            </w:pPr>
            <w:r>
              <w:rPr>
                <w:rFonts w:hint="eastAsia" w:ascii="宋体" w:hAnsi="宋体" w:cs="宋体"/>
                <w:color w:val="000000"/>
                <w:kern w:val="0"/>
                <w:szCs w:val="21"/>
                <w:lang w:val="en-US" w:eastAsia="zh-CN"/>
              </w:rPr>
              <w:t>2.</w:t>
            </w:r>
            <w:r>
              <w:rPr>
                <w:rFonts w:hint="eastAsia" w:ascii="宋体" w:hAnsi="宋体" w:cs="宋体"/>
                <w:color w:val="000000"/>
                <w:kern w:val="0"/>
                <w:szCs w:val="21"/>
              </w:rPr>
              <w:t>检测人员能够满足运行检测工作需要，熟悉检测方法、标准和操作。</w:t>
            </w:r>
          </w:p>
          <w:p w14:paraId="52A1375C">
            <w:pPr>
              <w:widowControl/>
              <w:adjustRightInd w:val="0"/>
              <w:snapToGrid w:val="0"/>
              <w:rPr>
                <w:rFonts w:hint="eastAsia" w:ascii="宋体" w:hAnsi="宋体" w:cs="宋体"/>
                <w:color w:val="000000"/>
                <w:kern w:val="0"/>
                <w:szCs w:val="21"/>
              </w:rPr>
            </w:pPr>
            <w:r>
              <w:rPr>
                <w:rFonts w:hint="eastAsia" w:ascii="宋体" w:hAnsi="宋体" w:cs="宋体"/>
                <w:color w:val="000000"/>
                <w:kern w:val="0"/>
                <w:szCs w:val="21"/>
                <w:lang w:val="en-US" w:eastAsia="zh-CN"/>
              </w:rPr>
              <w:t>3</w:t>
            </w:r>
            <w:r>
              <w:rPr>
                <w:rFonts w:hint="eastAsia" w:ascii="宋体" w:hAnsi="宋体" w:cs="宋体"/>
                <w:color w:val="000000"/>
                <w:kern w:val="0"/>
                <w:szCs w:val="21"/>
              </w:rPr>
              <w:t>a</w:t>
            </w:r>
            <w:r>
              <w:rPr>
                <w:rFonts w:hint="eastAsia" w:ascii="宋体" w:hAnsi="宋体" w:cs="宋体"/>
                <w:color w:val="000000"/>
                <w:kern w:val="0"/>
                <w:szCs w:val="21"/>
                <w:lang w:val="en-US" w:eastAsia="zh-CN"/>
              </w:rPr>
              <w:t>*</w:t>
            </w:r>
            <w:r>
              <w:rPr>
                <w:rFonts w:hint="eastAsia" w:ascii="宋体" w:hAnsi="宋体" w:cs="宋体"/>
                <w:color w:val="000000"/>
                <w:kern w:val="0"/>
                <w:szCs w:val="21"/>
              </w:rPr>
              <w:t>运行的城镇污水处理设施的处理能力之和≥6000吨/天，且其中至少有1个设施的处理能力≥2000吨/天。</w:t>
            </w:r>
          </w:p>
          <w:p w14:paraId="14D3997F">
            <w:pPr>
              <w:widowControl/>
              <w:adjustRightInd w:val="0"/>
              <w:snapToGrid w:val="0"/>
              <w:rPr>
                <w:rFonts w:ascii="宋体" w:hAnsi="宋体" w:cs="宋体"/>
                <w:color w:val="000000"/>
                <w:kern w:val="0"/>
                <w:szCs w:val="21"/>
              </w:rPr>
            </w:pPr>
            <w:r>
              <w:rPr>
                <w:rFonts w:hint="eastAsia" w:ascii="宋体" w:hAnsi="宋体" w:cs="宋体"/>
                <w:color w:val="000000"/>
                <w:kern w:val="0"/>
                <w:szCs w:val="21"/>
                <w:lang w:val="en-US" w:eastAsia="zh-CN"/>
              </w:rPr>
              <w:t>3b*</w:t>
            </w:r>
            <w:r>
              <w:rPr>
                <w:rFonts w:hint="eastAsia" w:ascii="宋体" w:hAnsi="宋体" w:cs="宋体"/>
                <w:color w:val="000000"/>
                <w:kern w:val="0"/>
                <w:szCs w:val="21"/>
              </w:rPr>
              <w:t>.运行的工业园区废水处理设施或工业企业内废水处理设施的处理能力之和≥</w:t>
            </w:r>
            <w:r>
              <w:rPr>
                <w:rFonts w:hint="eastAsia" w:ascii="宋体" w:hAnsi="宋体" w:cs="宋体"/>
                <w:color w:val="000000"/>
                <w:kern w:val="0"/>
                <w:szCs w:val="21"/>
                <w:lang w:val="en-US" w:eastAsia="zh-CN"/>
              </w:rPr>
              <w:t>1</w:t>
            </w:r>
            <w:r>
              <w:rPr>
                <w:rFonts w:hint="eastAsia" w:ascii="宋体" w:hAnsi="宋体" w:cs="宋体"/>
                <w:color w:val="000000"/>
                <w:kern w:val="0"/>
                <w:szCs w:val="21"/>
              </w:rPr>
              <w:t>000吨/天，且其中至少有1个设施的处理能力≥300吨/天；</w:t>
            </w:r>
          </w:p>
          <w:p w14:paraId="43C4502F">
            <w:pPr>
              <w:widowControl/>
              <w:adjustRightInd w:val="0"/>
              <w:snapToGrid w:val="0"/>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3c*</w:t>
            </w:r>
            <w:r>
              <w:rPr>
                <w:rFonts w:hint="eastAsia" w:ascii="宋体" w:hAnsi="宋体" w:cs="宋体"/>
                <w:color w:val="000000"/>
                <w:kern w:val="0"/>
                <w:szCs w:val="21"/>
              </w:rPr>
              <w:t xml:space="preserve">.运行的垃圾渗滤液处理设施的处理能力之和≥200吨/天，且其中至少有1个设施的处理能力≥80吨/天。 </w:t>
            </w:r>
          </w:p>
        </w:tc>
        <w:tc>
          <w:tcPr>
            <w:tcW w:w="247" w:type="pct"/>
            <w:vAlign w:val="center"/>
          </w:tcPr>
          <w:p w14:paraId="0F461DF5">
            <w:pPr>
              <w:adjustRightInd w:val="0"/>
              <w:snapToGrid w:val="0"/>
              <w:jc w:val="center"/>
              <w:rPr>
                <w:rFonts w:hint="default" w:eastAsiaTheme="minorEastAsia"/>
                <w:color w:val="000000"/>
                <w:lang w:val="en-US" w:eastAsia="zh-CN"/>
              </w:rPr>
            </w:pPr>
            <w:r>
              <w:rPr>
                <w:rFonts w:hint="eastAsia"/>
                <w:color w:val="000000"/>
                <w:lang w:val="en-US" w:eastAsia="zh-CN"/>
              </w:rPr>
              <w:t>*为选择一项申报</w:t>
            </w:r>
          </w:p>
        </w:tc>
      </w:tr>
      <w:tr w14:paraId="45CAA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9" w:hRule="atLeast"/>
        </w:trPr>
        <w:tc>
          <w:tcPr>
            <w:tcW w:w="151" w:type="pct"/>
            <w:vMerge w:val="continue"/>
          </w:tcPr>
          <w:p w14:paraId="44E4EDEA">
            <w:pPr>
              <w:keepNext w:val="0"/>
              <w:keepLines w:val="0"/>
              <w:pageBreakBefore w:val="0"/>
              <w:widowControl w:val="0"/>
              <w:kinsoku/>
              <w:wordWrap/>
              <w:overflowPunct/>
              <w:topLinePunct w:val="0"/>
              <w:autoSpaceDE/>
              <w:autoSpaceDN/>
              <w:bidi w:val="0"/>
              <w:adjustRightInd/>
              <w:snapToGrid/>
              <w:jc w:val="left"/>
              <w:textAlignment w:val="auto"/>
              <w:rPr>
                <w:rFonts w:hint="eastAsia" w:eastAsiaTheme="minorEastAsia"/>
                <w:vertAlign w:val="baseline"/>
                <w:lang w:val="en-US" w:eastAsia="zh-CN"/>
              </w:rPr>
            </w:pPr>
          </w:p>
        </w:tc>
        <w:tc>
          <w:tcPr>
            <w:tcW w:w="183" w:type="pct"/>
          </w:tcPr>
          <w:p w14:paraId="6302B05F">
            <w:pPr>
              <w:keepNext w:val="0"/>
              <w:keepLines w:val="0"/>
              <w:pageBreakBefore w:val="0"/>
              <w:widowControl w:val="0"/>
              <w:kinsoku/>
              <w:wordWrap/>
              <w:overflowPunct/>
              <w:topLinePunct w:val="0"/>
              <w:autoSpaceDE/>
              <w:autoSpaceDN/>
              <w:bidi w:val="0"/>
              <w:adjustRightInd/>
              <w:snapToGrid/>
              <w:spacing w:line="720" w:lineRule="auto"/>
              <w:ind w:left="106" w:leftChars="0" w:hanging="106" w:firstLineChars="0"/>
              <w:jc w:val="center"/>
              <w:textAlignment w:val="auto"/>
              <w:rPr>
                <w:rFonts w:hint="default"/>
                <w:vertAlign w:val="baseline"/>
                <w:lang w:val="en-US" w:eastAsia="zh-CN"/>
              </w:rPr>
            </w:pPr>
            <w:r>
              <w:rPr>
                <w:rFonts w:hint="eastAsia"/>
                <w:vertAlign w:val="baseline"/>
                <w:lang w:val="en-US" w:eastAsia="zh-CN"/>
              </w:rPr>
              <w:t>8</w:t>
            </w:r>
          </w:p>
        </w:tc>
        <w:tc>
          <w:tcPr>
            <w:tcW w:w="311" w:type="pct"/>
            <w:vAlign w:val="center"/>
          </w:tcPr>
          <w:p w14:paraId="1C428DD2">
            <w:pPr>
              <w:widowControl/>
              <w:adjustRightInd w:val="0"/>
              <w:snapToGrid w:val="0"/>
              <w:jc w:val="center"/>
              <w:rPr>
                <w:rFonts w:hint="eastAsia" w:ascii="宋体" w:hAnsi="宋体" w:cs="宋体"/>
                <w:color w:val="000000"/>
                <w:kern w:val="0"/>
                <w:szCs w:val="21"/>
              </w:rPr>
            </w:pPr>
            <w:r>
              <w:rPr>
                <w:rFonts w:hint="eastAsia" w:ascii="宋体" w:hAnsi="宋体" w:cs="宋体"/>
                <w:color w:val="000000"/>
                <w:kern w:val="0"/>
                <w:szCs w:val="21"/>
              </w:rPr>
              <w:t>废气处理</w:t>
            </w:r>
          </w:p>
        </w:tc>
        <w:tc>
          <w:tcPr>
            <w:tcW w:w="2025" w:type="pct"/>
            <w:vAlign w:val="center"/>
          </w:tcPr>
          <w:p w14:paraId="49DADFCF">
            <w:pPr>
              <w:widowControl/>
              <w:adjustRightInd w:val="0"/>
              <w:snapToGrid w:val="0"/>
              <w:rPr>
                <w:rFonts w:ascii="宋体" w:hAnsi="宋体" w:cs="宋体"/>
                <w:color w:val="000000"/>
                <w:kern w:val="0"/>
                <w:szCs w:val="21"/>
              </w:rPr>
            </w:pPr>
            <w:r>
              <w:rPr>
                <w:rFonts w:hint="eastAsia" w:ascii="宋体" w:hAnsi="宋体" w:cs="宋体"/>
                <w:color w:val="000000"/>
                <w:kern w:val="0"/>
                <w:szCs w:val="21"/>
              </w:rPr>
              <w:t>a</w:t>
            </w:r>
            <w:r>
              <w:rPr>
                <w:rFonts w:hint="eastAsia" w:ascii="宋体" w:hAnsi="宋体" w:cs="宋体"/>
                <w:color w:val="000000"/>
                <w:kern w:val="0"/>
                <w:szCs w:val="21"/>
                <w:lang w:val="en-US" w:eastAsia="zh-CN"/>
              </w:rPr>
              <w:t>*</w:t>
            </w:r>
            <w:r>
              <w:rPr>
                <w:rFonts w:hint="eastAsia" w:ascii="宋体" w:hAnsi="宋体" w:cs="宋体"/>
                <w:color w:val="000000"/>
                <w:kern w:val="0"/>
                <w:szCs w:val="21"/>
              </w:rPr>
              <w:t>.运行的工业废气处理设施的处理能力之和≥20万标立方米/小时，且其中至少有1个设施的处理能力≥2万标立方米/小时；</w:t>
            </w:r>
          </w:p>
          <w:p w14:paraId="7D89C73F">
            <w:pPr>
              <w:widowControl/>
              <w:adjustRightInd w:val="0"/>
              <w:snapToGrid w:val="0"/>
              <w:rPr>
                <w:rFonts w:hint="eastAsia" w:ascii="宋体" w:hAnsi="宋体" w:cs="宋体"/>
                <w:color w:val="000000"/>
                <w:kern w:val="0"/>
                <w:szCs w:val="21"/>
              </w:rPr>
            </w:pPr>
            <w:r>
              <w:rPr>
                <w:rFonts w:hint="eastAsia" w:ascii="宋体" w:hAnsi="宋体" w:cs="宋体"/>
                <w:color w:val="000000"/>
                <w:kern w:val="0"/>
                <w:szCs w:val="21"/>
              </w:rPr>
              <w:t>b</w:t>
            </w:r>
            <w:r>
              <w:rPr>
                <w:rFonts w:hint="eastAsia" w:ascii="宋体" w:hAnsi="宋体" w:cs="宋体"/>
                <w:color w:val="000000"/>
                <w:kern w:val="0"/>
                <w:szCs w:val="21"/>
                <w:lang w:val="en-US" w:eastAsia="zh-CN"/>
              </w:rPr>
              <w:t>*</w:t>
            </w:r>
            <w:r>
              <w:rPr>
                <w:rFonts w:hint="eastAsia" w:ascii="宋体" w:hAnsi="宋体" w:cs="宋体"/>
                <w:color w:val="000000"/>
                <w:kern w:val="0"/>
                <w:szCs w:val="21"/>
              </w:rPr>
              <w:t>.运营100个（含）以上任何规模的餐饮业油烟净化设施。</w:t>
            </w:r>
          </w:p>
        </w:tc>
        <w:tc>
          <w:tcPr>
            <w:tcW w:w="2080" w:type="pct"/>
            <w:vAlign w:val="center"/>
          </w:tcPr>
          <w:p w14:paraId="63A58FF3">
            <w:pPr>
              <w:widowControl/>
              <w:adjustRightInd w:val="0"/>
              <w:snapToGrid w:val="0"/>
              <w:rPr>
                <w:rFonts w:ascii="宋体" w:hAnsi="宋体" w:cs="宋体"/>
                <w:color w:val="000000"/>
                <w:kern w:val="0"/>
                <w:szCs w:val="21"/>
              </w:rPr>
            </w:pPr>
            <w:r>
              <w:rPr>
                <w:rFonts w:hint="eastAsia" w:ascii="宋体" w:hAnsi="宋体" w:cs="宋体"/>
                <w:color w:val="000000"/>
                <w:kern w:val="0"/>
                <w:szCs w:val="21"/>
              </w:rPr>
              <w:t>a</w:t>
            </w:r>
            <w:r>
              <w:rPr>
                <w:rFonts w:hint="eastAsia" w:ascii="宋体" w:hAnsi="宋体" w:cs="宋体"/>
                <w:color w:val="000000"/>
                <w:kern w:val="0"/>
                <w:szCs w:val="21"/>
                <w:lang w:val="en-US" w:eastAsia="zh-CN"/>
              </w:rPr>
              <w:t>*</w:t>
            </w:r>
            <w:r>
              <w:rPr>
                <w:rFonts w:hint="eastAsia" w:ascii="宋体" w:hAnsi="宋体" w:cs="宋体"/>
                <w:color w:val="000000"/>
                <w:kern w:val="0"/>
                <w:szCs w:val="21"/>
              </w:rPr>
              <w:t>. 运行的工业废气处理设施的处理能力之和≥1万标立方米/小时，且其中至少有1个设施的处理能力≥1000标立方米/小时；</w:t>
            </w:r>
          </w:p>
          <w:p w14:paraId="6375E85E">
            <w:pPr>
              <w:widowControl/>
              <w:adjustRightInd w:val="0"/>
              <w:snapToGrid w:val="0"/>
              <w:rPr>
                <w:rFonts w:hint="eastAsia" w:ascii="宋体" w:hAnsi="宋体" w:cs="宋体"/>
                <w:color w:val="000000"/>
                <w:kern w:val="0"/>
                <w:szCs w:val="21"/>
              </w:rPr>
            </w:pPr>
            <w:r>
              <w:rPr>
                <w:rFonts w:hint="eastAsia" w:ascii="宋体" w:hAnsi="宋体" w:cs="宋体"/>
                <w:color w:val="000000"/>
                <w:kern w:val="0"/>
                <w:szCs w:val="21"/>
              </w:rPr>
              <w:t>b</w:t>
            </w:r>
            <w:r>
              <w:rPr>
                <w:rFonts w:hint="eastAsia" w:ascii="宋体" w:hAnsi="宋体" w:cs="宋体"/>
                <w:color w:val="000000"/>
                <w:kern w:val="0"/>
                <w:szCs w:val="21"/>
                <w:lang w:val="en-US" w:eastAsia="zh-CN"/>
              </w:rPr>
              <w:t>*</w:t>
            </w:r>
            <w:r>
              <w:rPr>
                <w:rFonts w:hint="eastAsia" w:ascii="宋体" w:hAnsi="宋体" w:cs="宋体"/>
                <w:color w:val="000000"/>
                <w:kern w:val="0"/>
                <w:szCs w:val="21"/>
              </w:rPr>
              <w:t>. 运营20个（含）以上任何规模的餐饮业油烟净化设施。</w:t>
            </w:r>
          </w:p>
        </w:tc>
        <w:tc>
          <w:tcPr>
            <w:tcW w:w="247" w:type="pct"/>
            <w:vAlign w:val="center"/>
          </w:tcPr>
          <w:p w14:paraId="7951B8E9">
            <w:pPr>
              <w:adjustRightInd w:val="0"/>
              <w:snapToGrid w:val="0"/>
              <w:jc w:val="center"/>
              <w:rPr>
                <w:rFonts w:hint="eastAsia"/>
                <w:color w:val="000000"/>
              </w:rPr>
            </w:pPr>
            <w:r>
              <w:rPr>
                <w:rFonts w:hint="eastAsia"/>
                <w:color w:val="000000"/>
                <w:lang w:val="en-US" w:eastAsia="zh-CN"/>
              </w:rPr>
              <w:t>*为选择一项申报</w:t>
            </w:r>
          </w:p>
        </w:tc>
      </w:tr>
      <w:tr w14:paraId="0BA2F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51" w:type="pct"/>
            <w:vMerge w:val="continue"/>
          </w:tcPr>
          <w:p w14:paraId="17B0E37A">
            <w:pPr>
              <w:keepNext w:val="0"/>
              <w:keepLines w:val="0"/>
              <w:pageBreakBefore w:val="0"/>
              <w:widowControl w:val="0"/>
              <w:kinsoku/>
              <w:wordWrap/>
              <w:overflowPunct/>
              <w:topLinePunct w:val="0"/>
              <w:autoSpaceDE/>
              <w:autoSpaceDN/>
              <w:bidi w:val="0"/>
              <w:adjustRightInd/>
              <w:snapToGrid/>
              <w:jc w:val="left"/>
              <w:textAlignment w:val="auto"/>
              <w:rPr>
                <w:rFonts w:hint="eastAsia" w:eastAsiaTheme="minorEastAsia"/>
                <w:vertAlign w:val="baseline"/>
                <w:lang w:val="en-US" w:eastAsia="zh-CN"/>
              </w:rPr>
            </w:pPr>
          </w:p>
        </w:tc>
        <w:tc>
          <w:tcPr>
            <w:tcW w:w="183" w:type="pct"/>
          </w:tcPr>
          <w:p w14:paraId="4BBAC50F">
            <w:pPr>
              <w:keepNext w:val="0"/>
              <w:keepLines w:val="0"/>
              <w:pageBreakBefore w:val="0"/>
              <w:widowControl w:val="0"/>
              <w:kinsoku/>
              <w:wordWrap/>
              <w:overflowPunct/>
              <w:topLinePunct w:val="0"/>
              <w:autoSpaceDE/>
              <w:autoSpaceDN/>
              <w:bidi w:val="0"/>
              <w:adjustRightInd/>
              <w:snapToGrid/>
              <w:spacing w:line="720" w:lineRule="auto"/>
              <w:ind w:left="106" w:leftChars="0" w:hanging="106" w:firstLineChars="0"/>
              <w:jc w:val="center"/>
              <w:textAlignment w:val="auto"/>
              <w:rPr>
                <w:rFonts w:hint="default"/>
                <w:vertAlign w:val="baseline"/>
                <w:lang w:val="en-US" w:eastAsia="zh-CN"/>
              </w:rPr>
            </w:pPr>
            <w:r>
              <w:rPr>
                <w:rFonts w:hint="eastAsia"/>
                <w:vertAlign w:val="baseline"/>
                <w:lang w:val="en-US" w:eastAsia="zh-CN"/>
              </w:rPr>
              <w:t>9</w:t>
            </w:r>
          </w:p>
        </w:tc>
        <w:tc>
          <w:tcPr>
            <w:tcW w:w="311" w:type="pct"/>
            <w:vAlign w:val="center"/>
          </w:tcPr>
          <w:p w14:paraId="6276B2DF">
            <w:pPr>
              <w:widowControl/>
              <w:adjustRightInd w:val="0"/>
              <w:snapToGrid w:val="0"/>
              <w:jc w:val="center"/>
              <w:rPr>
                <w:rFonts w:hint="eastAsia" w:ascii="宋体" w:hAnsi="宋体" w:cs="宋体"/>
                <w:color w:val="000000"/>
                <w:kern w:val="0"/>
                <w:szCs w:val="21"/>
              </w:rPr>
            </w:pPr>
            <w:r>
              <w:rPr>
                <w:rFonts w:hint="eastAsia" w:ascii="宋体" w:hAnsi="宋体" w:cs="宋体"/>
                <w:color w:val="000000"/>
                <w:kern w:val="0"/>
                <w:szCs w:val="21"/>
              </w:rPr>
              <w:t>固体处置</w:t>
            </w:r>
          </w:p>
        </w:tc>
        <w:tc>
          <w:tcPr>
            <w:tcW w:w="2025" w:type="pct"/>
            <w:vAlign w:val="center"/>
          </w:tcPr>
          <w:p w14:paraId="142F5E3D">
            <w:pPr>
              <w:widowControl/>
              <w:adjustRightInd w:val="0"/>
              <w:snapToGrid w:val="0"/>
              <w:rPr>
                <w:rFonts w:hint="eastAsia" w:ascii="宋体" w:hAnsi="宋体" w:cs="宋体"/>
                <w:color w:val="000000"/>
                <w:kern w:val="0"/>
                <w:szCs w:val="21"/>
              </w:rPr>
            </w:pPr>
            <w:r>
              <w:rPr>
                <w:rFonts w:hint="eastAsia" w:ascii="宋体" w:hAnsi="宋体" w:cs="宋体"/>
                <w:color w:val="000000"/>
                <w:kern w:val="0"/>
                <w:szCs w:val="21"/>
                <w:lang w:val="en-US" w:eastAsia="zh-CN"/>
              </w:rPr>
              <w:t>a*.工业固废处置：</w:t>
            </w:r>
            <w:r>
              <w:rPr>
                <w:rFonts w:hint="eastAsia" w:ascii="宋体" w:hAnsi="宋体" w:cs="宋体"/>
                <w:color w:val="000000"/>
                <w:kern w:val="0"/>
                <w:szCs w:val="21"/>
              </w:rPr>
              <w:t>运行的工业固体废物处理处置设施的处理能力之和≥</w:t>
            </w:r>
            <w:r>
              <w:rPr>
                <w:rFonts w:hint="eastAsia" w:ascii="宋体" w:hAnsi="宋体" w:cs="宋体"/>
                <w:color w:val="000000"/>
                <w:kern w:val="0"/>
                <w:szCs w:val="21"/>
                <w:lang w:val="en-US" w:eastAsia="zh-CN"/>
              </w:rPr>
              <w:t>1</w:t>
            </w:r>
            <w:r>
              <w:rPr>
                <w:rFonts w:hint="eastAsia" w:ascii="宋体" w:hAnsi="宋体" w:cs="宋体"/>
                <w:color w:val="000000"/>
                <w:kern w:val="0"/>
                <w:szCs w:val="21"/>
              </w:rPr>
              <w:t>000吨/天，且其中至少有1个设施的处理能力≥</w:t>
            </w:r>
            <w:r>
              <w:rPr>
                <w:rFonts w:hint="eastAsia" w:ascii="宋体" w:hAnsi="宋体" w:cs="宋体"/>
                <w:color w:val="000000"/>
                <w:kern w:val="0"/>
                <w:szCs w:val="21"/>
                <w:lang w:val="en-US" w:eastAsia="zh-CN"/>
              </w:rPr>
              <w:t>3</w:t>
            </w:r>
            <w:r>
              <w:rPr>
                <w:rFonts w:hint="eastAsia" w:ascii="宋体" w:hAnsi="宋体" w:cs="宋体"/>
                <w:color w:val="000000"/>
                <w:kern w:val="0"/>
                <w:szCs w:val="21"/>
              </w:rPr>
              <w:t xml:space="preserve">00吨/天。 </w:t>
            </w:r>
          </w:p>
        </w:tc>
        <w:tc>
          <w:tcPr>
            <w:tcW w:w="2080" w:type="pct"/>
            <w:vAlign w:val="center"/>
          </w:tcPr>
          <w:p w14:paraId="76B17AD0">
            <w:pPr>
              <w:widowControl/>
              <w:adjustRightInd w:val="0"/>
              <w:snapToGrid w:val="0"/>
              <w:rPr>
                <w:rFonts w:hint="eastAsia" w:ascii="宋体" w:hAnsi="宋体" w:cs="宋体"/>
                <w:color w:val="000000"/>
                <w:kern w:val="0"/>
                <w:szCs w:val="21"/>
              </w:rPr>
            </w:pPr>
            <w:r>
              <w:rPr>
                <w:rFonts w:hint="eastAsia" w:ascii="宋体" w:hAnsi="宋体" w:cs="宋体"/>
                <w:color w:val="000000"/>
                <w:kern w:val="0"/>
                <w:szCs w:val="21"/>
                <w:lang w:val="en-US" w:eastAsia="zh-CN"/>
              </w:rPr>
              <w:t>a*.工业固废处置：</w:t>
            </w:r>
            <w:r>
              <w:rPr>
                <w:rFonts w:hint="eastAsia" w:ascii="宋体" w:hAnsi="宋体" w:cs="宋体"/>
                <w:color w:val="000000"/>
                <w:kern w:val="0"/>
                <w:szCs w:val="21"/>
              </w:rPr>
              <w:t xml:space="preserve">运行的工业固体废物处理处置设施的处理能力之和≥200吨/天，且其中至少有1个设施的处理能力≥50吨/天。 </w:t>
            </w:r>
          </w:p>
        </w:tc>
        <w:tc>
          <w:tcPr>
            <w:tcW w:w="247" w:type="pct"/>
            <w:vAlign w:val="center"/>
          </w:tcPr>
          <w:p w14:paraId="01BE1FBA">
            <w:pPr>
              <w:adjustRightInd w:val="0"/>
              <w:snapToGrid w:val="0"/>
              <w:jc w:val="center"/>
              <w:rPr>
                <w:rFonts w:hint="eastAsia"/>
                <w:color w:val="000000"/>
              </w:rPr>
            </w:pPr>
            <w:r>
              <w:rPr>
                <w:rFonts w:hint="eastAsia"/>
                <w:color w:val="000000"/>
                <w:lang w:val="en-US" w:eastAsia="zh-CN"/>
              </w:rPr>
              <w:t>*为选择一项申报</w:t>
            </w:r>
          </w:p>
        </w:tc>
      </w:tr>
    </w:tbl>
    <w:p w14:paraId="63073A42">
      <w:pPr>
        <w:keepNext w:val="0"/>
        <w:keepLines w:val="0"/>
        <w:pageBreakBefore w:val="0"/>
        <w:widowControl w:val="0"/>
        <w:kinsoku/>
        <w:wordWrap/>
        <w:overflowPunct/>
        <w:topLinePunct w:val="0"/>
        <w:autoSpaceDE/>
        <w:autoSpaceDN/>
        <w:bidi w:val="0"/>
        <w:adjustRightInd/>
        <w:snapToGrid/>
        <w:jc w:val="left"/>
        <w:textAlignment w:val="auto"/>
        <w:rPr>
          <w:rFonts w:hint="eastAsia" w:eastAsiaTheme="minorEastAsia"/>
          <w:vertAlign w:val="baseline"/>
          <w:lang w:val="en-US" w:eastAsia="zh-CN"/>
        </w:rPr>
      </w:pPr>
      <w:r>
        <w:rPr>
          <w:rFonts w:hint="eastAsia" w:eastAsiaTheme="minorEastAsia"/>
          <w:vertAlign w:val="baseline"/>
          <w:lang w:val="en-US" w:eastAsia="zh-CN"/>
        </w:rPr>
        <w:br w:type="page"/>
      </w:r>
    </w:p>
    <w:tbl>
      <w:tblPr>
        <w:tblStyle w:val="3"/>
        <w:tblpPr w:leftFromText="180" w:rightFromText="180" w:vertAnchor="page" w:horzAnchor="page" w:tblpX="1596" w:tblpY="1936"/>
        <w:tblOverlap w:val="never"/>
        <w:tblW w:w="494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502"/>
        <w:gridCol w:w="861"/>
        <w:gridCol w:w="5691"/>
        <w:gridCol w:w="5845"/>
        <w:gridCol w:w="698"/>
      </w:tblGrid>
      <w:tr w14:paraId="4780E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152" w:type="pct"/>
            <w:vMerge w:val="restart"/>
            <w:vAlign w:val="top"/>
          </w:tcPr>
          <w:p w14:paraId="69E5E68C">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eastAsiaTheme="minorEastAsia"/>
                <w:b/>
                <w:bCs/>
                <w:vertAlign w:val="baseline"/>
                <w:lang w:val="en-US" w:eastAsia="zh-CN"/>
              </w:rPr>
            </w:pPr>
            <w:r>
              <w:rPr>
                <w:rFonts w:hint="eastAsia"/>
                <w:b/>
                <w:bCs/>
                <w:vertAlign w:val="baseline"/>
                <w:lang w:val="en-US" w:eastAsia="zh-CN"/>
              </w:rPr>
              <w:t>类别</w:t>
            </w:r>
          </w:p>
        </w:tc>
        <w:tc>
          <w:tcPr>
            <w:tcW w:w="179" w:type="pct"/>
            <w:vMerge w:val="restart"/>
            <w:vAlign w:val="top"/>
          </w:tcPr>
          <w:p w14:paraId="0DBCE7F9">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b/>
                <w:bCs/>
                <w:vertAlign w:val="baseline"/>
                <w:lang w:val="en-US" w:eastAsia="zh-CN"/>
              </w:rPr>
            </w:pPr>
            <w:r>
              <w:rPr>
                <w:rFonts w:hint="eastAsia"/>
                <w:b/>
                <w:bCs/>
                <w:vertAlign w:val="baseline"/>
                <w:lang w:val="en-US" w:eastAsia="zh-CN"/>
              </w:rPr>
              <w:t>序号</w:t>
            </w:r>
          </w:p>
        </w:tc>
        <w:tc>
          <w:tcPr>
            <w:tcW w:w="307" w:type="pct"/>
            <w:vMerge w:val="restart"/>
            <w:vAlign w:val="top"/>
          </w:tcPr>
          <w:p w14:paraId="30F76EB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b/>
                <w:bCs/>
                <w:vertAlign w:val="baseline"/>
                <w:lang w:val="en-US" w:eastAsia="zh-CN"/>
              </w:rPr>
            </w:pPr>
          </w:p>
          <w:p w14:paraId="0AE56AE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b/>
                <w:bCs/>
                <w:vertAlign w:val="baseline"/>
                <w:lang w:val="en-US" w:eastAsia="zh-CN"/>
              </w:rPr>
            </w:pPr>
          </w:p>
          <w:p w14:paraId="060524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b/>
                <w:bCs/>
                <w:color w:val="000000"/>
                <w:kern w:val="0"/>
                <w:szCs w:val="21"/>
              </w:rPr>
            </w:pPr>
            <w:r>
              <w:rPr>
                <w:rFonts w:hint="eastAsia"/>
                <w:b/>
                <w:bCs/>
                <w:vertAlign w:val="baseline"/>
                <w:lang w:val="en-US" w:eastAsia="zh-CN"/>
              </w:rPr>
              <w:t>指标</w:t>
            </w:r>
          </w:p>
        </w:tc>
        <w:tc>
          <w:tcPr>
            <w:tcW w:w="4113" w:type="pct"/>
            <w:gridSpan w:val="2"/>
            <w:shd w:val="clear" w:color="auto" w:fill="auto"/>
            <w:vAlign w:val="top"/>
          </w:tcPr>
          <w:p w14:paraId="7EDE2083">
            <w:pPr>
              <w:spacing w:line="240" w:lineRule="auto"/>
              <w:jc w:val="center"/>
              <w:rPr>
                <w:rFonts w:hint="eastAsia" w:cstheme="minorBidi"/>
                <w:b/>
                <w:bCs/>
                <w:kern w:val="2"/>
                <w:sz w:val="21"/>
                <w:szCs w:val="24"/>
                <w:vertAlign w:val="baseline"/>
                <w:lang w:val="en-US" w:eastAsia="zh-CN" w:bidi="ar-SA"/>
              </w:rPr>
            </w:pPr>
          </w:p>
          <w:p w14:paraId="611AD33A">
            <w:pPr>
              <w:spacing w:line="240" w:lineRule="auto"/>
              <w:jc w:val="center"/>
              <w:rPr>
                <w:rFonts w:hint="default" w:asciiTheme="minorHAnsi" w:hAnsiTheme="minorHAnsi" w:eastAsiaTheme="minorEastAsia" w:cstheme="minorBidi"/>
                <w:b/>
                <w:bCs/>
                <w:kern w:val="2"/>
                <w:sz w:val="21"/>
                <w:szCs w:val="24"/>
                <w:vertAlign w:val="baseline"/>
                <w:lang w:val="en-US" w:eastAsia="zh-CN" w:bidi="ar-SA"/>
              </w:rPr>
            </w:pPr>
            <w:r>
              <w:rPr>
                <w:rFonts w:hint="eastAsia" w:cstheme="minorBidi"/>
                <w:b/>
                <w:bCs/>
                <w:kern w:val="2"/>
                <w:sz w:val="21"/>
                <w:szCs w:val="24"/>
                <w:vertAlign w:val="baseline"/>
                <w:lang w:val="en-US" w:eastAsia="zh-CN" w:bidi="ar-SA"/>
              </w:rPr>
              <w:t>能力级别</w:t>
            </w:r>
          </w:p>
        </w:tc>
        <w:tc>
          <w:tcPr>
            <w:tcW w:w="247" w:type="pct"/>
            <w:vMerge w:val="restart"/>
            <w:vAlign w:val="center"/>
          </w:tcPr>
          <w:p w14:paraId="57CE4AF5">
            <w:pPr>
              <w:adjustRightInd w:val="0"/>
              <w:snapToGrid w:val="0"/>
              <w:jc w:val="center"/>
              <w:rPr>
                <w:rFonts w:hint="eastAsia" w:eastAsiaTheme="minorEastAsia"/>
                <w:color w:val="000000"/>
                <w:lang w:val="en-US" w:eastAsia="zh-CN"/>
              </w:rPr>
            </w:pPr>
            <w:r>
              <w:rPr>
                <w:rFonts w:hint="eastAsia"/>
                <w:color w:val="000000"/>
                <w:lang w:val="en-US" w:eastAsia="zh-CN"/>
              </w:rPr>
              <w:t>备注</w:t>
            </w:r>
          </w:p>
        </w:tc>
      </w:tr>
      <w:tr w14:paraId="64F58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2" w:type="pct"/>
            <w:vMerge w:val="continue"/>
          </w:tcPr>
          <w:p w14:paraId="51564552">
            <w:pPr>
              <w:keepNext w:val="0"/>
              <w:keepLines w:val="0"/>
              <w:pageBreakBefore w:val="0"/>
              <w:widowControl w:val="0"/>
              <w:kinsoku/>
              <w:wordWrap/>
              <w:overflowPunct/>
              <w:topLinePunct w:val="0"/>
              <w:autoSpaceDE/>
              <w:autoSpaceDN/>
              <w:bidi w:val="0"/>
              <w:adjustRightInd/>
              <w:snapToGrid/>
              <w:jc w:val="left"/>
              <w:textAlignment w:val="auto"/>
              <w:rPr>
                <w:rFonts w:hint="eastAsia" w:eastAsiaTheme="minorEastAsia"/>
                <w:b/>
                <w:bCs/>
                <w:vertAlign w:val="baseline"/>
                <w:lang w:val="en-US" w:eastAsia="zh-CN"/>
              </w:rPr>
            </w:pPr>
          </w:p>
        </w:tc>
        <w:tc>
          <w:tcPr>
            <w:tcW w:w="179" w:type="pct"/>
            <w:vMerge w:val="continue"/>
          </w:tcPr>
          <w:p w14:paraId="75137192">
            <w:pPr>
              <w:keepNext w:val="0"/>
              <w:keepLines w:val="0"/>
              <w:pageBreakBefore w:val="0"/>
              <w:widowControl w:val="0"/>
              <w:kinsoku/>
              <w:wordWrap/>
              <w:overflowPunct/>
              <w:topLinePunct w:val="0"/>
              <w:autoSpaceDE/>
              <w:autoSpaceDN/>
              <w:bidi w:val="0"/>
              <w:adjustRightInd/>
              <w:snapToGrid/>
              <w:spacing w:line="720" w:lineRule="auto"/>
              <w:ind w:left="106" w:leftChars="0" w:hanging="106" w:firstLineChars="0"/>
              <w:jc w:val="center"/>
              <w:textAlignment w:val="auto"/>
              <w:rPr>
                <w:rFonts w:hint="eastAsia"/>
                <w:b/>
                <w:bCs/>
                <w:vertAlign w:val="baseline"/>
                <w:lang w:val="en-US" w:eastAsia="zh-CN"/>
              </w:rPr>
            </w:pPr>
          </w:p>
        </w:tc>
        <w:tc>
          <w:tcPr>
            <w:tcW w:w="307" w:type="pct"/>
            <w:vMerge w:val="continue"/>
            <w:vAlign w:val="center"/>
          </w:tcPr>
          <w:p w14:paraId="515C0B3A">
            <w:pPr>
              <w:widowControl/>
              <w:adjustRightInd w:val="0"/>
              <w:snapToGrid w:val="0"/>
              <w:jc w:val="left"/>
              <w:rPr>
                <w:rFonts w:hint="eastAsia" w:ascii="宋体" w:hAnsi="宋体" w:cs="宋体"/>
                <w:b/>
                <w:bCs/>
                <w:color w:val="000000"/>
                <w:kern w:val="0"/>
                <w:szCs w:val="21"/>
              </w:rPr>
            </w:pPr>
          </w:p>
        </w:tc>
        <w:tc>
          <w:tcPr>
            <w:tcW w:w="2029" w:type="pct"/>
            <w:shd w:val="clear" w:color="auto" w:fill="auto"/>
            <w:vAlign w:val="top"/>
          </w:tcPr>
          <w:p w14:paraId="22518A45">
            <w:pPr>
              <w:jc w:val="center"/>
              <w:rPr>
                <w:rFonts w:hint="eastAsia"/>
                <w:b/>
                <w:bCs/>
                <w:vertAlign w:val="baseline"/>
                <w:lang w:val="en-US" w:eastAsia="zh-CN"/>
              </w:rPr>
            </w:pPr>
            <w:r>
              <w:rPr>
                <w:rFonts w:hint="eastAsia"/>
                <w:b/>
                <w:bCs/>
                <w:vertAlign w:val="baseline"/>
                <w:lang w:val="en-US" w:eastAsia="zh-CN"/>
              </w:rPr>
              <w:t>一级</w:t>
            </w:r>
          </w:p>
        </w:tc>
        <w:tc>
          <w:tcPr>
            <w:tcW w:w="2084" w:type="pct"/>
            <w:shd w:val="clear" w:color="auto" w:fill="auto"/>
            <w:vAlign w:val="top"/>
          </w:tcPr>
          <w:p w14:paraId="14013912">
            <w:pPr>
              <w:jc w:val="center"/>
              <w:rPr>
                <w:rFonts w:hint="eastAsia"/>
                <w:b/>
                <w:bCs/>
                <w:vertAlign w:val="baseline"/>
                <w:lang w:val="en-US" w:eastAsia="zh-CN"/>
              </w:rPr>
            </w:pPr>
            <w:r>
              <w:rPr>
                <w:rFonts w:hint="eastAsia"/>
                <w:b/>
                <w:bCs/>
                <w:vertAlign w:val="baseline"/>
                <w:lang w:val="en-US" w:eastAsia="zh-CN"/>
              </w:rPr>
              <w:t>二级</w:t>
            </w:r>
          </w:p>
        </w:tc>
        <w:tc>
          <w:tcPr>
            <w:tcW w:w="247" w:type="pct"/>
            <w:vMerge w:val="continue"/>
            <w:vAlign w:val="center"/>
          </w:tcPr>
          <w:p w14:paraId="57B30FE4">
            <w:pPr>
              <w:adjustRightInd w:val="0"/>
              <w:snapToGrid w:val="0"/>
              <w:jc w:val="center"/>
              <w:rPr>
                <w:rFonts w:hint="eastAsia"/>
                <w:color w:val="000000"/>
              </w:rPr>
            </w:pPr>
          </w:p>
        </w:tc>
      </w:tr>
      <w:tr w14:paraId="0FDD7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rPr>
        <w:tc>
          <w:tcPr>
            <w:tcW w:w="152" w:type="pct"/>
            <w:vMerge w:val="restart"/>
          </w:tcPr>
          <w:p w14:paraId="410380FB">
            <w:pPr>
              <w:keepNext w:val="0"/>
              <w:keepLines w:val="0"/>
              <w:pageBreakBefore w:val="0"/>
              <w:widowControl w:val="0"/>
              <w:kinsoku/>
              <w:wordWrap/>
              <w:overflowPunct/>
              <w:topLinePunct w:val="0"/>
              <w:autoSpaceDE/>
              <w:autoSpaceDN/>
              <w:bidi w:val="0"/>
              <w:adjustRightInd/>
              <w:snapToGrid/>
              <w:jc w:val="center"/>
              <w:textAlignment w:val="auto"/>
              <w:rPr>
                <w:rFonts w:hint="eastAsia"/>
                <w:vertAlign w:val="baseline"/>
                <w:lang w:val="en-US" w:eastAsia="zh-CN"/>
              </w:rPr>
            </w:pPr>
          </w:p>
          <w:p w14:paraId="5A929EF2">
            <w:pPr>
              <w:keepNext w:val="0"/>
              <w:keepLines w:val="0"/>
              <w:pageBreakBefore w:val="0"/>
              <w:widowControl w:val="0"/>
              <w:kinsoku/>
              <w:wordWrap/>
              <w:overflowPunct/>
              <w:topLinePunct w:val="0"/>
              <w:autoSpaceDE/>
              <w:autoSpaceDN/>
              <w:bidi w:val="0"/>
              <w:adjustRightInd/>
              <w:snapToGrid/>
              <w:jc w:val="center"/>
              <w:textAlignment w:val="auto"/>
              <w:rPr>
                <w:rFonts w:hint="eastAsia"/>
                <w:vertAlign w:val="baseline"/>
                <w:lang w:val="en-US" w:eastAsia="zh-CN"/>
              </w:rPr>
            </w:pPr>
          </w:p>
          <w:p w14:paraId="4678A94D">
            <w:pPr>
              <w:keepNext w:val="0"/>
              <w:keepLines w:val="0"/>
              <w:pageBreakBefore w:val="0"/>
              <w:widowControl w:val="0"/>
              <w:kinsoku/>
              <w:wordWrap/>
              <w:overflowPunct/>
              <w:topLinePunct w:val="0"/>
              <w:autoSpaceDE/>
              <w:autoSpaceDN/>
              <w:bidi w:val="0"/>
              <w:adjustRightInd/>
              <w:snapToGrid/>
              <w:jc w:val="center"/>
              <w:textAlignment w:val="auto"/>
              <w:rPr>
                <w:rFonts w:hint="eastAsia"/>
                <w:vertAlign w:val="baseline"/>
                <w:lang w:val="en-US" w:eastAsia="zh-CN"/>
              </w:rPr>
            </w:pPr>
          </w:p>
          <w:p w14:paraId="65B327CF">
            <w:pPr>
              <w:keepNext w:val="0"/>
              <w:keepLines w:val="0"/>
              <w:pageBreakBefore w:val="0"/>
              <w:widowControl w:val="0"/>
              <w:kinsoku/>
              <w:wordWrap/>
              <w:overflowPunct/>
              <w:topLinePunct w:val="0"/>
              <w:autoSpaceDE/>
              <w:autoSpaceDN/>
              <w:bidi w:val="0"/>
              <w:adjustRightInd/>
              <w:snapToGrid/>
              <w:jc w:val="center"/>
              <w:textAlignment w:val="auto"/>
              <w:rPr>
                <w:rFonts w:hint="eastAsia"/>
                <w:vertAlign w:val="baseline"/>
                <w:lang w:val="en-US" w:eastAsia="zh-CN"/>
              </w:rPr>
            </w:pPr>
          </w:p>
          <w:p w14:paraId="19C978E4">
            <w:pPr>
              <w:keepNext w:val="0"/>
              <w:keepLines w:val="0"/>
              <w:pageBreakBefore w:val="0"/>
              <w:widowControl w:val="0"/>
              <w:kinsoku/>
              <w:wordWrap/>
              <w:overflowPunct/>
              <w:topLinePunct w:val="0"/>
              <w:autoSpaceDE/>
              <w:autoSpaceDN/>
              <w:bidi w:val="0"/>
              <w:adjustRightInd/>
              <w:snapToGrid/>
              <w:jc w:val="center"/>
              <w:textAlignment w:val="auto"/>
              <w:rPr>
                <w:rFonts w:hint="eastAsia"/>
                <w:vertAlign w:val="baseline"/>
                <w:lang w:val="en-US" w:eastAsia="zh-CN"/>
              </w:rPr>
            </w:pPr>
          </w:p>
          <w:p w14:paraId="7E87E55D">
            <w:pPr>
              <w:keepNext w:val="0"/>
              <w:keepLines w:val="0"/>
              <w:pageBreakBefore w:val="0"/>
              <w:widowControl w:val="0"/>
              <w:kinsoku/>
              <w:wordWrap/>
              <w:overflowPunct/>
              <w:topLinePunct w:val="0"/>
              <w:autoSpaceDE/>
              <w:autoSpaceDN/>
              <w:bidi w:val="0"/>
              <w:adjustRightInd/>
              <w:snapToGrid/>
              <w:jc w:val="center"/>
              <w:textAlignment w:val="auto"/>
              <w:rPr>
                <w:rFonts w:hint="eastAsia"/>
                <w:vertAlign w:val="baseline"/>
                <w:lang w:val="en-US" w:eastAsia="zh-CN"/>
              </w:rPr>
            </w:pPr>
          </w:p>
          <w:p w14:paraId="465647E6">
            <w:pPr>
              <w:keepNext w:val="0"/>
              <w:keepLines w:val="0"/>
              <w:pageBreakBefore w:val="0"/>
              <w:widowControl w:val="0"/>
              <w:kinsoku/>
              <w:wordWrap/>
              <w:overflowPunct/>
              <w:topLinePunct w:val="0"/>
              <w:autoSpaceDE/>
              <w:autoSpaceDN/>
              <w:bidi w:val="0"/>
              <w:adjustRightInd/>
              <w:snapToGrid/>
              <w:jc w:val="center"/>
              <w:textAlignment w:val="auto"/>
              <w:rPr>
                <w:rFonts w:hint="eastAsia"/>
                <w:vertAlign w:val="baseline"/>
                <w:lang w:val="en-US" w:eastAsia="zh-CN"/>
              </w:rPr>
            </w:pPr>
          </w:p>
          <w:p w14:paraId="511E90EC">
            <w:pPr>
              <w:keepNext w:val="0"/>
              <w:keepLines w:val="0"/>
              <w:pageBreakBefore w:val="0"/>
              <w:widowControl w:val="0"/>
              <w:kinsoku/>
              <w:wordWrap/>
              <w:overflowPunct/>
              <w:topLinePunct w:val="0"/>
              <w:autoSpaceDE/>
              <w:autoSpaceDN/>
              <w:bidi w:val="0"/>
              <w:adjustRightInd/>
              <w:snapToGrid/>
              <w:jc w:val="center"/>
              <w:textAlignment w:val="auto"/>
              <w:rPr>
                <w:rFonts w:hint="eastAsia"/>
                <w:vertAlign w:val="baseline"/>
                <w:lang w:val="en-US" w:eastAsia="zh-CN"/>
              </w:rPr>
            </w:pPr>
          </w:p>
          <w:p w14:paraId="6A08CD64">
            <w:pPr>
              <w:keepNext w:val="0"/>
              <w:keepLines w:val="0"/>
              <w:pageBreakBefore w:val="0"/>
              <w:widowControl w:val="0"/>
              <w:kinsoku/>
              <w:wordWrap/>
              <w:overflowPunct/>
              <w:topLinePunct w:val="0"/>
              <w:autoSpaceDE/>
              <w:autoSpaceDN/>
              <w:bidi w:val="0"/>
              <w:adjustRightInd/>
              <w:snapToGrid/>
              <w:jc w:val="center"/>
              <w:textAlignment w:val="auto"/>
              <w:rPr>
                <w:rFonts w:hint="eastAsia"/>
                <w:vertAlign w:val="baseline"/>
                <w:lang w:val="en-US" w:eastAsia="zh-CN"/>
              </w:rPr>
            </w:pPr>
          </w:p>
          <w:p w14:paraId="558616FA">
            <w:pPr>
              <w:keepNext w:val="0"/>
              <w:keepLines w:val="0"/>
              <w:pageBreakBefore w:val="0"/>
              <w:widowControl w:val="0"/>
              <w:kinsoku/>
              <w:wordWrap/>
              <w:overflowPunct/>
              <w:topLinePunct w:val="0"/>
              <w:autoSpaceDE/>
              <w:autoSpaceDN/>
              <w:bidi w:val="0"/>
              <w:adjustRightInd/>
              <w:snapToGrid/>
              <w:jc w:val="center"/>
              <w:textAlignment w:val="auto"/>
              <w:rPr>
                <w:rFonts w:hint="default" w:eastAsiaTheme="minorEastAsia"/>
                <w:vertAlign w:val="baseline"/>
                <w:lang w:val="en-US" w:eastAsia="zh-CN"/>
              </w:rPr>
            </w:pPr>
            <w:r>
              <w:rPr>
                <w:rFonts w:hint="eastAsia"/>
                <w:vertAlign w:val="baseline"/>
                <w:lang w:val="en-US" w:eastAsia="zh-CN"/>
              </w:rPr>
              <w:t>业绩要求</w:t>
            </w:r>
          </w:p>
        </w:tc>
        <w:tc>
          <w:tcPr>
            <w:tcW w:w="179" w:type="pct"/>
            <w:vAlign w:val="top"/>
          </w:tcPr>
          <w:p w14:paraId="7FB8BEF0">
            <w:pPr>
              <w:keepNext w:val="0"/>
              <w:keepLines w:val="0"/>
              <w:pageBreakBefore w:val="0"/>
              <w:widowControl w:val="0"/>
              <w:kinsoku/>
              <w:wordWrap/>
              <w:overflowPunct/>
              <w:topLinePunct w:val="0"/>
              <w:autoSpaceDE/>
              <w:autoSpaceDN/>
              <w:bidi w:val="0"/>
              <w:adjustRightInd/>
              <w:snapToGrid/>
              <w:spacing w:line="720" w:lineRule="auto"/>
              <w:ind w:left="106" w:leftChars="0" w:hanging="106" w:firstLineChars="0"/>
              <w:jc w:val="center"/>
              <w:textAlignment w:val="auto"/>
              <w:rPr>
                <w:rFonts w:hint="eastAsia"/>
                <w:vertAlign w:val="baseline"/>
                <w:lang w:val="en-US" w:eastAsia="zh-CN"/>
              </w:rPr>
            </w:pPr>
            <w:r>
              <w:rPr>
                <w:rFonts w:hint="eastAsia"/>
                <w:vertAlign w:val="baseline"/>
                <w:lang w:val="en-US" w:eastAsia="zh-CN"/>
              </w:rPr>
              <w:t>9</w:t>
            </w:r>
          </w:p>
        </w:tc>
        <w:tc>
          <w:tcPr>
            <w:tcW w:w="307" w:type="pct"/>
            <w:vAlign w:val="center"/>
          </w:tcPr>
          <w:p w14:paraId="1A8799AD">
            <w:pPr>
              <w:widowControl/>
              <w:adjustRightInd w:val="0"/>
              <w:snapToGrid w:val="0"/>
              <w:jc w:val="center"/>
              <w:rPr>
                <w:rFonts w:hint="eastAsia" w:ascii="宋体" w:hAnsi="宋体" w:cs="宋体"/>
                <w:color w:val="000000"/>
                <w:kern w:val="0"/>
                <w:szCs w:val="21"/>
              </w:rPr>
            </w:pPr>
            <w:r>
              <w:rPr>
                <w:rFonts w:hint="eastAsia" w:ascii="宋体" w:hAnsi="宋体" w:cs="宋体"/>
                <w:color w:val="000000"/>
                <w:kern w:val="0"/>
                <w:szCs w:val="21"/>
              </w:rPr>
              <w:t>固</w:t>
            </w:r>
            <w:r>
              <w:rPr>
                <w:rFonts w:hint="eastAsia" w:ascii="宋体" w:hAnsi="宋体" w:cs="宋体"/>
                <w:color w:val="000000"/>
                <w:kern w:val="0"/>
                <w:szCs w:val="21"/>
                <w:lang w:val="en-US" w:eastAsia="zh-CN"/>
              </w:rPr>
              <w:t>废</w:t>
            </w:r>
            <w:r>
              <w:rPr>
                <w:rFonts w:hint="eastAsia" w:ascii="宋体" w:hAnsi="宋体" w:cs="宋体"/>
                <w:color w:val="000000"/>
                <w:kern w:val="0"/>
                <w:szCs w:val="21"/>
              </w:rPr>
              <w:t>处置</w:t>
            </w:r>
          </w:p>
        </w:tc>
        <w:tc>
          <w:tcPr>
            <w:tcW w:w="2029" w:type="pct"/>
            <w:shd w:val="clear" w:color="auto" w:fill="auto"/>
            <w:vAlign w:val="center"/>
          </w:tcPr>
          <w:p w14:paraId="66B0C9F4">
            <w:pPr>
              <w:widowControl/>
              <w:adjustRightInd w:val="0"/>
              <w:snapToGrid w:val="0"/>
              <w:rPr>
                <w:rFonts w:hint="eastAsia"/>
                <w:vertAlign w:val="baseline"/>
                <w:lang w:val="en-US" w:eastAsia="zh-CN"/>
              </w:rPr>
            </w:pPr>
            <w:r>
              <w:rPr>
                <w:rFonts w:hint="eastAsia" w:ascii="宋体" w:hAnsi="宋体" w:cs="宋体"/>
                <w:color w:val="000000"/>
                <w:kern w:val="0"/>
                <w:szCs w:val="21"/>
                <w:lang w:val="en-US" w:eastAsia="zh-CN"/>
              </w:rPr>
              <w:t>b*.生活垃圾处置：</w:t>
            </w:r>
            <w:r>
              <w:rPr>
                <w:rFonts w:hint="eastAsia" w:ascii="宋体" w:hAnsi="宋体" w:cs="宋体"/>
                <w:color w:val="000000"/>
                <w:kern w:val="0"/>
                <w:szCs w:val="21"/>
              </w:rPr>
              <w:t>运行的生活垃圾处理处置设施的处理能力之和≥</w:t>
            </w:r>
            <w:r>
              <w:rPr>
                <w:rFonts w:hint="eastAsia" w:ascii="宋体" w:hAnsi="宋体" w:cs="宋体"/>
                <w:color w:val="000000"/>
                <w:kern w:val="0"/>
                <w:szCs w:val="21"/>
                <w:lang w:val="en-US" w:eastAsia="zh-CN"/>
              </w:rPr>
              <w:t>1</w:t>
            </w:r>
            <w:r>
              <w:rPr>
                <w:rFonts w:hint="eastAsia" w:ascii="宋体" w:hAnsi="宋体" w:cs="宋体"/>
                <w:color w:val="000000"/>
                <w:kern w:val="0"/>
                <w:szCs w:val="21"/>
              </w:rPr>
              <w:t>000吨/天，且其中至少有1个设施的处理能力≥</w:t>
            </w:r>
            <w:r>
              <w:rPr>
                <w:rFonts w:hint="eastAsia" w:ascii="宋体" w:hAnsi="宋体" w:cs="宋体"/>
                <w:color w:val="000000"/>
                <w:kern w:val="0"/>
                <w:szCs w:val="21"/>
                <w:lang w:val="en-US" w:eastAsia="zh-CN"/>
              </w:rPr>
              <w:t>3</w:t>
            </w:r>
            <w:r>
              <w:rPr>
                <w:rFonts w:hint="eastAsia" w:ascii="宋体" w:hAnsi="宋体" w:cs="宋体"/>
                <w:color w:val="000000"/>
                <w:kern w:val="0"/>
                <w:szCs w:val="21"/>
              </w:rPr>
              <w:t>00吨/天。</w:t>
            </w:r>
          </w:p>
        </w:tc>
        <w:tc>
          <w:tcPr>
            <w:tcW w:w="2084" w:type="pct"/>
            <w:shd w:val="clear" w:color="auto" w:fill="auto"/>
            <w:vAlign w:val="center"/>
          </w:tcPr>
          <w:p w14:paraId="0FB52DF4">
            <w:pPr>
              <w:widowControl/>
              <w:adjustRightInd w:val="0"/>
              <w:snapToGrid w:val="0"/>
              <w:rPr>
                <w:rFonts w:hint="eastAsia"/>
                <w:vertAlign w:val="baseline"/>
                <w:lang w:val="en-US" w:eastAsia="zh-CN"/>
              </w:rPr>
            </w:pPr>
            <w:r>
              <w:rPr>
                <w:rFonts w:hint="eastAsia" w:ascii="宋体" w:hAnsi="宋体" w:cs="宋体"/>
                <w:color w:val="000000"/>
                <w:kern w:val="0"/>
                <w:szCs w:val="21"/>
                <w:lang w:val="en-US" w:eastAsia="zh-CN"/>
              </w:rPr>
              <w:t>b*.生活垃圾处置：</w:t>
            </w:r>
            <w:r>
              <w:rPr>
                <w:rFonts w:hint="eastAsia" w:ascii="宋体" w:hAnsi="宋体" w:cs="宋体"/>
                <w:color w:val="000000"/>
                <w:kern w:val="0"/>
                <w:szCs w:val="21"/>
              </w:rPr>
              <w:t>运行的生活垃圾处理处置设施的处理能力之和≥300吨/天，且其中至少有1个设施的处理能力≥100吨/天。</w:t>
            </w:r>
          </w:p>
        </w:tc>
        <w:tc>
          <w:tcPr>
            <w:tcW w:w="247" w:type="pct"/>
            <w:vAlign w:val="center"/>
          </w:tcPr>
          <w:p w14:paraId="38A6FC9C">
            <w:pPr>
              <w:adjustRightInd w:val="0"/>
              <w:snapToGrid w:val="0"/>
              <w:jc w:val="center"/>
              <w:rPr>
                <w:rFonts w:hint="eastAsia"/>
                <w:color w:val="000000"/>
              </w:rPr>
            </w:pPr>
          </w:p>
        </w:tc>
      </w:tr>
      <w:tr w14:paraId="6C343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2" w:type="pct"/>
            <w:vMerge w:val="continue"/>
          </w:tcPr>
          <w:p w14:paraId="392FECFD">
            <w:pPr>
              <w:keepNext w:val="0"/>
              <w:keepLines w:val="0"/>
              <w:pageBreakBefore w:val="0"/>
              <w:widowControl w:val="0"/>
              <w:kinsoku/>
              <w:wordWrap/>
              <w:overflowPunct/>
              <w:topLinePunct w:val="0"/>
              <w:autoSpaceDE/>
              <w:autoSpaceDN/>
              <w:bidi w:val="0"/>
              <w:adjustRightInd/>
              <w:snapToGrid/>
              <w:jc w:val="center"/>
              <w:textAlignment w:val="auto"/>
              <w:rPr>
                <w:rFonts w:hint="eastAsia"/>
                <w:vertAlign w:val="baseline"/>
                <w:lang w:val="en-US" w:eastAsia="zh-CN"/>
              </w:rPr>
            </w:pPr>
          </w:p>
        </w:tc>
        <w:tc>
          <w:tcPr>
            <w:tcW w:w="179" w:type="pct"/>
            <w:vAlign w:val="top"/>
          </w:tcPr>
          <w:p w14:paraId="222448EF">
            <w:pPr>
              <w:keepNext w:val="0"/>
              <w:keepLines w:val="0"/>
              <w:pageBreakBefore w:val="0"/>
              <w:widowControl w:val="0"/>
              <w:kinsoku/>
              <w:wordWrap/>
              <w:overflowPunct/>
              <w:topLinePunct w:val="0"/>
              <w:autoSpaceDE/>
              <w:autoSpaceDN/>
              <w:bidi w:val="0"/>
              <w:adjustRightInd/>
              <w:snapToGrid/>
              <w:spacing w:line="720" w:lineRule="auto"/>
              <w:ind w:left="106" w:leftChars="0" w:hanging="106" w:firstLineChars="0"/>
              <w:jc w:val="center"/>
              <w:textAlignment w:val="auto"/>
              <w:rPr>
                <w:rFonts w:hint="default"/>
                <w:vertAlign w:val="baseline"/>
                <w:lang w:val="en-US" w:eastAsia="zh-CN"/>
              </w:rPr>
            </w:pPr>
            <w:r>
              <w:rPr>
                <w:rFonts w:hint="eastAsia"/>
                <w:vertAlign w:val="baseline"/>
                <w:lang w:val="en-US" w:eastAsia="zh-CN"/>
              </w:rPr>
              <w:t>10</w:t>
            </w:r>
          </w:p>
        </w:tc>
        <w:tc>
          <w:tcPr>
            <w:tcW w:w="307" w:type="pct"/>
            <w:vAlign w:val="center"/>
          </w:tcPr>
          <w:p w14:paraId="2EB518FE">
            <w:pPr>
              <w:widowControl/>
              <w:adjustRightInd w:val="0"/>
              <w:snapToGrid w:val="0"/>
              <w:jc w:val="center"/>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危废处置</w:t>
            </w:r>
          </w:p>
        </w:tc>
        <w:tc>
          <w:tcPr>
            <w:tcW w:w="2029" w:type="pct"/>
            <w:shd w:val="clear" w:color="auto" w:fill="auto"/>
            <w:vAlign w:val="center"/>
          </w:tcPr>
          <w:p w14:paraId="31E80C58">
            <w:pPr>
              <w:widowControl/>
              <w:adjustRightInd w:val="0"/>
              <w:snapToGrid w:val="0"/>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a*危废处置：年处置危废能力5万吨及以上，处置种类5种及以上，固定资产大于1亿元</w:t>
            </w:r>
          </w:p>
          <w:p w14:paraId="6EC1DA8B">
            <w:pPr>
              <w:widowControl/>
              <w:adjustRightInd w:val="0"/>
              <w:snapToGrid w:val="0"/>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b*医疗废物处置：固定资产5000万以上，拥有收集、运输、处置资质</w:t>
            </w:r>
          </w:p>
        </w:tc>
        <w:tc>
          <w:tcPr>
            <w:tcW w:w="2084" w:type="pct"/>
            <w:shd w:val="clear" w:color="auto" w:fill="auto"/>
            <w:vAlign w:val="center"/>
          </w:tcPr>
          <w:p w14:paraId="1501D3AE">
            <w:pPr>
              <w:widowControl/>
              <w:adjustRightInd w:val="0"/>
              <w:snapToGrid w:val="0"/>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a*危废收集单位、其他规模较小（5万吨以下、处置种类5种以下）的危废处置单位</w:t>
            </w:r>
          </w:p>
          <w:p w14:paraId="33C9B14C">
            <w:pPr>
              <w:widowControl/>
              <w:adjustRightInd w:val="0"/>
              <w:snapToGrid w:val="0"/>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b*医疗废物处置：固定资产大于2000万元，拥有处置资质</w:t>
            </w:r>
          </w:p>
        </w:tc>
        <w:tc>
          <w:tcPr>
            <w:tcW w:w="247" w:type="pct"/>
            <w:vAlign w:val="center"/>
          </w:tcPr>
          <w:p w14:paraId="2F3DD978">
            <w:pPr>
              <w:adjustRightInd w:val="0"/>
              <w:snapToGrid w:val="0"/>
              <w:jc w:val="center"/>
              <w:rPr>
                <w:rFonts w:hint="eastAsia"/>
                <w:color w:val="000000"/>
              </w:rPr>
            </w:pPr>
            <w:r>
              <w:rPr>
                <w:rFonts w:hint="eastAsia"/>
                <w:color w:val="000000"/>
                <w:lang w:val="en-US" w:eastAsia="zh-CN"/>
              </w:rPr>
              <w:t>*为选择一项申报</w:t>
            </w:r>
          </w:p>
        </w:tc>
      </w:tr>
      <w:tr w14:paraId="635E2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2" w:type="pct"/>
            <w:vMerge w:val="continue"/>
          </w:tcPr>
          <w:p w14:paraId="40C95D16">
            <w:pPr>
              <w:keepNext w:val="0"/>
              <w:keepLines w:val="0"/>
              <w:pageBreakBefore w:val="0"/>
              <w:widowControl w:val="0"/>
              <w:kinsoku/>
              <w:wordWrap/>
              <w:overflowPunct/>
              <w:topLinePunct w:val="0"/>
              <w:autoSpaceDE/>
              <w:autoSpaceDN/>
              <w:bidi w:val="0"/>
              <w:adjustRightInd/>
              <w:snapToGrid/>
              <w:jc w:val="left"/>
              <w:textAlignment w:val="auto"/>
              <w:rPr>
                <w:rFonts w:hint="eastAsia" w:eastAsiaTheme="minorEastAsia"/>
                <w:vertAlign w:val="baseline"/>
                <w:lang w:val="en-US" w:eastAsia="zh-CN"/>
              </w:rPr>
            </w:pPr>
          </w:p>
        </w:tc>
        <w:tc>
          <w:tcPr>
            <w:tcW w:w="179" w:type="pct"/>
            <w:vAlign w:val="top"/>
          </w:tcPr>
          <w:p w14:paraId="5327683A">
            <w:pPr>
              <w:keepNext w:val="0"/>
              <w:keepLines w:val="0"/>
              <w:pageBreakBefore w:val="0"/>
              <w:widowControl w:val="0"/>
              <w:kinsoku/>
              <w:wordWrap/>
              <w:overflowPunct/>
              <w:topLinePunct w:val="0"/>
              <w:autoSpaceDE/>
              <w:autoSpaceDN/>
              <w:bidi w:val="0"/>
              <w:adjustRightInd/>
              <w:snapToGrid/>
              <w:spacing w:line="720" w:lineRule="auto"/>
              <w:ind w:left="106" w:leftChars="0" w:hanging="106" w:firstLineChars="0"/>
              <w:jc w:val="center"/>
              <w:textAlignment w:val="auto"/>
              <w:rPr>
                <w:rFonts w:hint="default"/>
                <w:vertAlign w:val="baseline"/>
                <w:lang w:val="en-US" w:eastAsia="zh-CN"/>
              </w:rPr>
            </w:pPr>
            <w:r>
              <w:rPr>
                <w:rFonts w:hint="eastAsia"/>
                <w:vertAlign w:val="baseline"/>
                <w:lang w:val="en-US" w:eastAsia="zh-CN"/>
              </w:rPr>
              <w:t>11</w:t>
            </w:r>
          </w:p>
        </w:tc>
        <w:tc>
          <w:tcPr>
            <w:tcW w:w="307" w:type="pct"/>
            <w:vAlign w:val="center"/>
          </w:tcPr>
          <w:p w14:paraId="3E8C2D31">
            <w:pPr>
              <w:widowControl/>
              <w:adjustRightInd w:val="0"/>
              <w:snapToGrid w:val="0"/>
              <w:jc w:val="center"/>
              <w:rPr>
                <w:rFonts w:hint="default" w:ascii="宋体" w:hAnsi="宋体" w:cs="宋体" w:eastAsiaTheme="minorEastAsia"/>
                <w:color w:val="000000"/>
                <w:kern w:val="0"/>
                <w:szCs w:val="21"/>
                <w:lang w:val="en-US" w:eastAsia="zh-CN"/>
              </w:rPr>
            </w:pPr>
            <w:r>
              <w:rPr>
                <w:rFonts w:hint="eastAsia" w:ascii="宋体" w:hAnsi="宋体" w:cs="宋体"/>
                <w:color w:val="000000"/>
                <w:kern w:val="0"/>
                <w:szCs w:val="21"/>
                <w:lang w:val="en-US" w:eastAsia="zh-CN"/>
              </w:rPr>
              <w:t>在线监测</w:t>
            </w:r>
          </w:p>
        </w:tc>
        <w:tc>
          <w:tcPr>
            <w:tcW w:w="2029" w:type="pct"/>
            <w:shd w:val="clear" w:color="auto" w:fill="auto"/>
            <w:vAlign w:val="center"/>
          </w:tcPr>
          <w:p w14:paraId="432FC8C2">
            <w:pPr>
              <w:widowControl/>
              <w:adjustRightInd w:val="0"/>
              <w:snapToGrid w:val="0"/>
              <w:rPr>
                <w:rFonts w:hint="eastAsia"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 xml:space="preserve">近三年需独立承担至少 </w:t>
            </w:r>
            <w:r>
              <w:rPr>
                <w:rFonts w:hint="eastAsia" w:ascii="宋体" w:hAnsi="宋体" w:cs="宋体"/>
                <w:color w:val="000000"/>
                <w:kern w:val="0"/>
                <w:szCs w:val="21"/>
                <w:lang w:val="en-US" w:eastAsia="zh-CN"/>
              </w:rPr>
              <w:t>2</w:t>
            </w:r>
            <w:r>
              <w:rPr>
                <w:rFonts w:hint="eastAsia" w:ascii="宋体" w:hAnsi="宋体" w:cs="宋体"/>
                <w:color w:val="000000"/>
                <w:kern w:val="0"/>
                <w:szCs w:val="21"/>
              </w:rPr>
              <w:t xml:space="preserve"> 类不同环境要素（如大气、水、土壤、噪声、固废等）的在线监测项目，且每类环境要素至少完成 2 个不同项目。</w:t>
            </w:r>
          </w:p>
          <w:p w14:paraId="56C977F3">
            <w:pPr>
              <w:widowControl/>
              <w:adjustRightInd w:val="0"/>
              <w:snapToGrid w:val="0"/>
              <w:rPr>
                <w:rFonts w:hint="eastAsia" w:ascii="宋体" w:hAnsi="宋体" w:cs="宋体"/>
                <w:color w:val="000000"/>
                <w:kern w:val="0"/>
                <w:szCs w:val="21"/>
              </w:rPr>
            </w:pPr>
            <w:r>
              <w:rPr>
                <w:rFonts w:hint="eastAsia" w:ascii="宋体" w:hAnsi="宋体" w:cs="宋体"/>
                <w:color w:val="000000"/>
                <w:kern w:val="0"/>
                <w:szCs w:val="21"/>
                <w:lang w:val="en-US" w:eastAsia="zh-CN"/>
              </w:rPr>
              <w:t>2.</w:t>
            </w:r>
            <w:r>
              <w:rPr>
                <w:rFonts w:hint="eastAsia" w:ascii="宋体" w:hAnsi="宋体" w:cs="宋体"/>
                <w:color w:val="000000"/>
                <w:kern w:val="0"/>
                <w:szCs w:val="21"/>
              </w:rPr>
              <w:t>近三年环境在线监测项目合同累计金额不低于</w:t>
            </w:r>
            <w:r>
              <w:rPr>
                <w:rFonts w:hint="eastAsia" w:ascii="宋体" w:hAnsi="宋体" w:cs="宋体"/>
                <w:color w:val="000000"/>
                <w:kern w:val="0"/>
                <w:szCs w:val="21"/>
                <w:lang w:val="en-US" w:eastAsia="zh-CN"/>
              </w:rPr>
              <w:t>6000</w:t>
            </w:r>
            <w:r>
              <w:rPr>
                <w:rFonts w:hint="eastAsia" w:ascii="宋体" w:hAnsi="宋体" w:cs="宋体"/>
                <w:color w:val="000000"/>
                <w:kern w:val="0"/>
                <w:szCs w:val="21"/>
              </w:rPr>
              <w:t>万元。</w:t>
            </w:r>
          </w:p>
          <w:p w14:paraId="37D4DFF5">
            <w:pPr>
              <w:widowControl/>
              <w:adjustRightInd w:val="0"/>
              <w:snapToGrid w:val="0"/>
              <w:rPr>
                <w:rFonts w:hint="eastAsia" w:ascii="Segoe UI" w:hAnsi="Segoe UI" w:eastAsia="Segoe UI" w:cs="Segoe UI"/>
                <w:i w:val="0"/>
                <w:iCs w:val="0"/>
                <w:caps w:val="0"/>
                <w:spacing w:val="0"/>
                <w:sz w:val="24"/>
                <w:szCs w:val="24"/>
                <w:shd w:val="clear" w:fill="EFF0F1"/>
                <w:lang w:val="en-US" w:eastAsia="zh-CN"/>
              </w:rPr>
            </w:pPr>
            <w:r>
              <w:rPr>
                <w:rFonts w:hint="eastAsia" w:ascii="宋体" w:hAnsi="宋体" w:cs="宋体"/>
                <w:color w:val="000000"/>
                <w:kern w:val="0"/>
                <w:szCs w:val="21"/>
              </w:rPr>
              <w:t>至少有 2 个项目的持续服务时间超过 12 个月</w:t>
            </w:r>
          </w:p>
        </w:tc>
        <w:tc>
          <w:tcPr>
            <w:tcW w:w="2084" w:type="pct"/>
            <w:shd w:val="clear" w:color="auto" w:fill="auto"/>
            <w:vAlign w:val="center"/>
          </w:tcPr>
          <w:p w14:paraId="3E7C89CF">
            <w:pPr>
              <w:widowControl/>
              <w:adjustRightInd w:val="0"/>
              <w:snapToGrid w:val="0"/>
              <w:rPr>
                <w:rFonts w:hint="eastAsia"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 xml:space="preserve">近三年需独立承担至少 </w:t>
            </w:r>
            <w:r>
              <w:rPr>
                <w:rFonts w:hint="eastAsia" w:ascii="宋体" w:hAnsi="宋体" w:cs="宋体"/>
                <w:color w:val="000000"/>
                <w:kern w:val="0"/>
                <w:szCs w:val="21"/>
                <w:lang w:val="en-US" w:eastAsia="zh-CN"/>
              </w:rPr>
              <w:t>1</w:t>
            </w:r>
            <w:r>
              <w:rPr>
                <w:rFonts w:hint="eastAsia" w:ascii="宋体" w:hAnsi="宋体" w:cs="宋体"/>
                <w:color w:val="000000"/>
                <w:kern w:val="0"/>
                <w:szCs w:val="21"/>
              </w:rPr>
              <w:t>类不同环境要素的在线监测项目，且每类环境要素至少完成 1 个项目。</w:t>
            </w:r>
          </w:p>
          <w:p w14:paraId="51682759">
            <w:pPr>
              <w:widowControl/>
              <w:adjustRightInd w:val="0"/>
              <w:snapToGrid w:val="0"/>
              <w:rPr>
                <w:rFonts w:hint="eastAsia" w:ascii="宋体" w:hAnsi="宋体" w:cs="宋体"/>
                <w:color w:val="000000"/>
                <w:kern w:val="0"/>
                <w:szCs w:val="21"/>
              </w:rPr>
            </w:pPr>
            <w:r>
              <w:rPr>
                <w:rFonts w:hint="eastAsia" w:ascii="宋体" w:hAnsi="宋体" w:cs="宋体"/>
                <w:color w:val="000000"/>
                <w:kern w:val="0"/>
                <w:szCs w:val="21"/>
                <w:lang w:val="en-US" w:eastAsia="zh-CN"/>
              </w:rPr>
              <w:t>2.</w:t>
            </w:r>
            <w:r>
              <w:rPr>
                <w:rFonts w:hint="eastAsia" w:ascii="宋体" w:hAnsi="宋体" w:cs="宋体"/>
                <w:color w:val="000000"/>
                <w:kern w:val="0"/>
                <w:szCs w:val="21"/>
              </w:rPr>
              <w:t>近三年环境在线监测项目合同累计金额不低于</w:t>
            </w:r>
            <w:r>
              <w:rPr>
                <w:rFonts w:hint="eastAsia" w:ascii="宋体" w:hAnsi="宋体" w:cs="宋体"/>
                <w:color w:val="000000"/>
                <w:kern w:val="0"/>
                <w:szCs w:val="21"/>
                <w:lang w:val="en-US" w:eastAsia="zh-CN"/>
              </w:rPr>
              <w:t>5</w:t>
            </w:r>
            <w:r>
              <w:rPr>
                <w:rFonts w:hint="eastAsia" w:ascii="宋体" w:hAnsi="宋体" w:cs="宋体"/>
                <w:color w:val="000000"/>
                <w:kern w:val="0"/>
                <w:szCs w:val="21"/>
              </w:rPr>
              <w:t>00万元。</w:t>
            </w:r>
          </w:p>
          <w:p w14:paraId="45F13291">
            <w:pPr>
              <w:widowControl/>
              <w:adjustRightInd w:val="0"/>
              <w:snapToGrid w:val="0"/>
              <w:rPr>
                <w:rFonts w:hint="eastAsia" w:ascii="Segoe UI" w:hAnsi="Segoe UI" w:eastAsia="Segoe UI" w:cs="Segoe UI"/>
                <w:i w:val="0"/>
                <w:iCs w:val="0"/>
                <w:caps w:val="0"/>
                <w:spacing w:val="0"/>
                <w:sz w:val="24"/>
                <w:szCs w:val="24"/>
                <w:shd w:val="clear" w:fill="EFF0F1"/>
                <w:lang w:val="en-US" w:eastAsia="zh-CN"/>
              </w:rPr>
            </w:pPr>
            <w:r>
              <w:rPr>
                <w:rFonts w:hint="eastAsia" w:ascii="宋体" w:hAnsi="宋体" w:cs="宋体"/>
                <w:color w:val="000000"/>
                <w:kern w:val="0"/>
                <w:szCs w:val="21"/>
              </w:rPr>
              <w:t>至少有 1 个项目的持续服务时间超过 6 个月</w:t>
            </w:r>
          </w:p>
        </w:tc>
        <w:tc>
          <w:tcPr>
            <w:tcW w:w="247" w:type="pct"/>
            <w:vAlign w:val="center"/>
          </w:tcPr>
          <w:p w14:paraId="2D82862C">
            <w:pPr>
              <w:adjustRightInd w:val="0"/>
              <w:snapToGrid w:val="0"/>
              <w:jc w:val="center"/>
              <w:rPr>
                <w:rFonts w:hint="eastAsia"/>
                <w:color w:val="000000"/>
              </w:rPr>
            </w:pPr>
          </w:p>
        </w:tc>
      </w:tr>
      <w:tr w14:paraId="78105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2" w:type="pct"/>
            <w:vMerge w:val="continue"/>
          </w:tcPr>
          <w:p w14:paraId="2EBB0623">
            <w:pPr>
              <w:keepNext w:val="0"/>
              <w:keepLines w:val="0"/>
              <w:pageBreakBefore w:val="0"/>
              <w:widowControl w:val="0"/>
              <w:kinsoku/>
              <w:wordWrap/>
              <w:overflowPunct/>
              <w:topLinePunct w:val="0"/>
              <w:autoSpaceDE/>
              <w:autoSpaceDN/>
              <w:bidi w:val="0"/>
              <w:adjustRightInd/>
              <w:snapToGrid/>
              <w:jc w:val="left"/>
              <w:textAlignment w:val="auto"/>
              <w:rPr>
                <w:rFonts w:hint="eastAsia" w:eastAsiaTheme="minorEastAsia"/>
                <w:vertAlign w:val="baseline"/>
                <w:lang w:val="en-US" w:eastAsia="zh-CN"/>
              </w:rPr>
            </w:pPr>
          </w:p>
        </w:tc>
        <w:tc>
          <w:tcPr>
            <w:tcW w:w="179" w:type="pct"/>
            <w:vAlign w:val="top"/>
          </w:tcPr>
          <w:p w14:paraId="3C0CEE01">
            <w:pPr>
              <w:keepNext w:val="0"/>
              <w:keepLines w:val="0"/>
              <w:pageBreakBefore w:val="0"/>
              <w:widowControl w:val="0"/>
              <w:kinsoku/>
              <w:wordWrap/>
              <w:overflowPunct/>
              <w:topLinePunct w:val="0"/>
              <w:autoSpaceDE/>
              <w:autoSpaceDN/>
              <w:bidi w:val="0"/>
              <w:adjustRightInd/>
              <w:snapToGrid/>
              <w:spacing w:line="720" w:lineRule="auto"/>
              <w:jc w:val="both"/>
              <w:textAlignment w:val="auto"/>
              <w:rPr>
                <w:rFonts w:hint="eastAsia"/>
                <w:vertAlign w:val="baseline"/>
                <w:lang w:val="en-US" w:eastAsia="zh-CN"/>
              </w:rPr>
            </w:pPr>
          </w:p>
          <w:p w14:paraId="68DF270A">
            <w:pPr>
              <w:keepNext w:val="0"/>
              <w:keepLines w:val="0"/>
              <w:pageBreakBefore w:val="0"/>
              <w:widowControl w:val="0"/>
              <w:kinsoku/>
              <w:wordWrap/>
              <w:overflowPunct/>
              <w:topLinePunct w:val="0"/>
              <w:autoSpaceDE/>
              <w:autoSpaceDN/>
              <w:bidi w:val="0"/>
              <w:adjustRightInd/>
              <w:snapToGrid/>
              <w:spacing w:line="720" w:lineRule="auto"/>
              <w:jc w:val="both"/>
              <w:textAlignment w:val="auto"/>
              <w:rPr>
                <w:rFonts w:hint="default"/>
                <w:vertAlign w:val="baseline"/>
                <w:lang w:val="en-US" w:eastAsia="zh-CN"/>
              </w:rPr>
            </w:pPr>
            <w:r>
              <w:rPr>
                <w:rFonts w:hint="eastAsia"/>
                <w:vertAlign w:val="baseline"/>
                <w:lang w:val="en-US" w:eastAsia="zh-CN"/>
              </w:rPr>
              <w:t>12</w:t>
            </w:r>
          </w:p>
        </w:tc>
        <w:tc>
          <w:tcPr>
            <w:tcW w:w="307" w:type="pct"/>
            <w:vAlign w:val="top"/>
          </w:tcPr>
          <w:p w14:paraId="2EDC5E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lang w:val="en-US" w:eastAsia="zh-CN"/>
              </w:rPr>
            </w:pPr>
          </w:p>
          <w:p w14:paraId="66DC07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lang w:val="en-US" w:eastAsia="zh-CN"/>
              </w:rPr>
            </w:pPr>
          </w:p>
          <w:p w14:paraId="4FEFFD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000000"/>
                <w:kern w:val="0"/>
                <w:szCs w:val="21"/>
                <w:lang w:val="en-US" w:eastAsia="zh-CN"/>
              </w:rPr>
            </w:pPr>
            <w:r>
              <w:rPr>
                <w:rFonts w:hint="eastAsia"/>
                <w:color w:val="000000"/>
                <w:lang w:val="en-US" w:eastAsia="zh-CN"/>
              </w:rPr>
              <w:t>环境检测</w:t>
            </w:r>
          </w:p>
        </w:tc>
        <w:tc>
          <w:tcPr>
            <w:tcW w:w="2029" w:type="pct"/>
            <w:shd w:val="clear" w:color="auto" w:fill="auto"/>
            <w:vAlign w:val="center"/>
          </w:tcPr>
          <w:p w14:paraId="77AF3B0F">
            <w:pPr>
              <w:widowControl/>
              <w:numPr>
                <w:ilvl w:val="0"/>
                <w:numId w:val="1"/>
              </w:numPr>
              <w:adjustRightInd w:val="0"/>
              <w:snapToGrid w:val="0"/>
              <w:rPr>
                <w:rFonts w:hint="eastAsia" w:ascii="宋体" w:hAnsi="宋体" w:cs="宋体"/>
                <w:color w:val="000000"/>
                <w:kern w:val="0"/>
                <w:szCs w:val="21"/>
                <w:lang w:val="en-US" w:eastAsia="zh-CN"/>
              </w:rPr>
            </w:pPr>
            <w:r>
              <w:rPr>
                <w:rFonts w:hint="default" w:ascii="宋体" w:hAnsi="宋体" w:cs="宋体"/>
                <w:color w:val="000000"/>
                <w:kern w:val="0"/>
                <w:szCs w:val="21"/>
                <w:lang w:val="en-US" w:eastAsia="zh-CN"/>
              </w:rPr>
              <w:t>近 3 年完</w:t>
            </w:r>
            <w:r>
              <w:rPr>
                <w:rFonts w:hint="eastAsia" w:ascii="宋体" w:hAnsi="宋体" w:cs="宋体"/>
                <w:color w:val="000000"/>
                <w:kern w:val="0"/>
                <w:szCs w:val="21"/>
                <w:lang w:val="en-US" w:eastAsia="zh-CN"/>
              </w:rPr>
              <w:t>完成省内重点排污单位自行监测50个，1000个检测项目</w:t>
            </w:r>
            <w:r>
              <w:rPr>
                <w:rFonts w:hint="default" w:ascii="宋体" w:hAnsi="宋体" w:cs="宋体"/>
                <w:color w:val="000000"/>
                <w:kern w:val="0"/>
                <w:szCs w:val="21"/>
                <w:lang w:val="en-US" w:eastAsia="zh-CN"/>
              </w:rPr>
              <w:t>。</w:t>
            </w:r>
            <w:r>
              <w:rPr>
                <w:rFonts w:hint="eastAsia" w:ascii="宋体" w:hAnsi="宋体" w:cs="宋体"/>
                <w:color w:val="000000"/>
                <w:kern w:val="0"/>
                <w:szCs w:val="21"/>
                <w:lang w:val="en-US" w:eastAsia="zh-CN"/>
              </w:rPr>
              <w:t>固定资产大于3000万元。</w:t>
            </w:r>
          </w:p>
          <w:p w14:paraId="35320ACF">
            <w:pPr>
              <w:widowControl/>
              <w:numPr>
                <w:ilvl w:val="0"/>
                <w:numId w:val="0"/>
              </w:numPr>
              <w:adjustRightInd w:val="0"/>
              <w:snapToGrid w:val="0"/>
              <w:rPr>
                <w:rFonts w:hint="eastAsia"/>
                <w:color w:val="000000"/>
              </w:rPr>
            </w:pPr>
            <w:r>
              <w:rPr>
                <w:rFonts w:hint="eastAsia"/>
                <w:color w:val="000000"/>
                <w:lang w:val="en-US" w:eastAsia="zh-CN"/>
              </w:rPr>
              <w:t>2.</w:t>
            </w:r>
            <w:r>
              <w:rPr>
                <w:rFonts w:hint="eastAsia"/>
                <w:color w:val="000000"/>
              </w:rPr>
              <w:t>拥有自有实验室，仪器配置齐全，相关检定手续完备，</w:t>
            </w:r>
            <w:r>
              <w:rPr>
                <w:rFonts w:hint="eastAsia"/>
                <w:color w:val="000000"/>
                <w:lang w:val="en-US" w:eastAsia="zh-CN"/>
              </w:rPr>
              <w:t>具有CMA资质，</w:t>
            </w:r>
            <w:r>
              <w:rPr>
                <w:rFonts w:hint="eastAsia"/>
                <w:color w:val="000000"/>
              </w:rPr>
              <w:t>能够满足运行服务需要，除特殊项目外，不需要委托第三方检测机构检测。</w:t>
            </w:r>
          </w:p>
          <w:p w14:paraId="4B4F62E7">
            <w:pPr>
              <w:widowControl/>
              <w:adjustRightInd w:val="0"/>
              <w:snapToGrid w:val="0"/>
              <w:rPr>
                <w:rFonts w:hint="eastAsia" w:ascii="宋体" w:hAnsi="宋体" w:cs="宋体"/>
                <w:color w:val="000000"/>
                <w:kern w:val="0"/>
                <w:szCs w:val="21"/>
              </w:rPr>
            </w:pPr>
            <w:r>
              <w:rPr>
                <w:rFonts w:hint="eastAsia" w:ascii="宋体" w:hAnsi="宋体" w:cs="宋体"/>
                <w:color w:val="000000"/>
                <w:kern w:val="0"/>
                <w:szCs w:val="21"/>
                <w:lang w:val="en-US" w:eastAsia="zh-CN"/>
              </w:rPr>
              <w:t>3.</w:t>
            </w:r>
            <w:r>
              <w:rPr>
                <w:rFonts w:hint="eastAsia" w:ascii="宋体" w:hAnsi="宋体" w:cs="宋体"/>
                <w:color w:val="000000"/>
                <w:kern w:val="0"/>
                <w:szCs w:val="21"/>
              </w:rPr>
              <w:t>配备专职实验室检测人员，检测人员具</w:t>
            </w:r>
            <w:bookmarkStart w:id="0" w:name="_GoBack"/>
            <w:bookmarkEnd w:id="0"/>
            <w:r>
              <w:rPr>
                <w:rFonts w:hint="eastAsia" w:ascii="宋体" w:hAnsi="宋体" w:cs="宋体"/>
                <w:color w:val="000000"/>
                <w:kern w:val="0"/>
                <w:szCs w:val="21"/>
              </w:rPr>
              <w:t>有相关教育背景，掌握检测方法、标准和操作。</w:t>
            </w:r>
          </w:p>
        </w:tc>
        <w:tc>
          <w:tcPr>
            <w:tcW w:w="2084" w:type="pct"/>
            <w:shd w:val="clear" w:color="auto" w:fill="auto"/>
            <w:vAlign w:val="center"/>
          </w:tcPr>
          <w:p w14:paraId="2CCEE748">
            <w:pPr>
              <w:widowControl/>
              <w:adjustRightInd w:val="0"/>
              <w:snapToGrid w:val="0"/>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1.</w:t>
            </w:r>
            <w:r>
              <w:rPr>
                <w:rFonts w:hint="default" w:ascii="宋体" w:hAnsi="宋体" w:cs="宋体"/>
                <w:color w:val="000000"/>
                <w:kern w:val="0"/>
                <w:szCs w:val="21"/>
                <w:lang w:val="en-US" w:eastAsia="zh-CN"/>
              </w:rPr>
              <w:t>近 3 年完</w:t>
            </w:r>
            <w:r>
              <w:rPr>
                <w:rFonts w:hint="eastAsia" w:ascii="宋体" w:hAnsi="宋体" w:cs="宋体"/>
                <w:color w:val="000000"/>
                <w:kern w:val="0"/>
                <w:szCs w:val="21"/>
                <w:lang w:val="en-US" w:eastAsia="zh-CN"/>
              </w:rPr>
              <w:t>完成省内重点排污单位自行监测20个，500个检测项目</w:t>
            </w:r>
            <w:r>
              <w:rPr>
                <w:rFonts w:hint="default" w:ascii="宋体" w:hAnsi="宋体" w:cs="宋体"/>
                <w:color w:val="000000"/>
                <w:kern w:val="0"/>
                <w:szCs w:val="21"/>
                <w:lang w:val="en-US" w:eastAsia="zh-CN"/>
              </w:rPr>
              <w:t>。</w:t>
            </w:r>
            <w:r>
              <w:rPr>
                <w:rFonts w:hint="eastAsia" w:ascii="宋体" w:hAnsi="宋体" w:cs="宋体"/>
                <w:color w:val="000000"/>
                <w:kern w:val="0"/>
                <w:szCs w:val="21"/>
                <w:lang w:val="en-US" w:eastAsia="zh-CN"/>
              </w:rPr>
              <w:t>固定资产大于1000万元。</w:t>
            </w:r>
          </w:p>
          <w:p w14:paraId="130D7876">
            <w:pPr>
              <w:widowControl/>
              <w:adjustRightInd w:val="0"/>
              <w:snapToGrid w:val="0"/>
              <w:rPr>
                <w:rFonts w:hint="eastAsia"/>
                <w:color w:val="000000"/>
              </w:rPr>
            </w:pPr>
            <w:r>
              <w:rPr>
                <w:rFonts w:hint="eastAsia"/>
                <w:color w:val="000000"/>
                <w:lang w:val="en-US" w:eastAsia="zh-CN"/>
              </w:rPr>
              <w:t>2.</w:t>
            </w:r>
            <w:r>
              <w:rPr>
                <w:rFonts w:hint="eastAsia"/>
                <w:color w:val="000000"/>
              </w:rPr>
              <w:t>拥有自有实验室，仪器配置齐全，相关检定手续完备，</w:t>
            </w:r>
            <w:r>
              <w:rPr>
                <w:rFonts w:hint="eastAsia"/>
                <w:color w:val="000000"/>
                <w:lang w:val="en-US" w:eastAsia="zh-CN"/>
              </w:rPr>
              <w:t>具有CMA资质，</w:t>
            </w:r>
            <w:r>
              <w:rPr>
                <w:rFonts w:hint="eastAsia"/>
                <w:color w:val="000000"/>
              </w:rPr>
              <w:t>能够满足运行服务需要，除特殊项目外，不需要委托第三方检测机构检测。</w:t>
            </w:r>
          </w:p>
          <w:p w14:paraId="0A1ED097">
            <w:pPr>
              <w:widowControl/>
              <w:adjustRightInd w:val="0"/>
              <w:snapToGrid w:val="0"/>
              <w:rPr>
                <w:rFonts w:hint="eastAsia" w:ascii="宋体" w:hAnsi="宋体" w:cs="宋体"/>
                <w:color w:val="000000"/>
                <w:kern w:val="0"/>
                <w:szCs w:val="21"/>
              </w:rPr>
            </w:pPr>
            <w:r>
              <w:rPr>
                <w:rFonts w:hint="eastAsia" w:ascii="宋体" w:hAnsi="宋体" w:cs="宋体"/>
                <w:color w:val="000000"/>
                <w:kern w:val="0"/>
                <w:szCs w:val="21"/>
                <w:lang w:val="en-US" w:eastAsia="zh-CN"/>
              </w:rPr>
              <w:t>3.</w:t>
            </w:r>
            <w:r>
              <w:rPr>
                <w:rFonts w:hint="eastAsia" w:ascii="宋体" w:hAnsi="宋体" w:cs="宋体"/>
                <w:color w:val="000000"/>
                <w:kern w:val="0"/>
                <w:szCs w:val="21"/>
              </w:rPr>
              <w:t>配备专职实验室检测人员，检测人员具有相关教育背景，掌握检测方法、标准和操作。</w:t>
            </w:r>
          </w:p>
        </w:tc>
        <w:tc>
          <w:tcPr>
            <w:tcW w:w="247" w:type="pct"/>
            <w:vAlign w:val="center"/>
          </w:tcPr>
          <w:p w14:paraId="23D524D1">
            <w:pPr>
              <w:adjustRightInd w:val="0"/>
              <w:snapToGrid w:val="0"/>
              <w:jc w:val="center"/>
              <w:rPr>
                <w:rFonts w:hint="eastAsia"/>
                <w:color w:val="000000"/>
              </w:rPr>
            </w:pPr>
          </w:p>
        </w:tc>
      </w:tr>
      <w:tr w14:paraId="6A04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2" w:type="pct"/>
            <w:vMerge w:val="continue"/>
          </w:tcPr>
          <w:p w14:paraId="418FBBED">
            <w:pPr>
              <w:keepNext w:val="0"/>
              <w:keepLines w:val="0"/>
              <w:pageBreakBefore w:val="0"/>
              <w:widowControl w:val="0"/>
              <w:kinsoku/>
              <w:wordWrap/>
              <w:overflowPunct/>
              <w:topLinePunct w:val="0"/>
              <w:autoSpaceDE/>
              <w:autoSpaceDN/>
              <w:bidi w:val="0"/>
              <w:adjustRightInd/>
              <w:snapToGrid/>
              <w:jc w:val="left"/>
              <w:textAlignment w:val="auto"/>
              <w:rPr>
                <w:rFonts w:hint="eastAsia" w:eastAsiaTheme="minorEastAsia"/>
                <w:vertAlign w:val="baseline"/>
                <w:lang w:val="en-US" w:eastAsia="zh-CN"/>
              </w:rPr>
            </w:pPr>
          </w:p>
        </w:tc>
        <w:tc>
          <w:tcPr>
            <w:tcW w:w="179" w:type="pct"/>
            <w:vAlign w:val="top"/>
          </w:tcPr>
          <w:p w14:paraId="1802B108">
            <w:pPr>
              <w:keepNext w:val="0"/>
              <w:keepLines w:val="0"/>
              <w:pageBreakBefore w:val="0"/>
              <w:widowControl w:val="0"/>
              <w:kinsoku/>
              <w:wordWrap/>
              <w:overflowPunct/>
              <w:topLinePunct w:val="0"/>
              <w:autoSpaceDE/>
              <w:autoSpaceDN/>
              <w:bidi w:val="0"/>
              <w:adjustRightInd/>
              <w:snapToGrid/>
              <w:spacing w:line="720" w:lineRule="auto"/>
              <w:ind w:left="106" w:leftChars="0" w:hanging="106" w:firstLineChars="0"/>
              <w:jc w:val="center"/>
              <w:textAlignment w:val="auto"/>
              <w:rPr>
                <w:rFonts w:hint="default"/>
                <w:vertAlign w:val="baseline"/>
                <w:lang w:val="en-US" w:eastAsia="zh-CN"/>
              </w:rPr>
            </w:pPr>
            <w:r>
              <w:rPr>
                <w:rFonts w:hint="eastAsia"/>
                <w:vertAlign w:val="baseline"/>
                <w:lang w:val="en-US" w:eastAsia="zh-CN"/>
              </w:rPr>
              <w:t>13</w:t>
            </w:r>
          </w:p>
        </w:tc>
        <w:tc>
          <w:tcPr>
            <w:tcW w:w="307" w:type="pct"/>
            <w:vAlign w:val="top"/>
          </w:tcPr>
          <w:p w14:paraId="425FE3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lang w:val="en-US" w:eastAsia="zh-CN"/>
              </w:rPr>
            </w:pPr>
          </w:p>
          <w:p w14:paraId="15804E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000000"/>
                <w:kern w:val="0"/>
                <w:szCs w:val="21"/>
                <w:lang w:val="en-US" w:eastAsia="zh-CN"/>
              </w:rPr>
            </w:pPr>
            <w:r>
              <w:rPr>
                <w:rFonts w:hint="eastAsia"/>
                <w:color w:val="000000"/>
                <w:lang w:val="en-US" w:eastAsia="zh-CN"/>
              </w:rPr>
              <w:t>环境咨询</w:t>
            </w:r>
          </w:p>
        </w:tc>
        <w:tc>
          <w:tcPr>
            <w:tcW w:w="2029" w:type="pct"/>
            <w:shd w:val="clear" w:color="auto" w:fill="auto"/>
            <w:vAlign w:val="center"/>
          </w:tcPr>
          <w:p w14:paraId="5B8C1452">
            <w:pPr>
              <w:widowControl/>
              <w:adjustRightInd w:val="0"/>
              <w:snapToGrid w:val="0"/>
              <w:rPr>
                <w:rFonts w:hint="default" w:ascii="宋体" w:hAnsi="宋体" w:cs="宋体"/>
                <w:color w:val="000000"/>
                <w:kern w:val="0"/>
                <w:szCs w:val="21"/>
                <w:lang w:val="en-US" w:eastAsia="zh-CN"/>
              </w:rPr>
            </w:pPr>
            <w:r>
              <w:rPr>
                <w:rFonts w:hint="eastAsia" w:ascii="宋体" w:hAnsi="宋体" w:cs="宋体"/>
                <w:color w:val="000000"/>
                <w:kern w:val="0"/>
                <w:szCs w:val="21"/>
              </w:rPr>
              <w:t>a</w:t>
            </w:r>
            <w:r>
              <w:rPr>
                <w:rFonts w:hint="eastAsia" w:ascii="宋体" w:hAnsi="宋体" w:cs="宋体"/>
                <w:color w:val="000000"/>
                <w:kern w:val="0"/>
                <w:szCs w:val="21"/>
                <w:lang w:val="en-US" w:eastAsia="zh-CN"/>
              </w:rPr>
              <w:t>*</w:t>
            </w:r>
            <w:r>
              <w:rPr>
                <w:rFonts w:hint="eastAsia" w:ascii="宋体" w:hAnsi="宋体" w:cs="宋体"/>
                <w:color w:val="000000"/>
                <w:kern w:val="0"/>
                <w:szCs w:val="21"/>
              </w:rPr>
              <w:t>.</w:t>
            </w:r>
            <w:r>
              <w:rPr>
                <w:rFonts w:hint="default" w:ascii="宋体" w:hAnsi="宋体" w:cs="宋体"/>
                <w:color w:val="000000"/>
                <w:kern w:val="0"/>
                <w:szCs w:val="21"/>
                <w:lang w:val="en-US" w:eastAsia="zh-CN"/>
              </w:rPr>
              <w:t xml:space="preserve">近 3 年完成的环境咨询项目中，至少有 10 个项目服务对象为（年营收 </w:t>
            </w:r>
            <w:r>
              <w:rPr>
                <w:rFonts w:hint="eastAsia" w:ascii="宋体" w:hAnsi="宋体" w:cs="宋体"/>
                <w:color w:val="000000"/>
                <w:kern w:val="0"/>
                <w:szCs w:val="21"/>
                <w:lang w:val="en-US" w:eastAsia="zh-CN"/>
              </w:rPr>
              <w:t>5000万</w:t>
            </w:r>
            <w:r>
              <w:rPr>
                <w:rFonts w:hint="default" w:ascii="宋体" w:hAnsi="宋体" w:cs="宋体"/>
                <w:color w:val="000000"/>
                <w:kern w:val="0"/>
                <w:szCs w:val="21"/>
                <w:lang w:val="en-US" w:eastAsia="zh-CN"/>
              </w:rPr>
              <w:t>元以上）或政府重点规划项目，项目总收费不少于 1000 万元</w:t>
            </w:r>
          </w:p>
          <w:p w14:paraId="7B48C738">
            <w:pPr>
              <w:widowControl/>
              <w:adjustRightInd w:val="0"/>
              <w:snapToGrid w:val="0"/>
              <w:rPr>
                <w:rFonts w:hint="eastAsia" w:ascii="宋体" w:hAnsi="宋体" w:cs="宋体"/>
                <w:color w:val="000000"/>
                <w:kern w:val="0"/>
                <w:szCs w:val="21"/>
              </w:rPr>
            </w:pPr>
            <w:r>
              <w:rPr>
                <w:rFonts w:hint="eastAsia" w:ascii="宋体" w:hAnsi="宋体" w:cs="宋体"/>
                <w:color w:val="000000" w:themeColor="text1"/>
                <w:kern w:val="0"/>
                <w:szCs w:val="21"/>
                <w14:textFill>
                  <w14:solidFill>
                    <w14:schemeClr w14:val="tx1"/>
                  </w14:solidFill>
                </w14:textFill>
              </w:rPr>
              <w:t>a</w:t>
            </w:r>
            <w:r>
              <w:rPr>
                <w:rFonts w:hint="eastAsia" w:ascii="宋体" w:hAnsi="宋体" w:cs="宋体"/>
                <w:color w:val="000000" w:themeColor="text1"/>
                <w:kern w:val="0"/>
                <w:szCs w:val="21"/>
                <w:lang w:val="en-US" w:eastAsia="zh-CN"/>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w:t>
            </w:r>
            <w:r>
              <w:rPr>
                <w:rFonts w:hint="eastAsia" w:ascii="宋体" w:hAnsi="宋体" w:cs="宋体"/>
                <w:color w:val="000000" w:themeColor="text1"/>
                <w:kern w:val="0"/>
                <w:szCs w:val="21"/>
                <w:lang w:val="en-US" w:eastAsia="zh-CN"/>
                <w14:textFill>
                  <w14:solidFill>
                    <w14:schemeClr w14:val="tx1"/>
                  </w14:solidFill>
                </w14:textFill>
              </w:rPr>
              <w:t>三年内报告书50本以上</w:t>
            </w:r>
          </w:p>
        </w:tc>
        <w:tc>
          <w:tcPr>
            <w:tcW w:w="2084" w:type="pct"/>
            <w:shd w:val="clear" w:color="auto" w:fill="auto"/>
            <w:vAlign w:val="center"/>
          </w:tcPr>
          <w:p w14:paraId="16E8B9EA">
            <w:pPr>
              <w:widowControl/>
              <w:adjustRightInd w:val="0"/>
              <w:snapToGrid w:val="0"/>
              <w:rPr>
                <w:rFonts w:hint="default" w:ascii="宋体" w:hAnsi="宋体" w:cs="宋体"/>
                <w:color w:val="000000"/>
                <w:kern w:val="0"/>
                <w:szCs w:val="21"/>
                <w:lang w:val="en-US" w:eastAsia="zh-CN"/>
              </w:rPr>
            </w:pPr>
            <w:r>
              <w:rPr>
                <w:rFonts w:hint="eastAsia" w:ascii="宋体" w:hAnsi="宋体" w:cs="宋体"/>
                <w:color w:val="000000"/>
                <w:kern w:val="0"/>
                <w:szCs w:val="21"/>
              </w:rPr>
              <w:t>a</w:t>
            </w:r>
            <w:r>
              <w:rPr>
                <w:rFonts w:hint="eastAsia" w:ascii="宋体" w:hAnsi="宋体" w:cs="宋体"/>
                <w:color w:val="000000"/>
                <w:kern w:val="0"/>
                <w:szCs w:val="21"/>
                <w:lang w:val="en-US" w:eastAsia="zh-CN"/>
              </w:rPr>
              <w:t>*</w:t>
            </w:r>
            <w:r>
              <w:rPr>
                <w:rFonts w:hint="eastAsia" w:ascii="宋体" w:hAnsi="宋体" w:cs="宋体"/>
                <w:color w:val="000000"/>
                <w:kern w:val="0"/>
                <w:szCs w:val="21"/>
              </w:rPr>
              <w:t>.</w:t>
            </w:r>
            <w:r>
              <w:rPr>
                <w:rFonts w:hint="default" w:ascii="宋体" w:hAnsi="宋体" w:cs="宋体"/>
                <w:color w:val="000000"/>
                <w:kern w:val="0"/>
                <w:szCs w:val="21"/>
                <w:lang w:val="en-US" w:eastAsia="zh-CN"/>
              </w:rPr>
              <w:t xml:space="preserve">近 3 年完成的环境咨询项目中，至少有 5 个项目服务对象为（年营收 </w:t>
            </w:r>
            <w:r>
              <w:rPr>
                <w:rFonts w:hint="eastAsia" w:ascii="宋体" w:hAnsi="宋体" w:cs="宋体"/>
                <w:color w:val="000000"/>
                <w:kern w:val="0"/>
                <w:szCs w:val="21"/>
                <w:lang w:val="en-US" w:eastAsia="zh-CN"/>
              </w:rPr>
              <w:t>1000万</w:t>
            </w:r>
            <w:r>
              <w:rPr>
                <w:rFonts w:hint="default" w:ascii="宋体" w:hAnsi="宋体" w:cs="宋体"/>
                <w:color w:val="000000"/>
                <w:kern w:val="0"/>
                <w:szCs w:val="21"/>
                <w:lang w:val="en-US" w:eastAsia="zh-CN"/>
              </w:rPr>
              <w:t>元）或政府区域规划项目，项目总收费不少于 300 万元</w:t>
            </w:r>
          </w:p>
          <w:p w14:paraId="6B1645B8">
            <w:pPr>
              <w:widowControl/>
              <w:adjustRightInd w:val="0"/>
              <w:snapToGrid w:val="0"/>
              <w:rPr>
                <w:rFonts w:hint="eastAsia" w:ascii="宋体" w:hAnsi="宋体" w:cs="宋体"/>
                <w:color w:val="000000"/>
                <w:kern w:val="0"/>
                <w:szCs w:val="21"/>
              </w:rPr>
            </w:pPr>
            <w:r>
              <w:rPr>
                <w:rFonts w:hint="eastAsia" w:ascii="宋体" w:hAnsi="宋体" w:cs="宋体"/>
                <w:color w:val="000000"/>
                <w:kern w:val="0"/>
                <w:szCs w:val="21"/>
                <w:lang w:val="en-US" w:eastAsia="zh-CN"/>
              </w:rPr>
              <w:t>b*</w:t>
            </w:r>
            <w:r>
              <w:rPr>
                <w:rFonts w:hint="eastAsia" w:ascii="宋体" w:hAnsi="宋体" w:cs="宋体"/>
                <w:color w:val="000000" w:themeColor="text1"/>
                <w:kern w:val="0"/>
                <w:szCs w:val="21"/>
                <w14:textFill>
                  <w14:solidFill>
                    <w14:schemeClr w14:val="tx1"/>
                  </w14:solidFill>
                </w14:textFill>
              </w:rPr>
              <w:t>.</w:t>
            </w:r>
            <w:r>
              <w:rPr>
                <w:rFonts w:hint="eastAsia" w:ascii="宋体" w:hAnsi="宋体" w:cs="宋体"/>
                <w:color w:val="000000" w:themeColor="text1"/>
                <w:kern w:val="0"/>
                <w:szCs w:val="21"/>
                <w:lang w:val="en-US" w:eastAsia="zh-CN"/>
                <w14:textFill>
                  <w14:solidFill>
                    <w14:schemeClr w14:val="tx1"/>
                  </w14:solidFill>
                </w14:textFill>
              </w:rPr>
              <w:t>三年内报告书报</w:t>
            </w:r>
            <w:r>
              <w:rPr>
                <w:rFonts w:hint="eastAsia" w:ascii="宋体" w:hAnsi="宋体" w:cs="宋体"/>
                <w:color w:val="000000"/>
                <w:kern w:val="0"/>
                <w:szCs w:val="21"/>
                <w:lang w:val="en-US" w:eastAsia="zh-CN"/>
              </w:rPr>
              <w:t>告表合计50份以上</w:t>
            </w:r>
          </w:p>
        </w:tc>
        <w:tc>
          <w:tcPr>
            <w:tcW w:w="247" w:type="pct"/>
            <w:vAlign w:val="center"/>
          </w:tcPr>
          <w:p w14:paraId="75C73CDF">
            <w:pPr>
              <w:adjustRightInd w:val="0"/>
              <w:snapToGrid w:val="0"/>
              <w:jc w:val="center"/>
              <w:rPr>
                <w:rFonts w:hint="eastAsia"/>
                <w:color w:val="000000"/>
              </w:rPr>
            </w:pPr>
            <w:r>
              <w:rPr>
                <w:rFonts w:hint="eastAsia"/>
                <w:color w:val="000000"/>
                <w:lang w:val="en-US" w:eastAsia="zh-CN"/>
              </w:rPr>
              <w:t>*为选择一项申报</w:t>
            </w:r>
          </w:p>
        </w:tc>
      </w:tr>
      <w:tr w14:paraId="220D2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2" w:type="pct"/>
            <w:vMerge w:val="continue"/>
          </w:tcPr>
          <w:p w14:paraId="35DA88BE">
            <w:pPr>
              <w:keepNext w:val="0"/>
              <w:keepLines w:val="0"/>
              <w:pageBreakBefore w:val="0"/>
              <w:widowControl w:val="0"/>
              <w:kinsoku/>
              <w:wordWrap/>
              <w:overflowPunct/>
              <w:topLinePunct w:val="0"/>
              <w:autoSpaceDE/>
              <w:autoSpaceDN/>
              <w:bidi w:val="0"/>
              <w:adjustRightInd/>
              <w:snapToGrid/>
              <w:jc w:val="left"/>
              <w:textAlignment w:val="auto"/>
              <w:rPr>
                <w:rFonts w:hint="eastAsia" w:eastAsiaTheme="minorEastAsia"/>
                <w:vertAlign w:val="baseline"/>
                <w:lang w:val="en-US" w:eastAsia="zh-CN"/>
              </w:rPr>
            </w:pPr>
          </w:p>
        </w:tc>
        <w:tc>
          <w:tcPr>
            <w:tcW w:w="179" w:type="pct"/>
            <w:vAlign w:val="top"/>
          </w:tcPr>
          <w:p w14:paraId="7C67083F">
            <w:pPr>
              <w:keepNext w:val="0"/>
              <w:keepLines w:val="0"/>
              <w:pageBreakBefore w:val="0"/>
              <w:widowControl w:val="0"/>
              <w:kinsoku/>
              <w:wordWrap/>
              <w:overflowPunct/>
              <w:topLinePunct w:val="0"/>
              <w:autoSpaceDE/>
              <w:autoSpaceDN/>
              <w:bidi w:val="0"/>
              <w:adjustRightInd/>
              <w:snapToGrid/>
              <w:spacing w:line="240" w:lineRule="auto"/>
              <w:ind w:left="106" w:leftChars="0" w:hanging="106" w:firstLineChars="0"/>
              <w:jc w:val="center"/>
              <w:textAlignment w:val="auto"/>
              <w:rPr>
                <w:rFonts w:hint="eastAsia"/>
                <w:vertAlign w:val="baseline"/>
                <w:lang w:val="en-US" w:eastAsia="zh-CN"/>
              </w:rPr>
            </w:pPr>
          </w:p>
          <w:p w14:paraId="20487867">
            <w:pPr>
              <w:keepNext w:val="0"/>
              <w:keepLines w:val="0"/>
              <w:pageBreakBefore w:val="0"/>
              <w:widowControl w:val="0"/>
              <w:kinsoku/>
              <w:wordWrap/>
              <w:overflowPunct/>
              <w:topLinePunct w:val="0"/>
              <w:autoSpaceDE/>
              <w:autoSpaceDN/>
              <w:bidi w:val="0"/>
              <w:adjustRightInd/>
              <w:snapToGrid/>
              <w:spacing w:line="240" w:lineRule="auto"/>
              <w:ind w:left="106" w:leftChars="0" w:hanging="106" w:firstLineChars="0"/>
              <w:jc w:val="center"/>
              <w:textAlignment w:val="auto"/>
              <w:rPr>
                <w:rFonts w:hint="eastAsia"/>
                <w:vertAlign w:val="baseline"/>
                <w:lang w:val="en-US" w:eastAsia="zh-CN"/>
              </w:rPr>
            </w:pPr>
          </w:p>
          <w:p w14:paraId="4CCE530A">
            <w:pPr>
              <w:keepNext w:val="0"/>
              <w:keepLines w:val="0"/>
              <w:pageBreakBefore w:val="0"/>
              <w:widowControl w:val="0"/>
              <w:kinsoku/>
              <w:wordWrap/>
              <w:overflowPunct/>
              <w:topLinePunct w:val="0"/>
              <w:autoSpaceDE/>
              <w:autoSpaceDN/>
              <w:bidi w:val="0"/>
              <w:adjustRightInd/>
              <w:snapToGrid/>
              <w:spacing w:line="240" w:lineRule="auto"/>
              <w:ind w:left="106" w:leftChars="0" w:hanging="106" w:firstLineChars="0"/>
              <w:jc w:val="center"/>
              <w:textAlignment w:val="auto"/>
              <w:rPr>
                <w:rFonts w:hint="default"/>
                <w:vertAlign w:val="baseline"/>
                <w:lang w:val="en-US" w:eastAsia="zh-CN"/>
              </w:rPr>
            </w:pPr>
            <w:r>
              <w:rPr>
                <w:rFonts w:hint="eastAsia"/>
                <w:vertAlign w:val="baseline"/>
                <w:lang w:val="en-US" w:eastAsia="zh-CN"/>
              </w:rPr>
              <w:t>14</w:t>
            </w:r>
          </w:p>
        </w:tc>
        <w:tc>
          <w:tcPr>
            <w:tcW w:w="307" w:type="pct"/>
            <w:vAlign w:val="center"/>
          </w:tcPr>
          <w:p w14:paraId="5C0C8689">
            <w:pPr>
              <w:keepNext w:val="0"/>
              <w:keepLines w:val="0"/>
              <w:widowControl/>
              <w:suppressLineNumbers w:val="0"/>
              <w:jc w:val="center"/>
              <w:rPr>
                <w:rFonts w:hint="eastAsia" w:ascii="宋体" w:hAnsi="宋体" w:cs="宋体"/>
                <w:color w:val="000000"/>
                <w:kern w:val="0"/>
                <w:szCs w:val="21"/>
                <w:lang w:val="en-US" w:eastAsia="zh-CN"/>
              </w:rPr>
            </w:pPr>
            <w:r>
              <w:rPr>
                <w:rFonts w:hint="eastAsia" w:ascii="Segoe UI" w:hAnsi="Segoe UI" w:eastAsia="Segoe UI" w:cs="Segoe UI"/>
                <w:i w:val="0"/>
                <w:iCs w:val="0"/>
                <w:caps w:val="0"/>
                <w:color w:val="000000"/>
                <w:spacing w:val="0"/>
                <w:kern w:val="0"/>
                <w:sz w:val="24"/>
                <w:szCs w:val="24"/>
                <w:lang w:val="en-US" w:eastAsia="zh-CN" w:bidi="ar"/>
              </w:rPr>
              <w:t>环境工程</w:t>
            </w:r>
          </w:p>
        </w:tc>
        <w:tc>
          <w:tcPr>
            <w:tcW w:w="2029" w:type="pct"/>
            <w:shd w:val="clear" w:color="auto" w:fill="auto"/>
            <w:vAlign w:val="center"/>
          </w:tcPr>
          <w:p w14:paraId="30F0B32A">
            <w:pPr>
              <w:widowControl/>
              <w:adjustRightInd w:val="0"/>
              <w:snapToGrid w:val="0"/>
              <w:rPr>
                <w:rFonts w:hint="default" w:ascii="宋体" w:hAnsi="宋体" w:cs="宋体"/>
                <w:color w:val="000000"/>
                <w:kern w:val="0"/>
                <w:szCs w:val="21"/>
                <w:lang w:val="en-US" w:eastAsia="zh-CN"/>
              </w:rPr>
            </w:pPr>
            <w:r>
              <w:rPr>
                <w:rFonts w:hint="default" w:ascii="宋体" w:hAnsi="宋体" w:cs="宋体"/>
                <w:color w:val="000000"/>
                <w:kern w:val="0"/>
                <w:szCs w:val="21"/>
                <w:lang w:val="en-US" w:eastAsia="zh-CN"/>
              </w:rPr>
              <w:t>近 3 年承接的环境工程项目合同总额不少于</w:t>
            </w:r>
            <w:r>
              <w:rPr>
                <w:rFonts w:hint="eastAsia" w:ascii="宋体" w:hAnsi="宋体" w:cs="宋体"/>
                <w:color w:val="000000"/>
                <w:kern w:val="0"/>
                <w:szCs w:val="21"/>
                <w:lang w:val="en-US" w:eastAsia="zh-CN"/>
              </w:rPr>
              <w:t>1.5亿</w:t>
            </w:r>
            <w:r>
              <w:rPr>
                <w:rFonts w:hint="default" w:ascii="宋体" w:hAnsi="宋体" w:cs="宋体"/>
                <w:color w:val="000000"/>
                <w:kern w:val="0"/>
                <w:szCs w:val="21"/>
                <w:lang w:val="en-US" w:eastAsia="zh-CN"/>
              </w:rPr>
              <w:t xml:space="preserve">元，其中单个项目合同额不少于 </w:t>
            </w:r>
            <w:r>
              <w:rPr>
                <w:rFonts w:hint="eastAsia" w:ascii="宋体" w:hAnsi="宋体" w:cs="宋体"/>
                <w:color w:val="000000"/>
                <w:kern w:val="0"/>
                <w:szCs w:val="21"/>
                <w:lang w:val="en-US" w:eastAsia="zh-CN"/>
              </w:rPr>
              <w:t>5</w:t>
            </w:r>
            <w:r>
              <w:rPr>
                <w:rFonts w:hint="default" w:ascii="宋体" w:hAnsi="宋体" w:cs="宋体"/>
                <w:color w:val="000000"/>
                <w:kern w:val="0"/>
                <w:szCs w:val="21"/>
                <w:lang w:val="en-US" w:eastAsia="zh-CN"/>
              </w:rPr>
              <w:t>00 万元的项目至少有 3 个。</w:t>
            </w:r>
          </w:p>
          <w:p w14:paraId="47170B6E">
            <w:pPr>
              <w:widowControl/>
              <w:adjustRightInd w:val="0"/>
              <w:snapToGrid w:val="0"/>
              <w:rPr>
                <w:rFonts w:hint="eastAsia" w:ascii="宋体" w:hAnsi="宋体" w:cs="宋体"/>
                <w:color w:val="000000"/>
                <w:kern w:val="0"/>
                <w:szCs w:val="21"/>
              </w:rPr>
            </w:pPr>
            <w:r>
              <w:rPr>
                <w:rFonts w:hint="default" w:ascii="宋体" w:hAnsi="宋体" w:cs="宋体"/>
                <w:color w:val="000000"/>
                <w:kern w:val="0"/>
                <w:szCs w:val="21"/>
                <w:lang w:val="en-US" w:eastAsia="zh-CN"/>
              </w:rPr>
              <w:t>完成至少 3 种不同类型（如污水处理、废气治理、固废处理等）的大型环境工程项目，且项目验收全部合格，运行效果良好。</w:t>
            </w:r>
          </w:p>
        </w:tc>
        <w:tc>
          <w:tcPr>
            <w:tcW w:w="2084" w:type="pct"/>
            <w:shd w:val="clear" w:color="auto" w:fill="auto"/>
            <w:vAlign w:val="center"/>
          </w:tcPr>
          <w:p w14:paraId="4F939242">
            <w:pPr>
              <w:widowControl/>
              <w:adjustRightInd w:val="0"/>
              <w:snapToGrid w:val="0"/>
              <w:rPr>
                <w:rFonts w:hint="default" w:ascii="宋体" w:hAnsi="宋体" w:cs="宋体"/>
                <w:color w:val="000000"/>
                <w:kern w:val="0"/>
                <w:szCs w:val="21"/>
                <w:lang w:val="en-US" w:eastAsia="zh-CN"/>
              </w:rPr>
            </w:pPr>
            <w:r>
              <w:rPr>
                <w:rFonts w:hint="default" w:ascii="宋体" w:hAnsi="宋体" w:cs="宋体"/>
                <w:color w:val="000000"/>
                <w:kern w:val="0"/>
                <w:szCs w:val="21"/>
                <w:lang w:val="en-US" w:eastAsia="zh-CN"/>
              </w:rPr>
              <w:t xml:space="preserve">近 3 年承接的环境工程项目合同总额不少于 </w:t>
            </w:r>
            <w:r>
              <w:rPr>
                <w:rFonts w:hint="eastAsia" w:ascii="宋体" w:hAnsi="宋体" w:cs="宋体"/>
                <w:color w:val="000000"/>
                <w:kern w:val="0"/>
                <w:szCs w:val="21"/>
                <w:lang w:val="en-US" w:eastAsia="zh-CN"/>
              </w:rPr>
              <w:t>2</w:t>
            </w:r>
            <w:r>
              <w:rPr>
                <w:rFonts w:hint="default" w:ascii="宋体" w:hAnsi="宋体" w:cs="宋体"/>
                <w:color w:val="000000"/>
                <w:kern w:val="0"/>
                <w:szCs w:val="21"/>
                <w:lang w:val="en-US" w:eastAsia="zh-CN"/>
              </w:rPr>
              <w:t xml:space="preserve">000 万元，其中单个项目合同额不少于 </w:t>
            </w:r>
            <w:r>
              <w:rPr>
                <w:rFonts w:hint="eastAsia" w:ascii="宋体" w:hAnsi="宋体" w:cs="宋体"/>
                <w:color w:val="000000"/>
                <w:kern w:val="0"/>
                <w:szCs w:val="21"/>
                <w:lang w:val="en-US" w:eastAsia="zh-CN"/>
              </w:rPr>
              <w:t>2</w:t>
            </w:r>
            <w:r>
              <w:rPr>
                <w:rFonts w:hint="default" w:ascii="宋体" w:hAnsi="宋体" w:cs="宋体"/>
                <w:color w:val="000000"/>
                <w:kern w:val="0"/>
                <w:szCs w:val="21"/>
                <w:lang w:val="en-US" w:eastAsia="zh-CN"/>
              </w:rPr>
              <w:t>00 万元的项目至少有 2 个。</w:t>
            </w:r>
          </w:p>
          <w:p w14:paraId="5DAA30AD">
            <w:pPr>
              <w:widowControl/>
              <w:adjustRightInd w:val="0"/>
              <w:snapToGrid w:val="0"/>
              <w:rPr>
                <w:rFonts w:hint="eastAsia" w:ascii="宋体" w:hAnsi="宋体" w:cs="宋体"/>
                <w:color w:val="000000"/>
                <w:kern w:val="0"/>
                <w:szCs w:val="21"/>
              </w:rPr>
            </w:pPr>
            <w:r>
              <w:rPr>
                <w:rFonts w:hint="default" w:ascii="宋体" w:hAnsi="宋体" w:cs="宋体"/>
                <w:color w:val="000000"/>
                <w:kern w:val="0"/>
                <w:szCs w:val="21"/>
                <w:lang w:val="en-US" w:eastAsia="zh-CN"/>
              </w:rPr>
              <w:t>完成至少 2 种不同类型的中型环境工程项目，且项目验收全部合格，运行效果良好。</w:t>
            </w:r>
          </w:p>
        </w:tc>
        <w:tc>
          <w:tcPr>
            <w:tcW w:w="247" w:type="pct"/>
            <w:vAlign w:val="center"/>
          </w:tcPr>
          <w:p w14:paraId="6C3F7A6B">
            <w:pPr>
              <w:adjustRightInd w:val="0"/>
              <w:snapToGrid w:val="0"/>
              <w:jc w:val="center"/>
              <w:rPr>
                <w:rFonts w:hint="eastAsia"/>
                <w:color w:val="000000"/>
              </w:rPr>
            </w:pPr>
          </w:p>
        </w:tc>
      </w:tr>
      <w:tr w14:paraId="28A0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000" w:type="pct"/>
            <w:gridSpan w:val="6"/>
          </w:tcPr>
          <w:p w14:paraId="073A4F9C">
            <w:pPr>
              <w:adjustRightInd w:val="0"/>
              <w:snapToGrid w:val="0"/>
              <w:jc w:val="left"/>
              <w:rPr>
                <w:rFonts w:hint="eastAsia"/>
                <w:color w:val="000000"/>
                <w:lang w:val="en-US" w:eastAsia="zh-CN"/>
              </w:rPr>
            </w:pPr>
            <w:r>
              <w:rPr>
                <w:rFonts w:hint="eastAsia"/>
                <w:color w:val="000000"/>
                <w:lang w:val="en-US" w:eastAsia="zh-CN"/>
              </w:rPr>
              <w:t>业绩要求能力级别中“小写字母+*”表示：满足其中之一</w:t>
            </w:r>
          </w:p>
          <w:p w14:paraId="5AA45DB2">
            <w:pPr>
              <w:adjustRightInd w:val="0"/>
              <w:snapToGrid w:val="0"/>
              <w:jc w:val="left"/>
              <w:rPr>
                <w:rFonts w:hint="default"/>
                <w:color w:val="000000"/>
                <w:lang w:val="en-US" w:eastAsia="zh-CN"/>
              </w:rPr>
            </w:pPr>
            <w:r>
              <w:rPr>
                <w:rFonts w:hint="eastAsia"/>
                <w:color w:val="000000"/>
                <w:lang w:val="en-US" w:eastAsia="zh-CN"/>
              </w:rPr>
              <w:t>“阿拉伯数字1，2，3......”表示需要同时满足</w:t>
            </w:r>
          </w:p>
        </w:tc>
      </w:tr>
    </w:tbl>
    <w:p w14:paraId="352F751A">
      <w:pPr>
        <w:rPr>
          <w:rFonts w:hint="default"/>
          <w:color w:val="auto"/>
          <w:lang w:val="en-US" w:eastAsia="zh-CN"/>
          <w14:textFill>
            <w14:gradFill>
              <w14:gsLst>
                <w14:gs w14:pos="50000">
                  <w14:schemeClr w14:val="accent6"/>
                </w14:gs>
                <w14:gs w14:pos="0">
                  <w14:schemeClr w14:val="accent6">
                    <w14:lumMod w14:val="25000"/>
                    <w14:lumOff w14:val="75000"/>
                  </w14:schemeClr>
                </w14:gs>
                <w14:gs w14:pos="100000">
                  <w14:schemeClr w14:val="accent6">
                    <w14:lumMod w14:val="85000"/>
                  </w14:schemeClr>
                </w14:gs>
              </w14:gsLst>
              <w14:lin w14:ang="5400000" w14:scaled="1"/>
            </w14:gradFill>
          </w14:textFill>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59ADAF"/>
    <w:multiLevelType w:val="singleLevel"/>
    <w:tmpl w:val="FE59ADAF"/>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7E47A0"/>
    <w:rsid w:val="010F69CC"/>
    <w:rsid w:val="03336DE1"/>
    <w:rsid w:val="0819123D"/>
    <w:rsid w:val="081C4809"/>
    <w:rsid w:val="0ABE6AD0"/>
    <w:rsid w:val="0E06586B"/>
    <w:rsid w:val="10102881"/>
    <w:rsid w:val="102174EB"/>
    <w:rsid w:val="1BD47A17"/>
    <w:rsid w:val="255B6AB3"/>
    <w:rsid w:val="2CD10950"/>
    <w:rsid w:val="2D7E47A0"/>
    <w:rsid w:val="45034D45"/>
    <w:rsid w:val="47795299"/>
    <w:rsid w:val="4B311B9D"/>
    <w:rsid w:val="4C686FCE"/>
    <w:rsid w:val="566B62A7"/>
    <w:rsid w:val="569609A1"/>
    <w:rsid w:val="5EF221DC"/>
    <w:rsid w:val="620948E3"/>
    <w:rsid w:val="6C4A13BD"/>
    <w:rsid w:val="6EB81E4D"/>
    <w:rsid w:val="72D85950"/>
    <w:rsid w:val="74081240"/>
    <w:rsid w:val="74E64347"/>
    <w:rsid w:val="78153E6C"/>
    <w:rsid w:val="7D605B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1416</Words>
  <Characters>1499</Characters>
  <Lines>0</Lines>
  <Paragraphs>0</Paragraphs>
  <TotalTime>79</TotalTime>
  <ScaleCrop>false</ScaleCrop>
  <LinksUpToDate>false</LinksUpToDate>
  <CharactersWithSpaces>1505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2025-05-13T06:20:00Z</dcterms:created>
  <dc:creator>MXJ</dc:creator>
  <cp:lastModifiedBy>MXJ</cp:lastModifiedBy>
  <dcterms:modified xsi:type="dcterms:W3CDTF">2025-05-20T07:36:17Z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B82E32AEBC5D4254A1B6FB724942F550_13</vt:lpwstr>
  </property>
  <property fmtid="{D5CDD505-2E9C-101B-9397-08002B2CF9AE}" pid="4" name="KSOTemplateDocerSaveRecord">
    <vt:lpwstr>eyJoZGlkIjoiZGYwZjIyYjVhNjgwNDAxOWYzYzMxYmYzY2MyODcwNDEiLCJ1c2VySWQiOiIzNjU3NjI2NTMifQ==</vt:lpwstr>
  </property>
</Properties>
</file>