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01077">
      <w:pPr>
        <w:spacing w:after="0" w:line="600" w:lineRule="exact"/>
        <w:rPr>
          <w:rFonts w:ascii="Times New Roman" w:hAnsi="Times New Roman" w:eastAsia="方正小标宋简体"/>
          <w:bCs/>
          <w:sz w:val="36"/>
          <w:szCs w:val="20"/>
          <w:lang w:eastAsia="zh-CN"/>
        </w:rPr>
      </w:pPr>
      <w:r>
        <w:rPr>
          <w:rFonts w:hint="eastAsia" w:ascii="Times New Roman" w:hAnsi="Times New Roman" w:eastAsia="方正小标宋简体"/>
          <w:bCs/>
          <w:sz w:val="36"/>
          <w:szCs w:val="20"/>
          <w:lang w:eastAsia="zh-CN"/>
        </w:rPr>
        <w:t>附件1</w:t>
      </w:r>
    </w:p>
    <w:p w14:paraId="79F00984">
      <w:pPr>
        <w:spacing w:after="0" w:line="600" w:lineRule="exact"/>
        <w:jc w:val="center"/>
        <w:rPr>
          <w:lang w:eastAsia="zh-CN"/>
        </w:rPr>
      </w:pPr>
      <w:r>
        <w:rPr>
          <w:rFonts w:ascii="Times New Roman" w:hAnsi="Times New Roman" w:eastAsia="方正小标宋简体"/>
          <w:b/>
          <w:sz w:val="44"/>
          <w:lang w:eastAsia="zh-CN"/>
        </w:rPr>
        <w:t>海口市骨科与糖尿病医院</w:t>
      </w:r>
    </w:p>
    <w:p w14:paraId="08AA0FB5">
      <w:pPr>
        <w:spacing w:after="0" w:line="600" w:lineRule="exact"/>
        <w:jc w:val="center"/>
        <w:rPr>
          <w:lang w:eastAsia="zh-CN"/>
        </w:rPr>
      </w:pPr>
      <w:r>
        <w:rPr>
          <w:rFonts w:ascii="Times New Roman" w:hAnsi="Times New Roman" w:eastAsia="方正小标宋简体"/>
          <w:b/>
          <w:sz w:val="44"/>
          <w:lang w:eastAsia="zh-CN"/>
        </w:rPr>
        <w:t>校医专科医生培训知识库建设项目需求</w:t>
      </w:r>
    </w:p>
    <w:p w14:paraId="7F2944E1">
      <w:pPr>
        <w:rPr>
          <w:lang w:eastAsia="zh-CN"/>
        </w:rPr>
      </w:pPr>
    </w:p>
    <w:p w14:paraId="6D44596E">
      <w:pPr>
        <w:spacing w:after="0" w:line="520" w:lineRule="atLeast"/>
        <w:ind w:firstLine="643" w:firstLineChars="200"/>
        <w:rPr>
          <w:lang w:eastAsia="zh-CN"/>
        </w:rPr>
      </w:pPr>
      <w:r>
        <w:rPr>
          <w:rFonts w:ascii="Times New Roman" w:hAnsi="Times New Roman" w:eastAsia="黑体"/>
          <w:b/>
          <w:sz w:val="32"/>
          <w:lang w:eastAsia="zh-CN"/>
        </w:rPr>
        <w:t>一、调研目的</w:t>
      </w:r>
    </w:p>
    <w:p w14:paraId="7227CE2A">
      <w:pPr>
        <w:spacing w:after="0" w:line="520" w:lineRule="atLeast"/>
        <w:ind w:firstLine="640" w:firstLineChars="200"/>
        <w:rPr>
          <w:lang w:eastAsia="zh-CN"/>
        </w:rPr>
      </w:pPr>
      <w:r>
        <w:rPr>
          <w:rFonts w:ascii="Times New Roman" w:hAnsi="Times New Roman" w:eastAsia="仿宋"/>
          <w:sz w:val="32"/>
          <w:lang w:eastAsia="zh-CN"/>
        </w:rPr>
        <w:t>为响应《"健康中国2030"规划纲要》，落实国家多部门提出的以儿童青少年"健康体重、视力、心理、骨骼、口腔健康"为重点的"五健"促进行动，解决基层及校园在健康服务落地过程中面临的专病门诊建设不规范、校医及基层医生专业知识不足、传统培训模式缺乏系统化支撑等实际问题。</w:t>
      </w:r>
    </w:p>
    <w:p w14:paraId="7C1D0F2D">
      <w:pPr>
        <w:spacing w:after="0" w:line="520" w:lineRule="atLeast"/>
        <w:ind w:firstLine="640" w:firstLineChars="200"/>
        <w:rPr>
          <w:lang w:eastAsia="zh-CN"/>
        </w:rPr>
      </w:pPr>
      <w:r>
        <w:rPr>
          <w:rFonts w:ascii="Times New Roman" w:hAnsi="Times New Roman" w:eastAsia="仿宋"/>
          <w:sz w:val="32"/>
          <w:lang w:eastAsia="zh-CN"/>
        </w:rPr>
        <w:t>通过本次市场调研，全面了解当前校医专科培训知识库建设领域的技术水平、市场供给能力和成熟解决方案，为我院"校医专科医生培训知识库建设"项目征集最优建设方案，为下一步招标采购工作提供决策依据和技术参考。</w:t>
      </w:r>
    </w:p>
    <w:p w14:paraId="01DC1D2C">
      <w:pPr>
        <w:spacing w:after="0" w:line="520" w:lineRule="atLeast"/>
        <w:ind w:firstLine="643" w:firstLineChars="200"/>
        <w:rPr>
          <w:lang w:eastAsia="zh-CN"/>
        </w:rPr>
      </w:pPr>
      <w:r>
        <w:rPr>
          <w:rFonts w:ascii="Times New Roman" w:hAnsi="Times New Roman" w:eastAsia="黑体"/>
          <w:b/>
          <w:sz w:val="32"/>
          <w:lang w:eastAsia="zh-CN"/>
        </w:rPr>
        <w:t>二、调研范围</w:t>
      </w:r>
    </w:p>
    <w:p w14:paraId="7457E325">
      <w:pPr>
        <w:spacing w:after="0" w:line="520" w:lineRule="atLeast"/>
        <w:ind w:firstLine="640" w:firstLineChars="200"/>
        <w:rPr>
          <w:lang w:eastAsia="zh-CN"/>
        </w:rPr>
      </w:pPr>
      <w:r>
        <w:rPr>
          <w:rFonts w:ascii="Times New Roman" w:hAnsi="Times New Roman" w:eastAsia="仿宋"/>
          <w:sz w:val="32"/>
          <w:lang w:eastAsia="zh-CN"/>
        </w:rPr>
        <w:t>本次调研面向全国范围内具备医疗信息化系统建设、数字知识库开发、医学教育培训等相关资质和经验的供应商，具体包括：</w:t>
      </w:r>
    </w:p>
    <w:p w14:paraId="6AB1EB31">
      <w:pPr>
        <w:spacing w:after="0" w:line="520" w:lineRule="atLeast"/>
        <w:ind w:firstLine="640" w:firstLineChars="200"/>
        <w:rPr>
          <w:lang w:eastAsia="zh-CN"/>
        </w:rPr>
      </w:pPr>
      <w:r>
        <w:rPr>
          <w:rFonts w:ascii="Times New Roman" w:hAnsi="Times New Roman" w:eastAsia="仿宋"/>
          <w:sz w:val="32"/>
          <w:lang w:eastAsia="zh-CN"/>
        </w:rPr>
        <w:t>（一）具备医疗系统集成、数字化知识库建设相关软件著作权和技术能力的信息技术企业；</w:t>
      </w:r>
    </w:p>
    <w:p w14:paraId="4698A52C">
      <w:pPr>
        <w:spacing w:after="0" w:line="520" w:lineRule="atLeast"/>
        <w:ind w:firstLine="640" w:firstLineChars="200"/>
        <w:rPr>
          <w:lang w:eastAsia="zh-CN"/>
        </w:rPr>
      </w:pPr>
      <w:r>
        <w:rPr>
          <w:rFonts w:ascii="Times New Roman" w:hAnsi="Times New Roman" w:eastAsia="仿宋"/>
          <w:sz w:val="32"/>
          <w:lang w:eastAsia="zh-CN"/>
        </w:rPr>
        <w:t>（二）具备医学教育培训、儿科专科课程研发经验的医疗服务机构或教育科技企业；</w:t>
      </w:r>
    </w:p>
    <w:p w14:paraId="690551D0">
      <w:pPr>
        <w:spacing w:after="0" w:line="520" w:lineRule="atLeast"/>
        <w:ind w:firstLine="640" w:firstLineChars="200"/>
        <w:rPr>
          <w:lang w:eastAsia="zh-CN"/>
        </w:rPr>
      </w:pPr>
      <w:r>
        <w:rPr>
          <w:rFonts w:ascii="Times New Roman" w:hAnsi="Times New Roman" w:eastAsia="仿宋"/>
          <w:sz w:val="32"/>
          <w:lang w:eastAsia="zh-CN"/>
        </w:rPr>
        <w:t>（三）能够提供"专病门诊指导+在线授课考核+云端知识库"一体化综合解决方案的供应商。</w:t>
      </w:r>
    </w:p>
    <w:p w14:paraId="0C2087AF">
      <w:pPr>
        <w:spacing w:after="0" w:line="520" w:lineRule="atLeast"/>
        <w:ind w:firstLine="640" w:firstLineChars="200"/>
        <w:rPr>
          <w:lang w:eastAsia="zh-CN"/>
        </w:rPr>
      </w:pPr>
      <w:r>
        <w:rPr>
          <w:rFonts w:ascii="Times New Roman" w:hAnsi="Times New Roman" w:eastAsia="仿宋"/>
          <w:sz w:val="32"/>
          <w:lang w:eastAsia="zh-CN"/>
        </w:rPr>
        <w:t>项目实施地点：海南省海口市秀英区西海岸长秀路3号，海口市骨科与糖尿病医院。</w:t>
      </w:r>
    </w:p>
    <w:p w14:paraId="5702065C">
      <w:pPr>
        <w:spacing w:after="0" w:line="520" w:lineRule="atLeast"/>
        <w:ind w:firstLine="643" w:firstLineChars="200"/>
        <w:rPr>
          <w:rFonts w:ascii="Times New Roman" w:hAnsi="Times New Roman" w:eastAsia="黑体"/>
          <w:b/>
          <w:sz w:val="32"/>
          <w:lang w:eastAsia="zh-CN"/>
        </w:rPr>
      </w:pPr>
      <w:r>
        <w:rPr>
          <w:rFonts w:hint="eastAsia" w:ascii="Times New Roman" w:hAnsi="Times New Roman" w:eastAsia="黑体"/>
          <w:b/>
          <w:sz w:val="32"/>
          <w:lang w:eastAsia="zh-CN"/>
        </w:rPr>
        <w:t>三、项目约束与前提</w:t>
      </w:r>
    </w:p>
    <w:p w14:paraId="03BAE3B2">
      <w:pPr>
        <w:spacing w:after="0" w:line="520" w:lineRule="atLeast"/>
        <w:ind w:firstLine="640" w:firstLineChars="200"/>
        <w:jc w:val="both"/>
        <w:rPr>
          <w:rFonts w:hint="eastAsia" w:ascii="仿宋_GB2312" w:hAnsi="仿宋_GB2312" w:eastAsia="仿宋_GB2312" w:cs="仿宋_GB2312"/>
          <w:sz w:val="32"/>
          <w:szCs w:val="32"/>
          <w:lang w:eastAsia="zh-CN" w:bidi="ar"/>
        </w:rPr>
      </w:pPr>
      <w:r>
        <w:rPr>
          <w:rFonts w:hint="eastAsia" w:ascii="仿宋_GB2312" w:hAnsi="仿宋_GB2312" w:eastAsia="仿宋_GB2312" w:cs="仿宋_GB2312"/>
          <w:sz w:val="32"/>
          <w:szCs w:val="32"/>
          <w:lang w:eastAsia="zh-CN" w:bidi="ar"/>
        </w:rPr>
        <w:t>为保证方案的落地性、安全性与经济性，应征方需充分考虑以下业务与技术条件：</w:t>
      </w:r>
    </w:p>
    <w:tbl>
      <w:tblPr>
        <w:tblStyle w:val="32"/>
        <w:tblW w:w="0" w:type="auto"/>
        <w:tblInd w:w="0" w:type="dxa"/>
        <w:tblLayout w:type="autofit"/>
        <w:tblCellMar>
          <w:top w:w="15" w:type="dxa"/>
          <w:left w:w="15" w:type="dxa"/>
          <w:bottom w:w="15" w:type="dxa"/>
          <w:right w:w="15" w:type="dxa"/>
        </w:tblCellMar>
      </w:tblPr>
      <w:tblGrid>
        <w:gridCol w:w="1699"/>
        <w:gridCol w:w="7266"/>
      </w:tblGrid>
      <w:tr w14:paraId="25DDBBCB">
        <w:tblPrEx>
          <w:tblCellMar>
            <w:top w:w="15" w:type="dxa"/>
            <w:left w:w="15" w:type="dxa"/>
            <w:bottom w:w="15" w:type="dxa"/>
            <w:right w:w="15" w:type="dxa"/>
          </w:tblCellMar>
        </w:tblPrEx>
        <w:trPr>
          <w:trHeight w:val="492" w:hRule="atLeast"/>
        </w:trPr>
        <w:tc>
          <w:tcPr>
            <w:tcW w:w="1699"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33BDE933">
            <w:pPr>
              <w:spacing w:after="0" w:line="520" w:lineRule="atLeast"/>
              <w:jc w:val="center"/>
              <w:textAlignment w:val="center"/>
              <w:rPr>
                <w:rFonts w:hint="eastAsia" w:ascii="仿宋_GB2312" w:hAnsi="仿宋_GB2312" w:eastAsia="仿宋_GB2312" w:cs="仿宋_GB2312"/>
                <w:b/>
                <w:bCs/>
                <w:color w:val="1F1F1F"/>
                <w:sz w:val="32"/>
                <w:szCs w:val="32"/>
              </w:rPr>
            </w:pPr>
            <w:r>
              <w:rPr>
                <w:rFonts w:hint="eastAsia" w:ascii="仿宋_GB2312" w:hAnsi="仿宋_GB2312" w:eastAsia="仿宋_GB2312" w:cs="仿宋_GB2312"/>
                <w:b/>
                <w:bCs/>
                <w:color w:val="1F1F1F"/>
                <w:sz w:val="32"/>
                <w:szCs w:val="32"/>
                <w:lang w:eastAsia="zh-CN" w:bidi="ar"/>
              </w:rPr>
              <w:t>类别</w:t>
            </w:r>
          </w:p>
        </w:tc>
        <w:tc>
          <w:tcPr>
            <w:tcW w:w="7266"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17A81296">
            <w:pPr>
              <w:spacing w:after="0" w:line="520" w:lineRule="atLeast"/>
              <w:jc w:val="center"/>
              <w:textAlignment w:val="center"/>
              <w:rPr>
                <w:rFonts w:hint="eastAsia" w:ascii="仿宋_GB2312" w:hAnsi="仿宋_GB2312" w:eastAsia="仿宋_GB2312" w:cs="仿宋_GB2312"/>
                <w:b/>
                <w:bCs/>
                <w:color w:val="1F1F1F"/>
                <w:sz w:val="32"/>
                <w:szCs w:val="32"/>
              </w:rPr>
            </w:pPr>
            <w:r>
              <w:rPr>
                <w:rFonts w:hint="eastAsia" w:ascii="仿宋_GB2312" w:hAnsi="仿宋_GB2312" w:eastAsia="仿宋_GB2312" w:cs="仿宋_GB2312"/>
                <w:b/>
                <w:bCs/>
                <w:color w:val="1F1F1F"/>
                <w:sz w:val="32"/>
                <w:szCs w:val="32"/>
                <w:lang w:eastAsia="zh-CN" w:bidi="ar"/>
              </w:rPr>
              <w:t>具体情况说明</w:t>
            </w:r>
          </w:p>
        </w:tc>
      </w:tr>
      <w:tr w14:paraId="34D78DC9">
        <w:tblPrEx>
          <w:tblCellMar>
            <w:top w:w="15" w:type="dxa"/>
            <w:left w:w="15" w:type="dxa"/>
            <w:bottom w:w="15" w:type="dxa"/>
            <w:right w:w="15" w:type="dxa"/>
          </w:tblCellMar>
        </w:tblPrEx>
        <w:trPr>
          <w:trHeight w:val="2060" w:hRule="atLeast"/>
        </w:trPr>
        <w:tc>
          <w:tcPr>
            <w:tcW w:w="1699"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467A102B">
            <w:pPr>
              <w:spacing w:after="0" w:line="520" w:lineRule="atLeast"/>
              <w:jc w:val="center"/>
              <w:textAlignment w:val="center"/>
              <w:rPr>
                <w:rFonts w:hint="eastAsia" w:ascii="仿宋_GB2312" w:hAnsi="仿宋_GB2312" w:eastAsia="仿宋_GB2312" w:cs="仿宋_GB2312"/>
                <w:b/>
                <w:bCs/>
                <w:color w:val="1F1F1F"/>
                <w:sz w:val="32"/>
                <w:szCs w:val="32"/>
              </w:rPr>
            </w:pPr>
            <w:r>
              <w:rPr>
                <w:rFonts w:hint="eastAsia" w:ascii="仿宋_GB2312" w:hAnsi="仿宋_GB2312" w:eastAsia="仿宋_GB2312" w:cs="仿宋_GB2312"/>
                <w:b/>
                <w:bCs/>
                <w:color w:val="1F1F1F"/>
                <w:sz w:val="32"/>
                <w:szCs w:val="32"/>
                <w:lang w:eastAsia="zh-CN" w:bidi="ar"/>
              </w:rPr>
              <w:t>知识权威性与交付</w:t>
            </w:r>
          </w:p>
        </w:tc>
        <w:tc>
          <w:tcPr>
            <w:tcW w:w="7266"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53CB2F04">
            <w:pPr>
              <w:spacing w:after="0" w:line="520" w:lineRule="atLeast"/>
              <w:textAlignment w:val="center"/>
              <w:rPr>
                <w:rFonts w:hint="eastAsia" w:ascii="仿宋_GB2312" w:hAnsi="仿宋_GB2312" w:eastAsia="仿宋_GB2312" w:cs="仿宋_GB2312"/>
                <w:color w:val="1F1F1F"/>
                <w:sz w:val="32"/>
                <w:szCs w:val="32"/>
                <w:lang w:eastAsia="zh-CN"/>
              </w:rPr>
            </w:pPr>
            <w:r>
              <w:rPr>
                <w:rFonts w:hint="eastAsia" w:ascii="仿宋_GB2312" w:hAnsi="仿宋_GB2312" w:eastAsia="仿宋_GB2312" w:cs="仿宋_GB2312"/>
                <w:color w:val="1F1F1F"/>
                <w:sz w:val="32"/>
                <w:szCs w:val="32"/>
                <w:lang w:eastAsia="zh-CN" w:bidi="ar"/>
              </w:rPr>
              <w:t>方案须包含实质性的“知识交付”内容，课程内容需由知名儿科或专科医院的专家团队参与录制、审核与授课带教。</w:t>
            </w:r>
          </w:p>
        </w:tc>
      </w:tr>
      <w:tr w14:paraId="3CEDC758">
        <w:tblPrEx>
          <w:tblCellMar>
            <w:top w:w="15" w:type="dxa"/>
            <w:left w:w="15" w:type="dxa"/>
            <w:bottom w:w="15" w:type="dxa"/>
            <w:right w:w="15" w:type="dxa"/>
          </w:tblCellMar>
        </w:tblPrEx>
        <w:trPr>
          <w:trHeight w:val="1947" w:hRule="atLeast"/>
        </w:trPr>
        <w:tc>
          <w:tcPr>
            <w:tcW w:w="1699"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4C672FFC">
            <w:pPr>
              <w:spacing w:after="0" w:line="520" w:lineRule="atLeast"/>
              <w:jc w:val="center"/>
              <w:textAlignment w:val="center"/>
              <w:rPr>
                <w:rFonts w:hint="eastAsia" w:ascii="仿宋_GB2312" w:hAnsi="仿宋_GB2312" w:eastAsia="仿宋_GB2312" w:cs="仿宋_GB2312"/>
                <w:b/>
                <w:bCs/>
                <w:color w:val="1F1F1F"/>
                <w:sz w:val="32"/>
                <w:szCs w:val="32"/>
              </w:rPr>
            </w:pPr>
            <w:r>
              <w:rPr>
                <w:rFonts w:hint="eastAsia" w:ascii="仿宋_GB2312" w:hAnsi="仿宋_GB2312" w:eastAsia="仿宋_GB2312" w:cs="仿宋_GB2312"/>
                <w:b/>
                <w:bCs/>
                <w:color w:val="1F1F1F"/>
                <w:sz w:val="32"/>
                <w:szCs w:val="32"/>
                <w:lang w:eastAsia="zh-CN" w:bidi="ar"/>
              </w:rPr>
              <w:t>知识库架构与部署</w:t>
            </w:r>
          </w:p>
        </w:tc>
        <w:tc>
          <w:tcPr>
            <w:tcW w:w="7266"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2DA8B9D4">
            <w:pPr>
              <w:spacing w:after="0" w:line="520" w:lineRule="atLeast"/>
              <w:textAlignment w:val="center"/>
              <w:rPr>
                <w:rFonts w:hint="eastAsia" w:ascii="仿宋_GB2312" w:hAnsi="仿宋_GB2312" w:eastAsia="仿宋_GB2312" w:cs="仿宋_GB2312"/>
                <w:color w:val="1F1F1F"/>
                <w:sz w:val="32"/>
                <w:szCs w:val="32"/>
                <w:lang w:eastAsia="zh-CN"/>
              </w:rPr>
            </w:pPr>
            <w:r>
              <w:rPr>
                <w:rFonts w:hint="eastAsia" w:ascii="仿宋_GB2312" w:hAnsi="仿宋_GB2312" w:eastAsia="仿宋_GB2312" w:cs="仿宋_GB2312"/>
                <w:color w:val="1F1F1F"/>
                <w:sz w:val="32"/>
                <w:szCs w:val="32"/>
                <w:lang w:eastAsia="zh-CN" w:bidi="ar"/>
              </w:rPr>
              <w:t>知识库需具备良好的扩展性与兼容性，支持多点部署，未来可根据区域卫健委或更多协作学校的要求进行快速复制与平滑扩容。</w:t>
            </w:r>
          </w:p>
        </w:tc>
      </w:tr>
      <w:tr w14:paraId="0F0E2505">
        <w:tblPrEx>
          <w:tblCellMar>
            <w:top w:w="15" w:type="dxa"/>
            <w:left w:w="15" w:type="dxa"/>
            <w:bottom w:w="15" w:type="dxa"/>
            <w:right w:w="15" w:type="dxa"/>
          </w:tblCellMar>
        </w:tblPrEx>
        <w:trPr>
          <w:trHeight w:val="2231" w:hRule="atLeast"/>
        </w:trPr>
        <w:tc>
          <w:tcPr>
            <w:tcW w:w="1699"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09053FD5">
            <w:pPr>
              <w:spacing w:after="0" w:line="520" w:lineRule="atLeast"/>
              <w:jc w:val="center"/>
              <w:textAlignment w:val="center"/>
              <w:rPr>
                <w:rFonts w:hint="eastAsia" w:ascii="仿宋_GB2312" w:hAnsi="仿宋_GB2312" w:eastAsia="仿宋_GB2312" w:cs="仿宋_GB2312"/>
                <w:b/>
                <w:bCs/>
                <w:color w:val="1F1F1F"/>
                <w:sz w:val="32"/>
                <w:szCs w:val="32"/>
              </w:rPr>
            </w:pPr>
            <w:r>
              <w:rPr>
                <w:rFonts w:hint="eastAsia" w:ascii="仿宋_GB2312" w:hAnsi="仿宋_GB2312" w:eastAsia="仿宋_GB2312" w:cs="仿宋_GB2312"/>
                <w:b/>
                <w:bCs/>
                <w:color w:val="1F1F1F"/>
                <w:sz w:val="32"/>
                <w:szCs w:val="32"/>
                <w:lang w:eastAsia="zh-CN" w:bidi="ar"/>
              </w:rPr>
              <w:t>考核与评价机制</w:t>
            </w:r>
          </w:p>
        </w:tc>
        <w:tc>
          <w:tcPr>
            <w:tcW w:w="7266"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296E7F16">
            <w:pPr>
              <w:spacing w:after="0" w:line="520" w:lineRule="atLeast"/>
              <w:textAlignment w:val="center"/>
              <w:rPr>
                <w:rFonts w:hint="eastAsia" w:ascii="仿宋_GB2312" w:hAnsi="仿宋_GB2312" w:eastAsia="仿宋_GB2312" w:cs="仿宋_GB2312"/>
                <w:color w:val="1F1F1F"/>
                <w:sz w:val="32"/>
                <w:szCs w:val="32"/>
                <w:lang w:eastAsia="zh-CN"/>
              </w:rPr>
            </w:pPr>
            <w:r>
              <w:rPr>
                <w:rFonts w:hint="eastAsia" w:ascii="仿宋_GB2312" w:hAnsi="仿宋_GB2312" w:eastAsia="仿宋_GB2312" w:cs="仿宋_GB2312"/>
                <w:color w:val="1F1F1F"/>
                <w:sz w:val="32"/>
                <w:szCs w:val="32"/>
                <w:lang w:eastAsia="zh-CN" w:bidi="ar"/>
              </w:rPr>
              <w:t>知识库须具备严格的考核评价功能，支持从理论学时、在线测验到实操闭环的多维度综合打分。呈现区域内单个学员及全体学员学习转化效果数据看板，并一键生成包含图表的评估总结材料。</w:t>
            </w:r>
          </w:p>
        </w:tc>
      </w:tr>
      <w:tr w14:paraId="256C4ED7">
        <w:tblPrEx>
          <w:tblCellMar>
            <w:top w:w="15" w:type="dxa"/>
            <w:left w:w="15" w:type="dxa"/>
            <w:bottom w:w="15" w:type="dxa"/>
            <w:right w:w="15" w:type="dxa"/>
          </w:tblCellMar>
        </w:tblPrEx>
        <w:trPr>
          <w:trHeight w:val="2222" w:hRule="atLeast"/>
        </w:trPr>
        <w:tc>
          <w:tcPr>
            <w:tcW w:w="1699"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2CAEE2DF">
            <w:pPr>
              <w:spacing w:after="0" w:line="520" w:lineRule="atLeast"/>
              <w:jc w:val="center"/>
              <w:textAlignment w:val="center"/>
              <w:rPr>
                <w:rFonts w:hint="eastAsia" w:ascii="仿宋_GB2312" w:hAnsi="仿宋_GB2312" w:eastAsia="仿宋_GB2312" w:cs="仿宋_GB2312"/>
                <w:b/>
                <w:bCs/>
                <w:color w:val="1F1F1F"/>
                <w:sz w:val="32"/>
                <w:szCs w:val="32"/>
              </w:rPr>
            </w:pPr>
            <w:r>
              <w:rPr>
                <w:rFonts w:hint="eastAsia" w:ascii="仿宋_GB2312" w:hAnsi="仿宋_GB2312" w:eastAsia="仿宋_GB2312" w:cs="仿宋_GB2312"/>
                <w:b/>
                <w:bCs/>
                <w:color w:val="1F1F1F"/>
                <w:sz w:val="32"/>
                <w:szCs w:val="32"/>
                <w:lang w:eastAsia="zh-CN" w:bidi="ar"/>
              </w:rPr>
              <w:t>AI智能知识库建设</w:t>
            </w:r>
          </w:p>
        </w:tc>
        <w:tc>
          <w:tcPr>
            <w:tcW w:w="7266" w:type="dxa"/>
            <w:tcBorders>
              <w:top w:val="single" w:color="1F1F1F" w:sz="4" w:space="0"/>
              <w:left w:val="single" w:color="1F1F1F" w:sz="4" w:space="0"/>
              <w:bottom w:val="single" w:color="1F1F1F" w:sz="4" w:space="0"/>
              <w:right w:val="single" w:color="1F1F1F" w:sz="4" w:space="0"/>
            </w:tcBorders>
            <w:shd w:val="clear" w:color="auto" w:fill="F8FAFD"/>
            <w:vAlign w:val="center"/>
          </w:tcPr>
          <w:p w14:paraId="4C424560">
            <w:pPr>
              <w:spacing w:after="0" w:line="520" w:lineRule="atLeast"/>
              <w:textAlignment w:val="center"/>
              <w:rPr>
                <w:rFonts w:hint="eastAsia" w:ascii="仿宋_GB2312" w:hAnsi="仿宋_GB2312" w:eastAsia="仿宋_GB2312" w:cs="仿宋_GB2312"/>
                <w:color w:val="1F1F1F"/>
                <w:sz w:val="32"/>
                <w:szCs w:val="32"/>
                <w:lang w:eastAsia="zh-CN"/>
              </w:rPr>
            </w:pPr>
            <w:r>
              <w:rPr>
                <w:rFonts w:hint="eastAsia" w:ascii="仿宋_GB2312" w:hAnsi="仿宋_GB2312" w:eastAsia="仿宋_GB2312" w:cs="仿宋_GB2312"/>
                <w:color w:val="1F1F1F"/>
                <w:sz w:val="32"/>
                <w:szCs w:val="32"/>
                <w:lang w:eastAsia="zh-CN" w:bidi="ar"/>
              </w:rPr>
              <w:t>用数字模型视频生成符合医学伦理的五健常见疾病的临床门诊为主的带教学习视频，提升学员五健临床决策能力。</w:t>
            </w:r>
          </w:p>
        </w:tc>
      </w:tr>
    </w:tbl>
    <w:p w14:paraId="47195536">
      <w:pPr>
        <w:spacing w:after="0" w:line="520" w:lineRule="atLeast"/>
        <w:ind w:firstLine="643" w:firstLineChars="200"/>
        <w:rPr>
          <w:rFonts w:ascii="Times New Roman" w:hAnsi="Times New Roman" w:eastAsia="黑体"/>
          <w:b/>
          <w:sz w:val="32"/>
          <w:lang w:eastAsia="zh-CN"/>
        </w:rPr>
      </w:pPr>
      <w:r>
        <w:rPr>
          <w:rFonts w:hint="eastAsia" w:ascii="Times New Roman" w:hAnsi="Times New Roman" w:eastAsia="黑体"/>
          <w:b/>
          <w:sz w:val="32"/>
          <w:lang w:eastAsia="zh-CN"/>
        </w:rPr>
        <w:t>四、调研内容</w:t>
      </w:r>
    </w:p>
    <w:p w14:paraId="31E6E0EB">
      <w:pPr>
        <w:spacing w:after="0" w:line="520" w:lineRule="atLeast"/>
        <w:ind w:firstLine="640" w:firstLineChars="200"/>
        <w:rPr>
          <w:lang w:eastAsia="zh-CN"/>
        </w:rPr>
      </w:pPr>
      <w:r>
        <w:rPr>
          <w:rFonts w:ascii="Times New Roman" w:hAnsi="Times New Roman" w:eastAsia="仿宋"/>
          <w:sz w:val="32"/>
          <w:lang w:eastAsia="zh-CN"/>
        </w:rPr>
        <w:t>本次调研重点围绕校医专科医生培训知识库建设的五大核心模块展开，具体调研内容如下：</w:t>
      </w:r>
    </w:p>
    <w:p w14:paraId="014F6B38">
      <w:pPr>
        <w:spacing w:after="0" w:line="520" w:lineRule="atLeast"/>
        <w:ind w:firstLine="643" w:firstLineChars="200"/>
        <w:rPr>
          <w:lang w:eastAsia="zh-CN"/>
        </w:rPr>
      </w:pPr>
      <w:r>
        <w:rPr>
          <w:rFonts w:ascii="Times New Roman" w:hAnsi="Times New Roman" w:eastAsia="楷体"/>
          <w:b/>
          <w:sz w:val="32"/>
          <w:lang w:eastAsia="zh-CN"/>
        </w:rPr>
        <w:t>（一）专病门诊建设规范与工具包</w:t>
      </w:r>
    </w:p>
    <w:p w14:paraId="5ED100A2">
      <w:pPr>
        <w:spacing w:after="0" w:line="520" w:lineRule="atLeast"/>
        <w:ind w:firstLine="640" w:firstLineChars="200"/>
        <w:rPr>
          <w:lang w:eastAsia="zh-CN"/>
        </w:rPr>
      </w:pPr>
      <w:r>
        <w:rPr>
          <w:rFonts w:ascii="Times New Roman" w:hAnsi="Times New Roman" w:eastAsia="仿宋"/>
          <w:sz w:val="32"/>
          <w:lang w:eastAsia="zh-CN"/>
        </w:rPr>
        <w:t>调研供应商针对"五健"常见病（儿童肥胖发育、眼科、口腔、脊柱侧弯、心理）提供专科门诊建设规划与指导规范的能力，包括五大专病门诊建设标准SOP、筛查记录表、转介单、风险分级卡及家庭干预处方模板等工具包开发情况，指导基层医疗机构或学校完成专病检测点标准化建设的实施方案。</w:t>
      </w:r>
    </w:p>
    <w:p w14:paraId="13123706">
      <w:pPr>
        <w:spacing w:after="0" w:line="520" w:lineRule="atLeast"/>
        <w:ind w:firstLine="643" w:firstLineChars="200"/>
        <w:rPr>
          <w:lang w:eastAsia="zh-CN"/>
        </w:rPr>
      </w:pPr>
      <w:r>
        <w:rPr>
          <w:rFonts w:ascii="Times New Roman" w:hAnsi="Times New Roman" w:eastAsia="楷体"/>
          <w:b/>
          <w:sz w:val="32"/>
          <w:lang w:eastAsia="zh-CN"/>
        </w:rPr>
        <w:t>（二）医学课程库与授课模块</w:t>
      </w:r>
    </w:p>
    <w:p w14:paraId="3CD59CE6">
      <w:pPr>
        <w:spacing w:after="0" w:line="520" w:lineRule="atLeast"/>
        <w:ind w:firstLine="640" w:firstLineChars="200"/>
        <w:rPr>
          <w:lang w:eastAsia="zh-CN"/>
        </w:rPr>
      </w:pPr>
      <w:r>
        <w:rPr>
          <w:rFonts w:ascii="Times New Roman" w:hAnsi="Times New Roman" w:eastAsia="仿宋"/>
          <w:sz w:val="32"/>
          <w:lang w:eastAsia="zh-CN"/>
        </w:rPr>
        <w:t>调研供应商高质量录播视频课程库建设能力，包括课程内容研发团队资质、国家级儿科或专科医院专家资源整合能力、线上直播互动及疑难病例讨论平台建设、专病带教与在线诊疗教学体系建设等。</w:t>
      </w:r>
    </w:p>
    <w:p w14:paraId="69F0F47A">
      <w:pPr>
        <w:spacing w:after="0" w:line="520" w:lineRule="atLeast"/>
        <w:ind w:firstLine="643" w:firstLineChars="200"/>
        <w:rPr>
          <w:lang w:eastAsia="zh-CN"/>
        </w:rPr>
      </w:pPr>
      <w:r>
        <w:rPr>
          <w:rFonts w:ascii="Times New Roman" w:hAnsi="Times New Roman" w:eastAsia="楷体"/>
          <w:b/>
          <w:sz w:val="32"/>
          <w:lang w:eastAsia="zh-CN"/>
        </w:rPr>
        <w:t>（三）数字化培训与综合考核系统</w:t>
      </w:r>
    </w:p>
    <w:p w14:paraId="5BDFCCC0">
      <w:pPr>
        <w:spacing w:after="0" w:line="520" w:lineRule="atLeast"/>
        <w:ind w:firstLine="640" w:firstLineChars="200"/>
        <w:rPr>
          <w:lang w:eastAsia="zh-CN"/>
        </w:rPr>
      </w:pPr>
      <w:r>
        <w:rPr>
          <w:rFonts w:ascii="Times New Roman" w:hAnsi="Times New Roman" w:eastAsia="仿宋"/>
          <w:sz w:val="32"/>
          <w:lang w:eastAsia="zh-CN"/>
        </w:rPr>
        <w:t>调研供应商数字化培训与考核系统建设能力，包括全时段线上学习追踪功能、多维度评分考核引擎开发、学员评估报告自动生成（基于学时完成率、理论测验成绩、实际闭环病例数及SOP执行合格率）等功能实现情况。</w:t>
      </w:r>
    </w:p>
    <w:p w14:paraId="33BED930">
      <w:pPr>
        <w:spacing w:after="0" w:line="520" w:lineRule="atLeast"/>
        <w:ind w:firstLine="643" w:firstLineChars="200"/>
        <w:rPr>
          <w:lang w:eastAsia="zh-CN"/>
        </w:rPr>
      </w:pPr>
      <w:r>
        <w:rPr>
          <w:rFonts w:ascii="Times New Roman" w:hAnsi="Times New Roman" w:eastAsia="楷体"/>
          <w:b/>
          <w:sz w:val="32"/>
          <w:lang w:eastAsia="zh-CN"/>
        </w:rPr>
        <w:t>（四）五健AI智能知识库建设</w:t>
      </w:r>
    </w:p>
    <w:p w14:paraId="3B9ECE72">
      <w:pPr>
        <w:spacing w:after="0" w:line="520" w:lineRule="atLeast"/>
        <w:ind w:firstLine="640" w:firstLineChars="200"/>
        <w:rPr>
          <w:lang w:eastAsia="zh-CN"/>
        </w:rPr>
      </w:pPr>
      <w:r>
        <w:rPr>
          <w:rFonts w:ascii="Times New Roman" w:hAnsi="Times New Roman" w:eastAsia="仿宋"/>
          <w:sz w:val="32"/>
          <w:lang w:eastAsia="zh-CN"/>
        </w:rPr>
        <w:t>调研供应商结合数字AI技术建设五健AI智能知识库的能力，包括用数字模型生成符合医学伦理的五健常见疾病临床门诊带教学习视频、高质量五健基础教学数字AI视频、提升学员五健临床决策能力的技术方案等。</w:t>
      </w:r>
    </w:p>
    <w:p w14:paraId="5662B43E">
      <w:pPr>
        <w:spacing w:after="0" w:line="520" w:lineRule="atLeast"/>
        <w:ind w:firstLine="643" w:firstLineChars="200"/>
        <w:rPr>
          <w:lang w:eastAsia="zh-CN"/>
        </w:rPr>
      </w:pPr>
      <w:r>
        <w:rPr>
          <w:rFonts w:ascii="Times New Roman" w:hAnsi="Times New Roman" w:eastAsia="楷体"/>
          <w:b/>
          <w:sz w:val="32"/>
          <w:lang w:eastAsia="zh-CN"/>
        </w:rPr>
        <w:t>（五）智能指标平台与数据报表模块</w:t>
      </w:r>
    </w:p>
    <w:p w14:paraId="23A99DA5">
      <w:pPr>
        <w:spacing w:after="0" w:line="520" w:lineRule="atLeast"/>
        <w:ind w:firstLine="640" w:firstLineChars="200"/>
        <w:rPr>
          <w:lang w:eastAsia="zh-CN"/>
        </w:rPr>
      </w:pPr>
      <w:r>
        <w:rPr>
          <w:rFonts w:ascii="Times New Roman" w:hAnsi="Times New Roman" w:eastAsia="仿宋"/>
          <w:sz w:val="32"/>
          <w:lang w:eastAsia="zh-CN"/>
        </w:rPr>
        <w:t>调研供应商数据可视化与报表生成能力，包括学员学习数据交互查询功能、区域学员学习转化效果数据看板建设、包含图表的评估总结材料一键生成功能等。</w:t>
      </w:r>
    </w:p>
    <w:p w14:paraId="3D1184BB">
      <w:pPr>
        <w:spacing w:after="0" w:line="520" w:lineRule="atLeast"/>
        <w:ind w:firstLine="643" w:firstLineChars="200"/>
        <w:rPr>
          <w:lang w:eastAsia="zh-CN"/>
        </w:rPr>
      </w:pPr>
      <w:r>
        <w:rPr>
          <w:rFonts w:hint="eastAsia" w:ascii="Times New Roman" w:hAnsi="Times New Roman" w:eastAsia="黑体"/>
          <w:b/>
          <w:sz w:val="32"/>
          <w:lang w:eastAsia="zh-CN"/>
        </w:rPr>
        <w:t>六</w:t>
      </w:r>
      <w:r>
        <w:rPr>
          <w:rFonts w:ascii="Times New Roman" w:hAnsi="Times New Roman" w:eastAsia="黑体"/>
          <w:b/>
          <w:sz w:val="32"/>
          <w:lang w:eastAsia="zh-CN"/>
        </w:rPr>
        <w:t>、调研方式</w:t>
      </w:r>
    </w:p>
    <w:p w14:paraId="641DBFD7">
      <w:pPr>
        <w:spacing w:after="0" w:line="520" w:lineRule="atLeast"/>
        <w:ind w:firstLine="640" w:firstLineChars="200"/>
        <w:rPr>
          <w:lang w:eastAsia="zh-CN"/>
        </w:rPr>
      </w:pPr>
      <w:r>
        <w:rPr>
          <w:rFonts w:ascii="Times New Roman" w:hAnsi="Times New Roman" w:eastAsia="仿宋"/>
          <w:sz w:val="32"/>
          <w:lang w:eastAsia="zh-CN"/>
        </w:rPr>
        <w:t>本次调研采用多种方式相结合，确保调研信息全面、准确、客观：</w:t>
      </w:r>
    </w:p>
    <w:p w14:paraId="64558700">
      <w:pPr>
        <w:spacing w:after="0" w:line="520" w:lineRule="atLeast"/>
        <w:ind w:firstLine="643" w:firstLineChars="200"/>
        <w:rPr>
          <w:lang w:eastAsia="zh-CN"/>
        </w:rPr>
      </w:pPr>
      <w:r>
        <w:rPr>
          <w:rFonts w:ascii="Times New Roman" w:hAnsi="Times New Roman" w:eastAsia="仿宋"/>
          <w:b/>
          <w:bCs/>
          <w:sz w:val="32"/>
          <w:lang w:eastAsia="zh-CN"/>
        </w:rPr>
        <w:t>（一）公开征集：</w:t>
      </w:r>
      <w:r>
        <w:rPr>
          <w:rFonts w:ascii="Times New Roman" w:hAnsi="Times New Roman" w:eastAsia="仿宋"/>
          <w:sz w:val="32"/>
          <w:lang w:eastAsia="zh-CN"/>
        </w:rPr>
        <w:t>通过公开渠道发布调研公告，面向社会广泛征集建设方案；</w:t>
      </w:r>
    </w:p>
    <w:p w14:paraId="4028FA6B">
      <w:pPr>
        <w:spacing w:after="0" w:line="520" w:lineRule="atLeast"/>
        <w:ind w:firstLine="643" w:firstLineChars="200"/>
        <w:rPr>
          <w:lang w:eastAsia="zh-CN"/>
        </w:rPr>
      </w:pPr>
      <w:r>
        <w:rPr>
          <w:rFonts w:ascii="Times New Roman" w:hAnsi="Times New Roman" w:eastAsia="仿宋"/>
          <w:b/>
          <w:bCs/>
          <w:sz w:val="32"/>
          <w:lang w:eastAsia="zh-CN"/>
        </w:rPr>
        <w:t>（二）资料审查：</w:t>
      </w:r>
      <w:r>
        <w:rPr>
          <w:rFonts w:ascii="Times New Roman" w:hAnsi="Times New Roman" w:eastAsia="仿宋"/>
          <w:sz w:val="32"/>
          <w:lang w:eastAsia="zh-CN"/>
        </w:rPr>
        <w:t>对供应商提交的资质文件、业绩证明、技术方案等材料进行书面审查；</w:t>
      </w:r>
    </w:p>
    <w:p w14:paraId="7F1BB887">
      <w:pPr>
        <w:spacing w:after="0" w:line="520" w:lineRule="atLeast"/>
        <w:ind w:firstLine="643" w:firstLineChars="200"/>
        <w:rPr>
          <w:lang w:eastAsia="zh-CN"/>
        </w:rPr>
      </w:pPr>
      <w:r>
        <w:rPr>
          <w:rFonts w:ascii="Times New Roman" w:hAnsi="Times New Roman" w:eastAsia="仿宋"/>
          <w:b/>
          <w:bCs/>
          <w:sz w:val="32"/>
          <w:lang w:eastAsia="zh-CN"/>
        </w:rPr>
        <w:t>（三）现场踏勘：</w:t>
      </w:r>
      <w:r>
        <w:rPr>
          <w:rFonts w:ascii="Times New Roman" w:hAnsi="Times New Roman" w:eastAsia="仿宋"/>
          <w:sz w:val="32"/>
          <w:lang w:eastAsia="zh-CN"/>
        </w:rPr>
        <w:t>组织合格供应商进行现场踏勘，了解项目实际环境和需求；</w:t>
      </w:r>
    </w:p>
    <w:p w14:paraId="65831531">
      <w:pPr>
        <w:spacing w:after="0" w:line="520" w:lineRule="atLeast"/>
        <w:ind w:firstLine="643" w:firstLineChars="200"/>
        <w:rPr>
          <w:lang w:eastAsia="zh-CN"/>
        </w:rPr>
      </w:pPr>
      <w:r>
        <w:rPr>
          <w:rFonts w:ascii="Times New Roman" w:hAnsi="Times New Roman" w:eastAsia="仿宋"/>
          <w:b/>
          <w:bCs/>
          <w:sz w:val="32"/>
          <w:lang w:eastAsia="zh-CN"/>
        </w:rPr>
        <w:t>（四）沟通交流：</w:t>
      </w:r>
      <w:r>
        <w:rPr>
          <w:rFonts w:ascii="Times New Roman" w:hAnsi="Times New Roman" w:eastAsia="仿宋"/>
          <w:sz w:val="32"/>
          <w:lang w:eastAsia="zh-CN"/>
        </w:rPr>
        <w:t>通过线上或线下方式与供应商进行业务沟通和技术交流；</w:t>
      </w:r>
    </w:p>
    <w:p w14:paraId="70D0E645">
      <w:pPr>
        <w:spacing w:after="0" w:line="520" w:lineRule="atLeast"/>
        <w:ind w:firstLine="643" w:firstLineChars="200"/>
        <w:rPr>
          <w:lang w:eastAsia="zh-CN"/>
        </w:rPr>
      </w:pPr>
      <w:r>
        <w:rPr>
          <w:rFonts w:ascii="Times New Roman" w:hAnsi="Times New Roman" w:eastAsia="仿宋"/>
          <w:b/>
          <w:bCs/>
          <w:sz w:val="32"/>
          <w:lang w:eastAsia="zh-CN"/>
        </w:rPr>
        <w:t>（五）方案评审：</w:t>
      </w:r>
      <w:r>
        <w:rPr>
          <w:rFonts w:ascii="Times New Roman" w:hAnsi="Times New Roman" w:eastAsia="仿宋"/>
          <w:sz w:val="32"/>
          <w:lang w:eastAsia="zh-CN"/>
        </w:rPr>
        <w:t>组织院内专家对各供应商提交的方案进行综合评审。</w:t>
      </w:r>
    </w:p>
    <w:p w14:paraId="191ECD5F">
      <w:pPr>
        <w:spacing w:after="0" w:line="520" w:lineRule="atLeast"/>
        <w:ind w:firstLine="643" w:firstLineChars="200"/>
        <w:rPr>
          <w:lang w:eastAsia="zh-CN"/>
        </w:rPr>
      </w:pPr>
      <w:r>
        <w:rPr>
          <w:rFonts w:ascii="Times New Roman" w:hAnsi="Times New Roman" w:eastAsia="黑体"/>
          <w:b/>
          <w:sz w:val="32"/>
          <w:lang w:eastAsia="zh-CN"/>
        </w:rPr>
        <w:t>六、数据要求</w:t>
      </w:r>
    </w:p>
    <w:p w14:paraId="4DB962FE">
      <w:pPr>
        <w:spacing w:after="0" w:line="520" w:lineRule="atLeast"/>
        <w:ind w:firstLine="640" w:firstLineChars="200"/>
        <w:rPr>
          <w:lang w:eastAsia="zh-CN"/>
        </w:rPr>
      </w:pPr>
      <w:r>
        <w:rPr>
          <w:rFonts w:ascii="Times New Roman" w:hAnsi="Times New Roman" w:eastAsia="仿宋"/>
          <w:sz w:val="32"/>
          <w:lang w:eastAsia="zh-CN"/>
        </w:rPr>
        <w:t>各应征供应商须按照以下要求提交相关资料，确保数据真实、准确、完整：</w:t>
      </w:r>
    </w:p>
    <w:p w14:paraId="5C178DED">
      <w:pPr>
        <w:spacing w:after="0" w:line="520" w:lineRule="atLeast"/>
        <w:ind w:firstLine="643" w:firstLineChars="200"/>
        <w:rPr>
          <w:lang w:eastAsia="zh-CN"/>
        </w:rPr>
      </w:pPr>
      <w:r>
        <w:rPr>
          <w:rFonts w:ascii="Times New Roman" w:hAnsi="Times New Roman" w:eastAsia="楷体"/>
          <w:b/>
          <w:sz w:val="32"/>
          <w:lang w:eastAsia="zh-CN"/>
        </w:rPr>
        <w:t>（一）资质与业绩材料</w:t>
      </w:r>
    </w:p>
    <w:p w14:paraId="0EACAD45">
      <w:pPr>
        <w:spacing w:after="0" w:line="520" w:lineRule="atLeast"/>
        <w:ind w:firstLine="640" w:firstLineChars="200"/>
        <w:rPr>
          <w:lang w:eastAsia="zh-CN"/>
        </w:rPr>
      </w:pPr>
      <w:r>
        <w:rPr>
          <w:rFonts w:ascii="Times New Roman" w:hAnsi="Times New Roman" w:eastAsia="仿宋"/>
          <w:sz w:val="32"/>
          <w:lang w:eastAsia="zh-CN"/>
        </w:rPr>
        <w:t>1. 企业营业执照复印件（加盖公章）；</w:t>
      </w:r>
    </w:p>
    <w:p w14:paraId="117FE053">
      <w:pPr>
        <w:spacing w:after="0" w:line="520" w:lineRule="atLeast"/>
        <w:ind w:firstLine="640" w:firstLineChars="200"/>
        <w:rPr>
          <w:lang w:eastAsia="zh-CN"/>
        </w:rPr>
      </w:pPr>
      <w:r>
        <w:rPr>
          <w:rFonts w:ascii="Times New Roman" w:hAnsi="Times New Roman" w:eastAsia="仿宋"/>
          <w:sz w:val="32"/>
          <w:lang w:eastAsia="zh-CN"/>
        </w:rPr>
        <w:t>2. 相关软件著作权证书复印件；</w:t>
      </w:r>
    </w:p>
    <w:p w14:paraId="71CD82BA">
      <w:pPr>
        <w:spacing w:after="0" w:line="520" w:lineRule="atLeast"/>
        <w:ind w:firstLine="640" w:firstLineChars="200"/>
        <w:rPr>
          <w:lang w:eastAsia="zh-CN"/>
        </w:rPr>
      </w:pPr>
      <w:r>
        <w:rPr>
          <w:rFonts w:ascii="Times New Roman" w:hAnsi="Times New Roman" w:eastAsia="仿宋"/>
          <w:sz w:val="32"/>
          <w:lang w:eastAsia="zh-CN"/>
        </w:rPr>
        <w:t>3. 近三年内相关的医疗系统集成、数字知识库建设或医学培训项目案例证明材料；</w:t>
      </w:r>
    </w:p>
    <w:p w14:paraId="741D0AB6">
      <w:pPr>
        <w:spacing w:after="0" w:line="520" w:lineRule="atLeast"/>
        <w:ind w:firstLine="640" w:firstLineChars="200"/>
        <w:rPr>
          <w:lang w:eastAsia="zh-CN"/>
        </w:rPr>
      </w:pPr>
      <w:r>
        <w:rPr>
          <w:rFonts w:ascii="Times New Roman" w:hAnsi="Times New Roman" w:eastAsia="仿宋"/>
          <w:sz w:val="32"/>
          <w:lang w:eastAsia="zh-CN"/>
        </w:rPr>
        <w:t>4. 法定代表人授权委托书及授权人身份证复印件（加盖公章）。</w:t>
      </w:r>
    </w:p>
    <w:p w14:paraId="1930CCC0">
      <w:pPr>
        <w:spacing w:after="0" w:line="520" w:lineRule="atLeast"/>
        <w:ind w:firstLine="643" w:firstLineChars="200"/>
        <w:rPr>
          <w:lang w:eastAsia="zh-CN"/>
        </w:rPr>
      </w:pPr>
      <w:r>
        <w:rPr>
          <w:rFonts w:ascii="Times New Roman" w:hAnsi="Times New Roman" w:eastAsia="楷体"/>
          <w:b/>
          <w:sz w:val="32"/>
          <w:lang w:eastAsia="zh-CN"/>
        </w:rPr>
        <w:t>（二）技术方案材料</w:t>
      </w:r>
    </w:p>
    <w:p w14:paraId="002B9322">
      <w:pPr>
        <w:spacing w:after="0" w:line="520" w:lineRule="atLeast"/>
        <w:ind w:firstLine="640" w:firstLineChars="200"/>
        <w:rPr>
          <w:lang w:eastAsia="zh-CN"/>
        </w:rPr>
      </w:pPr>
      <w:r>
        <w:rPr>
          <w:rFonts w:ascii="Times New Roman" w:hAnsi="Times New Roman" w:eastAsia="仿宋"/>
          <w:sz w:val="32"/>
          <w:lang w:eastAsia="zh-CN"/>
        </w:rPr>
        <w:t>1. 培训知识库及培训考核系统的总体技术架构说明；</w:t>
      </w:r>
    </w:p>
    <w:p w14:paraId="22B8275E">
      <w:pPr>
        <w:spacing w:after="0" w:line="520" w:lineRule="atLeast"/>
        <w:ind w:firstLine="640" w:firstLineChars="200"/>
        <w:rPr>
          <w:lang w:eastAsia="zh-CN"/>
        </w:rPr>
      </w:pPr>
      <w:r>
        <w:rPr>
          <w:rFonts w:ascii="Times New Roman" w:hAnsi="Times New Roman" w:eastAsia="仿宋"/>
          <w:sz w:val="32"/>
          <w:lang w:eastAsia="zh-CN"/>
        </w:rPr>
        <w:t>2. "五健"专病门诊指导详细方案；</w:t>
      </w:r>
    </w:p>
    <w:p w14:paraId="0DCAF47B">
      <w:pPr>
        <w:spacing w:after="0" w:line="520" w:lineRule="atLeast"/>
        <w:ind w:firstLine="640" w:firstLineChars="200"/>
        <w:rPr>
          <w:lang w:eastAsia="zh-CN"/>
        </w:rPr>
      </w:pPr>
      <w:r>
        <w:rPr>
          <w:rFonts w:ascii="Times New Roman" w:hAnsi="Times New Roman" w:eastAsia="仿宋"/>
          <w:sz w:val="32"/>
          <w:lang w:eastAsia="zh-CN"/>
        </w:rPr>
        <w:t>3. 医学专家课程交付计划及专家团队资质证明；</w:t>
      </w:r>
    </w:p>
    <w:p w14:paraId="3E11BE71">
      <w:pPr>
        <w:spacing w:after="0" w:line="520" w:lineRule="atLeast"/>
        <w:ind w:firstLine="640" w:firstLineChars="200"/>
        <w:rPr>
          <w:lang w:eastAsia="zh-CN"/>
        </w:rPr>
      </w:pPr>
      <w:r>
        <w:rPr>
          <w:rFonts w:ascii="Times New Roman" w:hAnsi="Times New Roman" w:eastAsia="仿宋"/>
          <w:sz w:val="32"/>
          <w:lang w:eastAsia="zh-CN"/>
        </w:rPr>
        <w:t>4. 具体业务闭环的实施落地路径；</w:t>
      </w:r>
    </w:p>
    <w:p w14:paraId="49C3D1E3">
      <w:pPr>
        <w:spacing w:after="0" w:line="520" w:lineRule="atLeast"/>
        <w:ind w:firstLine="640" w:firstLineChars="200"/>
        <w:rPr>
          <w:lang w:eastAsia="zh-CN"/>
        </w:rPr>
      </w:pPr>
      <w:r>
        <w:rPr>
          <w:rFonts w:ascii="Times New Roman" w:hAnsi="Times New Roman" w:eastAsia="仿宋"/>
          <w:sz w:val="32"/>
          <w:lang w:eastAsia="zh-CN"/>
        </w:rPr>
        <w:t>5. 知识库架构与多点部署方案说明；</w:t>
      </w:r>
    </w:p>
    <w:p w14:paraId="7857CD53">
      <w:pPr>
        <w:spacing w:after="0" w:line="520" w:lineRule="atLeast"/>
        <w:ind w:firstLine="640" w:firstLineChars="200"/>
        <w:rPr>
          <w:lang w:eastAsia="zh-CN"/>
        </w:rPr>
      </w:pPr>
      <w:r>
        <w:rPr>
          <w:rFonts w:ascii="Times New Roman" w:hAnsi="Times New Roman" w:eastAsia="仿宋"/>
          <w:sz w:val="32"/>
          <w:lang w:eastAsia="zh-CN"/>
        </w:rPr>
        <w:t>6. AI智能知识库建设技术方案（符合医学伦理要求）。</w:t>
      </w:r>
    </w:p>
    <w:p w14:paraId="5B6CDD84">
      <w:pPr>
        <w:spacing w:after="0" w:line="520" w:lineRule="atLeast"/>
        <w:ind w:firstLine="643" w:firstLineChars="200"/>
        <w:rPr>
          <w:lang w:eastAsia="zh-CN"/>
        </w:rPr>
      </w:pPr>
      <w:r>
        <w:rPr>
          <w:rFonts w:ascii="Times New Roman" w:hAnsi="Times New Roman" w:eastAsia="楷体"/>
          <w:b/>
          <w:sz w:val="32"/>
          <w:lang w:eastAsia="zh-CN"/>
        </w:rPr>
        <w:t>（三）报价估算材料</w:t>
      </w:r>
    </w:p>
    <w:p w14:paraId="7A7AEE3C">
      <w:pPr>
        <w:spacing w:after="0" w:line="520" w:lineRule="atLeast"/>
        <w:ind w:firstLine="640" w:firstLineChars="200"/>
        <w:rPr>
          <w:lang w:eastAsia="zh-CN"/>
        </w:rPr>
      </w:pPr>
      <w:r>
        <w:rPr>
          <w:rFonts w:ascii="Times New Roman" w:hAnsi="Times New Roman" w:eastAsia="仿宋"/>
          <w:sz w:val="32"/>
          <w:lang w:eastAsia="zh-CN"/>
        </w:rPr>
        <w:t>提供分项报价估算，包括但不限于：知识库系统授权与部署实施费、医学课程研发与专家授权费（含知识交付）、常态化运营支持费（带教、督导等）。本次报价仅作预算参考，不作为最终采购依据。</w:t>
      </w:r>
    </w:p>
    <w:p w14:paraId="59127978">
      <w:pPr>
        <w:spacing w:after="0" w:line="520" w:lineRule="atLeast"/>
        <w:ind w:firstLine="643" w:firstLineChars="200"/>
        <w:rPr>
          <w:lang w:eastAsia="zh-CN"/>
        </w:rPr>
      </w:pPr>
      <w:r>
        <w:rPr>
          <w:rFonts w:ascii="Times New Roman" w:hAnsi="Times New Roman" w:eastAsia="楷体"/>
          <w:b/>
          <w:sz w:val="32"/>
          <w:lang w:eastAsia="zh-CN"/>
        </w:rPr>
        <w:t>（四）提交格式要求</w:t>
      </w:r>
    </w:p>
    <w:p w14:paraId="34CACC3B">
      <w:pPr>
        <w:spacing w:after="0" w:line="520" w:lineRule="atLeast"/>
        <w:ind w:firstLine="640" w:firstLineChars="200"/>
        <w:rPr>
          <w:lang w:eastAsia="zh-CN"/>
        </w:rPr>
      </w:pPr>
      <w:r>
        <w:rPr>
          <w:rFonts w:ascii="Times New Roman" w:hAnsi="Times New Roman" w:eastAsia="仿宋"/>
          <w:sz w:val="32"/>
          <w:lang w:eastAsia="zh-CN"/>
        </w:rPr>
        <w:t>所有提交材料统一为PDF格式，加盖单位公章，命名规则为："【供应商单位名称】-海口骨科与糖尿病医院校医专科培训知识库项目报名资料"。</w:t>
      </w:r>
    </w:p>
    <w:p w14:paraId="6309D2E4">
      <w:pPr>
        <w:spacing w:after="0" w:line="520" w:lineRule="atLeast"/>
        <w:ind w:firstLine="643" w:firstLineChars="200"/>
        <w:rPr>
          <w:lang w:eastAsia="zh-CN"/>
        </w:rPr>
      </w:pPr>
      <w:r>
        <w:rPr>
          <w:rFonts w:hint="eastAsia" w:ascii="Times New Roman" w:hAnsi="Times New Roman" w:eastAsia="黑体"/>
          <w:b/>
          <w:sz w:val="32"/>
          <w:lang w:eastAsia="zh-CN"/>
        </w:rPr>
        <w:t>七</w:t>
      </w:r>
      <w:r>
        <w:rPr>
          <w:rFonts w:ascii="Times New Roman" w:hAnsi="Times New Roman" w:eastAsia="黑体"/>
          <w:b/>
          <w:sz w:val="32"/>
          <w:lang w:eastAsia="zh-CN"/>
        </w:rPr>
        <w:t>、其他事项</w:t>
      </w:r>
    </w:p>
    <w:p w14:paraId="0AEC5E68">
      <w:pPr>
        <w:spacing w:after="0" w:line="520" w:lineRule="atLeast"/>
        <w:ind w:firstLine="640" w:firstLineChars="200"/>
        <w:rPr>
          <w:lang w:eastAsia="zh-CN"/>
        </w:rPr>
      </w:pPr>
      <w:r>
        <w:rPr>
          <w:rFonts w:ascii="Times New Roman" w:hAnsi="Times New Roman" w:eastAsia="仿宋"/>
          <w:sz w:val="32"/>
          <w:lang w:eastAsia="zh-CN"/>
        </w:rPr>
        <w:t>（一）本次调研方案征询仅作为医院了解市场技术水平、征集最优解决方案及下一步招标采购实施的参考，不构成采购承诺。</w:t>
      </w:r>
    </w:p>
    <w:p w14:paraId="28EE6CA3">
      <w:pPr>
        <w:spacing w:after="0" w:line="520" w:lineRule="atLeast"/>
        <w:ind w:firstLine="640" w:firstLineChars="200"/>
        <w:rPr>
          <w:lang w:eastAsia="zh-CN"/>
        </w:rPr>
      </w:pPr>
      <w:r>
        <w:rPr>
          <w:rFonts w:ascii="Times New Roman" w:hAnsi="Times New Roman" w:eastAsia="仿宋"/>
          <w:sz w:val="32"/>
          <w:lang w:eastAsia="zh-CN"/>
        </w:rPr>
        <w:t>（二）各响应单位提交的技术方案及相关资料归医院所有，医院有权在本项目范围内使用，无需向响应单位支付任何费用。</w:t>
      </w:r>
    </w:p>
    <w:p w14:paraId="5DCA6D2C">
      <w:pPr>
        <w:spacing w:after="0" w:line="520" w:lineRule="atLeast"/>
        <w:ind w:firstLine="640" w:firstLineChars="200"/>
        <w:rPr>
          <w:rFonts w:ascii="Times New Roman" w:hAnsi="Times New Roman" w:eastAsia="仿宋"/>
          <w:sz w:val="32"/>
          <w:lang w:eastAsia="zh-CN"/>
        </w:rPr>
      </w:pPr>
      <w:r>
        <w:rPr>
          <w:rFonts w:ascii="Times New Roman" w:hAnsi="Times New Roman" w:eastAsia="仿宋"/>
          <w:sz w:val="32"/>
          <w:lang w:eastAsia="zh-CN"/>
        </w:rPr>
        <w:t>（三）供应商应对所提交材料的真实性、合法性负责，如发现虚假材料，取消其参与资格。</w:t>
      </w:r>
    </w:p>
    <w:p w14:paraId="39CB2786">
      <w:pPr>
        <w:spacing w:after="0" w:line="520" w:lineRule="atLeast"/>
        <w:ind w:firstLine="640" w:firstLineChars="200"/>
        <w:rPr>
          <w:rFonts w:ascii="Times New Roman" w:hAnsi="Times New Roman" w:eastAsia="仿宋"/>
          <w:sz w:val="32"/>
          <w:lang w:eastAsia="zh-CN"/>
        </w:rPr>
      </w:pPr>
    </w:p>
    <w:p w14:paraId="41B800CB">
      <w:pPr>
        <w:spacing w:after="0" w:line="520" w:lineRule="atLeast"/>
        <w:ind w:firstLine="640" w:firstLineChars="200"/>
        <w:rPr>
          <w:rFonts w:ascii="Times New Roman" w:hAnsi="Times New Roman" w:eastAsia="仿宋"/>
          <w:sz w:val="32"/>
          <w:lang w:eastAsia="zh-CN"/>
        </w:rPr>
      </w:pPr>
    </w:p>
    <w:p w14:paraId="4B033FAA">
      <w:pPr>
        <w:spacing w:after="0" w:line="520" w:lineRule="atLeast"/>
        <w:rPr>
          <w:lang w:eastAsia="zh-CN"/>
        </w:rPr>
      </w:pPr>
    </w:p>
    <w:p w14:paraId="56AE4761">
      <w:pPr>
        <w:spacing w:after="0" w:line="520" w:lineRule="atLeast"/>
        <w:ind w:firstLine="640" w:firstLineChars="200"/>
        <w:jc w:val="right"/>
        <w:rPr>
          <w:lang w:eastAsia="zh-CN"/>
        </w:rPr>
      </w:pPr>
      <w:r>
        <w:rPr>
          <w:rFonts w:ascii="Times New Roman" w:hAnsi="Times New Roman" w:eastAsia="仿宋"/>
          <w:sz w:val="32"/>
          <w:lang w:eastAsia="zh-CN"/>
        </w:rPr>
        <w:t>海口市骨科与糖尿病医院</w:t>
      </w:r>
      <w:bookmarkStart w:id="0" w:name="_GoBack"/>
      <w:bookmarkEnd w:id="0"/>
    </w:p>
    <w:p w14:paraId="76F54048">
      <w:pPr>
        <w:spacing w:after="0" w:line="520" w:lineRule="atLeast"/>
        <w:ind w:firstLine="640" w:firstLineChars="200"/>
        <w:jc w:val="center"/>
      </w:pPr>
      <w:r>
        <w:rPr>
          <w:rFonts w:hint="eastAsia" w:ascii="Times New Roman" w:hAnsi="Times New Roman" w:eastAsia="仿宋"/>
          <w:sz w:val="32"/>
          <w:lang w:eastAsia="zh-CN"/>
        </w:rPr>
        <w:t xml:space="preserve">                                                               </w:t>
      </w:r>
      <w:r>
        <w:rPr>
          <w:rFonts w:ascii="Times New Roman" w:hAnsi="Times New Roman" w:eastAsia="仿宋"/>
          <w:sz w:val="32"/>
        </w:rPr>
        <w:t>2026年</w:t>
      </w:r>
      <w:r>
        <w:rPr>
          <w:rFonts w:hint="eastAsia" w:ascii="Times New Roman" w:hAnsi="Times New Roman" w:eastAsia="仿宋"/>
          <w:sz w:val="32"/>
          <w:lang w:eastAsia="zh-CN"/>
        </w:rPr>
        <w:t>5</w:t>
      </w:r>
      <w:r>
        <w:rPr>
          <w:rFonts w:ascii="Times New Roman" w:hAnsi="Times New Roman" w:eastAsia="仿宋"/>
          <w:sz w:val="32"/>
        </w:rPr>
        <w:t>月</w:t>
      </w:r>
      <w:r>
        <w:rPr>
          <w:rFonts w:hint="eastAsia" w:ascii="Times New Roman" w:hAnsi="Times New Roman" w:eastAsia="仿宋"/>
          <w:sz w:val="32"/>
          <w:lang w:val="en-US" w:eastAsia="zh-CN"/>
        </w:rPr>
        <w:t>29</w:t>
      </w:r>
      <w:r>
        <w:rPr>
          <w:rFonts w:ascii="Times New Roman" w:hAnsi="Times New Roman" w:eastAsia="仿宋"/>
          <w:sz w:val="32"/>
        </w:rPr>
        <w:t>日</w:t>
      </w:r>
    </w:p>
    <w:sectPr>
      <w:footerReference r:id="rId5" w:type="default"/>
      <w:pgSz w:w="11906" w:h="16838"/>
      <w:pgMar w:top="1587" w:right="1474" w:bottom="1474" w:left="147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70409020205020404"/>
    <w:charset w:val="00"/>
    <w:family w:val="auto"/>
    <w:pitch w:val="default"/>
    <w:sig w:usb0="00000000" w:usb1="00000000" w:usb2="00000000" w:usb3="00000000" w:csb0="00000001" w:csb1="00000000"/>
  </w:font>
  <w:font w:name="方正小标宋简体">
    <w:altName w:val="黑体"/>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500885">
    <w:panose1 w:val="02010609060101010101"/>
    <w:charset w:val="86"/>
    <w:family w:val="auto"/>
    <w:pitch w:val="default"/>
    <w:sig w:usb0="00000001" w:usb1="00000000" w:usb2="00000000" w:usb3="00000000" w:csb0="00040001" w:csb1="00000000"/>
  </w:font>
  <w:font w:name="Courier New">
    <w:panose1 w:val="02070309020205020404"/>
    <w:charset w:val="00"/>
    <w:family w:val="auto"/>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EA8F54">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BC0DF8">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CBC0DF8">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0E2275"/>
    <w:rsid w:val="0015074B"/>
    <w:rsid w:val="002665F0"/>
    <w:rsid w:val="0029639D"/>
    <w:rsid w:val="00326F90"/>
    <w:rsid w:val="009B4AFD"/>
    <w:rsid w:val="00AA1D8D"/>
    <w:rsid w:val="00AD7118"/>
    <w:rsid w:val="00B47730"/>
    <w:rsid w:val="00C52433"/>
    <w:rsid w:val="00CB0664"/>
    <w:rsid w:val="00FC693F"/>
    <w:rsid w:val="00FE4C1D"/>
    <w:rsid w:val="019A7683"/>
    <w:rsid w:val="0CB85278"/>
    <w:rsid w:val="2A3D466B"/>
    <w:rsid w:val="345E2120"/>
    <w:rsid w:val="4DC23495"/>
    <w:rsid w:val="714C154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qFormat/>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4">
    <w:name w:val="Light Shading"/>
    <w:basedOn w:val="3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页眉 字符"/>
    <w:basedOn w:val="132"/>
    <w:link w:val="25"/>
    <w:qFormat/>
    <w:uiPriority w:val="99"/>
  </w:style>
  <w:style w:type="character" w:customStyle="1" w:styleId="136">
    <w:name w:val="页脚 字符"/>
    <w:basedOn w:val="132"/>
    <w:link w:val="24"/>
    <w:qFormat/>
    <w:uiPriority w:val="99"/>
  </w:style>
  <w:style w:type="paragraph" w:styleId="137">
    <w:name w:val="No Spacing"/>
    <w:qFormat/>
    <w:uiPriority w:val="1"/>
    <w:rPr>
      <w:rFonts w:asciiTheme="minorHAnsi" w:hAnsiTheme="minorHAnsi" w:eastAsiaTheme="minorEastAsia" w:cstheme="minorBidi"/>
      <w:sz w:val="22"/>
      <w:szCs w:val="22"/>
      <w:lang w:val="en-US" w:eastAsia="en-US" w:bidi="ar-SA"/>
    </w:rPr>
  </w:style>
  <w:style w:type="character" w:customStyle="1" w:styleId="138">
    <w:name w:val="标题 1 字符"/>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标题 2 字符"/>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标题 3 字符"/>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标题 字符"/>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副标题 字符"/>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正文文本 字符"/>
    <w:basedOn w:val="132"/>
    <w:link w:val="19"/>
    <w:qFormat/>
    <w:uiPriority w:val="99"/>
  </w:style>
  <w:style w:type="character" w:customStyle="1" w:styleId="145">
    <w:name w:val="正文文本 2 字符"/>
    <w:basedOn w:val="132"/>
    <w:link w:val="28"/>
    <w:qFormat/>
    <w:uiPriority w:val="99"/>
  </w:style>
  <w:style w:type="character" w:customStyle="1" w:styleId="146">
    <w:name w:val="正文文本 3 字符"/>
    <w:basedOn w:val="132"/>
    <w:link w:val="17"/>
    <w:qFormat/>
    <w:uiPriority w:val="99"/>
    <w:rPr>
      <w:sz w:val="16"/>
      <w:szCs w:val="16"/>
    </w:rPr>
  </w:style>
  <w:style w:type="character" w:customStyle="1" w:styleId="147">
    <w:name w:val="宏文本 字符"/>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引用 字符"/>
    <w:basedOn w:val="132"/>
    <w:link w:val="148"/>
    <w:qFormat/>
    <w:uiPriority w:val="29"/>
    <w:rPr>
      <w:i/>
      <w:iCs/>
      <w:color w:val="000000" w:themeColor="text1"/>
      <w14:textFill>
        <w14:solidFill>
          <w14:schemeClr w14:val="tx1"/>
        </w14:solidFill>
      </w14:textFill>
    </w:rPr>
  </w:style>
  <w:style w:type="character" w:customStyle="1" w:styleId="150">
    <w:name w:val="标题 4 字符"/>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标题 5 字符"/>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标题 6 字符"/>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标题 7 字符"/>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标题 8 字符"/>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标题 9 字符"/>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明显引用 字符"/>
    <w:basedOn w:val="132"/>
    <w:link w:val="156"/>
    <w:qFormat/>
    <w:uiPriority w:val="30"/>
    <w:rPr>
      <w:b/>
      <w:bCs/>
      <w:i/>
      <w:iCs/>
      <w:color w:val="4F81BD" w:themeColor="accent1"/>
      <w14:textFill>
        <w14:solidFill>
          <w14:schemeClr w14:val="accent1"/>
        </w14:solidFill>
      </w14:textFill>
    </w:rPr>
  </w:style>
  <w:style w:type="character" w:customStyle="1" w:styleId="158">
    <w:name w:val="不明显强调1"/>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明显强调1"/>
    <w:basedOn w:val="132"/>
    <w:qFormat/>
    <w:uiPriority w:val="21"/>
    <w:rPr>
      <w:b/>
      <w:bCs/>
      <w:i/>
      <w:iCs/>
      <w:color w:val="4F81BD" w:themeColor="accent1"/>
      <w14:textFill>
        <w14:solidFill>
          <w14:schemeClr w14:val="accent1"/>
        </w14:solidFill>
      </w14:textFill>
    </w:rPr>
  </w:style>
  <w:style w:type="character" w:customStyle="1" w:styleId="160">
    <w:name w:val="不明显参考1"/>
    <w:basedOn w:val="132"/>
    <w:qFormat/>
    <w:uiPriority w:val="31"/>
    <w:rPr>
      <w:smallCaps/>
      <w:color w:val="C0504D" w:themeColor="accent2"/>
      <w:u w:val="single"/>
      <w14:textFill>
        <w14:solidFill>
          <w14:schemeClr w14:val="accent2"/>
        </w14:solidFill>
      </w14:textFill>
    </w:rPr>
  </w:style>
  <w:style w:type="character" w:customStyle="1" w:styleId="161">
    <w:name w:val="明显参考1"/>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书籍标题1"/>
    <w:basedOn w:val="132"/>
    <w:qFormat/>
    <w:uiPriority w:val="33"/>
    <w:rPr>
      <w:b/>
      <w:bCs/>
      <w:smallCaps/>
      <w:spacing w:val="5"/>
    </w:rPr>
  </w:style>
  <w:style w:type="paragraph" w:customStyle="1" w:styleId="163">
    <w:name w:val="TOC 标题1"/>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Template>
  <Pages>5</Pages>
  <Words>593</Words>
  <Characters>597</Characters>
  <Lines>68</Lines>
  <Paragraphs>64</Paragraphs>
  <TotalTime>3</TotalTime>
  <ScaleCrop>false</ScaleCrop>
  <LinksUpToDate>false</LinksUpToDate>
  <CharactersWithSpaces>597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2026-05-12T12:24:00Z</dcterms:created>
  <dc:creator>python-docx</dc:creator>
  <dc:description>generated by python-docx</dc:description>
  <cp:lastModifiedBy>孙灿灿</cp:lastModifiedBy>
  <cp:lastPrinted>2026-05-12T09:53:00Z</cp:lastPrinted>
  <dcterms:modified xsi:type="dcterms:W3CDTF">2026-05-29T02:19:36Z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1DB8F3C321D740508311DF9BC2CE1759_13</vt:lpwstr>
  </property>
  <property fmtid="{D5CDD505-2E9C-101B-9397-08002B2CF9AE}" pid="4" name="KSOTemplateDocerSaveRecord">
    <vt:lpwstr>eyJoZGlkIjoiNjQ3OThhZTM0ZjUzZjE5MDk3OWFkMWI2ZTNjMTIxYzYiLCJ1c2VySWQiOiIzMDg3MjE4ODkifQ==</vt:lpwstr>
  </property>
</Properties>
</file>