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4"/>
        <w:ind w:left="117"/>
        <w:rPr>
          <w:rFonts w:ascii="Times New Roman" w:hAnsi="Times New Roman"/>
          <w:b/>
          <w:sz w:val="28"/>
          <w:lang w:eastAsia="zh-CN"/>
        </w:rPr>
      </w:pPr>
      <w:r>
        <w:rPr>
          <w:rFonts w:ascii="Times New Roman" w:hAnsi="Times New Roman"/>
          <w:b/>
          <w:color w:val="231F20"/>
          <w:sz w:val="28"/>
          <w:lang w:eastAsia="zh-CN"/>
        </w:rPr>
        <w:t>GF—2016—2001</w:t>
      </w:r>
    </w:p>
    <w:p>
      <w:pPr>
        <w:pStyle w:val="5"/>
        <w:spacing w:before="0"/>
        <w:ind w:left="0"/>
        <w:rPr>
          <w:rFonts w:ascii="Times New Roman"/>
          <w:b/>
          <w:sz w:val="20"/>
          <w:lang w:eastAsia="zh-CN"/>
        </w:rPr>
      </w:pPr>
    </w:p>
    <w:p>
      <w:pPr>
        <w:pStyle w:val="5"/>
        <w:spacing w:before="0"/>
        <w:ind w:left="0"/>
        <w:rPr>
          <w:rFonts w:ascii="Times New Roman"/>
          <w:b/>
          <w:sz w:val="20"/>
          <w:lang w:eastAsia="zh-CN"/>
        </w:rPr>
      </w:pPr>
    </w:p>
    <w:p>
      <w:pPr>
        <w:pStyle w:val="5"/>
        <w:spacing w:before="0"/>
        <w:ind w:left="0"/>
        <w:rPr>
          <w:rFonts w:ascii="Times New Roman"/>
          <w:b/>
          <w:sz w:val="20"/>
          <w:lang w:eastAsia="zh-CN"/>
        </w:rPr>
      </w:pPr>
    </w:p>
    <w:p>
      <w:pPr>
        <w:pStyle w:val="5"/>
        <w:spacing w:before="0"/>
        <w:ind w:left="0"/>
        <w:rPr>
          <w:rFonts w:ascii="Times New Roman"/>
          <w:b/>
          <w:sz w:val="20"/>
          <w:lang w:eastAsia="zh-CN"/>
        </w:rPr>
      </w:pPr>
    </w:p>
    <w:p>
      <w:pPr>
        <w:pStyle w:val="5"/>
        <w:spacing w:before="0"/>
        <w:ind w:left="0"/>
        <w:rPr>
          <w:rFonts w:ascii="Times New Roman"/>
          <w:b/>
          <w:sz w:val="20"/>
          <w:lang w:eastAsia="zh-CN"/>
        </w:rPr>
      </w:pPr>
    </w:p>
    <w:p>
      <w:pPr>
        <w:pStyle w:val="5"/>
        <w:spacing w:before="0"/>
        <w:ind w:left="0"/>
        <w:rPr>
          <w:rFonts w:ascii="Times New Roman"/>
          <w:b/>
          <w:sz w:val="20"/>
          <w:lang w:eastAsia="zh-CN"/>
        </w:rPr>
      </w:pPr>
    </w:p>
    <w:p>
      <w:pPr>
        <w:pStyle w:val="5"/>
        <w:spacing w:before="0"/>
        <w:ind w:left="0"/>
        <w:rPr>
          <w:rFonts w:ascii="Times New Roman"/>
          <w:b/>
          <w:sz w:val="20"/>
          <w:lang w:eastAsia="zh-CN"/>
        </w:rPr>
      </w:pPr>
    </w:p>
    <w:p>
      <w:pPr>
        <w:pStyle w:val="5"/>
        <w:spacing w:before="3"/>
        <w:ind w:left="0"/>
        <w:rPr>
          <w:rFonts w:ascii="Times New Roman"/>
          <w:b/>
          <w:sz w:val="24"/>
          <w:lang w:eastAsia="zh-CN"/>
        </w:rPr>
      </w:pPr>
    </w:p>
    <w:p>
      <w:pPr>
        <w:spacing w:line="577" w:lineRule="exact"/>
        <w:jc w:val="center"/>
        <w:rPr>
          <w:rFonts w:ascii="方正小标宋_GBK" w:eastAsia="方正小标宋_GBK"/>
          <w:sz w:val="40"/>
          <w:lang w:eastAsia="zh-CN"/>
        </w:rPr>
      </w:pPr>
      <w:r>
        <w:rPr>
          <w:rFonts w:hint="eastAsia" w:ascii="方正小标宋_GBK" w:eastAsia="方正小标宋_GBK"/>
          <w:color w:val="231F20"/>
          <w:sz w:val="40"/>
          <w:lang w:eastAsia="zh-CN"/>
        </w:rPr>
        <w:t>《养老机构服务合同》</w:t>
      </w:r>
    </w:p>
    <w:p>
      <w:pPr>
        <w:pStyle w:val="3"/>
        <w:spacing w:before="152"/>
        <w:ind w:left="3812"/>
        <w:rPr>
          <w:lang w:eastAsia="zh-CN"/>
        </w:rPr>
      </w:pPr>
      <w:r>
        <w:rPr>
          <w:color w:val="231F20"/>
          <w:lang w:eastAsia="zh-CN"/>
        </w:rPr>
        <w:t>（示范文本）</w:t>
      </w: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pStyle w:val="5"/>
        <w:spacing w:before="0"/>
        <w:ind w:left="0"/>
        <w:rPr>
          <w:rFonts w:ascii="方正楷体_GBK"/>
          <w:sz w:val="30"/>
          <w:lang w:eastAsia="zh-CN"/>
        </w:rPr>
      </w:pPr>
    </w:p>
    <w:p>
      <w:pPr>
        <w:spacing w:before="261" w:line="319" w:lineRule="exact"/>
        <w:ind w:left="2995"/>
        <w:rPr>
          <w:rFonts w:ascii="方正楷体_GBK" w:eastAsia="方正楷体_GBK"/>
          <w:sz w:val="28"/>
          <w:lang w:eastAsia="zh-CN"/>
        </w:rPr>
      </w:pPr>
      <w:r>
        <w:rPr>
          <w:rFonts w:hint="eastAsia" w:ascii="方正楷体_GBK" w:eastAsia="方正楷体_GBK"/>
          <w:color w:val="231F20"/>
          <w:sz w:val="28"/>
          <w:lang w:eastAsia="zh-CN"/>
        </w:rPr>
        <w:t>中华人民共和国民政部</w:t>
      </w:r>
    </w:p>
    <w:p>
      <w:pPr>
        <w:tabs>
          <w:tab w:val="left" w:pos="6075"/>
        </w:tabs>
        <w:spacing w:line="519" w:lineRule="exact"/>
        <w:ind w:left="2995"/>
        <w:rPr>
          <w:rFonts w:ascii="方正楷体_GBK" w:eastAsia="方正楷体_GBK"/>
          <w:sz w:val="28"/>
          <w:lang w:eastAsia="zh-CN"/>
        </w:rPr>
      </w:pPr>
      <w:r>
        <w:rPr>
          <w:rFonts w:hint="eastAsia" w:ascii="方正楷体_GBK" w:eastAsia="方正楷体_GBK"/>
          <w:color w:val="231F20"/>
          <w:sz w:val="28"/>
          <w:lang w:eastAsia="zh-CN"/>
        </w:rPr>
        <w:t>国家工商行政管理总局</w:t>
      </w:r>
      <w:r>
        <w:rPr>
          <w:rFonts w:hint="eastAsia" w:ascii="方正楷体_GBK" w:eastAsia="方正楷体_GBK"/>
          <w:color w:val="231F20"/>
          <w:sz w:val="28"/>
          <w:lang w:eastAsia="zh-CN"/>
        </w:rPr>
        <w:tab/>
      </w:r>
      <w:r>
        <w:rPr>
          <w:rFonts w:hint="eastAsia" w:ascii="方正楷体_GBK" w:eastAsia="方正楷体_GBK"/>
          <w:color w:val="231F20"/>
          <w:position w:val="20"/>
          <w:sz w:val="28"/>
          <w:lang w:eastAsia="zh-CN"/>
        </w:rPr>
        <w:t>制定</w:t>
      </w:r>
    </w:p>
    <w:p>
      <w:pPr>
        <w:spacing w:before="42"/>
        <w:jc w:val="center"/>
        <w:rPr>
          <w:rFonts w:ascii="方正楷体_GBK" w:eastAsia="方正楷体_GBK"/>
          <w:sz w:val="28"/>
        </w:rPr>
      </w:pPr>
      <w:r>
        <w:rPr>
          <w:rFonts w:hint="eastAsia" w:ascii="方正楷体_GBK" w:eastAsia="方正楷体_GBK"/>
          <w:color w:val="231F20"/>
          <w:sz w:val="28"/>
        </w:rPr>
        <w:t>2016 年 11 月</w:t>
      </w:r>
    </w:p>
    <w:p>
      <w:pPr>
        <w:jc w:val="center"/>
        <w:rPr>
          <w:rFonts w:ascii="方正楷体_GBK" w:eastAsia="方正楷体_GBK"/>
          <w:sz w:val="28"/>
        </w:rPr>
        <w:sectPr>
          <w:footerReference r:id="rId3" w:type="default"/>
          <w:footerReference r:id="rId4" w:type="even"/>
          <w:type w:val="continuous"/>
          <w:pgSz w:w="11910" w:h="16840"/>
          <w:pgMar w:top="1580" w:right="1300" w:bottom="1020" w:left="1300" w:header="720" w:footer="832" w:gutter="0"/>
          <w:pgNumType w:start="1"/>
          <w:cols w:space="720" w:num="1"/>
        </w:sectPr>
      </w:pPr>
    </w:p>
    <w:p>
      <w:pPr>
        <w:pStyle w:val="5"/>
        <w:spacing w:before="0"/>
        <w:ind w:left="0"/>
        <w:rPr>
          <w:rFonts w:ascii="方正楷体_GBK"/>
          <w:sz w:val="20"/>
        </w:rPr>
      </w:pPr>
    </w:p>
    <w:p>
      <w:pPr>
        <w:pStyle w:val="5"/>
        <w:spacing w:before="0"/>
        <w:ind w:left="0"/>
        <w:rPr>
          <w:rFonts w:ascii="方正楷体_GBK"/>
          <w:sz w:val="20"/>
        </w:rPr>
      </w:pPr>
    </w:p>
    <w:p>
      <w:pPr>
        <w:pStyle w:val="5"/>
        <w:spacing w:before="4"/>
        <w:ind w:left="0"/>
        <w:rPr>
          <w:rFonts w:ascii="方正楷体_GBK"/>
          <w:sz w:val="14"/>
        </w:rPr>
      </w:pPr>
    </w:p>
    <w:p>
      <w:pPr>
        <w:tabs>
          <w:tab w:val="left" w:pos="4792"/>
        </w:tabs>
        <w:spacing w:before="3"/>
        <w:ind w:left="4232"/>
        <w:rPr>
          <w:rFonts w:ascii="方正黑体_GBK" w:eastAsia="方正黑体_GBK"/>
          <w:sz w:val="28"/>
        </w:rPr>
      </w:pPr>
      <w:r>
        <w:rPr>
          <w:rFonts w:hint="eastAsia" w:ascii="方正黑体_GBK" w:eastAsia="方正黑体_GBK"/>
          <w:color w:val="231F20"/>
          <w:sz w:val="28"/>
        </w:rPr>
        <w:t>说</w:t>
      </w:r>
      <w:r>
        <w:rPr>
          <w:rFonts w:hint="eastAsia" w:ascii="方正黑体_GBK" w:eastAsia="方正黑体_GBK"/>
          <w:color w:val="231F20"/>
          <w:sz w:val="28"/>
        </w:rPr>
        <w:tab/>
      </w:r>
      <w:r>
        <w:rPr>
          <w:rFonts w:hint="eastAsia" w:ascii="方正黑体_GBK" w:eastAsia="方正黑体_GBK"/>
          <w:color w:val="231F20"/>
          <w:sz w:val="28"/>
        </w:rPr>
        <w:t>明</w:t>
      </w:r>
    </w:p>
    <w:p>
      <w:pPr>
        <w:pStyle w:val="5"/>
        <w:spacing w:before="13"/>
        <w:ind w:left="0"/>
        <w:rPr>
          <w:rFonts w:ascii="方正黑体_GBK"/>
          <w:sz w:val="26"/>
        </w:rPr>
      </w:pPr>
    </w:p>
    <w:p>
      <w:pPr>
        <w:pStyle w:val="9"/>
        <w:numPr>
          <w:ilvl w:val="0"/>
          <w:numId w:val="1"/>
        </w:numPr>
        <w:tabs>
          <w:tab w:val="left" w:pos="776"/>
        </w:tabs>
        <w:spacing w:before="1" w:line="319" w:lineRule="auto"/>
        <w:ind w:right="112" w:firstLine="440"/>
        <w:jc w:val="both"/>
        <w:rPr>
          <w:lang w:eastAsia="zh-CN"/>
        </w:rPr>
      </w:pPr>
      <w:r>
        <w:rPr>
          <w:color w:val="231F20"/>
          <w:lang w:eastAsia="zh-CN"/>
        </w:rPr>
        <w:t>本合同文本为示范文本，由中华人民共和国民政部、中华人民共和国国家工商行政管理总局共同制定。各地可在有关法律法规、规定的范围内，结合实际情况调整合同相应内容。</w:t>
      </w:r>
    </w:p>
    <w:p>
      <w:pPr>
        <w:pStyle w:val="9"/>
        <w:numPr>
          <w:ilvl w:val="0"/>
          <w:numId w:val="1"/>
        </w:numPr>
        <w:tabs>
          <w:tab w:val="left" w:pos="776"/>
        </w:tabs>
        <w:spacing w:before="26" w:line="319" w:lineRule="auto"/>
        <w:ind w:right="110" w:firstLine="440"/>
        <w:jc w:val="both"/>
        <w:rPr>
          <w:lang w:eastAsia="zh-CN"/>
        </w:rPr>
      </w:pPr>
      <w:r>
        <w:rPr>
          <w:color w:val="231F20"/>
          <w:lang w:eastAsia="zh-CN"/>
        </w:rPr>
        <w:t>养老机构应当就合同重大事项对老年人及其家属或其他付款人、保证人、联系人等尽到提示义务。老年人及其家属或其他付款人、保证人、联系人等应当审慎签订合同，在签订本合同前，要仔细阅读合同条款，特别是审阅其中具有选择性、补充性、修改性的内容，注意防范潜在的风险。</w:t>
      </w:r>
    </w:p>
    <w:p>
      <w:pPr>
        <w:pStyle w:val="9"/>
        <w:numPr>
          <w:ilvl w:val="0"/>
          <w:numId w:val="1"/>
        </w:numPr>
        <w:tabs>
          <w:tab w:val="left" w:pos="776"/>
        </w:tabs>
        <w:spacing w:before="26" w:line="319" w:lineRule="auto"/>
        <w:ind w:right="113" w:firstLine="440"/>
        <w:jc w:val="both"/>
        <w:rPr>
          <w:lang w:eastAsia="zh-CN"/>
        </w:rPr>
      </w:pPr>
      <w:r>
        <w:rPr>
          <w:color w:val="231F20"/>
          <w:lang w:eastAsia="zh-CN"/>
        </w:rPr>
        <w:t>本合同文本“□”中选择内容、空格部位填写内容及其他需要删除或添加的内容，双方</w:t>
      </w:r>
      <w:r>
        <w:rPr>
          <w:color w:val="231F20"/>
          <w:spacing w:val="-12"/>
          <w:lang w:eastAsia="zh-CN"/>
        </w:rPr>
        <w:t>当事人应当协商确定。“□”中选择内容，以划√方式选定；对于实际情况未发生或双方当事人不作约定时，应当在空格部位打 ×，以示删除。</w:t>
      </w:r>
    </w:p>
    <w:p>
      <w:pPr>
        <w:pStyle w:val="9"/>
        <w:numPr>
          <w:ilvl w:val="0"/>
          <w:numId w:val="1"/>
        </w:numPr>
        <w:tabs>
          <w:tab w:val="left" w:pos="777"/>
        </w:tabs>
        <w:spacing w:before="26" w:line="319" w:lineRule="auto"/>
        <w:ind w:right="115" w:firstLine="440"/>
        <w:jc w:val="both"/>
        <w:rPr>
          <w:lang w:eastAsia="zh-CN"/>
        </w:rPr>
      </w:pPr>
      <w:r>
        <w:rPr>
          <w:color w:val="231F20"/>
          <w:lang w:eastAsia="zh-CN"/>
        </w:rPr>
        <w:t>在签订本合同时，当事人应根据老年人的民事行为能力、付款义务人、保证人、联系人的不同情况，将“专用条款”增加或替用至“通用条款”中。</w:t>
      </w:r>
    </w:p>
    <w:p>
      <w:pPr>
        <w:pStyle w:val="9"/>
        <w:numPr>
          <w:ilvl w:val="0"/>
          <w:numId w:val="1"/>
        </w:numPr>
        <w:tabs>
          <w:tab w:val="left" w:pos="776"/>
        </w:tabs>
        <w:spacing w:before="26" w:line="319" w:lineRule="auto"/>
        <w:ind w:right="113" w:firstLine="440"/>
        <w:jc w:val="both"/>
        <w:rPr>
          <w:lang w:eastAsia="zh-CN"/>
        </w:rPr>
      </w:pPr>
      <w:r>
        <w:rPr>
          <w:color w:val="231F20"/>
          <w:lang w:eastAsia="zh-CN"/>
        </w:rPr>
        <w:t>养老机构、老年人及其家属或其他付款人、保证人、联系人等可以针对本合同文本中没有约定或者约定不明确的内容，根据养老服务的具体情况在相关条款后的空白行中进行补充约定，也可以另行签订补充协议。</w:t>
      </w:r>
    </w:p>
    <w:p>
      <w:pPr>
        <w:pStyle w:val="9"/>
        <w:numPr>
          <w:ilvl w:val="0"/>
          <w:numId w:val="1"/>
        </w:numPr>
        <w:tabs>
          <w:tab w:val="left" w:pos="776"/>
        </w:tabs>
        <w:spacing w:before="26" w:line="319" w:lineRule="auto"/>
        <w:ind w:right="112" w:firstLine="440"/>
        <w:jc w:val="both"/>
        <w:rPr>
          <w:lang w:eastAsia="zh-CN"/>
        </w:rPr>
      </w:pPr>
      <w:r>
        <w:rPr>
          <w:color w:val="231F20"/>
          <w:lang w:eastAsia="zh-CN"/>
        </w:rPr>
        <w:t>当事人可以根据实际情况决定本合同原件的份数，并在签订合同时认真核对，以确保各</w:t>
      </w:r>
      <w:r>
        <w:rPr>
          <w:color w:val="231F20"/>
          <w:spacing w:val="-7"/>
          <w:lang w:eastAsia="zh-CN"/>
        </w:rPr>
        <w:t>份合同内容一致；在任何情况下，当事人都应当至少持有一份合同原件。</w:t>
      </w:r>
    </w:p>
    <w:p>
      <w:pPr>
        <w:spacing w:line="319" w:lineRule="auto"/>
        <w:jc w:val="both"/>
        <w:rPr>
          <w:lang w:eastAsia="zh-CN"/>
        </w:rPr>
        <w:sectPr>
          <w:pgSz w:w="11910" w:h="16840"/>
          <w:pgMar w:top="1580" w:right="1300" w:bottom="1020" w:left="1300" w:header="0" w:footer="832" w:gutter="0"/>
          <w:cols w:space="720" w:num="1"/>
        </w:sectPr>
      </w:pPr>
    </w:p>
    <w:p>
      <w:pPr>
        <w:pStyle w:val="5"/>
        <w:spacing w:before="0"/>
        <w:ind w:left="0"/>
        <w:rPr>
          <w:sz w:val="20"/>
          <w:lang w:eastAsia="zh-CN"/>
        </w:rPr>
      </w:pPr>
    </w:p>
    <w:p>
      <w:pPr>
        <w:pStyle w:val="5"/>
        <w:spacing w:before="0"/>
        <w:ind w:left="0"/>
        <w:rPr>
          <w:sz w:val="20"/>
          <w:lang w:eastAsia="zh-CN"/>
        </w:rPr>
      </w:pPr>
    </w:p>
    <w:p>
      <w:pPr>
        <w:pStyle w:val="3"/>
        <w:tabs>
          <w:tab w:val="left" w:pos="559"/>
        </w:tabs>
        <w:spacing w:before="174"/>
        <w:ind w:right="378"/>
        <w:jc w:val="center"/>
        <w:rPr>
          <w:rFonts w:ascii="方正黑体_GBK" w:eastAsia="方正黑体_GBK"/>
          <w:lang w:eastAsia="zh-CN"/>
        </w:rPr>
      </w:pPr>
      <w:r>
        <w:rPr>
          <w:rFonts w:hint="eastAsia" w:ascii="方正黑体_GBK" w:eastAsia="方正黑体_GBK"/>
          <w:color w:val="231F20"/>
          <w:lang w:eastAsia="zh-CN"/>
        </w:rPr>
        <w:t>目</w:t>
      </w:r>
      <w:r>
        <w:rPr>
          <w:rFonts w:hint="eastAsia" w:ascii="方正黑体_GBK" w:eastAsia="方正黑体_GBK"/>
          <w:color w:val="231F20"/>
          <w:lang w:eastAsia="zh-CN"/>
        </w:rPr>
        <w:tab/>
      </w:r>
      <w:r>
        <w:rPr>
          <w:rFonts w:hint="eastAsia" w:ascii="方正黑体_GBK" w:eastAsia="方正黑体_GBK"/>
          <w:color w:val="231F20"/>
          <w:lang w:eastAsia="zh-CN"/>
        </w:rPr>
        <w:t>录</w:t>
      </w:r>
    </w:p>
    <w:p>
      <w:pPr>
        <w:pStyle w:val="5"/>
        <w:spacing w:before="14"/>
        <w:ind w:left="0"/>
        <w:rPr>
          <w:rFonts w:ascii="方正黑体_GBK"/>
          <w:sz w:val="26"/>
          <w:lang w:eastAsia="zh-CN"/>
        </w:rPr>
      </w:pPr>
    </w:p>
    <w:p>
      <w:pPr>
        <w:pStyle w:val="5"/>
        <w:tabs>
          <w:tab w:val="left" w:pos="1057"/>
        </w:tabs>
        <w:spacing w:before="0" w:line="319" w:lineRule="auto"/>
        <w:ind w:left="177" w:right="5886"/>
        <w:rPr>
          <w:lang w:eastAsia="zh-CN"/>
        </w:rPr>
      </w:pPr>
      <w:r>
        <w:rPr>
          <w:color w:val="231F20"/>
          <w:lang w:eastAsia="zh-CN"/>
        </w:rPr>
        <w:t>第一条</w:t>
      </w:r>
      <w:r>
        <w:rPr>
          <w:color w:val="231F20"/>
          <w:lang w:eastAsia="zh-CN"/>
        </w:rPr>
        <w:tab/>
      </w:r>
      <w:r>
        <w:rPr>
          <w:color w:val="231F20"/>
          <w:lang w:eastAsia="zh-CN"/>
        </w:rPr>
        <w:t>服务地点及服务设施第二条</w:t>
      </w:r>
      <w:r>
        <w:rPr>
          <w:color w:val="231F20"/>
          <w:lang w:eastAsia="zh-CN"/>
        </w:rPr>
        <w:tab/>
      </w:r>
      <w:r>
        <w:rPr>
          <w:color w:val="231F20"/>
          <w:lang w:eastAsia="zh-CN"/>
        </w:rPr>
        <w:t>服务内容</w:t>
      </w:r>
    </w:p>
    <w:p>
      <w:pPr>
        <w:pStyle w:val="5"/>
        <w:tabs>
          <w:tab w:val="left" w:pos="1057"/>
        </w:tabs>
        <w:spacing w:before="25"/>
        <w:ind w:left="177"/>
        <w:rPr>
          <w:lang w:eastAsia="zh-CN"/>
        </w:rPr>
      </w:pPr>
      <w:r>
        <w:rPr>
          <w:color w:val="231F20"/>
          <w:lang w:eastAsia="zh-CN"/>
        </w:rPr>
        <w:t>第三条</w:t>
      </w:r>
      <w:r>
        <w:rPr>
          <w:color w:val="231F20"/>
          <w:lang w:eastAsia="zh-CN"/>
        </w:rPr>
        <w:tab/>
      </w:r>
      <w:r>
        <w:rPr>
          <w:color w:val="231F20"/>
          <w:lang w:eastAsia="zh-CN"/>
        </w:rPr>
        <w:t>收费标准及费用的支付</w:t>
      </w:r>
    </w:p>
    <w:p>
      <w:pPr>
        <w:pStyle w:val="5"/>
        <w:tabs>
          <w:tab w:val="left" w:pos="1057"/>
        </w:tabs>
        <w:spacing w:line="319" w:lineRule="auto"/>
        <w:ind w:left="177" w:right="5226"/>
        <w:rPr>
          <w:lang w:eastAsia="zh-CN"/>
        </w:rPr>
      </w:pPr>
      <w:r>
        <w:rPr>
          <w:color w:val="231F20"/>
          <w:lang w:eastAsia="zh-CN"/>
        </w:rPr>
        <w:t>第四条</w:t>
      </w:r>
      <w:r>
        <w:rPr>
          <w:color w:val="231F20"/>
          <w:lang w:eastAsia="zh-CN"/>
        </w:rPr>
        <w:tab/>
      </w:r>
      <w:r>
        <w:rPr>
          <w:color w:val="231F20"/>
          <w:lang w:eastAsia="zh-CN"/>
        </w:rPr>
        <w:t>合同期限及合同期满的处理第五条</w:t>
      </w:r>
      <w:r>
        <w:rPr>
          <w:color w:val="231F20"/>
          <w:lang w:eastAsia="zh-CN"/>
        </w:rPr>
        <w:tab/>
      </w:r>
      <w:r>
        <w:rPr>
          <w:color w:val="231F20"/>
          <w:lang w:eastAsia="zh-CN"/>
        </w:rPr>
        <w:t>甲方的权利、义务</w:t>
      </w:r>
    </w:p>
    <w:p>
      <w:pPr>
        <w:pStyle w:val="5"/>
        <w:tabs>
          <w:tab w:val="left" w:pos="1057"/>
        </w:tabs>
        <w:spacing w:before="26" w:line="319" w:lineRule="auto"/>
        <w:ind w:left="177" w:right="4786"/>
        <w:rPr>
          <w:lang w:eastAsia="zh-CN"/>
        </w:rPr>
      </w:pPr>
      <w:r>
        <w:rPr>
          <w:color w:val="231F20"/>
          <w:lang w:eastAsia="zh-CN"/>
        </w:rPr>
        <w:t>第六条</w:t>
      </w:r>
      <w:r>
        <w:rPr>
          <w:color w:val="231F20"/>
          <w:lang w:eastAsia="zh-CN"/>
        </w:rPr>
        <w:tab/>
      </w:r>
      <w:r>
        <w:rPr>
          <w:color w:val="231F20"/>
          <w:lang w:eastAsia="zh-CN"/>
        </w:rPr>
        <w:t>乙方及乙方监护人的权利、义务第七条</w:t>
      </w:r>
      <w:r>
        <w:rPr>
          <w:color w:val="231F20"/>
          <w:lang w:eastAsia="zh-CN"/>
        </w:rPr>
        <w:tab/>
      </w:r>
      <w:r>
        <w:rPr>
          <w:color w:val="231F20"/>
          <w:lang w:eastAsia="zh-CN"/>
        </w:rPr>
        <w:t>丙方的权利、义务</w:t>
      </w:r>
    </w:p>
    <w:p>
      <w:pPr>
        <w:pStyle w:val="5"/>
        <w:tabs>
          <w:tab w:val="left" w:pos="1057"/>
        </w:tabs>
        <w:spacing w:before="26"/>
        <w:ind w:left="177"/>
        <w:rPr>
          <w:lang w:eastAsia="zh-CN"/>
        </w:rPr>
      </w:pPr>
      <w:r>
        <w:rPr>
          <w:color w:val="231F20"/>
          <w:lang w:eastAsia="zh-CN"/>
        </w:rPr>
        <w:t>第八条</w:t>
      </w:r>
      <w:r>
        <w:rPr>
          <w:color w:val="231F20"/>
          <w:lang w:eastAsia="zh-CN"/>
        </w:rPr>
        <w:tab/>
      </w:r>
      <w:r>
        <w:rPr>
          <w:color w:val="231F20"/>
          <w:lang w:eastAsia="zh-CN"/>
        </w:rPr>
        <w:t>陈述与保证</w:t>
      </w:r>
    </w:p>
    <w:p>
      <w:pPr>
        <w:pStyle w:val="5"/>
        <w:tabs>
          <w:tab w:val="left" w:pos="1057"/>
        </w:tabs>
        <w:spacing w:line="319" w:lineRule="auto"/>
        <w:ind w:left="177" w:right="6106"/>
        <w:rPr>
          <w:lang w:eastAsia="zh-CN"/>
        </w:rPr>
      </w:pPr>
      <w:r>
        <w:rPr>
          <w:color w:val="231F20"/>
          <w:lang w:eastAsia="zh-CN"/>
        </w:rPr>
        <w:t>第九条</w:t>
      </w:r>
      <w:r>
        <w:rPr>
          <w:color w:val="231F20"/>
          <w:lang w:eastAsia="zh-CN"/>
        </w:rPr>
        <w:tab/>
      </w:r>
      <w:r>
        <w:rPr>
          <w:color w:val="231F20"/>
          <w:lang w:eastAsia="zh-CN"/>
        </w:rPr>
        <w:t>合同的变更和解除第十条</w:t>
      </w:r>
      <w:r>
        <w:rPr>
          <w:color w:val="231F20"/>
          <w:lang w:eastAsia="zh-CN"/>
        </w:rPr>
        <w:tab/>
      </w:r>
      <w:r>
        <w:rPr>
          <w:color w:val="231F20"/>
          <w:lang w:eastAsia="zh-CN"/>
        </w:rPr>
        <w:t>特别约定</w:t>
      </w:r>
    </w:p>
    <w:p>
      <w:pPr>
        <w:pStyle w:val="5"/>
        <w:tabs>
          <w:tab w:val="left" w:pos="1277"/>
        </w:tabs>
        <w:spacing w:before="25"/>
        <w:ind w:left="177"/>
        <w:rPr>
          <w:lang w:eastAsia="zh-CN"/>
        </w:rPr>
      </w:pPr>
      <w:r>
        <w:rPr>
          <w:color w:val="231F20"/>
          <w:lang w:eastAsia="zh-CN"/>
        </w:rPr>
        <w:t>第十一条</w:t>
      </w:r>
      <w:r>
        <w:rPr>
          <w:color w:val="231F20"/>
          <w:lang w:eastAsia="zh-CN"/>
        </w:rPr>
        <w:tab/>
      </w:r>
      <w:r>
        <w:rPr>
          <w:color w:val="231F20"/>
          <w:lang w:eastAsia="zh-CN"/>
        </w:rPr>
        <w:t>违约责任</w:t>
      </w:r>
    </w:p>
    <w:p>
      <w:pPr>
        <w:pStyle w:val="5"/>
        <w:tabs>
          <w:tab w:val="left" w:pos="1277"/>
        </w:tabs>
        <w:spacing w:before="108" w:line="319" w:lineRule="auto"/>
        <w:ind w:left="177" w:right="5446"/>
        <w:rPr>
          <w:lang w:eastAsia="zh-CN"/>
        </w:rPr>
      </w:pPr>
      <w:r>
        <w:rPr>
          <w:color w:val="231F20"/>
          <w:lang w:eastAsia="zh-CN"/>
        </w:rPr>
        <w:t>第十二条</w:t>
      </w:r>
      <w:r>
        <w:rPr>
          <w:color w:val="231F20"/>
          <w:lang w:eastAsia="zh-CN"/>
        </w:rPr>
        <w:tab/>
      </w:r>
      <w:r>
        <w:rPr>
          <w:color w:val="231F20"/>
          <w:lang w:eastAsia="zh-CN"/>
        </w:rPr>
        <w:t>纠纷的解决方式及管辖第十三条</w:t>
      </w:r>
      <w:r>
        <w:rPr>
          <w:color w:val="231F20"/>
          <w:lang w:eastAsia="zh-CN"/>
        </w:rPr>
        <w:tab/>
      </w:r>
      <w:r>
        <w:rPr>
          <w:color w:val="231F20"/>
          <w:lang w:eastAsia="zh-CN"/>
        </w:rPr>
        <w:t>通知与送达</w:t>
      </w:r>
    </w:p>
    <w:p>
      <w:pPr>
        <w:pStyle w:val="5"/>
        <w:tabs>
          <w:tab w:val="left" w:pos="1277"/>
        </w:tabs>
        <w:spacing w:before="25" w:line="319" w:lineRule="auto"/>
        <w:ind w:left="177" w:right="5006"/>
        <w:rPr>
          <w:lang w:eastAsia="zh-CN"/>
        </w:rPr>
      </w:pPr>
      <w:r>
        <w:rPr>
          <w:color w:val="231F20"/>
          <w:lang w:eastAsia="zh-CN"/>
        </w:rPr>
        <w:t>第十四条</w:t>
      </w:r>
      <w:r>
        <w:rPr>
          <w:color w:val="231F20"/>
          <w:lang w:eastAsia="zh-CN"/>
        </w:rPr>
        <w:tab/>
      </w:r>
      <w:r>
        <w:rPr>
          <w:color w:val="231F20"/>
          <w:lang w:eastAsia="zh-CN"/>
        </w:rPr>
        <w:t>当事人协商一致的其他内容第十五条</w:t>
      </w:r>
      <w:r>
        <w:rPr>
          <w:color w:val="231F20"/>
          <w:lang w:eastAsia="zh-CN"/>
        </w:rPr>
        <w:tab/>
      </w:r>
      <w:r>
        <w:rPr>
          <w:color w:val="231F20"/>
          <w:lang w:eastAsia="zh-CN"/>
        </w:rPr>
        <w:t>合同生效及附件</w:t>
      </w:r>
    </w:p>
    <w:p>
      <w:pPr>
        <w:spacing w:line="319" w:lineRule="auto"/>
        <w:rPr>
          <w:lang w:eastAsia="zh-CN"/>
        </w:rPr>
        <w:sectPr>
          <w:pgSz w:w="11910" w:h="16840"/>
          <w:pgMar w:top="1580" w:right="1300" w:bottom="1020" w:left="1680" w:header="0" w:footer="832" w:gutter="0"/>
          <w:cols w:space="720" w:num="1"/>
        </w:sectPr>
      </w:pPr>
    </w:p>
    <w:p>
      <w:pPr>
        <w:pStyle w:val="4"/>
        <w:spacing w:before="10"/>
        <w:ind w:left="877" w:right="378"/>
        <w:rPr>
          <w:lang w:eastAsia="zh-CN"/>
        </w:rPr>
      </w:pPr>
      <w:r>
        <w:rPr>
          <w:color w:val="231F20"/>
          <w:lang w:eastAsia="zh-CN"/>
        </w:rPr>
        <w:t>甲方（养老机构）</w:t>
      </w:r>
    </w:p>
    <w:p>
      <w:pPr>
        <w:pStyle w:val="5"/>
        <w:spacing w:before="0"/>
        <w:ind w:left="0"/>
        <w:rPr>
          <w:rFonts w:ascii="方正黑体_GBK"/>
          <w:sz w:val="17"/>
          <w:lang w:eastAsia="zh-CN"/>
        </w:rPr>
      </w:pPr>
    </w:p>
    <w:p>
      <w:pPr>
        <w:pStyle w:val="5"/>
        <w:tabs>
          <w:tab w:val="left" w:pos="5157"/>
        </w:tabs>
        <w:spacing w:before="0"/>
        <w:ind w:left="557"/>
        <w:rPr>
          <w:lang w:eastAsia="zh-CN"/>
        </w:rPr>
      </w:pPr>
      <w:r>
        <w:rPr>
          <w:color w:val="231F20"/>
          <w:lang w:eastAsia="zh-CN"/>
        </w:rPr>
        <w:t>法定代表人：</w:t>
      </w:r>
      <w:r>
        <w:rPr>
          <w:color w:val="231F20"/>
          <w:lang w:eastAsia="zh-CN"/>
        </w:rPr>
        <w:tab/>
      </w:r>
      <w:r>
        <w:rPr>
          <w:color w:val="231F20"/>
          <w:lang w:eastAsia="zh-CN"/>
        </w:rPr>
        <w:t>职务：</w:t>
      </w:r>
    </w:p>
    <w:p>
      <w:pPr>
        <w:pStyle w:val="5"/>
        <w:tabs>
          <w:tab w:val="left" w:pos="5157"/>
        </w:tabs>
        <w:spacing w:before="89"/>
        <w:ind w:left="557"/>
        <w:rPr>
          <w:lang w:eastAsia="zh-CN"/>
        </w:rPr>
      </w:pPr>
      <w:r>
        <w:rPr>
          <w:color w:val="231F20"/>
          <w:lang w:eastAsia="zh-CN"/>
        </w:rPr>
        <w:t>住所：</w:t>
      </w:r>
      <w:r>
        <w:rPr>
          <w:color w:val="231F20"/>
          <w:lang w:eastAsia="zh-CN"/>
        </w:rPr>
        <w:tab/>
      </w:r>
      <w:r>
        <w:rPr>
          <w:color w:val="231F20"/>
          <w:lang w:eastAsia="zh-CN"/>
        </w:rPr>
        <w:t>邮政编码：</w:t>
      </w:r>
    </w:p>
    <w:p>
      <w:pPr>
        <w:pStyle w:val="5"/>
        <w:tabs>
          <w:tab w:val="left" w:pos="5157"/>
        </w:tabs>
        <w:spacing w:before="89"/>
        <w:ind w:left="557"/>
        <w:rPr>
          <w:color w:val="231F20"/>
          <w:lang w:eastAsia="zh-CN"/>
        </w:rPr>
      </w:pPr>
      <w:r>
        <w:rPr>
          <w:color w:val="231F20"/>
          <w:lang w:eastAsia="zh-CN"/>
        </w:rPr>
        <w:t>联系电话：</w:t>
      </w:r>
      <w:r>
        <w:rPr>
          <w:color w:val="231F20"/>
          <w:lang w:eastAsia="zh-CN"/>
        </w:rPr>
        <w:tab/>
      </w:r>
      <w:r>
        <w:rPr>
          <w:color w:val="231F20"/>
          <w:lang w:eastAsia="zh-CN"/>
        </w:rPr>
        <w:t>电子邮箱：</w:t>
      </w:r>
    </w:p>
    <w:p>
      <w:pPr>
        <w:pStyle w:val="5"/>
        <w:tabs>
          <w:tab w:val="left" w:pos="5157"/>
        </w:tabs>
        <w:spacing w:before="89"/>
        <w:ind w:left="557"/>
        <w:rPr>
          <w:color w:val="231F20"/>
          <w:lang w:eastAsia="zh-CN"/>
        </w:rPr>
      </w:pPr>
    </w:p>
    <w:p>
      <w:pPr>
        <w:pStyle w:val="5"/>
        <w:tabs>
          <w:tab w:val="left" w:pos="5157"/>
        </w:tabs>
        <w:spacing w:before="89"/>
        <w:ind w:left="557"/>
        <w:rPr>
          <w:color w:val="231F20"/>
          <w:lang w:eastAsia="zh-CN"/>
        </w:rPr>
      </w:pPr>
    </w:p>
    <w:p>
      <w:pPr>
        <w:pStyle w:val="5"/>
        <w:spacing w:before="5"/>
        <w:ind w:left="0"/>
        <w:rPr>
          <w:sz w:val="16"/>
          <w:lang w:eastAsia="zh-CN"/>
        </w:rPr>
      </w:pPr>
    </w:p>
    <w:p>
      <w:pPr>
        <w:pStyle w:val="4"/>
        <w:ind w:left="877" w:right="378"/>
      </w:pPr>
      <w:r>
        <w:rPr>
          <w:color w:val="231F20"/>
        </w:rPr>
        <w:t>乙方（入住老年人）</w:t>
      </w:r>
    </w:p>
    <w:p>
      <w:pPr>
        <w:pStyle w:val="5"/>
        <w:spacing w:before="4"/>
        <w:ind w:left="0"/>
        <w:rPr>
          <w:rFonts w:ascii="方正黑体_GBK"/>
        </w:rPr>
      </w:pPr>
    </w:p>
    <w:tbl>
      <w:tblPr>
        <w:tblStyle w:val="8"/>
        <w:tblW w:w="0" w:type="auto"/>
        <w:tblInd w:w="507" w:type="dxa"/>
        <w:tblLayout w:type="fixed"/>
        <w:tblCellMar>
          <w:top w:w="0" w:type="dxa"/>
          <w:left w:w="0" w:type="dxa"/>
          <w:bottom w:w="0" w:type="dxa"/>
          <w:right w:w="0" w:type="dxa"/>
        </w:tblCellMar>
      </w:tblPr>
      <w:tblGrid>
        <w:gridCol w:w="2040"/>
        <w:gridCol w:w="1860"/>
        <w:gridCol w:w="1900"/>
      </w:tblGrid>
      <w:tr>
        <w:tblPrEx>
          <w:tblCellMar>
            <w:top w:w="0" w:type="dxa"/>
            <w:left w:w="0" w:type="dxa"/>
            <w:bottom w:w="0" w:type="dxa"/>
            <w:right w:w="0" w:type="dxa"/>
          </w:tblCellMar>
        </w:tblPrEx>
        <w:trPr>
          <w:trHeight w:val="320" w:hRule="atLeast"/>
        </w:trPr>
        <w:tc>
          <w:tcPr>
            <w:tcW w:w="2040" w:type="dxa"/>
          </w:tcPr>
          <w:p>
            <w:pPr>
              <w:pStyle w:val="10"/>
              <w:spacing w:line="253" w:lineRule="exact"/>
              <w:ind w:left="50"/>
            </w:pPr>
            <w:r>
              <w:rPr>
                <w:color w:val="231F20"/>
              </w:rPr>
              <w:t>姓名：</w:t>
            </w:r>
          </w:p>
        </w:tc>
        <w:tc>
          <w:tcPr>
            <w:tcW w:w="1860" w:type="dxa"/>
          </w:tcPr>
          <w:p>
            <w:pPr>
              <w:pStyle w:val="10"/>
              <w:spacing w:line="253" w:lineRule="exact"/>
              <w:ind w:left="450"/>
            </w:pPr>
            <w:r>
              <w:rPr>
                <w:color w:val="231F20"/>
              </w:rPr>
              <w:t>性别：</w:t>
            </w:r>
          </w:p>
        </w:tc>
        <w:tc>
          <w:tcPr>
            <w:tcW w:w="1900" w:type="dxa"/>
          </w:tcPr>
          <w:p>
            <w:pPr>
              <w:pStyle w:val="10"/>
              <w:spacing w:line="253" w:lineRule="exact"/>
              <w:ind w:left="749"/>
            </w:pPr>
            <w:r>
              <w:rPr>
                <w:color w:val="231F20"/>
              </w:rPr>
              <w:t>年龄：</w:t>
            </w:r>
          </w:p>
        </w:tc>
      </w:tr>
      <w:tr>
        <w:tblPrEx>
          <w:tblCellMar>
            <w:top w:w="0" w:type="dxa"/>
            <w:left w:w="0" w:type="dxa"/>
            <w:bottom w:w="0" w:type="dxa"/>
            <w:right w:w="0" w:type="dxa"/>
          </w:tblCellMar>
        </w:tblPrEx>
        <w:trPr>
          <w:trHeight w:val="420" w:hRule="atLeast"/>
        </w:trPr>
        <w:tc>
          <w:tcPr>
            <w:tcW w:w="2040" w:type="dxa"/>
          </w:tcPr>
          <w:p>
            <w:pPr>
              <w:pStyle w:val="10"/>
              <w:spacing w:before="5"/>
              <w:ind w:left="50"/>
            </w:pPr>
            <w:r>
              <w:rPr>
                <w:color w:val="231F20"/>
              </w:rPr>
              <w:t>居民身份证号：</w:t>
            </w:r>
          </w:p>
        </w:tc>
        <w:tc>
          <w:tcPr>
            <w:tcW w:w="1860" w:type="dxa"/>
          </w:tcPr>
          <w:p>
            <w:pPr>
              <w:pStyle w:val="10"/>
              <w:rPr>
                <w:rFonts w:ascii="Times New Roman"/>
              </w:rPr>
            </w:pPr>
          </w:p>
        </w:tc>
        <w:tc>
          <w:tcPr>
            <w:tcW w:w="1900" w:type="dxa"/>
          </w:tcPr>
          <w:p>
            <w:pPr>
              <w:pStyle w:val="10"/>
              <w:rPr>
                <w:rFonts w:ascii="Times New Roman"/>
              </w:rPr>
            </w:pPr>
          </w:p>
        </w:tc>
      </w:tr>
      <w:tr>
        <w:tblPrEx>
          <w:tblCellMar>
            <w:top w:w="0" w:type="dxa"/>
            <w:left w:w="0" w:type="dxa"/>
            <w:bottom w:w="0" w:type="dxa"/>
            <w:right w:w="0" w:type="dxa"/>
          </w:tblCellMar>
        </w:tblPrEx>
        <w:trPr>
          <w:trHeight w:val="420" w:hRule="atLeast"/>
        </w:trPr>
        <w:tc>
          <w:tcPr>
            <w:tcW w:w="2040" w:type="dxa"/>
          </w:tcPr>
          <w:p>
            <w:pPr>
              <w:pStyle w:val="10"/>
              <w:spacing w:before="5"/>
              <w:ind w:left="50"/>
            </w:pPr>
            <w:r>
              <w:rPr>
                <w:color w:val="231F20"/>
              </w:rPr>
              <w:t>家庭住址：</w:t>
            </w:r>
          </w:p>
        </w:tc>
        <w:tc>
          <w:tcPr>
            <w:tcW w:w="1860" w:type="dxa"/>
          </w:tcPr>
          <w:p>
            <w:pPr>
              <w:pStyle w:val="10"/>
              <w:rPr>
                <w:rFonts w:ascii="Times New Roman"/>
              </w:rPr>
            </w:pPr>
          </w:p>
        </w:tc>
        <w:tc>
          <w:tcPr>
            <w:tcW w:w="1900" w:type="dxa"/>
          </w:tcPr>
          <w:p>
            <w:pPr>
              <w:pStyle w:val="10"/>
              <w:rPr>
                <w:rFonts w:ascii="Times New Roman"/>
              </w:rPr>
            </w:pPr>
          </w:p>
        </w:tc>
      </w:tr>
      <w:tr>
        <w:tblPrEx>
          <w:tblCellMar>
            <w:top w:w="0" w:type="dxa"/>
            <w:left w:w="0" w:type="dxa"/>
            <w:bottom w:w="0" w:type="dxa"/>
            <w:right w:w="0" w:type="dxa"/>
          </w:tblCellMar>
        </w:tblPrEx>
        <w:trPr>
          <w:trHeight w:val="320" w:hRule="atLeast"/>
        </w:trPr>
        <w:tc>
          <w:tcPr>
            <w:tcW w:w="2040" w:type="dxa"/>
          </w:tcPr>
          <w:p>
            <w:pPr>
              <w:pStyle w:val="10"/>
              <w:spacing w:before="5" w:line="311" w:lineRule="exact"/>
              <w:ind w:left="50"/>
            </w:pPr>
            <w:r>
              <w:rPr>
                <w:color w:val="231F20"/>
              </w:rPr>
              <w:t>联系电话：</w:t>
            </w:r>
          </w:p>
        </w:tc>
        <w:tc>
          <w:tcPr>
            <w:tcW w:w="1860" w:type="dxa"/>
          </w:tcPr>
          <w:p>
            <w:pPr>
              <w:pStyle w:val="10"/>
              <w:rPr>
                <w:rFonts w:ascii="Times New Roman"/>
              </w:rPr>
            </w:pPr>
          </w:p>
        </w:tc>
        <w:tc>
          <w:tcPr>
            <w:tcW w:w="1900" w:type="dxa"/>
          </w:tcPr>
          <w:p>
            <w:pPr>
              <w:pStyle w:val="10"/>
              <w:spacing w:before="5" w:line="311" w:lineRule="exact"/>
              <w:ind w:left="749"/>
            </w:pPr>
            <w:r>
              <w:rPr>
                <w:color w:val="231F20"/>
              </w:rPr>
              <w:t>电子邮箱：</w:t>
            </w:r>
          </w:p>
        </w:tc>
      </w:tr>
      <w:tr>
        <w:tblPrEx>
          <w:tblCellMar>
            <w:top w:w="0" w:type="dxa"/>
            <w:left w:w="0" w:type="dxa"/>
            <w:bottom w:w="0" w:type="dxa"/>
            <w:right w:w="0" w:type="dxa"/>
          </w:tblCellMar>
        </w:tblPrEx>
        <w:trPr>
          <w:trHeight w:val="320" w:hRule="atLeast"/>
        </w:trPr>
        <w:tc>
          <w:tcPr>
            <w:tcW w:w="2040" w:type="dxa"/>
          </w:tcPr>
          <w:p>
            <w:pPr>
              <w:pStyle w:val="10"/>
              <w:spacing w:before="5" w:line="311" w:lineRule="exact"/>
              <w:ind w:left="50"/>
              <w:rPr>
                <w:color w:val="231F20"/>
              </w:rPr>
            </w:pPr>
          </w:p>
        </w:tc>
        <w:tc>
          <w:tcPr>
            <w:tcW w:w="1860" w:type="dxa"/>
          </w:tcPr>
          <w:p>
            <w:pPr>
              <w:pStyle w:val="10"/>
              <w:rPr>
                <w:rFonts w:ascii="Times New Roman"/>
              </w:rPr>
            </w:pPr>
          </w:p>
        </w:tc>
        <w:tc>
          <w:tcPr>
            <w:tcW w:w="1900" w:type="dxa"/>
          </w:tcPr>
          <w:p>
            <w:pPr>
              <w:pStyle w:val="10"/>
              <w:spacing w:before="5" w:line="311" w:lineRule="exact"/>
              <w:ind w:left="749"/>
              <w:rPr>
                <w:color w:val="231F20"/>
              </w:rPr>
            </w:pPr>
          </w:p>
        </w:tc>
      </w:tr>
      <w:tr>
        <w:tblPrEx>
          <w:tblCellMar>
            <w:top w:w="0" w:type="dxa"/>
            <w:left w:w="0" w:type="dxa"/>
            <w:bottom w:w="0" w:type="dxa"/>
            <w:right w:w="0" w:type="dxa"/>
          </w:tblCellMar>
        </w:tblPrEx>
        <w:trPr>
          <w:trHeight w:val="320" w:hRule="atLeast"/>
        </w:trPr>
        <w:tc>
          <w:tcPr>
            <w:tcW w:w="2040" w:type="dxa"/>
          </w:tcPr>
          <w:p>
            <w:pPr>
              <w:pStyle w:val="10"/>
              <w:spacing w:before="5" w:line="311" w:lineRule="exact"/>
              <w:ind w:left="50"/>
              <w:rPr>
                <w:color w:val="231F20"/>
              </w:rPr>
            </w:pPr>
          </w:p>
        </w:tc>
        <w:tc>
          <w:tcPr>
            <w:tcW w:w="1860" w:type="dxa"/>
          </w:tcPr>
          <w:p>
            <w:pPr>
              <w:pStyle w:val="10"/>
              <w:rPr>
                <w:rFonts w:ascii="Times New Roman"/>
              </w:rPr>
            </w:pPr>
          </w:p>
        </w:tc>
        <w:tc>
          <w:tcPr>
            <w:tcW w:w="1900" w:type="dxa"/>
          </w:tcPr>
          <w:p>
            <w:pPr>
              <w:pStyle w:val="10"/>
              <w:spacing w:before="5" w:line="311" w:lineRule="exact"/>
              <w:ind w:left="749"/>
              <w:rPr>
                <w:color w:val="231F20"/>
              </w:rPr>
            </w:pPr>
          </w:p>
        </w:tc>
      </w:tr>
    </w:tbl>
    <w:p>
      <w:pPr>
        <w:pStyle w:val="5"/>
        <w:spacing w:before="10"/>
        <w:ind w:left="0"/>
        <w:rPr>
          <w:rFonts w:ascii="方正黑体_GBK"/>
          <w:sz w:val="16"/>
        </w:rPr>
      </w:pPr>
    </w:p>
    <w:p>
      <w:pPr>
        <w:ind w:left="757" w:right="378"/>
        <w:jc w:val="center"/>
        <w:rPr>
          <w:rFonts w:ascii="方正黑体_GBK" w:eastAsia="方正黑体_GBK"/>
          <w:sz w:val="24"/>
        </w:rPr>
      </w:pPr>
      <w:r>
        <w:rPr>
          <w:rFonts w:hint="eastAsia" w:ascii="方正黑体_GBK" w:eastAsia="方正黑体_GBK"/>
          <w:color w:val="231F20"/>
          <w:sz w:val="24"/>
        </w:rPr>
        <w:t>乙方监护人</w:t>
      </w:r>
    </w:p>
    <w:p>
      <w:pPr>
        <w:pStyle w:val="5"/>
        <w:spacing w:before="0"/>
        <w:ind w:left="0"/>
        <w:rPr>
          <w:rFonts w:ascii="方正黑体_GBK"/>
          <w:sz w:val="17"/>
        </w:rPr>
      </w:pPr>
    </w:p>
    <w:p>
      <w:pPr>
        <w:pStyle w:val="5"/>
        <w:tabs>
          <w:tab w:val="left" w:pos="5157"/>
        </w:tabs>
        <w:spacing w:before="0" w:line="304" w:lineRule="auto"/>
        <w:ind w:left="557" w:right="776" w:hanging="110"/>
        <w:rPr>
          <w:lang w:eastAsia="zh-CN"/>
        </w:rPr>
      </w:pPr>
      <w:r>
        <w:rPr>
          <w:color w:val="231F20"/>
          <w:lang w:eastAsia="zh-CN"/>
        </w:rPr>
        <w:t>（属于限制行为能力或者无民事行为能力的入住老年人，须由监护人签字确认） 姓名：</w:t>
      </w:r>
      <w:r>
        <w:rPr>
          <w:color w:val="231F20"/>
          <w:lang w:eastAsia="zh-CN"/>
        </w:rPr>
        <w:tab/>
      </w:r>
      <w:r>
        <w:rPr>
          <w:color w:val="231F20"/>
          <w:lang w:eastAsia="zh-CN"/>
        </w:rPr>
        <w:t>与乙方关系：</w:t>
      </w:r>
    </w:p>
    <w:p>
      <w:pPr>
        <w:pStyle w:val="5"/>
        <w:spacing w:before="21" w:line="304" w:lineRule="auto"/>
        <w:ind w:left="557" w:right="6813"/>
        <w:rPr>
          <w:lang w:eastAsia="zh-CN"/>
        </w:rPr>
      </w:pPr>
      <w:r>
        <w:rPr>
          <w:color w:val="231F20"/>
          <w:lang w:eastAsia="zh-CN"/>
        </w:rPr>
        <w:t>居民身份号码： 家庭住址：</w:t>
      </w:r>
    </w:p>
    <w:p>
      <w:pPr>
        <w:pStyle w:val="5"/>
        <w:tabs>
          <w:tab w:val="left" w:pos="5157"/>
        </w:tabs>
        <w:spacing w:before="21"/>
        <w:ind w:left="557"/>
        <w:rPr>
          <w:color w:val="231F20"/>
          <w:lang w:eastAsia="zh-CN"/>
        </w:rPr>
      </w:pPr>
      <w:r>
        <w:rPr>
          <w:color w:val="231F20"/>
          <w:lang w:eastAsia="zh-CN"/>
        </w:rPr>
        <w:t>联系电话：</w:t>
      </w:r>
      <w:r>
        <w:rPr>
          <w:color w:val="231F20"/>
          <w:lang w:eastAsia="zh-CN"/>
        </w:rPr>
        <w:tab/>
      </w:r>
      <w:r>
        <w:rPr>
          <w:color w:val="231F20"/>
          <w:lang w:eastAsia="zh-CN"/>
        </w:rPr>
        <w:t>电子邮箱：</w:t>
      </w:r>
    </w:p>
    <w:p>
      <w:pPr>
        <w:pStyle w:val="5"/>
        <w:tabs>
          <w:tab w:val="left" w:pos="5157"/>
        </w:tabs>
        <w:spacing w:before="21"/>
        <w:ind w:left="557"/>
        <w:rPr>
          <w:color w:val="231F20"/>
          <w:lang w:eastAsia="zh-CN"/>
        </w:rPr>
      </w:pPr>
    </w:p>
    <w:p>
      <w:pPr>
        <w:pStyle w:val="5"/>
        <w:tabs>
          <w:tab w:val="left" w:pos="5157"/>
        </w:tabs>
        <w:spacing w:before="21"/>
        <w:ind w:left="557"/>
        <w:rPr>
          <w:color w:val="231F20"/>
          <w:lang w:eastAsia="zh-CN"/>
        </w:rPr>
      </w:pPr>
    </w:p>
    <w:p>
      <w:pPr>
        <w:pStyle w:val="5"/>
        <w:spacing w:before="4"/>
        <w:ind w:left="0"/>
        <w:rPr>
          <w:sz w:val="16"/>
          <w:lang w:eastAsia="zh-CN"/>
        </w:rPr>
      </w:pPr>
    </w:p>
    <w:p>
      <w:pPr>
        <w:pStyle w:val="4"/>
        <w:spacing w:before="1"/>
        <w:ind w:left="757" w:right="378"/>
        <w:rPr>
          <w:lang w:eastAsia="zh-CN"/>
        </w:rPr>
      </w:pPr>
      <w:r>
        <w:rPr>
          <w:color w:val="231F20"/>
          <w:lang w:eastAsia="zh-CN"/>
        </w:rPr>
        <w:t>丙方</w:t>
      </w:r>
    </w:p>
    <w:p>
      <w:pPr>
        <w:pStyle w:val="5"/>
        <w:spacing w:before="9"/>
        <w:ind w:left="0"/>
        <w:rPr>
          <w:rFonts w:ascii="方正黑体_GBK"/>
          <w:sz w:val="16"/>
          <w:lang w:eastAsia="zh-CN"/>
        </w:rPr>
      </w:pPr>
    </w:p>
    <w:p>
      <w:pPr>
        <w:pStyle w:val="5"/>
        <w:spacing w:before="0"/>
        <w:ind w:left="557"/>
        <w:rPr>
          <w:rFonts w:ascii="方正黑体_GBK" w:eastAsia="方正黑体_GBK"/>
          <w:lang w:eastAsia="zh-CN"/>
        </w:rPr>
      </w:pPr>
      <w:r>
        <w:rPr>
          <w:rFonts w:hint="eastAsia" w:ascii="方正黑体_GBK" w:eastAsia="方正黑体_GBK"/>
          <w:color w:val="231F20"/>
          <w:lang w:eastAsia="zh-CN"/>
        </w:rPr>
        <w:t>丙方作为入住老人的：</w:t>
      </w:r>
    </w:p>
    <w:p>
      <w:pPr>
        <w:pStyle w:val="5"/>
        <w:spacing w:before="102"/>
        <w:ind w:left="557"/>
        <w:rPr>
          <w:color w:val="231F20"/>
          <w:lang w:eastAsia="zh-CN"/>
        </w:rPr>
      </w:pPr>
      <w:r>
        <w:rPr>
          <w:color w:val="231F20"/>
          <w:lang w:eastAsia="zh-CN"/>
        </w:rPr>
        <w:t>□付款义务人  □连带责任保证人  □联系人  □代理人  □其他</w:t>
      </w:r>
    </w:p>
    <w:p>
      <w:pPr>
        <w:pStyle w:val="5"/>
        <w:spacing w:before="102"/>
        <w:ind w:left="557"/>
        <w:rPr>
          <w:color w:val="231F20"/>
          <w:lang w:eastAsia="zh-CN"/>
        </w:rPr>
      </w:pPr>
    </w:p>
    <w:p>
      <w:pPr>
        <w:pStyle w:val="5"/>
        <w:spacing w:before="102"/>
        <w:ind w:left="557"/>
        <w:rPr>
          <w:color w:val="231F20"/>
          <w:lang w:eastAsia="zh-CN"/>
        </w:rPr>
      </w:pPr>
    </w:p>
    <w:p>
      <w:pPr>
        <w:pStyle w:val="5"/>
        <w:spacing w:before="102"/>
        <w:ind w:left="557"/>
        <w:rPr>
          <w:color w:val="231F20"/>
          <w:lang w:eastAsia="zh-CN"/>
        </w:rPr>
      </w:pPr>
    </w:p>
    <w:p>
      <w:pPr>
        <w:pStyle w:val="5"/>
        <w:spacing w:before="102"/>
        <w:ind w:left="557"/>
        <w:rPr>
          <w:color w:val="231F20"/>
          <w:lang w:eastAsia="zh-CN"/>
        </w:rPr>
      </w:pPr>
    </w:p>
    <w:p>
      <w:pPr>
        <w:pStyle w:val="5"/>
        <w:spacing w:before="102"/>
        <w:ind w:left="557"/>
        <w:rPr>
          <w:color w:val="231F20"/>
          <w:lang w:eastAsia="zh-CN"/>
        </w:rPr>
      </w:pPr>
    </w:p>
    <w:p>
      <w:pPr>
        <w:pStyle w:val="5"/>
        <w:spacing w:before="102"/>
        <w:ind w:left="557"/>
        <w:rPr>
          <w:color w:val="231F20"/>
          <w:lang w:eastAsia="zh-CN"/>
        </w:rPr>
      </w:pPr>
      <w:bookmarkStart w:id="0" w:name="_GoBack"/>
      <w:bookmarkEnd w:id="0"/>
    </w:p>
    <w:p>
      <w:pPr>
        <w:pStyle w:val="5"/>
        <w:spacing w:before="102"/>
        <w:ind w:left="0" w:leftChars="0" w:firstLine="0" w:firstLineChars="0"/>
        <w:rPr>
          <w:color w:val="231F20"/>
          <w:lang w:eastAsia="zh-CN"/>
        </w:rPr>
      </w:pPr>
    </w:p>
    <w:p>
      <w:pPr>
        <w:pStyle w:val="5"/>
        <w:spacing w:before="102"/>
        <w:ind w:left="557"/>
        <w:rPr>
          <w:color w:val="231F20"/>
          <w:lang w:eastAsia="zh-CN"/>
        </w:rPr>
      </w:pPr>
    </w:p>
    <w:p>
      <w:pPr>
        <w:pStyle w:val="5"/>
        <w:spacing w:before="83"/>
        <w:ind w:left="557"/>
        <w:jc w:val="center"/>
        <w:rPr>
          <w:rFonts w:hint="eastAsia" w:ascii="方正黑体_GBK" w:eastAsia="方正黑体_GBK"/>
          <w:color w:val="231F20"/>
          <w:sz w:val="24"/>
          <w:szCs w:val="24"/>
          <w:lang w:eastAsia="zh-CN"/>
        </w:rPr>
      </w:pPr>
      <w:r>
        <w:rPr>
          <w:rFonts w:hint="eastAsia" w:ascii="方正黑体_GBK" w:eastAsia="方正黑体_GBK"/>
          <w:color w:val="231F20"/>
          <w:sz w:val="24"/>
          <w:szCs w:val="24"/>
          <w:lang w:eastAsia="zh-CN"/>
        </w:rPr>
        <w:t>丙方为个人的</w:t>
      </w:r>
    </w:p>
    <w:p>
      <w:pPr>
        <w:pStyle w:val="5"/>
        <w:spacing w:before="83"/>
        <w:ind w:left="557"/>
        <w:rPr>
          <w:rFonts w:hint="eastAsia" w:ascii="方正黑体_GBK" w:eastAsia="方正黑体_GBK"/>
          <w:color w:val="231F20"/>
          <w:lang w:eastAsia="zh-CN"/>
        </w:rPr>
      </w:pPr>
    </w:p>
    <w:p>
      <w:pPr>
        <w:pStyle w:val="5"/>
        <w:tabs>
          <w:tab w:val="left" w:pos="5157"/>
        </w:tabs>
        <w:spacing w:before="102"/>
        <w:ind w:left="557"/>
        <w:rPr>
          <w:lang w:eastAsia="zh-CN"/>
        </w:rPr>
      </w:pPr>
      <w:r>
        <w:rPr>
          <w:color w:val="231F20"/>
          <w:lang w:eastAsia="zh-CN"/>
        </w:rPr>
        <w:t>姓名：</w:t>
      </w:r>
      <w:r>
        <w:rPr>
          <w:color w:val="231F20"/>
          <w:lang w:eastAsia="zh-CN"/>
        </w:rPr>
        <w:tab/>
      </w:r>
      <w:r>
        <w:rPr>
          <w:color w:val="231F20"/>
          <w:lang w:eastAsia="zh-CN"/>
        </w:rPr>
        <w:t>与乙方关系：</w:t>
      </w:r>
    </w:p>
    <w:p>
      <w:pPr>
        <w:pStyle w:val="5"/>
        <w:tabs>
          <w:tab w:val="left" w:pos="5157"/>
        </w:tabs>
        <w:spacing w:before="89"/>
        <w:ind w:left="557"/>
        <w:rPr>
          <w:lang w:eastAsia="zh-CN"/>
        </w:rPr>
      </w:pPr>
      <w:r>
        <w:rPr>
          <w:color w:val="231F20"/>
          <w:lang w:eastAsia="zh-CN"/>
        </w:rPr>
        <w:t>居民身份号码：</w:t>
      </w:r>
      <w:r>
        <w:rPr>
          <w:color w:val="231F20"/>
          <w:lang w:eastAsia="zh-CN"/>
        </w:rPr>
        <w:tab/>
      </w:r>
      <w:r>
        <w:rPr>
          <w:color w:val="231F20"/>
          <w:lang w:eastAsia="zh-CN"/>
        </w:rPr>
        <w:t>联系电话：</w:t>
      </w:r>
    </w:p>
    <w:p>
      <w:pPr>
        <w:pStyle w:val="5"/>
        <w:spacing w:before="89"/>
        <w:ind w:left="557"/>
        <w:rPr>
          <w:lang w:eastAsia="zh-CN"/>
        </w:rPr>
      </w:pPr>
      <w:r>
        <w:rPr>
          <w:color w:val="231F20"/>
          <w:lang w:eastAsia="zh-CN"/>
        </w:rPr>
        <w:t>经常居住地地址：</w:t>
      </w:r>
    </w:p>
    <w:p>
      <w:pPr>
        <w:pStyle w:val="5"/>
        <w:tabs>
          <w:tab w:val="left" w:pos="5157"/>
        </w:tabs>
        <w:spacing w:before="89"/>
        <w:ind w:left="557"/>
        <w:rPr>
          <w:lang w:eastAsia="zh-CN"/>
        </w:rPr>
      </w:pPr>
      <w:r>
        <w:rPr>
          <w:color w:val="231F20"/>
          <w:lang w:eastAsia="zh-CN"/>
        </w:rPr>
        <w:t>通讯地址：</w:t>
      </w:r>
      <w:r>
        <w:rPr>
          <w:color w:val="231F20"/>
          <w:lang w:eastAsia="zh-CN"/>
        </w:rPr>
        <w:tab/>
      </w:r>
      <w:r>
        <w:rPr>
          <w:color w:val="231F20"/>
          <w:lang w:eastAsia="zh-CN"/>
        </w:rPr>
        <w:t>邮政编码：</w:t>
      </w:r>
    </w:p>
    <w:p>
      <w:pPr>
        <w:pStyle w:val="5"/>
        <w:tabs>
          <w:tab w:val="left" w:pos="5157"/>
        </w:tabs>
        <w:spacing w:before="89"/>
        <w:ind w:left="557"/>
        <w:rPr>
          <w:lang w:eastAsia="zh-CN"/>
        </w:rPr>
      </w:pPr>
      <w:r>
        <w:rPr>
          <w:color w:val="231F20"/>
          <w:lang w:eastAsia="zh-CN"/>
        </w:rPr>
        <w:t>工作单位：</w:t>
      </w:r>
      <w:r>
        <w:rPr>
          <w:color w:val="231F20"/>
          <w:lang w:eastAsia="zh-CN"/>
        </w:rPr>
        <w:tab/>
      </w:r>
      <w:r>
        <w:rPr>
          <w:color w:val="231F20"/>
          <w:lang w:eastAsia="zh-CN"/>
        </w:rPr>
        <w:t>电子邮箱：</w:t>
      </w:r>
    </w:p>
    <w:p>
      <w:pPr>
        <w:pStyle w:val="5"/>
        <w:spacing w:before="83"/>
        <w:ind w:left="557"/>
        <w:rPr>
          <w:rFonts w:ascii="方正黑体_GBK" w:eastAsia="方正黑体_GBK"/>
          <w:lang w:eastAsia="zh-CN"/>
        </w:rPr>
      </w:pPr>
      <w:r>
        <w:rPr>
          <w:rFonts w:hint="eastAsia" w:ascii="方正黑体_GBK" w:eastAsia="方正黑体_GBK"/>
          <w:color w:val="231F20"/>
          <w:lang w:eastAsia="zh-CN"/>
        </w:rPr>
        <w:t>丙方为单位的：</w:t>
      </w:r>
    </w:p>
    <w:p>
      <w:pPr>
        <w:pStyle w:val="5"/>
        <w:spacing w:before="102"/>
        <w:ind w:left="557"/>
        <w:rPr>
          <w:lang w:eastAsia="zh-CN"/>
        </w:rPr>
      </w:pPr>
      <w:r>
        <w:rPr>
          <w:color w:val="231F20"/>
          <w:lang w:eastAsia="zh-CN"/>
        </w:rPr>
        <w:t>单位名称：</w:t>
      </w:r>
    </w:p>
    <w:p>
      <w:pPr>
        <w:pStyle w:val="5"/>
        <w:spacing w:before="89"/>
        <w:ind w:left="557"/>
        <w:rPr>
          <w:lang w:eastAsia="zh-CN"/>
        </w:rPr>
      </w:pPr>
      <w:r>
        <w:rPr>
          <w:color w:val="231F20"/>
          <w:lang w:eastAsia="zh-CN"/>
        </w:rPr>
        <w:t>法定代表人（或负责人）：</w:t>
      </w:r>
    </w:p>
    <w:p>
      <w:pPr>
        <w:pStyle w:val="5"/>
        <w:tabs>
          <w:tab w:val="left" w:pos="5157"/>
        </w:tabs>
        <w:spacing w:before="89"/>
        <w:ind w:left="557"/>
        <w:rPr>
          <w:lang w:eastAsia="zh-CN"/>
        </w:rPr>
      </w:pPr>
      <w:r>
        <w:rPr>
          <w:color w:val="231F20"/>
          <w:lang w:eastAsia="zh-CN"/>
        </w:rPr>
        <w:t>通讯地址：</w:t>
      </w:r>
      <w:r>
        <w:rPr>
          <w:color w:val="231F20"/>
          <w:lang w:eastAsia="zh-CN"/>
        </w:rPr>
        <w:tab/>
      </w:r>
      <w:r>
        <w:rPr>
          <w:color w:val="231F20"/>
          <w:lang w:eastAsia="zh-CN"/>
        </w:rPr>
        <w:t>邮政编码：</w:t>
      </w:r>
    </w:p>
    <w:p>
      <w:pPr>
        <w:pStyle w:val="5"/>
        <w:tabs>
          <w:tab w:val="left" w:pos="5157"/>
        </w:tabs>
        <w:spacing w:before="89"/>
        <w:ind w:left="557"/>
        <w:rPr>
          <w:lang w:eastAsia="zh-CN"/>
        </w:rPr>
      </w:pPr>
      <w:r>
        <w:rPr>
          <w:color w:val="231F20"/>
          <w:lang w:eastAsia="zh-CN"/>
        </w:rPr>
        <w:t>联系人：</w:t>
      </w:r>
      <w:r>
        <w:rPr>
          <w:color w:val="231F20"/>
          <w:lang w:eastAsia="zh-CN"/>
        </w:rPr>
        <w:tab/>
      </w:r>
      <w:r>
        <w:rPr>
          <w:color w:val="231F20"/>
          <w:lang w:eastAsia="zh-CN"/>
        </w:rPr>
        <w:t>联系电话：</w:t>
      </w:r>
    </w:p>
    <w:p>
      <w:pPr>
        <w:pStyle w:val="5"/>
        <w:tabs>
          <w:tab w:val="left" w:pos="5157"/>
        </w:tabs>
        <w:spacing w:before="89"/>
        <w:ind w:left="557"/>
        <w:rPr>
          <w:lang w:eastAsia="zh-CN"/>
        </w:rPr>
        <w:sectPr>
          <w:pgSz w:w="11910" w:h="16840"/>
          <w:pgMar w:top="1580" w:right="1680" w:bottom="1020" w:left="1300" w:header="0" w:footer="832" w:gutter="0"/>
          <w:cols w:space="720" w:num="1"/>
        </w:sectPr>
      </w:pPr>
      <w:r>
        <w:rPr>
          <w:color w:val="231F20"/>
          <w:lang w:eastAsia="zh-CN"/>
        </w:rPr>
        <w:t>传真号码：</w:t>
      </w:r>
      <w:r>
        <w:rPr>
          <w:color w:val="231F20"/>
          <w:lang w:eastAsia="zh-CN"/>
        </w:rPr>
        <w:tab/>
      </w:r>
      <w:r>
        <w:rPr>
          <w:color w:val="231F20"/>
          <w:lang w:eastAsia="zh-CN"/>
        </w:rPr>
        <w:t>电子邮箱：</w:t>
      </w:r>
    </w:p>
    <w:p>
      <w:pPr>
        <w:pStyle w:val="5"/>
        <w:spacing w:before="0"/>
        <w:ind w:left="0"/>
        <w:rPr>
          <w:sz w:val="20"/>
          <w:lang w:eastAsia="zh-CN"/>
        </w:rPr>
      </w:pPr>
    </w:p>
    <w:p>
      <w:pPr>
        <w:pStyle w:val="5"/>
        <w:spacing w:before="3"/>
        <w:ind w:left="0"/>
        <w:rPr>
          <w:sz w:val="15"/>
          <w:lang w:eastAsia="zh-CN"/>
        </w:rPr>
      </w:pPr>
    </w:p>
    <w:p>
      <w:pPr>
        <w:pStyle w:val="2"/>
        <w:jc w:val="center"/>
        <w:rPr>
          <w:lang w:eastAsia="zh-CN"/>
        </w:rPr>
      </w:pPr>
      <w:r>
        <w:rPr>
          <w:color w:val="231F20"/>
          <w:lang w:eastAsia="zh-CN"/>
        </w:rPr>
        <w:t>通用条款</w:t>
      </w:r>
    </w:p>
    <w:p>
      <w:pPr>
        <w:pStyle w:val="5"/>
        <w:spacing w:before="220"/>
        <w:ind w:left="657"/>
      </w:pPr>
      <w:r>
        <w:rPr>
          <w:color w:val="231F20"/>
        </w:rPr>
        <w:t>鉴于：</w:t>
      </w:r>
    </w:p>
    <w:p>
      <w:pPr>
        <w:pStyle w:val="9"/>
        <w:numPr>
          <w:ilvl w:val="1"/>
          <w:numId w:val="1"/>
        </w:numPr>
        <w:tabs>
          <w:tab w:val="left" w:pos="877"/>
        </w:tabs>
        <w:spacing w:line="319" w:lineRule="auto"/>
        <w:ind w:right="215" w:firstLine="440"/>
        <w:rPr>
          <w:lang w:eastAsia="zh-CN"/>
        </w:rPr>
      </w:pPr>
      <w:r>
        <w:rPr>
          <w:color w:val="231F20"/>
          <w:lang w:eastAsia="zh-CN"/>
        </w:rPr>
        <w:t>甲方是依法成立的养老机构，能够提供个人生活照料、康复护理、精神慰藉、文化娱乐等养老服务；</w:t>
      </w:r>
    </w:p>
    <w:p>
      <w:pPr>
        <w:pStyle w:val="9"/>
        <w:numPr>
          <w:ilvl w:val="1"/>
          <w:numId w:val="1"/>
        </w:numPr>
        <w:tabs>
          <w:tab w:val="left" w:pos="876"/>
          <w:tab w:val="left" w:pos="8628"/>
        </w:tabs>
        <w:spacing w:before="26" w:line="319" w:lineRule="auto"/>
        <w:ind w:right="215" w:firstLine="440"/>
        <w:rPr>
          <w:lang w:eastAsia="zh-CN"/>
        </w:rPr>
      </w:pPr>
      <w:r>
        <w:rPr>
          <w:color w:val="231F20"/>
          <w:lang w:eastAsia="zh-CN"/>
        </w:rPr>
        <w:t>乙方或乙方监护人经实地考察甲方，自愿入住甲方（养老机构名称</w:t>
      </w:r>
      <w:r>
        <w:rPr>
          <w:color w:val="231F20"/>
          <w:u w:val="single" w:color="231F20"/>
          <w:lang w:eastAsia="zh-CN"/>
        </w:rPr>
        <w:t>）</w:t>
      </w:r>
      <w:r>
        <w:rPr>
          <w:color w:val="231F20"/>
          <w:u w:val="single" w:color="231F20"/>
          <w:lang w:eastAsia="zh-CN"/>
        </w:rPr>
        <w:tab/>
      </w:r>
      <w:r>
        <w:rPr>
          <w:color w:val="231F20"/>
          <w:lang w:eastAsia="zh-CN"/>
        </w:rPr>
        <w:t>，接受甲方提供的专业养老服务，并向甲方支付相应费用；</w:t>
      </w:r>
    </w:p>
    <w:p>
      <w:pPr>
        <w:pStyle w:val="9"/>
        <w:numPr>
          <w:ilvl w:val="1"/>
          <w:numId w:val="1"/>
        </w:numPr>
        <w:tabs>
          <w:tab w:val="left" w:pos="876"/>
        </w:tabs>
        <w:spacing w:before="26" w:line="319" w:lineRule="auto"/>
        <w:ind w:right="212" w:firstLine="440"/>
        <w:rPr>
          <w:lang w:eastAsia="zh-CN"/>
        </w:rPr>
      </w:pPr>
      <w:r>
        <w:rPr>
          <w:color w:val="231F20"/>
          <w:lang w:eastAsia="zh-CN"/>
        </w:rPr>
        <w:t>乙方或乙方监护人授权丙方作为乙方在紧急情况下的代理人、联系人，代为处理乙方或乙方监护人在本合同项下的相关事务，丙方同意接受乙方或乙方监护人授权。</w:t>
      </w:r>
    </w:p>
    <w:p>
      <w:pPr>
        <w:pStyle w:val="5"/>
        <w:spacing w:before="26" w:line="319" w:lineRule="auto"/>
        <w:ind w:left="217" w:right="211" w:firstLine="440"/>
        <w:jc w:val="both"/>
        <w:rPr>
          <w:lang w:eastAsia="zh-CN"/>
        </w:rPr>
      </w:pPr>
      <w:r>
        <w:rPr>
          <w:color w:val="231F20"/>
          <w:lang w:eastAsia="zh-CN"/>
        </w:rPr>
        <w:t>为了营造温馨、舒适、安全的生活环境，满足老年人“老有所养、老有所乐”的需要，切实保障老年人的合法权益，同时明确各自的权利义务，甲、乙、丙三方依据《中华人民共和国</w:t>
      </w:r>
      <w:r>
        <w:rPr>
          <w:color w:val="231F20"/>
          <w:spacing w:val="-17"/>
          <w:lang w:eastAsia="zh-CN"/>
        </w:rPr>
        <w:t>合同法》《中华人民共和国老年人权益保障法》《养老机构管理办法》等法律规范，本着诚实信用的原则，经过友好协商，就甲方向乙方提供养老服务事宜，自愿达成以下合同条款，供各方遵照履行。</w:t>
      </w:r>
    </w:p>
    <w:p>
      <w:pPr>
        <w:pStyle w:val="4"/>
        <w:tabs>
          <w:tab w:val="left" w:pos="959"/>
        </w:tabs>
        <w:spacing w:before="182"/>
        <w:ind w:right="0"/>
        <w:rPr>
          <w:lang w:eastAsia="zh-CN"/>
        </w:rPr>
      </w:pPr>
      <w:r>
        <w:rPr>
          <w:color w:val="231F20"/>
          <w:lang w:eastAsia="zh-CN"/>
        </w:rPr>
        <w:t>第一条</w:t>
      </w:r>
      <w:r>
        <w:rPr>
          <w:color w:val="231F20"/>
          <w:lang w:eastAsia="zh-CN"/>
        </w:rPr>
        <w:tab/>
      </w:r>
      <w:r>
        <w:rPr>
          <w:color w:val="231F20"/>
          <w:lang w:eastAsia="zh-CN"/>
        </w:rPr>
        <w:t>服务地点及服务设施</w:t>
      </w:r>
    </w:p>
    <w:p>
      <w:pPr>
        <w:pStyle w:val="5"/>
        <w:spacing w:before="5"/>
        <w:ind w:left="0"/>
        <w:rPr>
          <w:rFonts w:ascii="方正黑体_GBK"/>
          <w:sz w:val="18"/>
          <w:lang w:eastAsia="zh-CN"/>
        </w:rPr>
      </w:pPr>
    </w:p>
    <w:p>
      <w:pPr>
        <w:pStyle w:val="9"/>
        <w:numPr>
          <w:ilvl w:val="1"/>
          <w:numId w:val="2"/>
        </w:numPr>
        <w:tabs>
          <w:tab w:val="left" w:pos="984"/>
          <w:tab w:val="left" w:pos="5864"/>
        </w:tabs>
        <w:spacing w:before="0"/>
        <w:ind w:firstLine="440"/>
        <w:rPr>
          <w:lang w:eastAsia="zh-CN"/>
        </w:rPr>
      </w:pPr>
      <w:r>
        <w:rPr>
          <w:color w:val="231F20"/>
          <w:lang w:eastAsia="zh-CN"/>
        </w:rPr>
        <w:t>甲方提供养老服务的地点为</w:t>
      </w:r>
      <w:r>
        <w:rPr>
          <w:color w:val="231F20"/>
          <w:u w:val="single" w:color="231F20"/>
          <w:lang w:eastAsia="zh-CN"/>
        </w:rPr>
        <w:t>：</w:t>
      </w:r>
      <w:r>
        <w:rPr>
          <w:color w:val="231F20"/>
          <w:u w:val="single" w:color="231F20"/>
          <w:lang w:eastAsia="zh-CN"/>
        </w:rPr>
        <w:tab/>
      </w:r>
      <w:r>
        <w:rPr>
          <w:color w:val="231F20"/>
          <w:lang w:eastAsia="zh-CN"/>
        </w:rPr>
        <w:t>（写明养老机构的具体门牌号</w:t>
      </w:r>
      <w:r>
        <w:rPr>
          <w:color w:val="231F20"/>
          <w:spacing w:val="-83"/>
          <w:lang w:eastAsia="zh-CN"/>
        </w:rPr>
        <w:t>）</w:t>
      </w:r>
      <w:r>
        <w:rPr>
          <w:color w:val="231F20"/>
          <w:lang w:eastAsia="zh-CN"/>
        </w:rPr>
        <w:t>。</w:t>
      </w:r>
    </w:p>
    <w:p>
      <w:pPr>
        <w:pStyle w:val="9"/>
        <w:numPr>
          <w:ilvl w:val="1"/>
          <w:numId w:val="2"/>
        </w:numPr>
        <w:tabs>
          <w:tab w:val="left" w:pos="984"/>
        </w:tabs>
        <w:ind w:firstLine="440"/>
        <w:rPr>
          <w:lang w:eastAsia="zh-CN"/>
        </w:rPr>
      </w:pPr>
      <w:r>
        <w:rPr>
          <w:color w:val="231F20"/>
          <w:lang w:eastAsia="zh-CN"/>
        </w:rPr>
        <w:t>乙方或乙方监护人选择入住的房间类型为（在以下几种情况中选择一种</w:t>
      </w:r>
      <w:r>
        <w:rPr>
          <w:color w:val="231F20"/>
          <w:spacing w:val="-28"/>
          <w:lang w:eastAsia="zh-CN"/>
        </w:rPr>
        <w:t>）：</w:t>
      </w:r>
    </w:p>
    <w:p>
      <w:pPr>
        <w:pStyle w:val="5"/>
        <w:tabs>
          <w:tab w:val="left" w:pos="8448"/>
        </w:tabs>
        <w:ind w:left="657"/>
        <w:rPr>
          <w:lang w:eastAsia="zh-CN"/>
        </w:rPr>
      </w:pPr>
      <w:r>
        <w:rPr>
          <w:color w:val="231F20"/>
          <w:lang w:eastAsia="zh-CN"/>
        </w:rPr>
        <w:t>单</w:t>
      </w:r>
      <w:r>
        <w:rPr>
          <w:color w:val="231F20"/>
          <w:spacing w:val="52"/>
          <w:lang w:eastAsia="zh-CN"/>
        </w:rPr>
        <w:t>间</w:t>
      </w:r>
      <w:r>
        <w:rPr>
          <w:color w:val="231F20"/>
          <w:lang w:eastAsia="zh-CN"/>
        </w:rPr>
        <w:t>②双人</w:t>
      </w:r>
      <w:r>
        <w:rPr>
          <w:color w:val="231F20"/>
          <w:spacing w:val="52"/>
          <w:lang w:eastAsia="zh-CN"/>
        </w:rPr>
        <w:t>间</w:t>
      </w:r>
      <w:r>
        <w:rPr>
          <w:color w:val="231F20"/>
          <w:lang w:eastAsia="zh-CN"/>
        </w:rPr>
        <w:t>③三人</w:t>
      </w:r>
      <w:r>
        <w:rPr>
          <w:color w:val="231F20"/>
          <w:spacing w:val="52"/>
          <w:lang w:eastAsia="zh-CN"/>
        </w:rPr>
        <w:t>间</w:t>
      </w:r>
      <w:r>
        <w:rPr>
          <w:color w:val="231F20"/>
          <w:lang w:eastAsia="zh-CN"/>
        </w:rPr>
        <w:t>④多人间（四人以上，含四人）⑤其他</w:t>
      </w:r>
      <w:r>
        <w:rPr>
          <w:color w:val="231F20"/>
          <w:u w:val="single" w:color="231F20"/>
          <w:lang w:eastAsia="zh-CN"/>
        </w:rPr>
        <w:t xml:space="preserve"> </w:t>
      </w:r>
      <w:r>
        <w:rPr>
          <w:color w:val="231F20"/>
          <w:u w:val="single" w:color="231F20"/>
          <w:lang w:eastAsia="zh-CN"/>
        </w:rPr>
        <w:tab/>
      </w:r>
      <w:r>
        <w:rPr>
          <w:color w:val="231F20"/>
          <w:lang w:eastAsia="zh-CN"/>
        </w:rPr>
        <w:t>。</w:t>
      </w:r>
    </w:p>
    <w:p>
      <w:pPr>
        <w:pStyle w:val="9"/>
        <w:numPr>
          <w:ilvl w:val="1"/>
          <w:numId w:val="2"/>
        </w:numPr>
        <w:tabs>
          <w:tab w:val="left" w:pos="984"/>
          <w:tab w:val="left" w:pos="7229"/>
        </w:tabs>
        <w:ind w:firstLine="440"/>
        <w:rPr>
          <w:lang w:eastAsia="zh-CN"/>
        </w:rPr>
      </w:pPr>
      <w:r>
        <w:rPr>
          <w:color w:val="231F20"/>
          <w:lang w:eastAsia="zh-CN"/>
        </w:rPr>
        <w:t>乙方或乙方监护人选择的具体房间为</w:t>
      </w:r>
      <w:r>
        <w:rPr>
          <w:color w:val="231F20"/>
          <w:u w:val="single" w:color="231F20"/>
          <w:lang w:eastAsia="zh-CN"/>
        </w:rPr>
        <w:t>：</w:t>
      </w:r>
      <w:r>
        <w:rPr>
          <w:color w:val="231F20"/>
          <w:u w:val="single" w:color="231F20"/>
          <w:lang w:eastAsia="zh-CN"/>
        </w:rPr>
        <w:tab/>
      </w:r>
      <w:r>
        <w:rPr>
          <w:color w:val="231F20"/>
          <w:lang w:eastAsia="zh-CN"/>
        </w:rPr>
        <w:t>。</w:t>
      </w:r>
    </w:p>
    <w:p>
      <w:pPr>
        <w:pStyle w:val="5"/>
        <w:spacing w:line="319" w:lineRule="auto"/>
        <w:ind w:left="217" w:right="73" w:firstLine="440"/>
        <w:rPr>
          <w:lang w:eastAsia="zh-CN"/>
        </w:rPr>
      </w:pPr>
      <w:r>
        <w:rPr>
          <w:color w:val="231F20"/>
          <w:lang w:eastAsia="zh-CN"/>
        </w:rPr>
        <w:t>乙方或乙方监护人基于正当理由要求调整房间的，甲方在条件许可的范围内应尽量满足。涉及房间变化，需要相应调整费用的，还应由各方协商一致书面确认后同时调整，如各方不能达成一致书面确认，则仍依本合同约定房间履行。</w:t>
      </w:r>
    </w:p>
    <w:p>
      <w:pPr>
        <w:pStyle w:val="9"/>
        <w:numPr>
          <w:ilvl w:val="1"/>
          <w:numId w:val="2"/>
        </w:numPr>
        <w:tabs>
          <w:tab w:val="left" w:pos="1006"/>
        </w:tabs>
        <w:spacing w:before="25" w:line="319" w:lineRule="auto"/>
        <w:ind w:right="211" w:firstLine="440"/>
        <w:rPr>
          <w:lang w:eastAsia="zh-CN"/>
        </w:rPr>
      </w:pPr>
      <w:r>
        <w:rPr>
          <w:color w:val="231F20"/>
          <w:lang w:eastAsia="zh-CN"/>
        </w:rPr>
        <w:t>甲方提供的服务设施除了住宿的房屋，还包括房间内设施及公共设施，具体明细见本</w:t>
      </w:r>
      <w:r>
        <w:rPr>
          <w:color w:val="231F20"/>
          <w:spacing w:val="-7"/>
          <w:lang w:eastAsia="zh-CN"/>
        </w:rPr>
        <w:t>合同附件《设施设备清单》。</w:t>
      </w:r>
    </w:p>
    <w:p>
      <w:pPr>
        <w:pStyle w:val="4"/>
        <w:tabs>
          <w:tab w:val="left" w:pos="959"/>
        </w:tabs>
        <w:spacing w:before="181"/>
        <w:ind w:right="0"/>
      </w:pPr>
      <w:r>
        <w:rPr>
          <w:color w:val="231F20"/>
        </w:rPr>
        <w:t>第二条</w:t>
      </w:r>
      <w:r>
        <w:rPr>
          <w:color w:val="231F20"/>
        </w:rPr>
        <w:tab/>
      </w:r>
      <w:r>
        <w:rPr>
          <w:color w:val="231F20"/>
        </w:rPr>
        <w:t>服务内容</w:t>
      </w:r>
    </w:p>
    <w:p>
      <w:pPr>
        <w:pStyle w:val="5"/>
        <w:spacing w:before="4"/>
        <w:ind w:left="0"/>
        <w:rPr>
          <w:rFonts w:ascii="方正黑体_GBK"/>
          <w:sz w:val="18"/>
        </w:rPr>
      </w:pPr>
    </w:p>
    <w:p>
      <w:pPr>
        <w:pStyle w:val="9"/>
        <w:numPr>
          <w:ilvl w:val="1"/>
          <w:numId w:val="3"/>
        </w:numPr>
        <w:tabs>
          <w:tab w:val="left" w:pos="1003"/>
        </w:tabs>
        <w:spacing w:before="1" w:line="319" w:lineRule="auto"/>
        <w:ind w:right="212" w:firstLine="440"/>
        <w:jc w:val="left"/>
        <w:rPr>
          <w:lang w:eastAsia="zh-CN"/>
        </w:rPr>
      </w:pPr>
      <w:r>
        <w:rPr>
          <w:color w:val="231F20"/>
          <w:spacing w:val="-9"/>
          <w:lang w:eastAsia="zh-CN"/>
        </w:rPr>
        <w:t>根据乙方提供的《体检报告》</w:t>
      </w:r>
      <w:r>
        <w:rPr>
          <w:color w:val="231F20"/>
          <w:lang w:eastAsia="zh-CN"/>
        </w:rPr>
        <w:t>（见本合同附件）及甲方对乙方进行护理等级的评价，经甲方与乙方或乙方监护人、丙方商定，甲方向乙方提供的护理等级和服务项目详见本合同附件</w:t>
      </w:r>
    </w:p>
    <w:p>
      <w:pPr>
        <w:pStyle w:val="5"/>
        <w:spacing w:before="26"/>
        <w:ind w:left="107"/>
        <w:rPr>
          <w:lang w:eastAsia="zh-CN"/>
        </w:rPr>
      </w:pPr>
      <w:r>
        <w:rPr>
          <w:color w:val="231F20"/>
          <w:lang w:eastAsia="zh-CN"/>
        </w:rPr>
        <w:t>《护理等级与服务项目》。</w:t>
      </w:r>
    </w:p>
    <w:p>
      <w:pPr>
        <w:pStyle w:val="5"/>
        <w:spacing w:before="24"/>
        <w:ind w:left="0" w:leftChars="0" w:firstLine="0" w:firstLineChars="0"/>
        <w:rPr>
          <w:lang w:eastAsia="zh-CN"/>
        </w:rPr>
      </w:pPr>
      <w:r>
        <w:rPr>
          <w:color w:val="231F20"/>
          <w:lang w:eastAsia="zh-CN"/>
        </w:rPr>
        <w:t>在本合同履行过程中，乙方或乙方监护人如果选择《护理等级与服务项目》以外的其他服务项目，经甲、乙（乙方监护人</w:t>
      </w:r>
      <w:r>
        <w:rPr>
          <w:color w:val="231F20"/>
          <w:spacing w:val="-110"/>
          <w:lang w:eastAsia="zh-CN"/>
        </w:rPr>
        <w:t>）</w:t>
      </w:r>
      <w:r>
        <w:rPr>
          <w:color w:val="231F20"/>
          <w:lang w:eastAsia="zh-CN"/>
        </w:rPr>
        <w:t>、丙三方协商一致后另行签署书面补充协议确定。</w:t>
      </w:r>
    </w:p>
    <w:p>
      <w:pPr>
        <w:pStyle w:val="9"/>
        <w:numPr>
          <w:ilvl w:val="1"/>
          <w:numId w:val="3"/>
        </w:numPr>
        <w:tabs>
          <w:tab w:val="left" w:pos="885"/>
        </w:tabs>
        <w:ind w:left="884" w:hanging="327"/>
        <w:jc w:val="left"/>
        <w:rPr>
          <w:lang w:eastAsia="zh-CN"/>
        </w:rPr>
      </w:pPr>
      <w:r>
        <w:rPr>
          <w:color w:val="231F20"/>
          <w:lang w:eastAsia="zh-CN"/>
        </w:rPr>
        <w:t>甲方向乙方提供的服务应当符合国家强制性标准，并积极适用行业或地方标准。</w:t>
      </w:r>
    </w:p>
    <w:p>
      <w:pPr>
        <w:pStyle w:val="5"/>
        <w:spacing w:before="9"/>
        <w:ind w:left="0"/>
        <w:rPr>
          <w:sz w:val="17"/>
          <w:lang w:eastAsia="zh-CN"/>
        </w:rPr>
      </w:pPr>
    </w:p>
    <w:p>
      <w:pPr>
        <w:pStyle w:val="4"/>
        <w:tabs>
          <w:tab w:val="left" w:pos="1026"/>
        </w:tabs>
        <w:spacing w:before="1"/>
        <w:rPr>
          <w:lang w:eastAsia="zh-CN"/>
        </w:rPr>
      </w:pPr>
      <w:r>
        <w:rPr>
          <w:color w:val="231F20"/>
          <w:lang w:eastAsia="zh-CN"/>
        </w:rPr>
        <w:t>第三条</w:t>
      </w:r>
      <w:r>
        <w:rPr>
          <w:color w:val="231F20"/>
          <w:lang w:eastAsia="zh-CN"/>
        </w:rPr>
        <w:tab/>
      </w:r>
      <w:r>
        <w:rPr>
          <w:color w:val="231F20"/>
          <w:lang w:eastAsia="zh-CN"/>
        </w:rPr>
        <w:t>收费标准及费用的支付</w:t>
      </w:r>
    </w:p>
    <w:p>
      <w:pPr>
        <w:pStyle w:val="5"/>
        <w:spacing w:before="5"/>
        <w:ind w:left="0"/>
        <w:rPr>
          <w:rFonts w:ascii="方正黑体_GBK"/>
          <w:sz w:val="18"/>
          <w:lang w:eastAsia="zh-CN"/>
        </w:rPr>
      </w:pPr>
    </w:p>
    <w:p>
      <w:pPr>
        <w:pStyle w:val="9"/>
        <w:numPr>
          <w:ilvl w:val="1"/>
          <w:numId w:val="4"/>
        </w:numPr>
        <w:tabs>
          <w:tab w:val="left" w:pos="885"/>
        </w:tabs>
        <w:spacing w:before="0"/>
        <w:ind w:hanging="327"/>
      </w:pPr>
      <w:r>
        <w:rPr>
          <w:color w:val="231F20"/>
        </w:rPr>
        <w:t>养老服务费用</w:t>
      </w:r>
    </w:p>
    <w:p>
      <w:pPr>
        <w:pStyle w:val="9"/>
        <w:numPr>
          <w:ilvl w:val="2"/>
          <w:numId w:val="4"/>
        </w:numPr>
        <w:tabs>
          <w:tab w:val="left" w:pos="1049"/>
          <w:tab w:val="left" w:pos="7758"/>
        </w:tabs>
        <w:spacing w:before="108" w:line="319" w:lineRule="auto"/>
        <w:ind w:right="105" w:firstLine="440"/>
        <w:rPr>
          <w:lang w:eastAsia="zh-CN"/>
        </w:rPr>
      </w:pPr>
      <w:r>
        <w:rPr>
          <w:color w:val="231F20"/>
          <w:lang w:eastAsia="zh-CN"/>
        </w:rPr>
        <w:t>甲方提供的各种服务项目的收费标准和收费依据应以</w:t>
      </w:r>
      <w:r>
        <w:rPr>
          <w:color w:val="231F20"/>
          <w:u w:val="single" w:color="231F20"/>
          <w:lang w:eastAsia="zh-CN"/>
        </w:rPr>
        <w:t xml:space="preserve"> </w:t>
      </w:r>
      <w:r>
        <w:rPr>
          <w:color w:val="231F20"/>
          <w:u w:val="single" w:color="231F20"/>
          <w:lang w:eastAsia="zh-CN"/>
        </w:rPr>
        <w:tab/>
      </w:r>
      <w:r>
        <w:rPr>
          <w:color w:val="231F20"/>
          <w:lang w:eastAsia="zh-CN"/>
        </w:rPr>
        <w:t>方式进行公示，并作为本合同附件。</w:t>
      </w:r>
    </w:p>
    <w:p>
      <w:pPr>
        <w:pStyle w:val="9"/>
        <w:numPr>
          <w:ilvl w:val="2"/>
          <w:numId w:val="4"/>
        </w:numPr>
        <w:tabs>
          <w:tab w:val="left" w:pos="1049"/>
          <w:tab w:val="left" w:pos="1927"/>
          <w:tab w:val="left" w:pos="5954"/>
        </w:tabs>
        <w:spacing w:before="25" w:line="319" w:lineRule="auto"/>
        <w:ind w:right="215" w:firstLine="440"/>
        <w:rPr>
          <w:lang w:eastAsia="zh-CN"/>
        </w:rPr>
      </w:pPr>
      <w:r>
        <w:rPr>
          <w:color w:val="231F20"/>
          <w:lang w:eastAsia="zh-CN"/>
        </w:rPr>
        <w:t>根据本合同第一条、第二条乙方所选择的房间及服务项目，乙方入住甲方的养老服务费为每月</w:t>
      </w:r>
      <w:r>
        <w:rPr>
          <w:color w:val="231F20"/>
          <w:u w:val="single" w:color="231F20"/>
          <w:lang w:eastAsia="zh-CN"/>
        </w:rPr>
        <w:t xml:space="preserve"> </w:t>
      </w:r>
      <w:r>
        <w:rPr>
          <w:color w:val="231F20"/>
          <w:u w:val="single" w:color="231F20"/>
          <w:lang w:eastAsia="zh-CN"/>
        </w:rPr>
        <w:tab/>
      </w:r>
      <w:r>
        <w:rPr>
          <w:color w:val="231F20"/>
          <w:lang w:eastAsia="zh-CN"/>
        </w:rPr>
        <w:t>元，其中包括</w:t>
      </w:r>
      <w:r>
        <w:rPr>
          <w:color w:val="231F20"/>
          <w:u w:val="single" w:color="231F20"/>
          <w:lang w:eastAsia="zh-CN"/>
        </w:rPr>
        <w:t xml:space="preserve"> </w:t>
      </w:r>
      <w:r>
        <w:rPr>
          <w:color w:val="231F20"/>
          <w:u w:val="single" w:color="231F20"/>
          <w:lang w:eastAsia="zh-CN"/>
        </w:rPr>
        <w:tab/>
      </w:r>
      <w:r>
        <w:rPr>
          <w:color w:val="231F20"/>
          <w:lang w:eastAsia="zh-CN"/>
        </w:rPr>
        <w:t>。</w:t>
      </w:r>
    </w:p>
    <w:p>
      <w:pPr>
        <w:pStyle w:val="9"/>
        <w:numPr>
          <w:ilvl w:val="2"/>
          <w:numId w:val="4"/>
        </w:numPr>
        <w:tabs>
          <w:tab w:val="left" w:pos="1049"/>
        </w:tabs>
        <w:spacing w:before="25" w:line="319" w:lineRule="auto"/>
        <w:ind w:right="211" w:firstLine="440"/>
        <w:jc w:val="both"/>
        <w:rPr>
          <w:lang w:eastAsia="zh-CN"/>
        </w:rPr>
      </w:pPr>
      <w:r>
        <w:rPr>
          <w:color w:val="231F20"/>
          <w:lang w:eastAsia="zh-CN"/>
        </w:rPr>
        <w:t>乙方接受甲方除本合同约定外的其他项目服务的，应根据甲方公示的收费标准或者补</w:t>
      </w:r>
      <w:r>
        <w:rPr>
          <w:color w:val="231F20"/>
          <w:spacing w:val="-3"/>
          <w:lang w:eastAsia="zh-CN"/>
        </w:rPr>
        <w:t>充合同的约定交纳费用。甲方每月向乙方或乙方监护人、丙方提供《个人费用明细表》，乙方</w:t>
      </w:r>
      <w:r>
        <w:rPr>
          <w:color w:val="231F20"/>
          <w:lang w:eastAsia="zh-CN"/>
        </w:rPr>
        <w:t>或乙方监护人、丙方应签字确认。乙方或乙方监护人、丙方如有异议，可在收到《个人费用明</w:t>
      </w:r>
      <w:r>
        <w:rPr>
          <w:color w:val="231F20"/>
          <w:spacing w:val="2"/>
          <w:lang w:eastAsia="zh-CN"/>
        </w:rPr>
        <w:t xml:space="preserve">细表》后 </w:t>
      </w:r>
      <w:r>
        <w:rPr>
          <w:color w:val="231F20"/>
          <w:lang w:eastAsia="zh-CN"/>
        </w:rPr>
        <w:t>7 日内书面提出，甲方应做出书面说明。对于双方无争议费用金额应按照本合同约定</w:t>
      </w:r>
      <w:r>
        <w:rPr>
          <w:color w:val="231F20"/>
          <w:spacing w:val="-1"/>
          <w:lang w:eastAsia="zh-CN"/>
        </w:rPr>
        <w:t xml:space="preserve">时间支付，乙方或乙方监护人、丙方不得以异议费用拒绝支付其他费用，否则按本合同第 </w:t>
      </w:r>
      <w:r>
        <w:rPr>
          <w:color w:val="231F20"/>
          <w:lang w:eastAsia="zh-CN"/>
        </w:rPr>
        <w:t>9.2.2 条约定处理。</w:t>
      </w:r>
    </w:p>
    <w:p>
      <w:pPr>
        <w:pStyle w:val="9"/>
        <w:numPr>
          <w:ilvl w:val="2"/>
          <w:numId w:val="4"/>
        </w:numPr>
        <w:tabs>
          <w:tab w:val="left" w:pos="1049"/>
          <w:tab w:val="left" w:pos="5823"/>
          <w:tab w:val="left" w:pos="8984"/>
        </w:tabs>
        <w:spacing w:before="25"/>
        <w:ind w:firstLine="440"/>
        <w:rPr>
          <w:lang w:eastAsia="zh-CN"/>
        </w:rPr>
      </w:pPr>
      <w:r>
        <w:rPr>
          <w:color w:val="231F20"/>
          <w:lang w:eastAsia="zh-CN"/>
        </w:rPr>
        <w:t>乙方或乙方监护人支付养老服务费的时间为</w:t>
      </w:r>
      <w:r>
        <w:rPr>
          <w:color w:val="231F20"/>
          <w:u w:val="single" w:color="231F20"/>
          <w:lang w:eastAsia="zh-CN"/>
        </w:rPr>
        <w:t xml:space="preserve"> </w:t>
      </w:r>
      <w:r>
        <w:rPr>
          <w:color w:val="231F20"/>
          <w:u w:val="single" w:color="231F20"/>
          <w:lang w:eastAsia="zh-CN"/>
        </w:rPr>
        <w:tab/>
      </w:r>
      <w:r>
        <w:rPr>
          <w:color w:val="231F20"/>
          <w:lang w:eastAsia="zh-CN"/>
        </w:rPr>
        <w:t>，支付方式为</w:t>
      </w:r>
      <w:r>
        <w:rPr>
          <w:color w:val="231F20"/>
          <w:u w:val="single" w:color="231F20"/>
          <w:lang w:eastAsia="zh-CN"/>
        </w:rPr>
        <w:t xml:space="preserve"> </w:t>
      </w:r>
      <w:r>
        <w:rPr>
          <w:color w:val="231F20"/>
          <w:u w:val="single" w:color="231F20"/>
          <w:lang w:eastAsia="zh-CN"/>
        </w:rPr>
        <w:tab/>
      </w:r>
      <w:r>
        <w:rPr>
          <w:color w:val="231F20"/>
          <w:lang w:eastAsia="zh-CN"/>
        </w:rPr>
        <w:t>。</w:t>
      </w:r>
    </w:p>
    <w:p>
      <w:pPr>
        <w:pStyle w:val="9"/>
        <w:numPr>
          <w:ilvl w:val="2"/>
          <w:numId w:val="4"/>
        </w:numPr>
        <w:tabs>
          <w:tab w:val="left" w:pos="1049"/>
        </w:tabs>
        <w:ind w:firstLine="440"/>
        <w:rPr>
          <w:lang w:eastAsia="zh-CN"/>
        </w:rPr>
      </w:pPr>
      <w:r>
        <w:rPr>
          <w:color w:val="231F20"/>
          <w:lang w:eastAsia="zh-CN"/>
        </w:rPr>
        <w:t>甲方在收到款项后应向付款人开具等额收费凭证。</w:t>
      </w:r>
    </w:p>
    <w:p>
      <w:pPr>
        <w:pStyle w:val="9"/>
        <w:numPr>
          <w:ilvl w:val="1"/>
          <w:numId w:val="5"/>
        </w:numPr>
        <w:tabs>
          <w:tab w:val="left" w:pos="884"/>
        </w:tabs>
        <w:ind w:hanging="326"/>
        <w:rPr>
          <w:lang w:eastAsia="zh-CN"/>
        </w:rPr>
      </w:pPr>
      <w:r>
        <w:rPr>
          <w:color w:val="231F20"/>
          <w:lang w:eastAsia="zh-CN"/>
        </w:rPr>
        <w:t>押金（合同中有押金约定的适用本条，无押金约定的不适用本条）</w:t>
      </w:r>
    </w:p>
    <w:p>
      <w:pPr>
        <w:pStyle w:val="9"/>
        <w:numPr>
          <w:ilvl w:val="2"/>
          <w:numId w:val="5"/>
        </w:numPr>
        <w:tabs>
          <w:tab w:val="left" w:pos="1049"/>
          <w:tab w:val="left" w:pos="3578"/>
        </w:tabs>
        <w:ind w:firstLine="440"/>
        <w:rPr>
          <w:lang w:eastAsia="zh-CN"/>
        </w:rPr>
      </w:pPr>
      <w:r>
        <w:rPr>
          <w:color w:val="231F20"/>
          <w:lang w:eastAsia="zh-CN"/>
        </w:rPr>
        <w:t>本合同签署生效后</w:t>
      </w:r>
      <w:r>
        <w:rPr>
          <w:color w:val="231F20"/>
          <w:u w:val="single" w:color="231F20"/>
          <w:lang w:eastAsia="zh-CN"/>
        </w:rPr>
        <w:t xml:space="preserve"> </w:t>
      </w:r>
      <w:r>
        <w:rPr>
          <w:color w:val="231F20"/>
          <w:u w:val="single" w:color="231F20"/>
          <w:lang w:eastAsia="zh-CN"/>
        </w:rPr>
        <w:tab/>
      </w:r>
      <w:r>
        <w:rPr>
          <w:color w:val="231F20"/>
          <w:lang w:eastAsia="zh-CN"/>
        </w:rPr>
        <w:t>日内，乙方或乙方监护人应向甲方支付押金，押金金额为：</w:t>
      </w:r>
    </w:p>
    <w:p>
      <w:pPr>
        <w:pStyle w:val="5"/>
        <w:tabs>
          <w:tab w:val="left" w:pos="1708"/>
        </w:tabs>
        <w:spacing w:line="319" w:lineRule="auto"/>
        <w:ind w:right="215"/>
        <w:rPr>
          <w:lang w:eastAsia="zh-CN"/>
        </w:rPr>
      </w:pPr>
      <w:r>
        <w:rPr>
          <w:rFonts w:ascii="Times New Roman" w:eastAsia="Times New Roman"/>
          <w:color w:val="231F20"/>
          <w:u w:val="single" w:color="231F20"/>
          <w:lang w:eastAsia="zh-CN"/>
        </w:rPr>
        <w:t xml:space="preserve"> </w:t>
      </w:r>
      <w:r>
        <w:rPr>
          <w:rFonts w:ascii="Times New Roman" w:eastAsia="Times New Roman"/>
          <w:color w:val="231F20"/>
          <w:u w:val="single" w:color="231F20"/>
          <w:lang w:eastAsia="zh-CN"/>
        </w:rPr>
        <w:tab/>
      </w:r>
      <w:r>
        <w:rPr>
          <w:color w:val="231F20"/>
          <w:lang w:eastAsia="zh-CN"/>
        </w:rPr>
        <w:t>。该押金可用于抵扣欠付的养老服务费用、违约金、赔偿金以及出现突发情况救治时需支付给医院的押金及相关费用等。</w:t>
      </w:r>
    </w:p>
    <w:p>
      <w:pPr>
        <w:pStyle w:val="9"/>
        <w:numPr>
          <w:ilvl w:val="2"/>
          <w:numId w:val="5"/>
        </w:numPr>
        <w:tabs>
          <w:tab w:val="left" w:pos="882"/>
          <w:tab w:val="left" w:pos="1068"/>
        </w:tabs>
        <w:spacing w:before="25" w:line="319" w:lineRule="auto"/>
        <w:ind w:right="209" w:firstLine="440"/>
        <w:rPr>
          <w:lang w:eastAsia="zh-CN"/>
        </w:rPr>
      </w:pPr>
      <w:r>
        <w:rPr>
          <w:color w:val="231F20"/>
          <w:lang w:eastAsia="zh-CN"/>
        </w:rPr>
        <w:t>合同期限内因</w:t>
      </w:r>
      <w:r>
        <w:rPr>
          <w:color w:val="231F20"/>
          <w:spacing w:val="42"/>
          <w:lang w:eastAsia="zh-CN"/>
        </w:rPr>
        <w:t xml:space="preserve"> </w:t>
      </w:r>
      <w:r>
        <w:rPr>
          <w:color w:val="231F20"/>
          <w:lang w:eastAsia="zh-CN"/>
        </w:rPr>
        <w:t>3.2.1</w:t>
      </w:r>
      <w:r>
        <w:rPr>
          <w:color w:val="231F20"/>
          <w:spacing w:val="42"/>
          <w:lang w:eastAsia="zh-CN"/>
        </w:rPr>
        <w:t xml:space="preserve"> </w:t>
      </w:r>
      <w:r>
        <w:rPr>
          <w:color w:val="231F20"/>
          <w:lang w:eastAsia="zh-CN"/>
        </w:rPr>
        <w:t>情形出现押金不足时，乙方或乙方监护人应在接到甲方通知之日起</w:t>
      </w:r>
      <w:r>
        <w:rPr>
          <w:color w:val="231F20"/>
          <w:u w:val="single" w:color="231F20"/>
          <w:lang w:eastAsia="zh-CN"/>
        </w:rPr>
        <w:t xml:space="preserve"> </w:t>
      </w:r>
      <w:r>
        <w:rPr>
          <w:color w:val="231F20"/>
          <w:u w:val="single" w:color="231F20"/>
          <w:lang w:eastAsia="zh-CN"/>
        </w:rPr>
        <w:tab/>
      </w:r>
      <w:r>
        <w:rPr>
          <w:rFonts w:hint="eastAsia"/>
          <w:color w:val="231F20"/>
          <w:u w:val="single" w:color="231F20"/>
          <w:lang w:val="en-US" w:eastAsia="zh-CN"/>
        </w:rPr>
        <w:t xml:space="preserve">   </w:t>
      </w:r>
      <w:r>
        <w:rPr>
          <w:color w:val="231F20"/>
          <w:lang w:eastAsia="zh-CN"/>
        </w:rPr>
        <w:t>日内补足。</w:t>
      </w:r>
    </w:p>
    <w:p>
      <w:pPr>
        <w:pStyle w:val="9"/>
        <w:numPr>
          <w:ilvl w:val="2"/>
          <w:numId w:val="5"/>
        </w:numPr>
        <w:tabs>
          <w:tab w:val="left" w:pos="1049"/>
          <w:tab w:val="left" w:pos="3399"/>
          <w:tab w:val="left" w:pos="5433"/>
          <w:tab w:val="left" w:pos="8019"/>
        </w:tabs>
        <w:spacing w:before="25"/>
        <w:ind w:firstLine="440"/>
        <w:rPr>
          <w:lang w:eastAsia="zh-CN"/>
        </w:rPr>
      </w:pPr>
      <w:r>
        <w:rPr>
          <w:color w:val="231F20"/>
          <w:lang w:eastAsia="zh-CN"/>
        </w:rPr>
        <w:t>押金不计利</w:t>
      </w:r>
      <w:r>
        <w:rPr>
          <w:color w:val="231F20"/>
          <w:spacing w:val="52"/>
          <w:lang w:eastAsia="zh-CN"/>
        </w:rPr>
        <w:t>息</w:t>
      </w:r>
      <w:r>
        <w:rPr>
          <w:color w:val="231F20"/>
          <w:lang w:eastAsia="zh-CN"/>
        </w:rPr>
        <w:t>□</w:t>
      </w:r>
      <w:r>
        <w:rPr>
          <w:color w:val="231F20"/>
          <w:lang w:eastAsia="zh-CN"/>
        </w:rPr>
        <w:tab/>
      </w:r>
      <w:r>
        <w:rPr>
          <w:color w:val="231F20"/>
          <w:lang w:eastAsia="zh-CN"/>
        </w:rPr>
        <w:t>押金计利</w:t>
      </w:r>
      <w:r>
        <w:rPr>
          <w:color w:val="231F20"/>
          <w:spacing w:val="52"/>
          <w:lang w:eastAsia="zh-CN"/>
        </w:rPr>
        <w:t>息</w:t>
      </w:r>
      <w:r>
        <w:rPr>
          <w:color w:val="231F20"/>
          <w:lang w:eastAsia="zh-CN"/>
        </w:rPr>
        <w:t>□</w:t>
      </w:r>
      <w:r>
        <w:rPr>
          <w:color w:val="231F20"/>
          <w:lang w:eastAsia="zh-CN"/>
        </w:rPr>
        <w:tab/>
      </w:r>
      <w:r>
        <w:rPr>
          <w:color w:val="231F20"/>
          <w:lang w:eastAsia="zh-CN"/>
        </w:rPr>
        <w:t>计息标准为</w:t>
      </w:r>
      <w:r>
        <w:rPr>
          <w:color w:val="231F20"/>
          <w:u w:val="single" w:color="231F20"/>
          <w:lang w:eastAsia="zh-CN"/>
        </w:rPr>
        <w:t>：</w:t>
      </w:r>
      <w:r>
        <w:rPr>
          <w:color w:val="231F20"/>
          <w:u w:val="single" w:color="231F20"/>
          <w:lang w:eastAsia="zh-CN"/>
        </w:rPr>
        <w:tab/>
      </w:r>
      <w:r>
        <w:rPr>
          <w:color w:val="231F20"/>
          <w:lang w:eastAsia="zh-CN"/>
        </w:rPr>
        <w:t>。</w:t>
      </w:r>
    </w:p>
    <w:p>
      <w:pPr>
        <w:pStyle w:val="9"/>
        <w:numPr>
          <w:ilvl w:val="2"/>
          <w:numId w:val="5"/>
        </w:numPr>
        <w:tabs>
          <w:tab w:val="left" w:pos="1049"/>
        </w:tabs>
        <w:spacing w:line="319" w:lineRule="auto"/>
        <w:ind w:right="215" w:firstLine="440"/>
        <w:rPr>
          <w:lang w:eastAsia="zh-CN"/>
        </w:rPr>
      </w:pPr>
      <w:r>
        <w:rPr>
          <w:color w:val="231F20"/>
          <w:lang w:eastAsia="zh-CN"/>
        </w:rPr>
        <w:t>甲方不得将押金挪作它用，在合同到期或合同提前终止、解除时，扣除应结清的相关费用后应于返还乙方或乙方监护人。</w:t>
      </w:r>
    </w:p>
    <w:p>
      <w:pPr>
        <w:pStyle w:val="9"/>
        <w:widowControl w:val="0"/>
        <w:numPr>
          <w:ilvl w:val="0"/>
          <w:numId w:val="0"/>
        </w:numPr>
        <w:tabs>
          <w:tab w:val="left" w:pos="1049"/>
        </w:tabs>
        <w:autoSpaceDE w:val="0"/>
        <w:autoSpaceDN w:val="0"/>
        <w:spacing w:before="109" w:line="319" w:lineRule="auto"/>
        <w:ind w:right="215" w:rightChars="0"/>
        <w:rPr>
          <w:color w:val="231F20"/>
          <w:lang w:eastAsia="zh-CN"/>
        </w:rPr>
      </w:pPr>
    </w:p>
    <w:p>
      <w:pPr>
        <w:pStyle w:val="9"/>
        <w:widowControl w:val="0"/>
        <w:numPr>
          <w:ilvl w:val="0"/>
          <w:numId w:val="0"/>
        </w:numPr>
        <w:tabs>
          <w:tab w:val="left" w:pos="1049"/>
        </w:tabs>
        <w:autoSpaceDE w:val="0"/>
        <w:autoSpaceDN w:val="0"/>
        <w:spacing w:before="109" w:line="319" w:lineRule="auto"/>
        <w:ind w:right="215" w:rightChars="0"/>
        <w:rPr>
          <w:color w:val="231F20"/>
          <w:lang w:eastAsia="zh-CN"/>
        </w:rPr>
      </w:pPr>
    </w:p>
    <w:p>
      <w:pPr>
        <w:pStyle w:val="4"/>
        <w:tabs>
          <w:tab w:val="left" w:pos="3692"/>
        </w:tabs>
        <w:spacing w:before="182"/>
        <w:ind w:left="2732" w:right="0"/>
        <w:jc w:val="left"/>
        <w:rPr>
          <w:lang w:eastAsia="zh-CN"/>
        </w:rPr>
      </w:pPr>
      <w:r>
        <w:rPr>
          <w:color w:val="231F20"/>
          <w:lang w:eastAsia="zh-CN"/>
        </w:rPr>
        <w:t>第四条</w:t>
      </w:r>
      <w:r>
        <w:rPr>
          <w:color w:val="231F20"/>
          <w:lang w:eastAsia="zh-CN"/>
        </w:rPr>
        <w:tab/>
      </w:r>
      <w:r>
        <w:rPr>
          <w:color w:val="231F20"/>
          <w:lang w:eastAsia="zh-CN"/>
        </w:rPr>
        <w:t>合同期限及合同期满的处理</w:t>
      </w:r>
    </w:p>
    <w:p>
      <w:pPr>
        <w:pStyle w:val="5"/>
        <w:spacing w:before="5"/>
        <w:ind w:left="0"/>
        <w:rPr>
          <w:rFonts w:ascii="方正黑体_GBK"/>
          <w:sz w:val="18"/>
          <w:lang w:eastAsia="zh-CN"/>
        </w:rPr>
      </w:pPr>
    </w:p>
    <w:p>
      <w:pPr>
        <w:pStyle w:val="9"/>
        <w:numPr>
          <w:ilvl w:val="1"/>
          <w:numId w:val="6"/>
        </w:numPr>
        <w:tabs>
          <w:tab w:val="left" w:pos="897"/>
          <w:tab w:val="left" w:pos="1325"/>
          <w:tab w:val="left" w:pos="1985"/>
          <w:tab w:val="left" w:pos="2645"/>
          <w:tab w:val="left" w:pos="4867"/>
          <w:tab w:val="left" w:pos="7137"/>
          <w:tab w:val="left" w:pos="7842"/>
          <w:tab w:val="left" w:pos="8547"/>
        </w:tabs>
        <w:spacing w:before="0" w:line="319" w:lineRule="auto"/>
        <w:ind w:right="105" w:firstLine="440"/>
        <w:rPr>
          <w:lang w:eastAsia="zh-CN"/>
        </w:rPr>
      </w:pPr>
      <w:r>
        <w:rPr>
          <w:color w:val="231F20"/>
          <w:spacing w:val="45"/>
          <w:lang w:eastAsia="zh-CN"/>
        </w:rPr>
        <w:t>经协</w:t>
      </w:r>
      <w:r>
        <w:rPr>
          <w:color w:val="231F20"/>
          <w:lang w:eastAsia="zh-CN"/>
        </w:rPr>
        <w:t>商</w:t>
      </w:r>
      <w:r>
        <w:rPr>
          <w:color w:val="231F20"/>
          <w:spacing w:val="45"/>
          <w:lang w:eastAsia="zh-CN"/>
        </w:rPr>
        <w:t>，确定本合同期限</w:t>
      </w:r>
      <w:r>
        <w:rPr>
          <w:color w:val="231F20"/>
          <w:u w:val="none" w:color="auto"/>
          <w:lang w:eastAsia="zh-CN"/>
        </w:rPr>
        <w:t>为</w:t>
      </w:r>
      <w:r>
        <w:rPr>
          <w:color w:val="231F20"/>
          <w:u w:val="single" w:color="231F20"/>
          <w:lang w:eastAsia="zh-CN"/>
        </w:rPr>
        <w:tab/>
      </w:r>
      <w:r>
        <w:rPr>
          <w:color w:val="231F20"/>
          <w:spacing w:val="-10"/>
          <w:lang w:eastAsia="zh-CN"/>
        </w:rPr>
        <w:t xml:space="preserve"> </w:t>
      </w:r>
      <w:r>
        <w:rPr>
          <w:color w:val="231F20"/>
          <w:lang w:eastAsia="zh-CN"/>
        </w:rPr>
        <w:t>年</w:t>
      </w:r>
      <w:r>
        <w:rPr>
          <w:color w:val="231F20"/>
          <w:spacing w:val="45"/>
          <w:lang w:eastAsia="zh-CN"/>
        </w:rPr>
        <w:t>（</w:t>
      </w:r>
      <w:r>
        <w:rPr>
          <w:color w:val="231F20"/>
          <w:lang w:eastAsia="zh-CN"/>
        </w:rPr>
        <w:t>月</w:t>
      </w:r>
      <w:r>
        <w:rPr>
          <w:color w:val="231F20"/>
          <w:spacing w:val="-10"/>
          <w:lang w:eastAsia="zh-CN"/>
        </w:rPr>
        <w:t xml:space="preserve"> </w:t>
      </w:r>
      <w:r>
        <w:rPr>
          <w:color w:val="231F20"/>
          <w:spacing w:val="-110"/>
          <w:lang w:eastAsia="zh-CN"/>
        </w:rPr>
        <w:t>）</w:t>
      </w:r>
      <w:r>
        <w:rPr>
          <w:color w:val="231F20"/>
          <w:lang w:eastAsia="zh-CN"/>
        </w:rPr>
        <w:t>，</w:t>
      </w:r>
      <w:r>
        <w:rPr>
          <w:color w:val="231F20"/>
          <w:spacing w:val="-10"/>
          <w:lang w:eastAsia="zh-CN"/>
        </w:rPr>
        <w:t xml:space="preserve"> </w:t>
      </w:r>
      <w:r>
        <w:rPr>
          <w:color w:val="231F20"/>
          <w:u w:val="none" w:color="auto"/>
          <w:lang w:eastAsia="zh-CN"/>
        </w:rPr>
        <w:t>自</w:t>
      </w:r>
      <w:r>
        <w:rPr>
          <w:color w:val="231F20"/>
          <w:u w:val="single" w:color="231F20"/>
          <w:lang w:eastAsia="zh-CN"/>
        </w:rPr>
        <w:tab/>
      </w:r>
      <w:r>
        <w:rPr>
          <w:color w:val="231F20"/>
          <w:spacing w:val="-10"/>
          <w:lang w:eastAsia="zh-CN"/>
        </w:rPr>
        <w:t xml:space="preserve"> </w:t>
      </w:r>
      <w:r>
        <w:rPr>
          <w:color w:val="231F20"/>
          <w:lang w:eastAsia="zh-CN"/>
        </w:rPr>
        <w:t>年</w:t>
      </w:r>
      <w:r>
        <w:rPr>
          <w:rFonts w:ascii="Times New Roman" w:eastAsia="Times New Roman"/>
          <w:color w:val="231F20"/>
          <w:u w:val="single" w:color="231F20"/>
          <w:lang w:eastAsia="zh-CN"/>
        </w:rPr>
        <w:t xml:space="preserve"> </w:t>
      </w:r>
      <w:r>
        <w:rPr>
          <w:rFonts w:ascii="Times New Roman" w:eastAsia="Times New Roman"/>
          <w:color w:val="231F20"/>
          <w:u w:val="single" w:color="231F20"/>
          <w:lang w:eastAsia="zh-CN"/>
        </w:rPr>
        <w:tab/>
      </w:r>
      <w:r>
        <w:rPr>
          <w:rFonts w:ascii="Times New Roman" w:eastAsia="Times New Roman"/>
          <w:color w:val="231F20"/>
          <w:spacing w:val="-10"/>
          <w:lang w:eastAsia="zh-CN"/>
        </w:rPr>
        <w:t xml:space="preserve"> </w:t>
      </w:r>
      <w:r>
        <w:rPr>
          <w:color w:val="231F20"/>
          <w:lang w:eastAsia="zh-CN"/>
        </w:rPr>
        <w:t>月</w:t>
      </w:r>
      <w:r>
        <w:rPr>
          <w:rFonts w:ascii="Times New Roman" w:eastAsia="Times New Roman"/>
          <w:color w:val="231F20"/>
          <w:u w:val="single" w:color="231F20"/>
          <w:lang w:eastAsia="zh-CN"/>
        </w:rPr>
        <w:t xml:space="preserve"> </w:t>
      </w:r>
      <w:r>
        <w:rPr>
          <w:rFonts w:ascii="Times New Roman" w:eastAsia="Times New Roman"/>
          <w:color w:val="231F20"/>
          <w:u w:val="single" w:color="231F20"/>
          <w:lang w:eastAsia="zh-CN"/>
        </w:rPr>
        <w:tab/>
      </w:r>
      <w:r>
        <w:rPr>
          <w:rFonts w:ascii="Times New Roman" w:eastAsia="Times New Roman"/>
          <w:color w:val="231F20"/>
          <w:spacing w:val="-10"/>
          <w:lang w:eastAsia="zh-CN"/>
        </w:rPr>
        <w:t xml:space="preserve"> </w:t>
      </w:r>
      <w:r>
        <w:rPr>
          <w:color w:val="231F20"/>
          <w:spacing w:val="45"/>
          <w:lang w:eastAsia="zh-CN"/>
        </w:rPr>
        <w:t>日</w:t>
      </w:r>
      <w:r>
        <w:rPr>
          <w:color w:val="231F20"/>
          <w:lang w:eastAsia="zh-CN"/>
        </w:rPr>
        <w:t>起，至</w:t>
      </w:r>
      <w:r>
        <w:rPr>
          <w:color w:val="231F20"/>
          <w:u w:val="single" w:color="231F20"/>
          <w:lang w:eastAsia="zh-CN"/>
        </w:rPr>
        <w:t xml:space="preserve"> </w:t>
      </w:r>
      <w:r>
        <w:rPr>
          <w:rFonts w:hint="eastAsia"/>
          <w:color w:val="231F20"/>
          <w:u w:val="single" w:color="231F20"/>
          <w:lang w:val="en-US" w:eastAsia="zh-CN"/>
        </w:rPr>
        <w:t xml:space="preserve">   </w:t>
      </w:r>
      <w:r>
        <w:rPr>
          <w:color w:val="231F20"/>
          <w:u w:val="single" w:color="231F20"/>
          <w:lang w:eastAsia="zh-CN"/>
        </w:rPr>
        <w:tab/>
      </w:r>
      <w:r>
        <w:rPr>
          <w:rFonts w:hint="eastAsia"/>
          <w:color w:val="231F20"/>
          <w:u w:val="single" w:color="231F20"/>
          <w:lang w:val="en-US" w:eastAsia="zh-CN"/>
        </w:rPr>
        <w:t xml:space="preserve">     </w:t>
      </w:r>
      <w:r>
        <w:rPr>
          <w:color w:val="231F20"/>
          <w:lang w:eastAsia="zh-CN"/>
        </w:rPr>
        <w:t>年</w:t>
      </w:r>
      <w:r>
        <w:rPr>
          <w:color w:val="231F20"/>
          <w:u w:val="single" w:color="231F20"/>
          <w:lang w:eastAsia="zh-CN"/>
        </w:rPr>
        <w:t xml:space="preserve"> </w:t>
      </w:r>
      <w:r>
        <w:rPr>
          <w:rFonts w:hint="eastAsia"/>
          <w:color w:val="231F20"/>
          <w:u w:val="single" w:color="231F20"/>
          <w:lang w:val="en-US" w:eastAsia="zh-CN"/>
        </w:rPr>
        <w:t xml:space="preserve">     </w:t>
      </w:r>
      <w:r>
        <w:rPr>
          <w:color w:val="231F20"/>
          <w:lang w:eastAsia="zh-CN"/>
        </w:rPr>
        <w:t>月</w:t>
      </w:r>
      <w:r>
        <w:rPr>
          <w:color w:val="231F20"/>
          <w:u w:val="single" w:color="231F20"/>
          <w:lang w:eastAsia="zh-CN"/>
        </w:rPr>
        <w:t xml:space="preserve"> </w:t>
      </w:r>
      <w:r>
        <w:rPr>
          <w:rFonts w:hint="eastAsia"/>
          <w:color w:val="231F20"/>
          <w:u w:val="single" w:color="231F20"/>
          <w:lang w:val="en-US" w:eastAsia="zh-CN"/>
        </w:rPr>
        <w:t xml:space="preserve">     </w:t>
      </w:r>
      <w:r>
        <w:rPr>
          <w:color w:val="231F20"/>
          <w:lang w:eastAsia="zh-CN"/>
        </w:rPr>
        <w:t>日（该日为合同到期日）止。</w:t>
      </w:r>
    </w:p>
    <w:p>
      <w:pPr>
        <w:pStyle w:val="9"/>
        <w:numPr>
          <w:ilvl w:val="1"/>
          <w:numId w:val="6"/>
        </w:numPr>
        <w:tabs>
          <w:tab w:val="left" w:pos="885"/>
        </w:tabs>
        <w:spacing w:before="25"/>
        <w:ind w:left="884" w:hanging="327"/>
        <w:rPr>
          <w:lang w:eastAsia="zh-CN"/>
        </w:rPr>
      </w:pPr>
      <w:r>
        <w:rPr>
          <w:color w:val="231F20"/>
          <w:spacing w:val="-1"/>
          <w:lang w:eastAsia="zh-CN"/>
        </w:rPr>
        <w:t xml:space="preserve">合同期满前 </w:t>
      </w:r>
      <w:r>
        <w:rPr>
          <w:color w:val="231F20"/>
          <w:lang w:eastAsia="zh-CN"/>
        </w:rPr>
        <w:t>30</w:t>
      </w:r>
      <w:r>
        <w:rPr>
          <w:color w:val="231F20"/>
          <w:spacing w:val="-1"/>
          <w:lang w:eastAsia="zh-CN"/>
        </w:rPr>
        <w:t xml:space="preserve"> 日，乙方或乙方监护人可申请续签合同，也可由丙方代为申请续签。</w:t>
      </w:r>
    </w:p>
    <w:p>
      <w:pPr>
        <w:pStyle w:val="9"/>
        <w:numPr>
          <w:ilvl w:val="1"/>
          <w:numId w:val="6"/>
        </w:numPr>
        <w:tabs>
          <w:tab w:val="left" w:pos="885"/>
        </w:tabs>
        <w:ind w:left="884" w:hanging="327"/>
        <w:rPr>
          <w:lang w:eastAsia="zh-CN"/>
        </w:rPr>
      </w:pPr>
      <w:r>
        <w:rPr>
          <w:color w:val="231F20"/>
          <w:lang w:eastAsia="zh-CN"/>
        </w:rPr>
        <w:t>续签的养老服务合同内容应当由甲方、乙方或乙方监护人、丙方协商确定。</w:t>
      </w:r>
    </w:p>
    <w:p>
      <w:pPr>
        <w:pStyle w:val="9"/>
        <w:numPr>
          <w:ilvl w:val="1"/>
          <w:numId w:val="6"/>
        </w:numPr>
        <w:tabs>
          <w:tab w:val="left" w:pos="886"/>
        </w:tabs>
        <w:spacing w:before="24" w:line="319" w:lineRule="auto"/>
        <w:ind w:right="209" w:firstLine="440"/>
        <w:jc w:val="both"/>
        <w:rPr>
          <w:lang w:eastAsia="zh-CN"/>
        </w:rPr>
      </w:pPr>
      <w:r>
        <w:rPr>
          <w:color w:val="231F20"/>
          <w:lang w:eastAsia="zh-CN"/>
        </w:rPr>
        <w:t>如果乙方或乙方监护人未在合同期限届满前 30 日提出续签合同，或者乙方或乙方监护</w:t>
      </w:r>
      <w:r>
        <w:rPr>
          <w:color w:val="231F20"/>
          <w:spacing w:val="2"/>
          <w:lang w:eastAsia="zh-CN"/>
        </w:rPr>
        <w:t xml:space="preserve">人虽在合同期限届满前 </w:t>
      </w:r>
      <w:r>
        <w:rPr>
          <w:color w:val="231F20"/>
          <w:lang w:eastAsia="zh-CN"/>
        </w:rPr>
        <w:t>30 日提出续签合同申请，但各方未就合同续签达成一致，乙方应于合同到期日搬离甲方，办理离院手续并结清所有费用。</w:t>
      </w:r>
    </w:p>
    <w:p>
      <w:pPr>
        <w:pStyle w:val="4"/>
        <w:tabs>
          <w:tab w:val="left" w:pos="959"/>
        </w:tabs>
        <w:spacing w:before="182"/>
        <w:rPr>
          <w:lang w:eastAsia="zh-CN"/>
        </w:rPr>
      </w:pPr>
      <w:r>
        <w:rPr>
          <w:color w:val="231F20"/>
          <w:lang w:eastAsia="zh-CN"/>
        </w:rPr>
        <w:t>第五条</w:t>
      </w:r>
      <w:r>
        <w:rPr>
          <w:color w:val="231F20"/>
          <w:lang w:eastAsia="zh-CN"/>
        </w:rPr>
        <w:tab/>
      </w:r>
      <w:r>
        <w:rPr>
          <w:color w:val="231F20"/>
          <w:lang w:eastAsia="zh-CN"/>
        </w:rPr>
        <w:t>甲方的权利、义务</w:t>
      </w:r>
    </w:p>
    <w:p>
      <w:pPr>
        <w:pStyle w:val="5"/>
        <w:spacing w:before="5"/>
        <w:ind w:left="0"/>
        <w:rPr>
          <w:rFonts w:ascii="方正黑体_GBK"/>
          <w:sz w:val="18"/>
          <w:lang w:eastAsia="zh-CN"/>
        </w:rPr>
      </w:pPr>
    </w:p>
    <w:p>
      <w:pPr>
        <w:pStyle w:val="9"/>
        <w:numPr>
          <w:ilvl w:val="1"/>
          <w:numId w:val="7"/>
        </w:numPr>
        <w:tabs>
          <w:tab w:val="left" w:pos="885"/>
        </w:tabs>
        <w:spacing w:before="0"/>
        <w:ind w:hanging="327"/>
      </w:pPr>
      <w:r>
        <w:rPr>
          <w:color w:val="231F20"/>
        </w:rPr>
        <w:t>甲方的权利</w:t>
      </w:r>
    </w:p>
    <w:p>
      <w:pPr>
        <w:pStyle w:val="9"/>
        <w:numPr>
          <w:ilvl w:val="2"/>
          <w:numId w:val="7"/>
        </w:numPr>
        <w:tabs>
          <w:tab w:val="left" w:pos="1049"/>
        </w:tabs>
        <w:spacing w:before="108"/>
        <w:ind w:firstLine="440"/>
        <w:rPr>
          <w:lang w:eastAsia="zh-CN"/>
        </w:rPr>
      </w:pPr>
      <w:r>
        <w:rPr>
          <w:color w:val="231F20"/>
          <w:lang w:eastAsia="zh-CN"/>
        </w:rPr>
        <w:t>按照本合同约定收取相关费用。</w:t>
      </w:r>
    </w:p>
    <w:p>
      <w:pPr>
        <w:pStyle w:val="9"/>
        <w:numPr>
          <w:ilvl w:val="2"/>
          <w:numId w:val="7"/>
        </w:numPr>
        <w:tabs>
          <w:tab w:val="left" w:pos="1049"/>
        </w:tabs>
        <w:spacing w:before="108"/>
        <w:ind w:firstLine="440"/>
        <w:rPr>
          <w:lang w:eastAsia="zh-CN"/>
        </w:rPr>
      </w:pPr>
      <w:r>
        <w:rPr>
          <w:color w:val="231F20"/>
          <w:lang w:eastAsia="zh-CN"/>
        </w:rPr>
        <w:t>制订、修改养老机构的管理制度并按照公示的管理制度对乙方进行管理。</w:t>
      </w:r>
    </w:p>
    <w:p>
      <w:pPr>
        <w:pStyle w:val="9"/>
        <w:numPr>
          <w:ilvl w:val="2"/>
          <w:numId w:val="7"/>
        </w:numPr>
        <w:tabs>
          <w:tab w:val="left" w:pos="1049"/>
        </w:tabs>
        <w:spacing w:before="108" w:line="319" w:lineRule="auto"/>
        <w:ind w:right="215" w:firstLine="440"/>
        <w:jc w:val="both"/>
        <w:rPr>
          <w:lang w:eastAsia="zh-CN"/>
        </w:rPr>
      </w:pPr>
      <w:r>
        <w:rPr>
          <w:color w:val="231F20"/>
          <w:lang w:eastAsia="zh-CN"/>
        </w:rPr>
        <w:t>为了乙方的健康和安全，在乙方出现紧急情况时，有权在通知乙方监护人或丙方的同时，采取必要的处置措施，包括但不限于转送医疗机构，由此产生的费用由乙方或乙方监护人或丙方承担。</w:t>
      </w:r>
    </w:p>
    <w:p>
      <w:pPr>
        <w:pStyle w:val="9"/>
        <w:numPr>
          <w:ilvl w:val="2"/>
          <w:numId w:val="7"/>
        </w:numPr>
        <w:tabs>
          <w:tab w:val="left" w:pos="1049"/>
        </w:tabs>
        <w:spacing w:before="25"/>
        <w:ind w:firstLine="440"/>
        <w:rPr>
          <w:lang w:eastAsia="zh-CN"/>
        </w:rPr>
      </w:pPr>
      <w:r>
        <w:rPr>
          <w:color w:val="231F20"/>
          <w:lang w:eastAsia="zh-CN"/>
        </w:rPr>
        <w:t>有权依照本合同约定及法律规定解除合同。</w:t>
      </w:r>
    </w:p>
    <w:p>
      <w:pPr>
        <w:pStyle w:val="9"/>
        <w:numPr>
          <w:ilvl w:val="1"/>
          <w:numId w:val="8"/>
        </w:numPr>
        <w:tabs>
          <w:tab w:val="left" w:pos="885"/>
        </w:tabs>
        <w:ind w:hanging="327"/>
      </w:pPr>
      <w:r>
        <w:rPr>
          <w:color w:val="231F20"/>
        </w:rPr>
        <w:t>甲方的义务</w:t>
      </w:r>
    </w:p>
    <w:p>
      <w:pPr>
        <w:pStyle w:val="9"/>
        <w:numPr>
          <w:ilvl w:val="2"/>
          <w:numId w:val="8"/>
        </w:numPr>
        <w:tabs>
          <w:tab w:val="left" w:pos="1049"/>
        </w:tabs>
        <w:ind w:firstLine="440"/>
        <w:rPr>
          <w:lang w:eastAsia="zh-CN"/>
        </w:rPr>
      </w:pPr>
      <w:r>
        <w:rPr>
          <w:color w:val="231F20"/>
          <w:lang w:eastAsia="zh-CN"/>
        </w:rPr>
        <w:t>按合同约定向乙方提供符合服务质量标准的养老服务。</w:t>
      </w:r>
    </w:p>
    <w:p>
      <w:pPr>
        <w:pStyle w:val="9"/>
        <w:numPr>
          <w:ilvl w:val="2"/>
          <w:numId w:val="8"/>
        </w:numPr>
        <w:tabs>
          <w:tab w:val="left" w:pos="1049"/>
        </w:tabs>
        <w:spacing w:line="319" w:lineRule="auto"/>
        <w:ind w:right="215" w:firstLine="440"/>
        <w:rPr>
          <w:lang w:eastAsia="zh-CN"/>
        </w:rPr>
      </w:pPr>
      <w:r>
        <w:rPr>
          <w:color w:val="231F20"/>
          <w:lang w:eastAsia="zh-CN"/>
        </w:rPr>
        <w:t>按合同约定提供各项服务设施，确保服务场所、设施符合国家强制性标准，并积极适用行业或地方标准。</w:t>
      </w:r>
    </w:p>
    <w:p>
      <w:pPr>
        <w:pStyle w:val="9"/>
        <w:numPr>
          <w:ilvl w:val="2"/>
          <w:numId w:val="8"/>
        </w:numPr>
        <w:tabs>
          <w:tab w:val="left" w:pos="1049"/>
        </w:tabs>
        <w:spacing w:before="26" w:line="319" w:lineRule="auto"/>
        <w:ind w:right="215" w:firstLine="440"/>
        <w:rPr>
          <w:lang w:eastAsia="zh-CN"/>
        </w:rPr>
      </w:pPr>
      <w:r>
        <w:rPr>
          <w:color w:val="231F20"/>
          <w:lang w:eastAsia="zh-CN"/>
        </w:rPr>
        <w:t>保证从事医疗、康复、社会工作等服务的专业技术人员持有关部门颁发的专业技术等级证书上岗，保证养老护理人员接受专业技能培训，能够满足岗位职责要求。</w:t>
      </w:r>
    </w:p>
    <w:p>
      <w:pPr>
        <w:pStyle w:val="9"/>
        <w:numPr>
          <w:ilvl w:val="2"/>
          <w:numId w:val="8"/>
        </w:numPr>
        <w:tabs>
          <w:tab w:val="left" w:pos="1049"/>
        </w:tabs>
        <w:spacing w:before="26"/>
        <w:ind w:firstLine="440"/>
        <w:rPr>
          <w:lang w:eastAsia="zh-CN"/>
        </w:rPr>
      </w:pPr>
      <w:r>
        <w:rPr>
          <w:color w:val="231F20"/>
          <w:lang w:eastAsia="zh-CN"/>
        </w:rPr>
        <w:t>在提供服务过程中，尊重乙方，尽力合理地保障乙方的人格尊严和人身、财产安全。</w:t>
      </w:r>
    </w:p>
    <w:p>
      <w:pPr>
        <w:pStyle w:val="9"/>
        <w:numPr>
          <w:ilvl w:val="2"/>
          <w:numId w:val="8"/>
        </w:numPr>
        <w:tabs>
          <w:tab w:val="left" w:pos="1049"/>
        </w:tabs>
        <w:spacing w:line="319" w:lineRule="auto"/>
        <w:ind w:right="103" w:firstLine="440"/>
        <w:rPr>
          <w:lang w:eastAsia="zh-CN"/>
        </w:rPr>
      </w:pPr>
      <w:r>
        <w:rPr>
          <w:color w:val="231F20"/>
          <w:spacing w:val="-2"/>
          <w:lang w:eastAsia="zh-CN"/>
        </w:rPr>
        <w:t>当乙方发生紧急情况时及时通知乙方监护人、丙方或者其他紧急情况联系人；在乙方</w:t>
      </w:r>
      <w:r>
        <w:rPr>
          <w:color w:val="231F20"/>
          <w:lang w:eastAsia="zh-CN"/>
        </w:rPr>
        <w:t>突发危重疾病时，及时通知乙方监护人、丙方或者其他紧急情况联系人并转送医疗机构救治； 发现老年人为疑似传染病病人或者精神障碍患者时，依照传染病防治、精神卫生等相关法律法规的规定处理。</w:t>
      </w:r>
    </w:p>
    <w:p>
      <w:pPr>
        <w:pStyle w:val="9"/>
        <w:numPr>
          <w:ilvl w:val="2"/>
          <w:numId w:val="8"/>
        </w:numPr>
        <w:tabs>
          <w:tab w:val="left" w:pos="1049"/>
        </w:tabs>
        <w:spacing w:before="25" w:line="319" w:lineRule="auto"/>
        <w:ind w:right="212" w:firstLine="440"/>
        <w:jc w:val="both"/>
        <w:rPr>
          <w:lang w:eastAsia="zh-CN"/>
        </w:rPr>
      </w:pPr>
      <w:r>
        <w:rPr>
          <w:color w:val="231F20"/>
          <w:lang w:eastAsia="zh-CN"/>
        </w:rPr>
        <w:t>为乙方组织定期体检，建立个人档案。保存乙方的入住登记表、体检报告等健康资料以及日常经费开支情况等个人信息，建立各类信息资料档案的保管和使用制度，除向乙方、乙方监护人、丙方和其他有权部门（公安局、检察院、法院、养老服务行业主管机关因办案、监督、检查需要）提供查阅、允许复制外，不得对外透露。</w:t>
      </w:r>
    </w:p>
    <w:p>
      <w:pPr>
        <w:pStyle w:val="9"/>
        <w:numPr>
          <w:ilvl w:val="2"/>
          <w:numId w:val="8"/>
        </w:numPr>
        <w:tabs>
          <w:tab w:val="left" w:pos="1049"/>
        </w:tabs>
        <w:spacing w:before="25" w:line="319" w:lineRule="auto"/>
        <w:ind w:right="215" w:firstLine="440"/>
        <w:rPr>
          <w:lang w:eastAsia="zh-CN"/>
        </w:rPr>
      </w:pPr>
      <w:r>
        <w:rPr>
          <w:color w:val="231F20"/>
          <w:lang w:eastAsia="zh-CN"/>
        </w:rPr>
        <w:t>允许乙方监护人、丙方及经乙方许可的亲属和其他人员探视乙方并提供方便，但不得影响甲方对于乙方正常服务或管理，否则甲方有权拒绝。</w:t>
      </w:r>
    </w:p>
    <w:p>
      <w:pPr>
        <w:pStyle w:val="9"/>
        <w:numPr>
          <w:ilvl w:val="2"/>
          <w:numId w:val="8"/>
        </w:numPr>
        <w:tabs>
          <w:tab w:val="left" w:pos="1049"/>
        </w:tabs>
        <w:spacing w:before="25"/>
        <w:ind w:firstLine="440"/>
      </w:pPr>
      <w:r>
        <w:rPr>
          <w:color w:val="231F20"/>
        </w:rPr>
        <w:t>在解散清算前，依法妥善安置乙方。</w:t>
      </w:r>
    </w:p>
    <w:p>
      <w:pPr>
        <w:pStyle w:val="9"/>
        <w:numPr>
          <w:ilvl w:val="2"/>
          <w:numId w:val="8"/>
        </w:numPr>
        <w:tabs>
          <w:tab w:val="left" w:pos="1049"/>
        </w:tabs>
        <w:spacing w:before="108"/>
        <w:ind w:firstLine="440"/>
        <w:rPr>
          <w:lang w:eastAsia="zh-CN"/>
        </w:rPr>
      </w:pPr>
      <w:r>
        <w:rPr>
          <w:color w:val="231F20"/>
          <w:lang w:eastAsia="zh-CN"/>
        </w:rPr>
        <w:t>接受乙方、乙方监护人、丙方的合理建议和监督</w:t>
      </w:r>
      <w:r>
        <w:rPr>
          <w:rFonts w:hint="eastAsia"/>
          <w:color w:val="231F20"/>
          <w:lang w:eastAsia="zh-CN"/>
        </w:rPr>
        <w:t>。</w:t>
      </w:r>
      <w:r>
        <w:rPr>
          <w:rFonts w:hint="eastAsia"/>
          <w:color w:val="231F20"/>
          <w:lang w:val="en-US" w:eastAsia="zh-CN"/>
        </w:rPr>
        <w:t xml:space="preserve">     </w:t>
      </w:r>
    </w:p>
    <w:p>
      <w:pPr>
        <w:pStyle w:val="9"/>
        <w:numPr>
          <w:ilvl w:val="0"/>
          <w:numId w:val="0"/>
        </w:numPr>
        <w:tabs>
          <w:tab w:val="left" w:pos="1049"/>
        </w:tabs>
        <w:spacing w:before="108"/>
        <w:ind w:left="557" w:leftChars="0"/>
        <w:rPr>
          <w:lang w:eastAsia="zh-CN"/>
        </w:rPr>
      </w:pPr>
    </w:p>
    <w:p>
      <w:pPr>
        <w:pStyle w:val="9"/>
        <w:numPr>
          <w:ilvl w:val="0"/>
          <w:numId w:val="0"/>
        </w:numPr>
        <w:tabs>
          <w:tab w:val="left" w:pos="1049"/>
        </w:tabs>
        <w:spacing w:before="108"/>
        <w:ind w:left="557" w:leftChars="0" w:firstLine="1680" w:firstLineChars="700"/>
        <w:rPr>
          <w:sz w:val="24"/>
          <w:szCs w:val="24"/>
          <w:lang w:eastAsia="zh-CN"/>
        </w:rPr>
      </w:pPr>
      <w:r>
        <w:rPr>
          <w:color w:val="231F20"/>
          <w:sz w:val="24"/>
          <w:szCs w:val="24"/>
          <w:lang w:eastAsia="zh-CN"/>
        </w:rPr>
        <w:t>第六条</w:t>
      </w:r>
      <w:r>
        <w:rPr>
          <w:color w:val="231F20"/>
          <w:sz w:val="24"/>
          <w:szCs w:val="24"/>
          <w:lang w:eastAsia="zh-CN"/>
        </w:rPr>
        <w:tab/>
      </w:r>
      <w:r>
        <w:rPr>
          <w:color w:val="231F20"/>
          <w:sz w:val="24"/>
          <w:szCs w:val="24"/>
          <w:lang w:eastAsia="zh-CN"/>
        </w:rPr>
        <w:t>乙方及乙方监护人的权利、义务</w:t>
      </w:r>
    </w:p>
    <w:p>
      <w:pPr>
        <w:pStyle w:val="5"/>
        <w:spacing w:before="5"/>
        <w:ind w:left="0"/>
        <w:rPr>
          <w:rFonts w:ascii="方正黑体_GBK"/>
          <w:sz w:val="18"/>
          <w:lang w:eastAsia="zh-CN"/>
        </w:rPr>
      </w:pPr>
    </w:p>
    <w:p>
      <w:pPr>
        <w:pStyle w:val="9"/>
        <w:numPr>
          <w:ilvl w:val="1"/>
          <w:numId w:val="9"/>
        </w:numPr>
        <w:tabs>
          <w:tab w:val="left" w:pos="885"/>
        </w:tabs>
        <w:spacing w:before="0"/>
        <w:ind w:hanging="327"/>
      </w:pPr>
      <w:r>
        <w:rPr>
          <w:color w:val="231F20"/>
        </w:rPr>
        <w:t>乙方的权利</w:t>
      </w:r>
    </w:p>
    <w:p>
      <w:pPr>
        <w:pStyle w:val="9"/>
        <w:numPr>
          <w:ilvl w:val="2"/>
          <w:numId w:val="9"/>
        </w:numPr>
        <w:tabs>
          <w:tab w:val="left" w:pos="1049"/>
        </w:tabs>
        <w:ind w:firstLine="440"/>
        <w:rPr>
          <w:lang w:eastAsia="zh-CN"/>
        </w:rPr>
      </w:pPr>
      <w:r>
        <w:rPr>
          <w:color w:val="231F20"/>
          <w:lang w:eastAsia="zh-CN"/>
        </w:rPr>
        <w:t>按照约定的服务项目获得甲方提供的符合服务标准的养老服务。</w:t>
      </w:r>
    </w:p>
    <w:p>
      <w:pPr>
        <w:pStyle w:val="9"/>
        <w:numPr>
          <w:ilvl w:val="2"/>
          <w:numId w:val="9"/>
        </w:numPr>
        <w:tabs>
          <w:tab w:val="left" w:pos="1049"/>
        </w:tabs>
        <w:ind w:firstLine="440"/>
        <w:rPr>
          <w:lang w:eastAsia="zh-CN"/>
        </w:rPr>
      </w:pPr>
      <w:r>
        <w:rPr>
          <w:color w:val="231F20"/>
          <w:lang w:eastAsia="zh-CN"/>
        </w:rPr>
        <w:t>对甲方的服务有批评建议的权利。</w:t>
      </w:r>
    </w:p>
    <w:p>
      <w:pPr>
        <w:pStyle w:val="9"/>
        <w:numPr>
          <w:ilvl w:val="2"/>
          <w:numId w:val="9"/>
        </w:numPr>
        <w:tabs>
          <w:tab w:val="left" w:pos="1049"/>
        </w:tabs>
        <w:spacing w:line="319" w:lineRule="auto"/>
        <w:ind w:right="215" w:firstLine="440"/>
        <w:rPr>
          <w:lang w:eastAsia="zh-CN"/>
        </w:rPr>
      </w:pPr>
      <w:r>
        <w:rPr>
          <w:color w:val="231F20"/>
          <w:lang w:eastAsia="zh-CN"/>
        </w:rPr>
        <w:t>对自身的健康状况、费用支出、入院记录等有知情权，有权查阅、复印甲方为其建立的个人档案。</w:t>
      </w:r>
    </w:p>
    <w:p>
      <w:pPr>
        <w:pStyle w:val="9"/>
        <w:numPr>
          <w:ilvl w:val="2"/>
          <w:numId w:val="9"/>
        </w:numPr>
        <w:tabs>
          <w:tab w:val="left" w:pos="1049"/>
        </w:tabs>
        <w:spacing w:before="26" w:line="319" w:lineRule="auto"/>
        <w:ind w:right="215" w:firstLine="440"/>
        <w:rPr>
          <w:lang w:eastAsia="zh-CN"/>
        </w:rPr>
      </w:pPr>
      <w:r>
        <w:rPr>
          <w:color w:val="231F20"/>
          <w:lang w:eastAsia="zh-CN"/>
        </w:rPr>
        <w:t>有权了解提供服务的人员是否经过专业培训，是否具备相应资质，有权要求甲方更换未经专业培训或不具备相应资质或提供服务不合格的人员。</w:t>
      </w:r>
    </w:p>
    <w:p>
      <w:pPr>
        <w:pStyle w:val="9"/>
        <w:numPr>
          <w:ilvl w:val="2"/>
          <w:numId w:val="9"/>
        </w:numPr>
        <w:tabs>
          <w:tab w:val="left" w:pos="1049"/>
        </w:tabs>
        <w:spacing w:before="26"/>
        <w:ind w:firstLine="440"/>
        <w:rPr>
          <w:lang w:eastAsia="zh-CN"/>
        </w:rPr>
      </w:pPr>
      <w:r>
        <w:rPr>
          <w:color w:val="231F20"/>
          <w:lang w:eastAsia="zh-CN"/>
        </w:rPr>
        <w:t>享有隐私权，人格尊严和人身、财产安全不受非法侵害。</w:t>
      </w:r>
    </w:p>
    <w:p>
      <w:pPr>
        <w:pStyle w:val="9"/>
        <w:numPr>
          <w:ilvl w:val="2"/>
          <w:numId w:val="9"/>
        </w:numPr>
        <w:tabs>
          <w:tab w:val="left" w:pos="1049"/>
        </w:tabs>
        <w:ind w:firstLine="440"/>
        <w:rPr>
          <w:lang w:eastAsia="zh-CN"/>
        </w:rPr>
      </w:pPr>
      <w:r>
        <w:rPr>
          <w:color w:val="231F20"/>
          <w:lang w:eastAsia="zh-CN"/>
        </w:rPr>
        <w:t>在突发急病的情况下有权获得及时、必要的医疗帮助。</w:t>
      </w:r>
    </w:p>
    <w:p>
      <w:pPr>
        <w:pStyle w:val="9"/>
        <w:numPr>
          <w:ilvl w:val="1"/>
          <w:numId w:val="9"/>
        </w:numPr>
        <w:tabs>
          <w:tab w:val="left" w:pos="885"/>
        </w:tabs>
        <w:ind w:hanging="327"/>
      </w:pPr>
      <w:r>
        <w:rPr>
          <w:color w:val="231F20"/>
        </w:rPr>
        <w:t>乙方监护人的权利</w:t>
      </w:r>
    </w:p>
    <w:p>
      <w:pPr>
        <w:pStyle w:val="9"/>
        <w:numPr>
          <w:ilvl w:val="2"/>
          <w:numId w:val="9"/>
        </w:numPr>
        <w:tabs>
          <w:tab w:val="left" w:pos="1049"/>
        </w:tabs>
        <w:ind w:firstLine="440"/>
        <w:rPr>
          <w:lang w:eastAsia="zh-CN"/>
        </w:rPr>
      </w:pPr>
      <w:r>
        <w:rPr>
          <w:color w:val="231F20"/>
          <w:lang w:eastAsia="zh-CN"/>
        </w:rPr>
        <w:t>对甲方的服务有批评建议的权利。</w:t>
      </w:r>
    </w:p>
    <w:p>
      <w:pPr>
        <w:pStyle w:val="9"/>
        <w:numPr>
          <w:ilvl w:val="2"/>
          <w:numId w:val="9"/>
        </w:numPr>
        <w:tabs>
          <w:tab w:val="left" w:pos="1049"/>
        </w:tabs>
        <w:spacing w:line="319" w:lineRule="auto"/>
        <w:ind w:right="215" w:firstLine="440"/>
        <w:rPr>
          <w:lang w:eastAsia="zh-CN"/>
        </w:rPr>
      </w:pPr>
      <w:r>
        <w:rPr>
          <w:color w:val="231F20"/>
          <w:lang w:eastAsia="zh-CN"/>
        </w:rPr>
        <w:t>对乙方的健康状况、费用支出、入院记录等有知情权，有权查阅、复印甲方为乙方建立的个人档案。</w:t>
      </w:r>
    </w:p>
    <w:p>
      <w:pPr>
        <w:pStyle w:val="9"/>
        <w:numPr>
          <w:ilvl w:val="2"/>
          <w:numId w:val="9"/>
        </w:numPr>
        <w:tabs>
          <w:tab w:val="left" w:pos="1049"/>
        </w:tabs>
        <w:spacing w:before="26" w:line="319" w:lineRule="auto"/>
        <w:ind w:right="215" w:firstLine="440"/>
        <w:rPr>
          <w:lang w:eastAsia="zh-CN"/>
        </w:rPr>
      </w:pPr>
      <w:r>
        <w:rPr>
          <w:color w:val="231F20"/>
          <w:lang w:eastAsia="zh-CN"/>
        </w:rPr>
        <w:t>有权了解提供服务的人员是否经过专业培训，是否具备相应资质，有权要求甲方更换未经专业培训或不具备相应资质或提供服务不合格的人员。</w:t>
      </w:r>
    </w:p>
    <w:p>
      <w:pPr>
        <w:pStyle w:val="9"/>
        <w:numPr>
          <w:ilvl w:val="2"/>
          <w:numId w:val="9"/>
        </w:numPr>
        <w:tabs>
          <w:tab w:val="left" w:pos="1049"/>
        </w:tabs>
        <w:spacing w:before="26"/>
        <w:ind w:firstLine="440"/>
        <w:rPr>
          <w:lang w:eastAsia="zh-CN"/>
        </w:rPr>
      </w:pPr>
      <w:r>
        <w:rPr>
          <w:color w:val="231F20"/>
          <w:lang w:eastAsia="zh-CN"/>
        </w:rPr>
        <w:t>对乙方有探视权，但不得影响甲方对于乙方正常服务或管理。</w:t>
      </w:r>
    </w:p>
    <w:p>
      <w:pPr>
        <w:pStyle w:val="9"/>
        <w:numPr>
          <w:ilvl w:val="2"/>
          <w:numId w:val="9"/>
        </w:numPr>
        <w:tabs>
          <w:tab w:val="left" w:pos="1049"/>
        </w:tabs>
        <w:spacing w:line="319" w:lineRule="auto"/>
        <w:ind w:right="215" w:firstLine="440"/>
        <w:rPr>
          <w:lang w:eastAsia="zh-CN"/>
        </w:rPr>
      </w:pPr>
      <w:r>
        <w:rPr>
          <w:color w:val="231F20"/>
          <w:lang w:eastAsia="zh-CN"/>
        </w:rPr>
        <w:t>遇紧急情况，包括但不限于乙方走失、身体健康状况出现紧急情况时，有权及时从甲方得到相关信息。</w:t>
      </w:r>
    </w:p>
    <w:p>
      <w:pPr>
        <w:pStyle w:val="9"/>
        <w:numPr>
          <w:ilvl w:val="1"/>
          <w:numId w:val="10"/>
        </w:numPr>
        <w:tabs>
          <w:tab w:val="left" w:pos="885"/>
        </w:tabs>
        <w:spacing w:before="25"/>
        <w:ind w:hanging="327"/>
      </w:pPr>
      <w:r>
        <w:rPr>
          <w:color w:val="231F20"/>
        </w:rPr>
        <w:t>乙方的义务</w:t>
      </w:r>
    </w:p>
    <w:p>
      <w:pPr>
        <w:pStyle w:val="9"/>
        <w:tabs>
          <w:tab w:val="left" w:pos="1049"/>
        </w:tabs>
        <w:spacing w:before="108" w:line="319" w:lineRule="auto"/>
        <w:ind w:left="557" w:right="215" w:firstLine="0"/>
        <w:rPr>
          <w:lang w:eastAsia="zh-CN"/>
        </w:rPr>
      </w:pPr>
      <w:r>
        <w:rPr>
          <w:rFonts w:hint="eastAsia"/>
          <w:color w:val="231F20"/>
          <w:lang w:eastAsia="zh-CN"/>
        </w:rPr>
        <w:t xml:space="preserve">6.3.1 </w:t>
      </w:r>
      <w:r>
        <w:rPr>
          <w:color w:val="231F20"/>
          <w:lang w:eastAsia="zh-CN"/>
        </w:rPr>
        <w:t>如实告知甲方本人的健康状况、药品使用情况等信息，并如实填写《健康状况自我陈</w:t>
      </w:r>
      <w:r>
        <w:rPr>
          <w:color w:val="231F20"/>
          <w:spacing w:val="-21"/>
          <w:lang w:eastAsia="zh-CN"/>
        </w:rPr>
        <w:t>述书》。</w:t>
      </w:r>
    </w:p>
    <w:p>
      <w:pPr>
        <w:pStyle w:val="9"/>
        <w:numPr>
          <w:ilvl w:val="2"/>
          <w:numId w:val="11"/>
        </w:numPr>
        <w:tabs>
          <w:tab w:val="left" w:pos="1049"/>
        </w:tabs>
        <w:spacing w:before="25"/>
        <w:rPr>
          <w:lang w:eastAsia="zh-CN"/>
        </w:rPr>
      </w:pPr>
      <w:r>
        <w:rPr>
          <w:color w:val="231F20"/>
          <w:spacing w:val="-4"/>
          <w:lang w:eastAsia="zh-CN"/>
        </w:rPr>
        <w:t>配合甲方做好持续评估，确认照护等级；配合甲方定期参加体检。</w:t>
      </w:r>
    </w:p>
    <w:p>
      <w:pPr>
        <w:pStyle w:val="9"/>
        <w:numPr>
          <w:ilvl w:val="2"/>
          <w:numId w:val="11"/>
        </w:numPr>
        <w:tabs>
          <w:tab w:val="left" w:pos="1049"/>
        </w:tabs>
        <w:ind w:left="142" w:firstLine="440"/>
        <w:rPr>
          <w:lang w:eastAsia="zh-CN"/>
        </w:rPr>
      </w:pPr>
      <w:r>
        <w:rPr>
          <w:color w:val="231F20"/>
          <w:lang w:eastAsia="zh-CN"/>
        </w:rPr>
        <w:t>配合甲方管理，并遵守甲方的管理制度，爱护甲方提供的各项服务设施。</w:t>
      </w:r>
    </w:p>
    <w:p>
      <w:pPr>
        <w:pStyle w:val="9"/>
        <w:numPr>
          <w:ilvl w:val="2"/>
          <w:numId w:val="11"/>
        </w:numPr>
        <w:tabs>
          <w:tab w:val="left" w:pos="1049"/>
        </w:tabs>
        <w:ind w:left="142" w:firstLine="440"/>
        <w:rPr>
          <w:lang w:eastAsia="zh-CN"/>
        </w:rPr>
      </w:pPr>
      <w:r>
        <w:rPr>
          <w:color w:val="231F20"/>
          <w:lang w:eastAsia="zh-CN"/>
        </w:rPr>
        <w:t>与其他入住老年人和谐相处。</w:t>
      </w:r>
    </w:p>
    <w:p>
      <w:pPr>
        <w:pStyle w:val="9"/>
        <w:numPr>
          <w:ilvl w:val="2"/>
          <w:numId w:val="11"/>
        </w:numPr>
        <w:tabs>
          <w:tab w:val="left" w:pos="1049"/>
        </w:tabs>
        <w:spacing w:line="319" w:lineRule="auto"/>
        <w:ind w:left="142" w:right="215" w:firstLine="440"/>
        <w:rPr>
          <w:lang w:eastAsia="zh-CN"/>
        </w:rPr>
      </w:pPr>
      <w:r>
        <w:rPr>
          <w:color w:val="231F20"/>
          <w:lang w:eastAsia="zh-CN"/>
        </w:rPr>
        <w:t>在接收甲方提供的养老服务期间，因疾病出现诊疗情形，应在治疗期间遵守医嘱，配合治疗。</w:t>
      </w:r>
    </w:p>
    <w:p>
      <w:pPr>
        <w:pStyle w:val="9"/>
        <w:numPr>
          <w:ilvl w:val="2"/>
          <w:numId w:val="11"/>
        </w:numPr>
        <w:tabs>
          <w:tab w:val="left" w:pos="1049"/>
        </w:tabs>
        <w:spacing w:before="26"/>
        <w:ind w:left="284" w:firstLine="283"/>
        <w:rPr>
          <w:lang w:eastAsia="zh-CN"/>
        </w:rPr>
      </w:pPr>
      <w:r>
        <w:rPr>
          <w:color w:val="231F20"/>
          <w:lang w:eastAsia="zh-CN"/>
        </w:rPr>
        <w:t>按照约定自行或与丙方共同支付养老服务费及相关费用。</w:t>
      </w:r>
    </w:p>
    <w:p>
      <w:pPr>
        <w:pStyle w:val="9"/>
        <w:numPr>
          <w:ilvl w:val="2"/>
          <w:numId w:val="11"/>
        </w:numPr>
        <w:tabs>
          <w:tab w:val="left" w:pos="1049"/>
        </w:tabs>
        <w:ind w:left="1048" w:hanging="481"/>
        <w:rPr>
          <w:lang w:eastAsia="zh-CN"/>
        </w:rPr>
      </w:pPr>
      <w:r>
        <w:rPr>
          <w:color w:val="231F20"/>
          <w:spacing w:val="-11"/>
          <w:lang w:eastAsia="zh-CN"/>
        </w:rPr>
        <w:t>入住期间损坏甲方设施设备的，应当按照《设施设备清单》上标明的价格赔偿甲方损失。</w:t>
      </w:r>
    </w:p>
    <w:p>
      <w:pPr>
        <w:pStyle w:val="9"/>
        <w:numPr>
          <w:ilvl w:val="2"/>
          <w:numId w:val="11"/>
        </w:numPr>
        <w:tabs>
          <w:tab w:val="left" w:pos="1049"/>
        </w:tabs>
        <w:ind w:left="567" w:firstLine="0"/>
        <w:rPr>
          <w:lang w:eastAsia="zh-CN"/>
        </w:rPr>
      </w:pPr>
      <w:r>
        <w:rPr>
          <w:color w:val="231F20"/>
          <w:lang w:eastAsia="zh-CN"/>
        </w:rPr>
        <w:t>配合甲方提供的符合合同约定、法律规定的养老服务。</w:t>
      </w:r>
    </w:p>
    <w:p>
      <w:pPr>
        <w:pStyle w:val="9"/>
        <w:numPr>
          <w:ilvl w:val="1"/>
          <w:numId w:val="12"/>
        </w:numPr>
        <w:tabs>
          <w:tab w:val="left" w:pos="885"/>
        </w:tabs>
        <w:ind w:hanging="327"/>
      </w:pPr>
      <w:r>
        <w:rPr>
          <w:color w:val="231F20"/>
        </w:rPr>
        <w:t>乙方监护人的义务</w:t>
      </w:r>
    </w:p>
    <w:p>
      <w:pPr>
        <w:pStyle w:val="9"/>
        <w:tabs>
          <w:tab w:val="left" w:pos="1049"/>
        </w:tabs>
        <w:spacing w:before="24" w:line="319" w:lineRule="auto"/>
        <w:ind w:right="115"/>
        <w:rPr>
          <w:lang w:eastAsia="zh-CN"/>
        </w:rPr>
      </w:pPr>
      <w:r>
        <w:rPr>
          <w:rFonts w:hint="eastAsia"/>
          <w:color w:val="231F20"/>
          <w:lang w:eastAsia="zh-CN"/>
        </w:rPr>
        <w:t xml:space="preserve">6.4.1 </w:t>
      </w:r>
      <w:r>
        <w:rPr>
          <w:color w:val="231F20"/>
          <w:lang w:eastAsia="zh-CN"/>
        </w:rPr>
        <w:t>入住前要如实向甲方反映乙方的情况，如脾气秉性、家庭成员、既往病史、健康状况</w:t>
      </w:r>
      <w:r>
        <w:rPr>
          <w:color w:val="231F20"/>
          <w:spacing w:val="-3"/>
          <w:lang w:eastAsia="zh-CN"/>
        </w:rPr>
        <w:t>和药品使用情况等，协助乙方如实填写《健康状况自我陈述书》。</w:t>
      </w:r>
    </w:p>
    <w:p>
      <w:pPr>
        <w:pStyle w:val="9"/>
        <w:tabs>
          <w:tab w:val="left" w:pos="1049"/>
        </w:tabs>
        <w:spacing w:before="26" w:line="319" w:lineRule="auto"/>
        <w:ind w:left="557" w:right="115" w:firstLine="0"/>
        <w:rPr>
          <w:lang w:eastAsia="zh-CN"/>
        </w:rPr>
      </w:pPr>
      <w:r>
        <w:rPr>
          <w:rFonts w:hint="eastAsia"/>
          <w:color w:val="231F20"/>
          <w:lang w:eastAsia="zh-CN"/>
        </w:rPr>
        <w:t xml:space="preserve">6.4.2 </w:t>
      </w:r>
      <w:r>
        <w:rPr>
          <w:color w:val="231F20"/>
          <w:lang w:eastAsia="zh-CN"/>
        </w:rPr>
        <w:t>劝导乙方入住后要自觉遵守养老机构的规章制度，接受管理，爱护甲方提供的各项服务设施。</w:t>
      </w:r>
    </w:p>
    <w:p>
      <w:pPr>
        <w:pStyle w:val="9"/>
        <w:tabs>
          <w:tab w:val="left" w:pos="1049"/>
        </w:tabs>
        <w:spacing w:before="26"/>
        <w:ind w:left="557" w:firstLine="0"/>
        <w:rPr>
          <w:lang w:eastAsia="zh-CN"/>
        </w:rPr>
      </w:pPr>
      <w:r>
        <w:rPr>
          <w:rFonts w:hint="eastAsia"/>
          <w:color w:val="231F20"/>
          <w:lang w:eastAsia="zh-CN"/>
        </w:rPr>
        <w:t>6.4.3</w:t>
      </w:r>
      <w:r>
        <w:rPr>
          <w:color w:val="231F20"/>
          <w:lang w:eastAsia="zh-CN"/>
        </w:rPr>
        <w:t>劝导乙方与其他入住老年人和谐相处。</w:t>
      </w:r>
    </w:p>
    <w:p>
      <w:pPr>
        <w:pStyle w:val="9"/>
        <w:tabs>
          <w:tab w:val="left" w:pos="1049"/>
        </w:tabs>
        <w:spacing w:line="319" w:lineRule="auto"/>
        <w:ind w:left="557" w:right="115" w:firstLine="0"/>
        <w:rPr>
          <w:lang w:eastAsia="zh-CN"/>
        </w:rPr>
      </w:pPr>
      <w:r>
        <w:rPr>
          <w:rFonts w:hint="eastAsia"/>
          <w:color w:val="231F20"/>
          <w:lang w:eastAsia="zh-CN"/>
        </w:rPr>
        <w:t>6.4.4</w:t>
      </w:r>
      <w:r>
        <w:rPr>
          <w:color w:val="231F20"/>
          <w:lang w:eastAsia="zh-CN"/>
        </w:rPr>
        <w:t>劝导乙方在接收甲方提供的养老服务期间，因疾病出现诊疗情形，应在治疗期间遵守医嘱，配合治疗。</w:t>
      </w:r>
    </w:p>
    <w:p>
      <w:pPr>
        <w:pStyle w:val="9"/>
        <w:numPr>
          <w:ilvl w:val="2"/>
          <w:numId w:val="13"/>
        </w:numPr>
        <w:tabs>
          <w:tab w:val="left" w:pos="1049"/>
        </w:tabs>
        <w:spacing w:before="25"/>
        <w:rPr>
          <w:lang w:eastAsia="zh-CN"/>
        </w:rPr>
      </w:pPr>
      <w:r>
        <w:rPr>
          <w:color w:val="231F20"/>
          <w:lang w:eastAsia="zh-CN"/>
        </w:rPr>
        <w:t>按照约定自行或与丙方共同支付养老服务费及相关费用。</w:t>
      </w:r>
    </w:p>
    <w:p>
      <w:pPr>
        <w:pStyle w:val="9"/>
        <w:numPr>
          <w:ilvl w:val="2"/>
          <w:numId w:val="13"/>
        </w:numPr>
        <w:tabs>
          <w:tab w:val="left" w:pos="1049"/>
        </w:tabs>
        <w:spacing w:before="108"/>
        <w:ind w:left="567" w:firstLine="0"/>
        <w:rPr>
          <w:lang w:eastAsia="zh-CN"/>
        </w:rPr>
      </w:pPr>
      <w:r>
        <w:rPr>
          <w:color w:val="231F20"/>
          <w:lang w:eastAsia="zh-CN"/>
        </w:rPr>
        <w:t>经常与乙方沟通，保持联络，满足乙方的精神需求。</w:t>
      </w:r>
    </w:p>
    <w:p>
      <w:pPr>
        <w:pStyle w:val="9"/>
        <w:numPr>
          <w:ilvl w:val="2"/>
          <w:numId w:val="13"/>
        </w:numPr>
        <w:tabs>
          <w:tab w:val="left" w:pos="1049"/>
        </w:tabs>
        <w:spacing w:before="108"/>
        <w:ind w:left="567" w:firstLine="0"/>
        <w:rPr>
          <w:lang w:eastAsia="zh-CN"/>
        </w:rPr>
      </w:pPr>
      <w:r>
        <w:rPr>
          <w:color w:val="231F20"/>
          <w:lang w:eastAsia="zh-CN"/>
        </w:rPr>
        <w:t>及时协助甲方处理乙方出现的紧急情况。</w:t>
      </w:r>
    </w:p>
    <w:p>
      <w:pPr>
        <w:pStyle w:val="9"/>
        <w:numPr>
          <w:ilvl w:val="2"/>
          <w:numId w:val="13"/>
        </w:numPr>
        <w:tabs>
          <w:tab w:val="left" w:pos="1049"/>
        </w:tabs>
        <w:spacing w:before="108"/>
        <w:ind w:left="567" w:firstLine="0"/>
        <w:rPr>
          <w:lang w:eastAsia="zh-CN"/>
        </w:rPr>
      </w:pPr>
      <w:r>
        <w:rPr>
          <w:color w:val="231F20"/>
          <w:lang w:eastAsia="zh-CN"/>
        </w:rPr>
        <w:t>家庭及单位地址、联系方式变更时，应及时通知甲方。</w:t>
      </w:r>
    </w:p>
    <w:p>
      <w:pPr>
        <w:pStyle w:val="9"/>
        <w:numPr>
          <w:ilvl w:val="2"/>
          <w:numId w:val="13"/>
        </w:numPr>
        <w:tabs>
          <w:tab w:val="left" w:pos="1049"/>
        </w:tabs>
        <w:spacing w:before="108"/>
        <w:ind w:left="567" w:firstLine="0"/>
        <w:rPr>
          <w:lang w:eastAsia="zh-CN"/>
        </w:rPr>
      </w:pPr>
      <w:r>
        <w:rPr>
          <w:color w:val="231F20"/>
          <w:lang w:eastAsia="zh-CN"/>
        </w:rPr>
        <w:t>对乙方造成甲方或第三方人身和财产损失承担赔偿责任。</w:t>
      </w:r>
    </w:p>
    <w:p>
      <w:pPr>
        <w:pStyle w:val="9"/>
        <w:numPr>
          <w:ilvl w:val="2"/>
          <w:numId w:val="13"/>
        </w:numPr>
        <w:tabs>
          <w:tab w:val="left" w:pos="1158"/>
        </w:tabs>
        <w:spacing w:before="108"/>
        <w:ind w:left="567" w:firstLine="0"/>
        <w:rPr>
          <w:lang w:eastAsia="zh-CN"/>
        </w:rPr>
      </w:pPr>
      <w:r>
        <w:rPr>
          <w:color w:val="231F20"/>
          <w:lang w:eastAsia="zh-CN"/>
        </w:rPr>
        <w:t>乙方在养老机构去世的 , 应及时进行善后处理并支付相关费用。</w:t>
      </w:r>
    </w:p>
    <w:p>
      <w:pPr>
        <w:pStyle w:val="5"/>
        <w:spacing w:before="9"/>
        <w:ind w:left="0"/>
        <w:rPr>
          <w:sz w:val="17"/>
          <w:lang w:eastAsia="zh-CN"/>
        </w:rPr>
      </w:pPr>
    </w:p>
    <w:p>
      <w:pPr>
        <w:pStyle w:val="4"/>
        <w:tabs>
          <w:tab w:val="left" w:pos="959"/>
        </w:tabs>
        <w:ind w:right="0"/>
        <w:rPr>
          <w:lang w:eastAsia="zh-CN"/>
        </w:rPr>
      </w:pPr>
      <w:r>
        <w:rPr>
          <w:color w:val="231F20"/>
          <w:lang w:eastAsia="zh-CN"/>
        </w:rPr>
        <w:t>第七条</w:t>
      </w:r>
      <w:r>
        <w:rPr>
          <w:color w:val="231F20"/>
          <w:lang w:eastAsia="zh-CN"/>
        </w:rPr>
        <w:tab/>
      </w:r>
      <w:r>
        <w:rPr>
          <w:color w:val="231F20"/>
          <w:lang w:eastAsia="zh-CN"/>
        </w:rPr>
        <w:t>丙方的权利、义务</w:t>
      </w:r>
    </w:p>
    <w:p>
      <w:pPr>
        <w:pStyle w:val="5"/>
        <w:spacing w:before="5"/>
        <w:ind w:left="0"/>
        <w:rPr>
          <w:rFonts w:ascii="方正黑体_GBK"/>
          <w:sz w:val="18"/>
          <w:lang w:eastAsia="zh-CN"/>
        </w:rPr>
      </w:pPr>
    </w:p>
    <w:p>
      <w:pPr>
        <w:pStyle w:val="9"/>
        <w:numPr>
          <w:ilvl w:val="1"/>
          <w:numId w:val="14"/>
        </w:numPr>
        <w:tabs>
          <w:tab w:val="left" w:pos="885"/>
        </w:tabs>
        <w:spacing w:before="0"/>
        <w:ind w:hanging="327"/>
      </w:pPr>
      <w:r>
        <w:rPr>
          <w:color w:val="231F20"/>
        </w:rPr>
        <w:t>丙方的权利</w:t>
      </w:r>
    </w:p>
    <w:p>
      <w:pPr>
        <w:pStyle w:val="9"/>
        <w:numPr>
          <w:ilvl w:val="2"/>
          <w:numId w:val="14"/>
        </w:numPr>
        <w:tabs>
          <w:tab w:val="left" w:pos="1049"/>
        </w:tabs>
        <w:rPr>
          <w:lang w:eastAsia="zh-CN"/>
        </w:rPr>
      </w:pPr>
      <w:r>
        <w:rPr>
          <w:color w:val="231F20"/>
          <w:lang w:eastAsia="zh-CN"/>
        </w:rPr>
        <w:t>对乙方的身体健康状况、享受服务情况等有知情权。</w:t>
      </w:r>
    </w:p>
    <w:p>
      <w:pPr>
        <w:pStyle w:val="9"/>
        <w:numPr>
          <w:ilvl w:val="2"/>
          <w:numId w:val="14"/>
        </w:numPr>
        <w:tabs>
          <w:tab w:val="left" w:pos="1049"/>
        </w:tabs>
        <w:rPr>
          <w:lang w:eastAsia="zh-CN"/>
        </w:rPr>
      </w:pPr>
      <w:r>
        <w:rPr>
          <w:color w:val="231F20"/>
          <w:lang w:eastAsia="zh-CN"/>
        </w:rPr>
        <w:t>有权查阅、复制乙方在甲方的档案资料。</w:t>
      </w:r>
    </w:p>
    <w:p>
      <w:pPr>
        <w:pStyle w:val="9"/>
        <w:numPr>
          <w:ilvl w:val="2"/>
          <w:numId w:val="14"/>
        </w:numPr>
        <w:tabs>
          <w:tab w:val="left" w:pos="1049"/>
        </w:tabs>
        <w:rPr>
          <w:lang w:eastAsia="zh-CN"/>
        </w:rPr>
      </w:pPr>
      <w:r>
        <w:rPr>
          <w:color w:val="231F20"/>
          <w:lang w:eastAsia="zh-CN"/>
        </w:rPr>
        <w:t>遇本合同约定的紧急情况，有权及时从甲方得到相关信息。</w:t>
      </w:r>
    </w:p>
    <w:p>
      <w:pPr>
        <w:pStyle w:val="9"/>
        <w:numPr>
          <w:ilvl w:val="2"/>
          <w:numId w:val="14"/>
        </w:numPr>
        <w:tabs>
          <w:tab w:val="left" w:pos="1049"/>
        </w:tabs>
        <w:rPr>
          <w:lang w:eastAsia="zh-CN"/>
        </w:rPr>
      </w:pPr>
      <w:r>
        <w:rPr>
          <w:color w:val="231F20"/>
          <w:lang w:eastAsia="zh-CN"/>
        </w:rPr>
        <w:t>对乙方有探视权，但不得影响甲方对于乙方正常服务或管理。</w:t>
      </w:r>
    </w:p>
    <w:p>
      <w:pPr>
        <w:pStyle w:val="9"/>
        <w:numPr>
          <w:ilvl w:val="2"/>
          <w:numId w:val="14"/>
        </w:numPr>
        <w:tabs>
          <w:tab w:val="left" w:pos="1049"/>
        </w:tabs>
        <w:rPr>
          <w:lang w:eastAsia="zh-CN"/>
        </w:rPr>
      </w:pPr>
      <w:r>
        <w:rPr>
          <w:color w:val="231F20"/>
          <w:lang w:eastAsia="zh-CN"/>
        </w:rPr>
        <w:t>在本合同约定的紧急情况下有权代理乙方处理相关事宜。</w:t>
      </w:r>
    </w:p>
    <w:p>
      <w:pPr>
        <w:pStyle w:val="9"/>
        <w:numPr>
          <w:ilvl w:val="1"/>
          <w:numId w:val="15"/>
        </w:numPr>
        <w:tabs>
          <w:tab w:val="left" w:pos="885"/>
        </w:tabs>
        <w:ind w:hanging="327"/>
      </w:pPr>
      <w:r>
        <w:rPr>
          <w:color w:val="231F20"/>
        </w:rPr>
        <w:t>丙方的义务</w:t>
      </w:r>
    </w:p>
    <w:p>
      <w:pPr>
        <w:pStyle w:val="9"/>
        <w:numPr>
          <w:ilvl w:val="2"/>
          <w:numId w:val="15"/>
        </w:numPr>
        <w:tabs>
          <w:tab w:val="left" w:pos="1048"/>
        </w:tabs>
        <w:rPr>
          <w:lang w:eastAsia="zh-CN"/>
        </w:rPr>
      </w:pPr>
      <w:r>
        <w:rPr>
          <w:color w:val="231F20"/>
          <w:lang w:eastAsia="zh-CN"/>
        </w:rPr>
        <w:t>经常与乙方沟通，保持联络，满足乙方的精神需求。</w:t>
      </w:r>
    </w:p>
    <w:p>
      <w:pPr>
        <w:pStyle w:val="9"/>
        <w:numPr>
          <w:ilvl w:val="2"/>
          <w:numId w:val="15"/>
        </w:numPr>
        <w:tabs>
          <w:tab w:val="left" w:pos="1049"/>
        </w:tabs>
        <w:ind w:left="1048" w:hanging="491"/>
        <w:rPr>
          <w:lang w:eastAsia="zh-CN"/>
        </w:rPr>
      </w:pPr>
      <w:r>
        <w:rPr>
          <w:color w:val="231F20"/>
          <w:lang w:eastAsia="zh-CN"/>
        </w:rPr>
        <w:t>家庭或者单位地址、联系方式变更时，应及时通知甲方。</w:t>
      </w:r>
    </w:p>
    <w:p>
      <w:pPr>
        <w:pStyle w:val="9"/>
        <w:numPr>
          <w:ilvl w:val="2"/>
          <w:numId w:val="15"/>
        </w:numPr>
        <w:tabs>
          <w:tab w:val="left" w:pos="1049"/>
        </w:tabs>
        <w:ind w:left="1048" w:hanging="491"/>
        <w:rPr>
          <w:lang w:eastAsia="zh-CN"/>
        </w:rPr>
      </w:pPr>
      <w:r>
        <w:rPr>
          <w:color w:val="231F20"/>
          <w:lang w:eastAsia="zh-CN"/>
        </w:rPr>
        <w:t>及时协助甲方处理乙方出现的紧急情况。</w:t>
      </w:r>
    </w:p>
    <w:p>
      <w:pPr>
        <w:pStyle w:val="5"/>
        <w:spacing w:before="9"/>
        <w:ind w:left="0"/>
        <w:rPr>
          <w:sz w:val="17"/>
          <w:lang w:eastAsia="zh-CN"/>
        </w:rPr>
      </w:pPr>
    </w:p>
    <w:p>
      <w:pPr>
        <w:pStyle w:val="4"/>
        <w:tabs>
          <w:tab w:val="left" w:pos="959"/>
        </w:tabs>
        <w:spacing w:before="1"/>
        <w:ind w:right="0"/>
      </w:pPr>
      <w:r>
        <w:rPr>
          <w:color w:val="231F20"/>
        </w:rPr>
        <w:t>第八条</w:t>
      </w:r>
      <w:r>
        <w:rPr>
          <w:color w:val="231F20"/>
        </w:rPr>
        <w:tab/>
      </w:r>
      <w:r>
        <w:rPr>
          <w:color w:val="231F20"/>
        </w:rPr>
        <w:t>陈述与保证</w:t>
      </w:r>
    </w:p>
    <w:p>
      <w:pPr>
        <w:pStyle w:val="5"/>
        <w:spacing w:before="5"/>
        <w:ind w:left="0"/>
        <w:rPr>
          <w:rFonts w:ascii="方正黑体_GBK"/>
          <w:sz w:val="18"/>
        </w:rPr>
      </w:pPr>
    </w:p>
    <w:p>
      <w:pPr>
        <w:pStyle w:val="9"/>
        <w:numPr>
          <w:ilvl w:val="1"/>
          <w:numId w:val="16"/>
        </w:numPr>
        <w:tabs>
          <w:tab w:val="left" w:pos="886"/>
        </w:tabs>
        <w:spacing w:before="0" w:line="319" w:lineRule="auto"/>
        <w:ind w:right="108" w:firstLine="440"/>
        <w:rPr>
          <w:lang w:eastAsia="zh-CN"/>
        </w:rPr>
      </w:pPr>
      <w:r>
        <w:rPr>
          <w:color w:val="231F20"/>
          <w:lang w:eastAsia="zh-CN"/>
        </w:rPr>
        <w:t>甲方保证为依照法律、行政法规设立并依法登记的养老机构，具有提供本合同约定的养老服务的资格和能力。</w:t>
      </w:r>
    </w:p>
    <w:p>
      <w:pPr>
        <w:pStyle w:val="9"/>
        <w:numPr>
          <w:ilvl w:val="1"/>
          <w:numId w:val="16"/>
        </w:numPr>
        <w:tabs>
          <w:tab w:val="left" w:pos="886"/>
        </w:tabs>
        <w:spacing w:before="25" w:line="319" w:lineRule="auto"/>
        <w:ind w:right="111" w:firstLine="440"/>
        <w:rPr>
          <w:lang w:eastAsia="zh-CN"/>
        </w:rPr>
      </w:pPr>
      <w:r>
        <w:rPr>
          <w:color w:val="231F20"/>
          <w:spacing w:val="1"/>
          <w:lang w:eastAsia="zh-CN"/>
        </w:rPr>
        <w:t>乙方或乙方监护人保证乙方不属于患有精神病、甲类或乙类传染性疾病等不符合入住</w:t>
      </w:r>
      <w:r>
        <w:rPr>
          <w:color w:val="231F20"/>
          <w:lang w:eastAsia="zh-CN"/>
        </w:rPr>
        <w:t>养老机构疾病的老年人。</w:t>
      </w:r>
    </w:p>
    <w:p>
      <w:pPr>
        <w:pStyle w:val="5"/>
        <w:spacing w:before="24" w:line="319" w:lineRule="auto"/>
        <w:ind w:right="215"/>
        <w:rPr>
          <w:lang w:eastAsia="zh-CN"/>
        </w:rPr>
      </w:pPr>
      <w:r>
        <w:rPr>
          <w:color w:val="231F20"/>
          <w:spacing w:val="1"/>
          <w:lang w:eastAsia="zh-CN"/>
        </w:rPr>
        <w:t>乙方或乙方监护人、丙方保证向甲方提供乙方在本协议签署前一个月内在甲方所在地</w:t>
      </w:r>
      <w:r>
        <w:rPr>
          <w:color w:val="231F20"/>
          <w:spacing w:val="-7"/>
          <w:lang w:eastAsia="zh-CN"/>
        </w:rPr>
        <w:t>二级甲等以上医院进行体检的《体检报告》</w:t>
      </w:r>
      <w:r>
        <w:rPr>
          <w:color w:val="231F20"/>
          <w:lang w:eastAsia="zh-CN"/>
        </w:rPr>
        <w:t>（</w:t>
      </w:r>
      <w:r>
        <w:rPr>
          <w:color w:val="231F20"/>
          <w:spacing w:val="-7"/>
          <w:lang w:eastAsia="zh-CN"/>
        </w:rPr>
        <w:t>体检项目包括：精神健康状况、传染性疾病及养老机构要求的其他体检项目等</w:t>
      </w:r>
      <w:r>
        <w:rPr>
          <w:color w:val="231F20"/>
          <w:spacing w:val="-110"/>
          <w:lang w:eastAsia="zh-CN"/>
        </w:rPr>
        <w:t>）</w:t>
      </w:r>
      <w:r>
        <w:rPr>
          <w:color w:val="231F20"/>
          <w:lang w:eastAsia="zh-CN"/>
        </w:rPr>
        <w:t>（作为本合同附件</w:t>
      </w:r>
      <w:r>
        <w:rPr>
          <w:color w:val="231F20"/>
          <w:spacing w:val="-83"/>
          <w:lang w:eastAsia="zh-CN"/>
        </w:rPr>
        <w:t>）</w:t>
      </w:r>
      <w:r>
        <w:rPr>
          <w:color w:val="231F20"/>
          <w:lang w:eastAsia="zh-CN"/>
        </w:rPr>
        <w:t>。</w:t>
      </w:r>
    </w:p>
    <w:p>
      <w:pPr>
        <w:pStyle w:val="9"/>
        <w:numPr>
          <w:ilvl w:val="1"/>
          <w:numId w:val="16"/>
        </w:numPr>
        <w:tabs>
          <w:tab w:val="left" w:pos="907"/>
        </w:tabs>
        <w:spacing w:before="26" w:line="319" w:lineRule="auto"/>
        <w:ind w:right="208" w:firstLine="440"/>
        <w:rPr>
          <w:lang w:eastAsia="zh-CN"/>
        </w:rPr>
      </w:pPr>
      <w:r>
        <w:rPr>
          <w:color w:val="231F20"/>
          <w:lang w:eastAsia="zh-CN"/>
        </w:rPr>
        <w:t>乙方或乙方监护人、丙方保证向甲方提供的乙、丙方共同签字的《健康状况自我陈述</w:t>
      </w:r>
      <w:r>
        <w:rPr>
          <w:color w:val="231F20"/>
          <w:spacing w:val="-55"/>
          <w:lang w:eastAsia="zh-CN"/>
        </w:rPr>
        <w:t>书》</w:t>
      </w:r>
      <w:r>
        <w:rPr>
          <w:color w:val="231F20"/>
          <w:lang w:eastAsia="zh-CN"/>
        </w:rPr>
        <w:t>（作为本协议附件）是真实的，没有任何虚假或隐瞒。</w:t>
      </w:r>
    </w:p>
    <w:p>
      <w:pPr>
        <w:pStyle w:val="4"/>
        <w:tabs>
          <w:tab w:val="left" w:pos="959"/>
        </w:tabs>
        <w:spacing w:before="182"/>
        <w:rPr>
          <w:lang w:eastAsia="zh-CN"/>
        </w:rPr>
      </w:pPr>
      <w:r>
        <w:rPr>
          <w:color w:val="231F20"/>
          <w:lang w:eastAsia="zh-CN"/>
        </w:rPr>
        <w:t>第九条</w:t>
      </w:r>
      <w:r>
        <w:rPr>
          <w:color w:val="231F20"/>
          <w:lang w:eastAsia="zh-CN"/>
        </w:rPr>
        <w:tab/>
      </w:r>
      <w:r>
        <w:rPr>
          <w:color w:val="231F20"/>
          <w:lang w:eastAsia="zh-CN"/>
        </w:rPr>
        <w:t>合同的变更和解除</w:t>
      </w:r>
    </w:p>
    <w:p>
      <w:pPr>
        <w:pStyle w:val="5"/>
        <w:spacing w:before="5"/>
        <w:ind w:left="0"/>
        <w:rPr>
          <w:rFonts w:ascii="方正黑体_GBK"/>
          <w:sz w:val="18"/>
          <w:lang w:eastAsia="zh-CN"/>
        </w:rPr>
      </w:pPr>
    </w:p>
    <w:p>
      <w:pPr>
        <w:pStyle w:val="9"/>
        <w:numPr>
          <w:ilvl w:val="1"/>
          <w:numId w:val="17"/>
        </w:numPr>
        <w:tabs>
          <w:tab w:val="left" w:pos="885"/>
        </w:tabs>
        <w:spacing w:before="0"/>
        <w:ind w:hanging="327"/>
      </w:pPr>
      <w:r>
        <w:rPr>
          <w:color w:val="231F20"/>
        </w:rPr>
        <w:t>合同的变更</w:t>
      </w:r>
    </w:p>
    <w:p>
      <w:pPr>
        <w:pStyle w:val="9"/>
        <w:numPr>
          <w:ilvl w:val="2"/>
          <w:numId w:val="17"/>
        </w:numPr>
        <w:tabs>
          <w:tab w:val="left" w:pos="1049"/>
        </w:tabs>
        <w:spacing w:line="319" w:lineRule="auto"/>
        <w:ind w:right="215" w:firstLine="440"/>
        <w:rPr>
          <w:lang w:eastAsia="zh-CN"/>
        </w:rPr>
      </w:pPr>
      <w:r>
        <w:rPr>
          <w:color w:val="231F20"/>
          <w:lang w:eastAsia="zh-CN"/>
        </w:rPr>
        <w:t>根据乙方健康状况的变化，甲方可以提出变更服务方案，并以书面形式通知乙方或乙方监护人及丙方，经甲、乙或乙方监护人、丙三方协商一致，签署补充协议。</w:t>
      </w:r>
    </w:p>
    <w:p>
      <w:pPr>
        <w:pStyle w:val="5"/>
        <w:tabs>
          <w:tab w:val="left" w:pos="7024"/>
        </w:tabs>
        <w:spacing w:before="26" w:line="319" w:lineRule="auto"/>
        <w:ind w:right="200" w:firstLine="440"/>
        <w:jc w:val="right"/>
        <w:rPr>
          <w:lang w:eastAsia="zh-CN"/>
        </w:rPr>
      </w:pPr>
      <w:r>
        <w:rPr>
          <w:color w:val="231F20"/>
          <w:lang w:eastAsia="zh-CN"/>
        </w:rPr>
        <w:t>乙方或乙</w:t>
      </w:r>
      <w:r>
        <w:rPr>
          <w:color w:val="231F20"/>
          <w:spacing w:val="-5"/>
          <w:lang w:eastAsia="zh-CN"/>
        </w:rPr>
        <w:t>方监护人、丙方收到甲方变更服务方案的书面通知</w:t>
      </w:r>
      <w:r>
        <w:rPr>
          <w:color w:val="231F20"/>
          <w:spacing w:val="-3"/>
          <w:lang w:eastAsia="zh-CN"/>
        </w:rPr>
        <w:t>后</w:t>
      </w:r>
      <w:r>
        <w:rPr>
          <w:color w:val="231F20"/>
          <w:spacing w:val="-3"/>
          <w:u w:val="single" w:color="231F20"/>
          <w:lang w:eastAsia="zh-CN"/>
        </w:rPr>
        <w:t xml:space="preserve"> </w:t>
      </w:r>
      <w:r>
        <w:rPr>
          <w:color w:val="231F20"/>
          <w:spacing w:val="-3"/>
          <w:u w:val="single" w:color="231F20"/>
          <w:lang w:eastAsia="zh-CN"/>
        </w:rPr>
        <w:tab/>
      </w:r>
      <w:r>
        <w:rPr>
          <w:color w:val="231F20"/>
          <w:spacing w:val="-5"/>
          <w:lang w:eastAsia="zh-CN"/>
        </w:rPr>
        <w:t>日内既不确认又不提出</w:t>
      </w:r>
      <w:r>
        <w:rPr>
          <w:color w:val="231F20"/>
          <w:spacing w:val="-3"/>
          <w:lang w:eastAsia="zh-CN"/>
        </w:rPr>
        <w:t>异</w:t>
      </w:r>
      <w:r>
        <w:rPr>
          <w:color w:val="231F20"/>
          <w:spacing w:val="-5"/>
          <w:lang w:eastAsia="zh-CN"/>
        </w:rPr>
        <w:t>议</w:t>
      </w:r>
      <w:r>
        <w:rPr>
          <w:color w:val="231F20"/>
          <w:spacing w:val="-3"/>
          <w:lang w:eastAsia="zh-CN"/>
        </w:rPr>
        <w:t>，但乙方实际接受甲方提供的相应服务</w:t>
      </w:r>
      <w:r>
        <w:rPr>
          <w:color w:val="231F20"/>
          <w:spacing w:val="-5"/>
          <w:lang w:eastAsia="zh-CN"/>
        </w:rPr>
        <w:t>的</w:t>
      </w:r>
      <w:r>
        <w:rPr>
          <w:color w:val="231F20"/>
          <w:spacing w:val="-3"/>
          <w:lang w:eastAsia="zh-CN"/>
        </w:rPr>
        <w:t>，视为</w:t>
      </w:r>
      <w:r>
        <w:rPr>
          <w:color w:val="231F20"/>
          <w:spacing w:val="-5"/>
          <w:lang w:eastAsia="zh-CN"/>
        </w:rPr>
        <w:t>甲</w:t>
      </w:r>
      <w:r>
        <w:rPr>
          <w:color w:val="231F20"/>
          <w:spacing w:val="-3"/>
          <w:lang w:eastAsia="zh-CN"/>
        </w:rPr>
        <w:t>、乙或乙方监护</w:t>
      </w:r>
      <w:r>
        <w:rPr>
          <w:color w:val="231F20"/>
          <w:spacing w:val="-9"/>
          <w:lang w:eastAsia="zh-CN"/>
        </w:rPr>
        <w:t>人</w:t>
      </w:r>
      <w:r>
        <w:rPr>
          <w:color w:val="231F20"/>
          <w:spacing w:val="-8"/>
          <w:lang w:eastAsia="zh-CN"/>
        </w:rPr>
        <w:t>、丙三方就合同约定</w:t>
      </w:r>
      <w:r>
        <w:rPr>
          <w:color w:val="231F20"/>
          <w:lang w:eastAsia="zh-CN"/>
        </w:rPr>
        <w:t>的</w:t>
      </w:r>
      <w:r>
        <w:rPr>
          <w:color w:val="231F20"/>
          <w:spacing w:val="-9"/>
          <w:lang w:eastAsia="zh-CN"/>
        </w:rPr>
        <w:t>服务项目的</w:t>
      </w:r>
      <w:r>
        <w:rPr>
          <w:color w:val="231F20"/>
          <w:spacing w:val="-5"/>
          <w:lang w:eastAsia="zh-CN"/>
        </w:rPr>
        <w:t>变更达成了一致，乙方或乙方监护人有义务按照新的服务</w:t>
      </w:r>
      <w:r>
        <w:rPr>
          <w:color w:val="231F20"/>
          <w:lang w:eastAsia="zh-CN"/>
        </w:rPr>
        <w:t>项目支付相应的服务费用。如果根据乙方健康状况的变化，不调整服务项目将导致乙方的健康安全无法保障的，甲方</w:t>
      </w:r>
    </w:p>
    <w:p>
      <w:pPr>
        <w:pStyle w:val="5"/>
        <w:spacing w:before="26" w:line="319" w:lineRule="auto"/>
        <w:ind w:right="215"/>
        <w:rPr>
          <w:lang w:eastAsia="zh-CN"/>
        </w:rPr>
      </w:pPr>
      <w:r>
        <w:rPr>
          <w:color w:val="231F20"/>
          <w:lang w:eastAsia="zh-CN"/>
        </w:rPr>
        <w:t>提出变更的服务方案后，乙方或乙方监护人既不同意，也不接受实际服务，甲方和乙方或乙方监护人均有权解除本合同。</w:t>
      </w:r>
    </w:p>
    <w:p>
      <w:pPr>
        <w:pStyle w:val="9"/>
        <w:numPr>
          <w:ilvl w:val="2"/>
          <w:numId w:val="17"/>
        </w:numPr>
        <w:tabs>
          <w:tab w:val="left" w:pos="1049"/>
        </w:tabs>
        <w:spacing w:before="26" w:line="319" w:lineRule="auto"/>
        <w:ind w:right="215" w:firstLine="440"/>
        <w:rPr>
          <w:lang w:eastAsia="zh-CN"/>
        </w:rPr>
      </w:pPr>
      <w:r>
        <w:rPr>
          <w:color w:val="231F20"/>
          <w:spacing w:val="-2"/>
          <w:lang w:eastAsia="zh-CN"/>
        </w:rPr>
        <w:t xml:space="preserve">当与甲方日常管理、服务直接相关的物价指数变动幅度超过 </w:t>
      </w:r>
      <w:r>
        <w:rPr>
          <w:color w:val="231F20"/>
          <w:spacing w:val="-4"/>
          <w:lang w:eastAsia="zh-CN"/>
        </w:rPr>
        <w:t>10</w:t>
      </w:r>
      <w:r>
        <w:rPr>
          <w:color w:val="231F20"/>
          <w:spacing w:val="-6"/>
          <w:lang w:eastAsia="zh-CN"/>
        </w:rPr>
        <w:t>% 时，甲方有权适当调</w:t>
      </w:r>
      <w:r>
        <w:rPr>
          <w:color w:val="231F20"/>
          <w:spacing w:val="-5"/>
          <w:lang w:eastAsia="zh-CN"/>
        </w:rPr>
        <w:t xml:space="preserve">整收费标准，并将价格调整的通知在调价前 </w:t>
      </w:r>
      <w:r>
        <w:rPr>
          <w:color w:val="231F20"/>
          <w:spacing w:val="-3"/>
          <w:lang w:eastAsia="zh-CN"/>
        </w:rPr>
        <w:t>30</w:t>
      </w:r>
      <w:r>
        <w:rPr>
          <w:color w:val="231F20"/>
          <w:spacing w:val="-5"/>
          <w:lang w:eastAsia="zh-CN"/>
        </w:rPr>
        <w:t xml:space="preserve"> 日内以书面形式通知乙方或乙方监护人及丙方。</w:t>
      </w:r>
    </w:p>
    <w:p>
      <w:pPr>
        <w:pStyle w:val="5"/>
        <w:spacing w:before="26" w:line="319" w:lineRule="auto"/>
        <w:ind w:right="146" w:firstLine="440"/>
        <w:rPr>
          <w:lang w:eastAsia="zh-CN"/>
        </w:rPr>
      </w:pPr>
      <w:r>
        <w:rPr>
          <w:color w:val="231F20"/>
          <w:spacing w:val="-6"/>
          <w:lang w:eastAsia="zh-CN"/>
        </w:rPr>
        <w:t xml:space="preserve">乙方或乙方监护人对价格调整有异议的，可在收到通知后 </w:t>
      </w:r>
      <w:r>
        <w:rPr>
          <w:color w:val="231F20"/>
          <w:spacing w:val="-3"/>
          <w:lang w:eastAsia="zh-CN"/>
        </w:rPr>
        <w:t>15</w:t>
      </w:r>
      <w:r>
        <w:rPr>
          <w:color w:val="231F20"/>
          <w:spacing w:val="-6"/>
          <w:lang w:eastAsia="zh-CN"/>
        </w:rPr>
        <w:t xml:space="preserve"> 日内以书面形式提出解除合同； 乙方或乙方监护人虽有异议但要求继续按照原收费标准履行合同的，甲方有权提出解除合同。</w:t>
      </w:r>
    </w:p>
    <w:p>
      <w:pPr>
        <w:pStyle w:val="5"/>
        <w:spacing w:before="26" w:line="319" w:lineRule="auto"/>
        <w:ind w:right="215" w:firstLine="440"/>
        <w:rPr>
          <w:lang w:eastAsia="zh-CN"/>
        </w:rPr>
      </w:pPr>
      <w:r>
        <w:rPr>
          <w:color w:val="231F20"/>
          <w:lang w:eastAsia="zh-CN"/>
        </w:rPr>
        <w:t>乙方或乙方监护人收到通知后 15 日内不以书面形式提出异议，但拒绝根据调整后的价格支付相关费用的，甲方有权解除合同并按照原收费标准收取已提供服务的费用。</w:t>
      </w:r>
    </w:p>
    <w:p>
      <w:pPr>
        <w:pStyle w:val="9"/>
        <w:numPr>
          <w:ilvl w:val="1"/>
          <w:numId w:val="18"/>
        </w:numPr>
        <w:tabs>
          <w:tab w:val="left" w:pos="885"/>
        </w:tabs>
        <w:spacing w:before="26"/>
        <w:ind w:hanging="327"/>
      </w:pPr>
      <w:r>
        <w:rPr>
          <w:color w:val="231F20"/>
        </w:rPr>
        <w:t>合同的解除</w:t>
      </w:r>
    </w:p>
    <w:p>
      <w:pPr>
        <w:pStyle w:val="9"/>
        <w:numPr>
          <w:ilvl w:val="2"/>
          <w:numId w:val="18"/>
        </w:numPr>
        <w:tabs>
          <w:tab w:val="left" w:pos="1049"/>
        </w:tabs>
        <w:spacing w:line="319" w:lineRule="auto"/>
        <w:ind w:right="215" w:firstLine="440"/>
        <w:rPr>
          <w:lang w:eastAsia="zh-CN"/>
        </w:rPr>
      </w:pPr>
      <w:r>
        <w:rPr>
          <w:color w:val="231F20"/>
          <w:lang w:eastAsia="zh-CN"/>
        </w:rPr>
        <w:t>除本合同另有约定外，下列情况下，乙方或乙方监护人可以单方解除本合同，并无需承担违约责任：</w:t>
      </w:r>
    </w:p>
    <w:p>
      <w:pPr>
        <w:pStyle w:val="5"/>
        <w:tabs>
          <w:tab w:val="left" w:pos="7674"/>
        </w:tabs>
        <w:spacing w:before="25"/>
        <w:ind w:left="447"/>
        <w:rPr>
          <w:lang w:eastAsia="zh-CN"/>
        </w:rPr>
      </w:pPr>
      <w:r>
        <w:rPr>
          <w:color w:val="231F20"/>
          <w:lang w:eastAsia="zh-CN"/>
        </w:rPr>
        <w:t>（</w:t>
      </w:r>
      <w:r>
        <w:rPr>
          <w:color w:val="231F20"/>
          <w:spacing w:val="-27"/>
          <w:lang w:eastAsia="zh-CN"/>
        </w:rPr>
        <w:t xml:space="preserve"> </w:t>
      </w:r>
      <w:r>
        <w:rPr>
          <w:color w:val="231F20"/>
          <w:spacing w:val="-29"/>
          <w:lang w:eastAsia="zh-CN"/>
        </w:rPr>
        <w:t>1）</w:t>
      </w:r>
      <w:r>
        <w:rPr>
          <w:color w:val="231F20"/>
          <w:lang w:eastAsia="zh-CN"/>
        </w:rPr>
        <w:t>甲方提供的服务不符合合同约定，经乙方或乙方监护人提出</w:t>
      </w:r>
      <w:r>
        <w:rPr>
          <w:color w:val="231F20"/>
          <w:u w:val="single" w:color="231F20"/>
          <w:lang w:eastAsia="zh-CN"/>
        </w:rPr>
        <w:t>，</w:t>
      </w:r>
      <w:r>
        <w:rPr>
          <w:color w:val="231F20"/>
          <w:u w:val="single" w:color="231F20"/>
          <w:lang w:eastAsia="zh-CN"/>
        </w:rPr>
        <w:tab/>
      </w:r>
      <w:r>
        <w:rPr>
          <w:color w:val="231F20"/>
          <w:lang w:eastAsia="zh-CN"/>
        </w:rPr>
        <w:t>日内不改正的；</w:t>
      </w:r>
    </w:p>
    <w:p>
      <w:pPr>
        <w:pStyle w:val="5"/>
        <w:spacing w:before="108"/>
        <w:ind w:left="447"/>
        <w:rPr>
          <w:lang w:eastAsia="zh-CN"/>
        </w:rPr>
      </w:pPr>
      <w:r>
        <w:rPr>
          <w:color w:val="231F20"/>
          <w:lang w:eastAsia="zh-CN"/>
        </w:rPr>
        <w:t>（ 2）因甲方或甲方工作人员的严重过错造成乙方人身或重大财产损害的；</w:t>
      </w:r>
    </w:p>
    <w:p>
      <w:pPr>
        <w:pStyle w:val="5"/>
        <w:spacing w:before="108" w:line="319" w:lineRule="auto"/>
        <w:ind w:right="199" w:firstLine="330"/>
        <w:rPr>
          <w:lang w:eastAsia="zh-CN"/>
        </w:rPr>
      </w:pPr>
      <w:r>
        <w:rPr>
          <w:color w:val="231F20"/>
          <w:lang w:eastAsia="zh-CN"/>
        </w:rPr>
        <w:t>（ 3）乙方因疾病或其他个人原因离院的，但乙方或乙方监护人不提出解除本合同而要求保留床位或房间的除外；</w:t>
      </w:r>
    </w:p>
    <w:p>
      <w:pPr>
        <w:pStyle w:val="5"/>
        <w:tabs>
          <w:tab w:val="left" w:pos="3162"/>
        </w:tabs>
        <w:spacing w:before="25"/>
        <w:ind w:left="447"/>
        <w:rPr>
          <w:lang w:eastAsia="zh-CN"/>
        </w:rPr>
      </w:pPr>
      <w:r>
        <w:rPr>
          <w:color w:val="231F20"/>
          <w:lang w:eastAsia="zh-CN"/>
        </w:rPr>
        <w:t>（</w:t>
      </w:r>
      <w:r>
        <w:rPr>
          <w:color w:val="231F20"/>
          <w:spacing w:val="-28"/>
          <w:lang w:eastAsia="zh-CN"/>
        </w:rPr>
        <w:t xml:space="preserve"> </w:t>
      </w:r>
      <w:r>
        <w:rPr>
          <w:color w:val="231F20"/>
          <w:lang w:eastAsia="zh-CN"/>
        </w:rPr>
        <w:t>4）乙方首次入住</w:t>
      </w:r>
      <w:r>
        <w:rPr>
          <w:color w:val="231F20"/>
          <w:u w:val="single" w:color="231F20"/>
          <w:lang w:eastAsia="zh-CN"/>
        </w:rPr>
        <w:t xml:space="preserve"> </w:t>
      </w:r>
      <w:r>
        <w:rPr>
          <w:color w:val="231F20"/>
          <w:u w:val="single" w:color="231F20"/>
          <w:lang w:eastAsia="zh-CN"/>
        </w:rPr>
        <w:tab/>
      </w:r>
      <w:r>
        <w:rPr>
          <w:color w:val="231F20"/>
          <w:lang w:eastAsia="zh-CN"/>
        </w:rPr>
        <w:t>日内不适应居住环境或管理方式的；</w:t>
      </w:r>
    </w:p>
    <w:p>
      <w:pPr>
        <w:pStyle w:val="5"/>
        <w:ind w:left="447"/>
        <w:rPr>
          <w:lang w:eastAsia="zh-CN"/>
        </w:rPr>
      </w:pPr>
      <w:r>
        <w:rPr>
          <w:color w:val="231F20"/>
          <w:lang w:eastAsia="zh-CN"/>
        </w:rPr>
        <w:t>（ 5）本合同履行过程中，乙方或乙方监护人提前 30 日书面通知甲方并结清服务费用的。</w:t>
      </w:r>
    </w:p>
    <w:p>
      <w:pPr>
        <w:pStyle w:val="5"/>
        <w:tabs>
          <w:tab w:val="left" w:pos="1214"/>
          <w:tab w:val="left" w:pos="4574"/>
          <w:tab w:val="left" w:pos="7207"/>
        </w:tabs>
        <w:spacing w:before="24" w:line="319" w:lineRule="auto"/>
        <w:ind w:right="210" w:firstLine="330"/>
        <w:jc w:val="both"/>
        <w:rPr>
          <w:lang w:eastAsia="zh-CN"/>
        </w:rPr>
      </w:pPr>
      <w:r>
        <w:rPr>
          <w:color w:val="231F20"/>
          <w:spacing w:val="-5"/>
          <w:lang w:eastAsia="zh-CN"/>
        </w:rPr>
        <w:t>除本合同另有约定外，下列情况下，甲方可以单方解除本合同，并无需承担违约责任：</w:t>
      </w:r>
      <w:r>
        <w:rPr>
          <w:color w:val="231F20"/>
          <w:lang w:eastAsia="zh-CN"/>
        </w:rPr>
        <w:t>（</w:t>
      </w:r>
      <w:r>
        <w:rPr>
          <w:color w:val="231F20"/>
          <w:spacing w:val="-27"/>
          <w:lang w:eastAsia="zh-CN"/>
        </w:rPr>
        <w:t xml:space="preserve"> </w:t>
      </w:r>
      <w:r>
        <w:rPr>
          <w:color w:val="231F20"/>
          <w:spacing w:val="-20"/>
          <w:lang w:eastAsia="zh-CN"/>
        </w:rPr>
        <w:t>1）</w:t>
      </w:r>
      <w:r>
        <w:rPr>
          <w:color w:val="231F20"/>
          <w:lang w:eastAsia="zh-CN"/>
        </w:rPr>
        <w:t>付款人无故拖欠各项费用超过</w:t>
      </w:r>
      <w:r>
        <w:rPr>
          <w:color w:val="231F20"/>
          <w:u w:val="single" w:color="231F20"/>
          <w:lang w:eastAsia="zh-CN"/>
        </w:rPr>
        <w:t xml:space="preserve"> </w:t>
      </w:r>
      <w:r>
        <w:rPr>
          <w:color w:val="231F20"/>
          <w:u w:val="single" w:color="231F20"/>
          <w:lang w:eastAsia="zh-CN"/>
        </w:rPr>
        <w:tab/>
      </w:r>
      <w:r>
        <w:rPr>
          <w:color w:val="231F20"/>
          <w:lang w:eastAsia="zh-CN"/>
        </w:rPr>
        <w:t>日，经甲方催告后</w:t>
      </w:r>
      <w:r>
        <w:rPr>
          <w:color w:val="231F20"/>
          <w:u w:val="single" w:color="231F20"/>
          <w:lang w:eastAsia="zh-CN"/>
        </w:rPr>
        <w:t xml:space="preserve"> </w:t>
      </w:r>
      <w:r>
        <w:rPr>
          <w:color w:val="231F20"/>
          <w:u w:val="single" w:color="231F20"/>
          <w:lang w:eastAsia="zh-CN"/>
        </w:rPr>
        <w:tab/>
      </w:r>
      <w:r>
        <w:rPr>
          <w:color w:val="231F20"/>
          <w:lang w:eastAsia="zh-CN"/>
        </w:rPr>
        <w:t>日内仍不交纳的，甲方有权解除合同，书面通知乙方搬出养老机构。乙方或乙方监护人在甲方发出书面解除合同通知后</w:t>
      </w:r>
      <w:r>
        <w:rPr>
          <w:color w:val="231F20"/>
          <w:u w:val="single" w:color="231F20"/>
          <w:lang w:eastAsia="zh-CN"/>
        </w:rPr>
        <w:t xml:space="preserve"> </w:t>
      </w:r>
      <w:r>
        <w:rPr>
          <w:color w:val="231F20"/>
          <w:u w:val="single" w:color="231F20"/>
          <w:lang w:eastAsia="zh-CN"/>
        </w:rPr>
        <w:tab/>
      </w:r>
      <w:r>
        <w:rPr>
          <w:color w:val="231F20"/>
          <w:lang w:eastAsia="zh-CN"/>
        </w:rPr>
        <w:t xml:space="preserve">日内仍不搬出的，甲方有权提起诉讼，请求法院确认合同解除。付款人除应支付拖 </w:t>
      </w:r>
      <w:r>
        <w:rPr>
          <w:color w:val="231F20"/>
          <w:spacing w:val="5"/>
          <w:lang w:eastAsia="zh-CN"/>
        </w:rPr>
        <w:t>欠的服务费</w:t>
      </w:r>
      <w:r>
        <w:rPr>
          <w:color w:val="231F20"/>
          <w:lang w:eastAsia="zh-CN"/>
        </w:rPr>
        <w:t>用</w:t>
      </w:r>
      <w:r>
        <w:rPr>
          <w:color w:val="231F20"/>
          <w:spacing w:val="5"/>
          <w:lang w:eastAsia="zh-CN"/>
        </w:rPr>
        <w:t>、诉讼期间的养老服务费用以</w:t>
      </w:r>
      <w:r>
        <w:rPr>
          <w:color w:val="231F20"/>
          <w:lang w:eastAsia="zh-CN"/>
        </w:rPr>
        <w:t>外</w:t>
      </w:r>
      <w:r>
        <w:rPr>
          <w:color w:val="231F20"/>
          <w:spacing w:val="5"/>
          <w:lang w:eastAsia="zh-CN"/>
        </w:rPr>
        <w:t>，还应每逾期一天按逾期支付费用金额万分之</w:t>
      </w:r>
    </w:p>
    <w:p>
      <w:pPr>
        <w:pStyle w:val="5"/>
        <w:tabs>
          <w:tab w:val="left" w:pos="662"/>
        </w:tabs>
        <w:spacing w:before="26"/>
        <w:rPr>
          <w:lang w:eastAsia="zh-CN"/>
        </w:rPr>
      </w:pPr>
      <w:r>
        <w:rPr>
          <w:rFonts w:ascii="Times New Roman" w:eastAsia="Times New Roman"/>
          <w:color w:val="231F20"/>
          <w:u w:val="single" w:color="231F20"/>
          <w:lang w:eastAsia="zh-CN"/>
        </w:rPr>
        <w:t xml:space="preserve"> </w:t>
      </w:r>
      <w:r>
        <w:rPr>
          <w:rFonts w:ascii="Times New Roman" w:eastAsia="Times New Roman"/>
          <w:color w:val="231F20"/>
          <w:u w:val="single" w:color="231F20"/>
          <w:lang w:eastAsia="zh-CN"/>
        </w:rPr>
        <w:tab/>
      </w:r>
      <w:r>
        <w:rPr>
          <w:rFonts w:hint="eastAsia" w:ascii="Times New Roman" w:eastAsia="Times New Roman"/>
          <w:color w:val="231F20"/>
          <w:u w:val="single" w:color="231F20"/>
          <w:lang w:val="en-US" w:eastAsia="zh-CN"/>
        </w:rPr>
        <w:t xml:space="preserve">  </w:t>
      </w:r>
      <w:r>
        <w:rPr>
          <w:color w:val="231F20"/>
          <w:lang w:eastAsia="zh-CN"/>
        </w:rPr>
        <w:t>向甲方支付违约金。</w:t>
      </w:r>
    </w:p>
    <w:p>
      <w:pPr>
        <w:pStyle w:val="5"/>
        <w:spacing w:line="319" w:lineRule="auto"/>
        <w:ind w:right="199" w:firstLine="330"/>
        <w:rPr>
          <w:lang w:eastAsia="zh-CN"/>
        </w:rPr>
      </w:pPr>
      <w:r>
        <w:rPr>
          <w:color w:val="231F20"/>
          <w:lang w:eastAsia="zh-CN"/>
        </w:rPr>
        <w:t>（ 2）乙方严重违反甲方的规章制度，造成甲方难以履行对乙方的养老服务，或造成其他入住老人伤害或现实性伤害危险的。</w:t>
      </w:r>
    </w:p>
    <w:p>
      <w:pPr>
        <w:pStyle w:val="5"/>
        <w:spacing w:before="25" w:line="319" w:lineRule="auto"/>
        <w:ind w:right="199" w:firstLine="330"/>
        <w:rPr>
          <w:lang w:eastAsia="zh-CN"/>
        </w:rPr>
      </w:pPr>
      <w:r>
        <w:rPr>
          <w:color w:val="231F20"/>
          <w:lang w:eastAsia="zh-CN"/>
        </w:rPr>
        <w:t>（ 3）乙方或乙方监护人隐瞒重要乙方健康状况、患有须隔离治疗的传染性疾病或者患有精神疾病等其他不适宜在机构内集中生活的。</w:t>
      </w:r>
    </w:p>
    <w:p>
      <w:pPr>
        <w:pStyle w:val="5"/>
        <w:spacing w:before="25"/>
        <w:ind w:left="447"/>
        <w:rPr>
          <w:lang w:eastAsia="zh-CN"/>
        </w:rPr>
      </w:pPr>
      <w:r>
        <w:rPr>
          <w:color w:val="231F20"/>
          <w:lang w:eastAsia="zh-CN"/>
        </w:rPr>
        <w:t>（ 4）发生不可抗力致甲方不能履行合同的。</w:t>
      </w:r>
    </w:p>
    <w:p>
      <w:pPr>
        <w:pStyle w:val="5"/>
        <w:spacing w:line="319" w:lineRule="auto"/>
        <w:ind w:right="146" w:firstLine="330"/>
        <w:rPr>
          <w:lang w:eastAsia="zh-CN"/>
        </w:rPr>
      </w:pPr>
      <w:r>
        <w:rPr>
          <w:color w:val="231F20"/>
          <w:lang w:eastAsia="zh-CN"/>
        </w:rPr>
        <w:t>（ 5）甲方因丧失养老机构执业资格等原因暂停、终止服务的。甲方应当于暂停或者终止服务 60 日前向实施许可的民政部门提交老年人安置方案，经批准后方可解除养老机构服务合同。</w:t>
      </w:r>
    </w:p>
    <w:p>
      <w:pPr>
        <w:pStyle w:val="5"/>
        <w:tabs>
          <w:tab w:val="left" w:pos="3883"/>
        </w:tabs>
        <w:spacing w:before="26"/>
        <w:ind w:left="447"/>
        <w:rPr>
          <w:lang w:eastAsia="zh-CN"/>
        </w:rPr>
      </w:pPr>
      <w:r>
        <w:rPr>
          <w:color w:val="231F20"/>
          <w:lang w:eastAsia="zh-CN"/>
        </w:rPr>
        <w:t>（</w:t>
      </w:r>
      <w:r>
        <w:rPr>
          <w:color w:val="231F20"/>
          <w:spacing w:val="-29"/>
          <w:lang w:eastAsia="zh-CN"/>
        </w:rPr>
        <w:t xml:space="preserve"> </w:t>
      </w:r>
      <w:r>
        <w:rPr>
          <w:color w:val="231F20"/>
          <w:lang w:eastAsia="zh-CN"/>
        </w:rPr>
        <w:t>6）乙方连续请假外出超过</w:t>
      </w:r>
      <w:r>
        <w:rPr>
          <w:color w:val="231F20"/>
          <w:u w:val="single" w:color="231F20"/>
          <w:lang w:eastAsia="zh-CN"/>
        </w:rPr>
        <w:t xml:space="preserve"> </w:t>
      </w:r>
      <w:r>
        <w:rPr>
          <w:color w:val="231F20"/>
          <w:u w:val="single" w:color="231F20"/>
          <w:lang w:eastAsia="zh-CN"/>
        </w:rPr>
        <w:tab/>
      </w:r>
      <w:r>
        <w:rPr>
          <w:color w:val="231F20"/>
          <w:lang w:eastAsia="zh-CN"/>
        </w:rPr>
        <w:t>天（不得少于</w:t>
      </w:r>
      <w:r>
        <w:rPr>
          <w:color w:val="231F20"/>
          <w:spacing w:val="-1"/>
          <w:lang w:eastAsia="zh-CN"/>
        </w:rPr>
        <w:t xml:space="preserve"> </w:t>
      </w:r>
      <w:r>
        <w:rPr>
          <w:color w:val="231F20"/>
          <w:lang w:eastAsia="zh-CN"/>
        </w:rPr>
        <w:t>30</w:t>
      </w:r>
      <w:r>
        <w:rPr>
          <w:color w:val="231F20"/>
          <w:spacing w:val="-2"/>
          <w:lang w:eastAsia="zh-CN"/>
        </w:rPr>
        <w:t xml:space="preserve"> </w:t>
      </w:r>
      <w:r>
        <w:rPr>
          <w:color w:val="231F20"/>
          <w:lang w:eastAsia="zh-CN"/>
        </w:rPr>
        <w:t>天</w:t>
      </w:r>
      <w:r>
        <w:rPr>
          <w:color w:val="231F20"/>
          <w:spacing w:val="-83"/>
          <w:lang w:eastAsia="zh-CN"/>
        </w:rPr>
        <w:t>）</w:t>
      </w:r>
      <w:r>
        <w:rPr>
          <w:color w:val="231F20"/>
          <w:lang w:eastAsia="zh-CN"/>
        </w:rPr>
        <w:t>。</w:t>
      </w:r>
    </w:p>
    <w:p>
      <w:pPr>
        <w:pStyle w:val="5"/>
        <w:spacing w:before="9"/>
        <w:ind w:left="0"/>
        <w:rPr>
          <w:sz w:val="17"/>
          <w:lang w:eastAsia="zh-CN"/>
        </w:rPr>
      </w:pPr>
    </w:p>
    <w:p>
      <w:pPr>
        <w:pStyle w:val="4"/>
        <w:tabs>
          <w:tab w:val="left" w:pos="4652"/>
        </w:tabs>
        <w:spacing w:before="1"/>
        <w:ind w:left="3692" w:right="0"/>
        <w:jc w:val="left"/>
      </w:pPr>
      <w:r>
        <w:rPr>
          <w:color w:val="231F20"/>
        </w:rPr>
        <w:t>第十条</w:t>
      </w:r>
      <w:r>
        <w:rPr>
          <w:color w:val="231F20"/>
        </w:rPr>
        <w:tab/>
      </w:r>
      <w:r>
        <w:rPr>
          <w:color w:val="231F20"/>
        </w:rPr>
        <w:t>特别约定</w:t>
      </w:r>
    </w:p>
    <w:p>
      <w:pPr>
        <w:pStyle w:val="5"/>
        <w:spacing w:before="5"/>
        <w:ind w:left="0"/>
        <w:rPr>
          <w:rFonts w:ascii="方正黑体_GBK"/>
          <w:sz w:val="18"/>
        </w:rPr>
      </w:pPr>
    </w:p>
    <w:p>
      <w:pPr>
        <w:pStyle w:val="9"/>
        <w:numPr>
          <w:ilvl w:val="1"/>
          <w:numId w:val="19"/>
        </w:numPr>
        <w:tabs>
          <w:tab w:val="left" w:pos="994"/>
        </w:tabs>
        <w:spacing w:before="0"/>
        <w:ind w:hanging="436"/>
        <w:rPr>
          <w:lang w:eastAsia="zh-CN"/>
        </w:rPr>
      </w:pPr>
      <w:r>
        <w:rPr>
          <w:color w:val="231F20"/>
          <w:lang w:eastAsia="zh-CN"/>
        </w:rPr>
        <w:t>突发疾病或出现事故等紧急情况的处理</w:t>
      </w:r>
    </w:p>
    <w:p>
      <w:pPr>
        <w:pStyle w:val="9"/>
        <w:numPr>
          <w:ilvl w:val="2"/>
          <w:numId w:val="19"/>
        </w:numPr>
        <w:tabs>
          <w:tab w:val="left" w:pos="1159"/>
        </w:tabs>
        <w:spacing w:before="108" w:line="319" w:lineRule="auto"/>
        <w:ind w:right="209" w:firstLine="440"/>
        <w:jc w:val="right"/>
        <w:rPr>
          <w:lang w:eastAsia="zh-CN"/>
        </w:rPr>
      </w:pPr>
      <w:r>
        <w:rPr>
          <w:color w:val="231F20"/>
          <w:lang w:eastAsia="zh-CN"/>
        </w:rPr>
        <w:t>乙方在入住期间突发疾病或身体伤害事故，甲方应及时通知乙方监护人、丙方，及</w:t>
      </w:r>
      <w:r>
        <w:rPr>
          <w:color w:val="231F20"/>
          <w:spacing w:val="11"/>
          <w:lang w:eastAsia="zh-CN"/>
        </w:rPr>
        <w:t xml:space="preserve">时联系 </w:t>
      </w:r>
      <w:r>
        <w:rPr>
          <w:color w:val="231F20"/>
          <w:lang w:eastAsia="zh-CN"/>
        </w:rPr>
        <w:t>120</w:t>
      </w:r>
      <w:r>
        <w:rPr>
          <w:color w:val="231F20"/>
          <w:spacing w:val="-3"/>
          <w:lang w:eastAsia="zh-CN"/>
        </w:rPr>
        <w:t xml:space="preserve"> 等医疗急救机构；如需到医疗机构急救，甲方应派人陪送至医疗机构。甲方不能及</w:t>
      </w:r>
      <w:r>
        <w:rPr>
          <w:color w:val="231F20"/>
          <w:lang w:eastAsia="zh-CN"/>
        </w:rPr>
        <w:t>时联系上乙方监护人、丙方的，应尽早与本合同附件确定的其他联系人取得联系，通报情况。甲方具有医疗资质的，在乙方生命垂危等紧急情况下应尽到合理诊疗义务，费用由乙方或</w:t>
      </w:r>
    </w:p>
    <w:p>
      <w:pPr>
        <w:pStyle w:val="5"/>
        <w:spacing w:before="25"/>
        <w:rPr>
          <w:lang w:eastAsia="zh-CN"/>
        </w:rPr>
      </w:pPr>
      <w:r>
        <w:rPr>
          <w:color w:val="231F20"/>
          <w:lang w:eastAsia="zh-CN"/>
        </w:rPr>
        <w:t>乙方监护人、丙方承担。</w:t>
      </w:r>
    </w:p>
    <w:p>
      <w:pPr>
        <w:pStyle w:val="9"/>
        <w:numPr>
          <w:ilvl w:val="2"/>
          <w:numId w:val="19"/>
        </w:numPr>
        <w:tabs>
          <w:tab w:val="left" w:pos="1159"/>
        </w:tabs>
        <w:spacing w:line="319" w:lineRule="auto"/>
        <w:ind w:right="213" w:firstLine="440"/>
        <w:rPr>
          <w:lang w:eastAsia="zh-CN"/>
        </w:rPr>
      </w:pPr>
      <w:r>
        <w:rPr>
          <w:color w:val="231F20"/>
          <w:lang w:eastAsia="zh-CN"/>
        </w:rPr>
        <w:t>因乙方发生紧急情况产生的费用急救费用、治疗费用、住院押金等均由乙方或乙方监护人负担。甲方因此垫付费用的，乙方或乙方监护人应及时清偿。</w:t>
      </w:r>
    </w:p>
    <w:p>
      <w:pPr>
        <w:pStyle w:val="9"/>
        <w:numPr>
          <w:ilvl w:val="1"/>
          <w:numId w:val="20"/>
        </w:numPr>
        <w:tabs>
          <w:tab w:val="left" w:pos="994"/>
        </w:tabs>
        <w:spacing w:before="26"/>
        <w:ind w:firstLine="440"/>
        <w:rPr>
          <w:lang w:eastAsia="zh-CN"/>
        </w:rPr>
      </w:pPr>
      <w:r>
        <w:rPr>
          <w:color w:val="231F20"/>
          <w:lang w:eastAsia="zh-CN"/>
        </w:rPr>
        <w:t>乙方去世的善后服务及相关费用</w:t>
      </w:r>
    </w:p>
    <w:p>
      <w:pPr>
        <w:pStyle w:val="5"/>
        <w:spacing w:line="319" w:lineRule="auto"/>
        <w:ind w:right="215" w:firstLine="440"/>
        <w:rPr>
          <w:lang w:eastAsia="zh-CN"/>
        </w:rPr>
      </w:pPr>
      <w:r>
        <w:rPr>
          <w:color w:val="231F20"/>
          <w:lang w:eastAsia="zh-CN"/>
        </w:rPr>
        <w:t>乙方在甲方服务期间去世的，甲方应及时与乙方监护人或丙方取得联系，乙方监护人或丙方负责善后处理并承担相关费用。无法与乙方监护人或丙方取得联系的，应及时联系殡仪馆， 妥善保存遗体，发生的费用由乙方监护人或丙方承担。</w:t>
      </w:r>
    </w:p>
    <w:p>
      <w:pPr>
        <w:pStyle w:val="9"/>
        <w:numPr>
          <w:ilvl w:val="1"/>
          <w:numId w:val="20"/>
        </w:numPr>
        <w:tabs>
          <w:tab w:val="left" w:pos="994"/>
        </w:tabs>
        <w:spacing w:before="25"/>
        <w:ind w:firstLine="440"/>
        <w:rPr>
          <w:lang w:eastAsia="zh-CN"/>
        </w:rPr>
      </w:pPr>
      <w:r>
        <w:rPr>
          <w:color w:val="231F20"/>
          <w:lang w:eastAsia="zh-CN"/>
        </w:rPr>
        <w:t>甲方与乙方监护人或丙方联系中断</w:t>
      </w:r>
    </w:p>
    <w:p>
      <w:pPr>
        <w:pStyle w:val="5"/>
        <w:spacing w:line="319" w:lineRule="auto"/>
        <w:ind w:right="214" w:firstLine="440"/>
        <w:jc w:val="both"/>
        <w:rPr>
          <w:lang w:eastAsia="zh-CN"/>
        </w:rPr>
      </w:pPr>
      <w:r>
        <w:rPr>
          <w:color w:val="231F20"/>
          <w:lang w:eastAsia="zh-CN"/>
        </w:rPr>
        <w:t>因乙方监护人或丙方提供的联系地址、方式不准确或不详细或变更后未及时通知甲方，或其他客观原因致使甲方无法与乙方监护人或丙方及时联系，连续达一个月则视为联系中断。甲方与乙方或乙方监护人协商后，可以重新确定联系人。</w:t>
      </w:r>
    </w:p>
    <w:p>
      <w:pPr>
        <w:spacing w:line="319" w:lineRule="auto"/>
        <w:jc w:val="both"/>
        <w:rPr>
          <w:lang w:eastAsia="zh-CN"/>
        </w:rPr>
        <w:sectPr>
          <w:footerReference r:id="rId5" w:type="default"/>
          <w:footerReference r:id="rId6" w:type="even"/>
          <w:pgSz w:w="11910" w:h="16840"/>
          <w:pgMar w:top="1580" w:right="1200" w:bottom="1020" w:left="1300" w:header="0" w:footer="832" w:gutter="0"/>
          <w:cols w:space="720" w:num="1"/>
        </w:sectPr>
      </w:pPr>
    </w:p>
    <w:p>
      <w:pPr>
        <w:pStyle w:val="9"/>
        <w:numPr>
          <w:ilvl w:val="1"/>
          <w:numId w:val="20"/>
        </w:numPr>
        <w:tabs>
          <w:tab w:val="left" w:pos="993"/>
        </w:tabs>
        <w:spacing w:before="24"/>
        <w:ind w:left="992" w:hanging="435"/>
        <w:rPr>
          <w:lang w:eastAsia="zh-CN"/>
        </w:rPr>
      </w:pPr>
      <w:r>
        <w:rPr>
          <w:color w:val="231F20"/>
          <w:lang w:eastAsia="zh-CN"/>
        </w:rPr>
        <w:t>非因甲方原因造成乙方人身、财产损害的，甲方不承担责任。</w:t>
      </w:r>
    </w:p>
    <w:p>
      <w:pPr>
        <w:pStyle w:val="9"/>
        <w:numPr>
          <w:ilvl w:val="1"/>
          <w:numId w:val="20"/>
        </w:numPr>
        <w:tabs>
          <w:tab w:val="left" w:pos="1012"/>
        </w:tabs>
        <w:spacing w:line="319" w:lineRule="auto"/>
        <w:ind w:right="214" w:firstLine="440"/>
        <w:rPr>
          <w:lang w:eastAsia="zh-CN"/>
        </w:rPr>
      </w:pPr>
      <w:r>
        <w:rPr>
          <w:color w:val="231F20"/>
          <w:lang w:eastAsia="zh-CN"/>
        </w:rPr>
        <w:t>乙方具有完全民事行为能力，但拒绝接收甲方提供服务，造成其自身人身、财产损害的，由乙方自行承担后果。</w:t>
      </w:r>
    </w:p>
    <w:p>
      <w:pPr>
        <w:pStyle w:val="9"/>
        <w:numPr>
          <w:ilvl w:val="1"/>
          <w:numId w:val="20"/>
        </w:numPr>
        <w:tabs>
          <w:tab w:val="left" w:pos="995"/>
        </w:tabs>
        <w:spacing w:before="25" w:line="319" w:lineRule="auto"/>
        <w:ind w:right="215" w:firstLine="440"/>
        <w:rPr>
          <w:lang w:eastAsia="zh-CN"/>
        </w:rPr>
      </w:pPr>
      <w:r>
        <w:rPr>
          <w:color w:val="231F20"/>
          <w:lang w:eastAsia="zh-CN"/>
        </w:rPr>
        <w:t>本合同关于乙方、乙方监护人或丙方权利义务的约定，并不免除对乙方有法定赡养义务的其他人的法定责任。</w:t>
      </w:r>
    </w:p>
    <w:p>
      <w:pPr>
        <w:pStyle w:val="9"/>
        <w:numPr>
          <w:ilvl w:val="1"/>
          <w:numId w:val="20"/>
        </w:numPr>
        <w:tabs>
          <w:tab w:val="left" w:pos="1012"/>
        </w:tabs>
        <w:spacing w:before="25" w:line="319" w:lineRule="auto"/>
        <w:ind w:right="212" w:firstLine="440"/>
        <w:jc w:val="both"/>
        <w:rPr>
          <w:lang w:eastAsia="zh-CN"/>
        </w:rPr>
      </w:pPr>
      <w:r>
        <w:rPr>
          <w:color w:val="231F20"/>
          <w:lang w:eastAsia="zh-CN"/>
        </w:rPr>
        <w:t>因不可抗力导致本合同无法继续履行的，受到不可抗力影响的一方应在不可抗力情形发生后及时通知合同其他相关方，本合同可依法解除，合同各方不承担解除合同的责任。乙方监护人或丙方应及时接回并妥善安置乙方。</w:t>
      </w:r>
    </w:p>
    <w:p>
      <w:pPr>
        <w:pStyle w:val="5"/>
        <w:spacing w:before="25" w:line="319" w:lineRule="auto"/>
        <w:ind w:right="215" w:firstLine="440"/>
        <w:rPr>
          <w:lang w:eastAsia="zh-CN"/>
        </w:rPr>
      </w:pPr>
      <w:r>
        <w:rPr>
          <w:color w:val="231F20"/>
          <w:lang w:eastAsia="zh-CN"/>
        </w:rPr>
        <w:t>甲方应提示乙方、乙方监护人或丙方重点注意上述特别约定内容，按照乙方、乙方监护人或丙方的要求，对上述特别约定内容进行说明，并请乙方、乙方监护人或丙方签字确认：</w:t>
      </w:r>
    </w:p>
    <w:p>
      <w:pPr>
        <w:pStyle w:val="5"/>
        <w:tabs>
          <w:tab w:val="left" w:pos="4562"/>
          <w:tab w:val="left" w:pos="7796"/>
        </w:tabs>
        <w:spacing w:before="25" w:line="319" w:lineRule="auto"/>
        <w:ind w:right="215" w:firstLine="440"/>
        <w:rPr>
          <w:lang w:eastAsia="zh-CN"/>
        </w:rPr>
      </w:pPr>
      <w:r>
        <w:rPr>
          <w:color w:val="231F20"/>
          <w:lang w:eastAsia="zh-CN"/>
        </w:rPr>
        <w:t>以上特别约定内容，在甲方提示下，乙方、乙方监护人或丙方均已认真阅读，充分知晓与了解。特此签名确认</w:t>
      </w:r>
      <w:r>
        <w:rPr>
          <w:color w:val="231F20"/>
          <w:u w:val="single" w:color="231F20"/>
          <w:lang w:eastAsia="zh-CN"/>
        </w:rPr>
        <w:t>：</w:t>
      </w:r>
      <w:r>
        <w:rPr>
          <w:color w:val="231F20"/>
          <w:u w:val="single" w:color="231F20"/>
          <w:lang w:eastAsia="zh-CN"/>
        </w:rPr>
        <w:tab/>
      </w:r>
      <w:r>
        <w:rPr>
          <w:color w:val="231F20"/>
          <w:u w:val="single" w:color="231F20"/>
          <w:lang w:eastAsia="zh-CN"/>
        </w:rPr>
        <w:t>、</w:t>
      </w:r>
      <w:r>
        <w:rPr>
          <w:color w:val="231F20"/>
          <w:u w:val="single" w:color="231F20"/>
          <w:lang w:eastAsia="zh-CN"/>
        </w:rPr>
        <w:tab/>
      </w:r>
      <w:r>
        <w:rPr>
          <w:color w:val="231F20"/>
          <w:u w:val="single" w:color="231F20"/>
          <w:lang w:eastAsia="zh-CN"/>
        </w:rPr>
        <w:t>。</w:t>
      </w:r>
    </w:p>
    <w:p>
      <w:pPr>
        <w:pStyle w:val="4"/>
        <w:tabs>
          <w:tab w:val="left" w:pos="1199"/>
        </w:tabs>
        <w:spacing w:before="182"/>
        <w:rPr>
          <w:lang w:eastAsia="zh-CN"/>
        </w:rPr>
      </w:pPr>
      <w:r>
        <w:rPr>
          <w:color w:val="231F20"/>
          <w:lang w:eastAsia="zh-CN"/>
        </w:rPr>
        <w:t>第十一条</w:t>
      </w:r>
      <w:r>
        <w:rPr>
          <w:color w:val="231F20"/>
          <w:lang w:eastAsia="zh-CN"/>
        </w:rPr>
        <w:tab/>
      </w:r>
      <w:r>
        <w:rPr>
          <w:color w:val="231F20"/>
          <w:lang w:eastAsia="zh-CN"/>
        </w:rPr>
        <w:t>违约责任</w:t>
      </w:r>
    </w:p>
    <w:p>
      <w:pPr>
        <w:pStyle w:val="5"/>
        <w:spacing w:before="5"/>
        <w:ind w:left="0"/>
        <w:rPr>
          <w:rFonts w:ascii="方正黑体_GBK"/>
          <w:sz w:val="18"/>
          <w:lang w:eastAsia="zh-CN"/>
        </w:rPr>
      </w:pPr>
    </w:p>
    <w:p>
      <w:pPr>
        <w:pStyle w:val="9"/>
        <w:numPr>
          <w:ilvl w:val="1"/>
          <w:numId w:val="21"/>
        </w:numPr>
        <w:tabs>
          <w:tab w:val="left" w:pos="994"/>
        </w:tabs>
        <w:spacing w:before="0"/>
        <w:ind w:firstLine="440"/>
        <w:rPr>
          <w:lang w:eastAsia="zh-CN"/>
        </w:rPr>
      </w:pPr>
      <w:r>
        <w:rPr>
          <w:color w:val="231F20"/>
          <w:lang w:eastAsia="zh-CN"/>
        </w:rPr>
        <w:t>因甲方及其工作人员的过错，损害乙方人身或财产权利的，由甲方承担赔偿责任。</w:t>
      </w:r>
    </w:p>
    <w:p>
      <w:pPr>
        <w:pStyle w:val="9"/>
        <w:numPr>
          <w:ilvl w:val="1"/>
          <w:numId w:val="21"/>
        </w:numPr>
        <w:tabs>
          <w:tab w:val="left" w:pos="995"/>
          <w:tab w:val="left" w:pos="2630"/>
        </w:tabs>
        <w:spacing w:before="108" w:line="319" w:lineRule="auto"/>
        <w:ind w:right="215" w:firstLine="440"/>
        <w:rPr>
          <w:lang w:eastAsia="zh-CN"/>
        </w:rPr>
      </w:pPr>
      <w:r>
        <w:rPr>
          <w:color w:val="231F20"/>
          <w:lang w:eastAsia="zh-CN"/>
        </w:rPr>
        <w:t>甲方服务人员资质不合格、没有按约定提供服务或者提供的服务不合格，甲方应承担的违约责任为</w:t>
      </w:r>
      <w:r>
        <w:rPr>
          <w:color w:val="231F20"/>
          <w:u w:val="single" w:color="231F20"/>
          <w:lang w:eastAsia="zh-CN"/>
        </w:rPr>
        <w:t>：</w:t>
      </w:r>
      <w:r>
        <w:rPr>
          <w:color w:val="231F20"/>
          <w:u w:val="single" w:color="231F20"/>
          <w:lang w:eastAsia="zh-CN"/>
        </w:rPr>
        <w:tab/>
      </w:r>
      <w:r>
        <w:rPr>
          <w:color w:val="231F20"/>
          <w:lang w:eastAsia="zh-CN"/>
        </w:rPr>
        <w:t>。由此造成乙方人身或财产损失的，甲方还应承担赔偿责任。</w:t>
      </w:r>
    </w:p>
    <w:p>
      <w:pPr>
        <w:pStyle w:val="9"/>
        <w:numPr>
          <w:ilvl w:val="1"/>
          <w:numId w:val="21"/>
        </w:numPr>
        <w:tabs>
          <w:tab w:val="left" w:pos="996"/>
        </w:tabs>
        <w:spacing w:before="25" w:line="319" w:lineRule="auto"/>
        <w:ind w:right="103" w:firstLine="440"/>
        <w:rPr>
          <w:lang w:eastAsia="zh-CN"/>
        </w:rPr>
      </w:pPr>
      <w:r>
        <w:rPr>
          <w:color w:val="231F20"/>
          <w:lang w:eastAsia="zh-CN"/>
        </w:rPr>
        <w:t>甲方或其工作人员侵犯乙方、乙方监护人及丙方对甲方提供的养老服务的知情权的， 乙方、乙方监护人和丙方有权要求甲方改正，造成损失的甲方应承担赔偿责任。</w:t>
      </w:r>
    </w:p>
    <w:p>
      <w:pPr>
        <w:pStyle w:val="9"/>
        <w:numPr>
          <w:ilvl w:val="1"/>
          <w:numId w:val="21"/>
        </w:numPr>
        <w:tabs>
          <w:tab w:val="left" w:pos="993"/>
          <w:tab w:val="left" w:pos="2752"/>
          <w:tab w:val="left" w:pos="8472"/>
        </w:tabs>
        <w:spacing w:before="25"/>
        <w:ind w:left="992" w:hanging="435"/>
        <w:rPr>
          <w:lang w:eastAsia="zh-CN"/>
        </w:rPr>
      </w:pPr>
      <w:r>
        <w:rPr>
          <w:color w:val="231F20"/>
          <w:lang w:eastAsia="zh-CN"/>
        </w:rPr>
        <w:t>本合同因</w:t>
      </w:r>
      <w:r>
        <w:rPr>
          <w:color w:val="231F20"/>
          <w:u w:val="single" w:color="231F20"/>
          <w:lang w:eastAsia="zh-CN"/>
        </w:rPr>
        <w:t xml:space="preserve"> </w:t>
      </w:r>
      <w:r>
        <w:rPr>
          <w:color w:val="231F20"/>
          <w:u w:val="single" w:color="231F20"/>
          <w:lang w:eastAsia="zh-CN"/>
        </w:rPr>
        <w:tab/>
      </w:r>
      <w:r>
        <w:rPr>
          <w:color w:val="231F20"/>
          <w:lang w:eastAsia="zh-CN"/>
        </w:rPr>
        <w:t>项解除的，甲方应向乙方或乙方监护人支付违约金</w:t>
      </w:r>
      <w:r>
        <w:rPr>
          <w:color w:val="231F20"/>
          <w:u w:val="single" w:color="231F20"/>
          <w:lang w:eastAsia="zh-CN"/>
        </w:rPr>
        <w:t xml:space="preserve"> </w:t>
      </w:r>
      <w:r>
        <w:rPr>
          <w:color w:val="231F20"/>
          <w:u w:val="single" w:color="231F20"/>
          <w:lang w:eastAsia="zh-CN"/>
        </w:rPr>
        <w:tab/>
      </w:r>
      <w:r>
        <w:rPr>
          <w:color w:val="231F20"/>
          <w:lang w:eastAsia="zh-CN"/>
        </w:rPr>
        <w:t>元。</w:t>
      </w:r>
    </w:p>
    <w:p>
      <w:pPr>
        <w:pStyle w:val="9"/>
        <w:numPr>
          <w:ilvl w:val="1"/>
          <w:numId w:val="21"/>
        </w:numPr>
        <w:tabs>
          <w:tab w:val="left" w:pos="993"/>
          <w:tab w:val="left" w:pos="2752"/>
          <w:tab w:val="left" w:pos="8472"/>
        </w:tabs>
        <w:spacing w:before="108"/>
        <w:ind w:left="992" w:hanging="435"/>
        <w:rPr>
          <w:lang w:eastAsia="zh-CN"/>
        </w:rPr>
      </w:pPr>
      <w:r>
        <w:rPr>
          <w:color w:val="231F20"/>
          <w:lang w:eastAsia="zh-CN"/>
        </w:rPr>
        <w:t>本合同因</w:t>
      </w:r>
      <w:r>
        <w:rPr>
          <w:color w:val="231F20"/>
          <w:u w:val="single" w:color="231F20"/>
          <w:lang w:eastAsia="zh-CN"/>
        </w:rPr>
        <w:t xml:space="preserve"> </w:t>
      </w:r>
      <w:r>
        <w:rPr>
          <w:color w:val="231F20"/>
          <w:u w:val="single" w:color="231F20"/>
          <w:lang w:eastAsia="zh-CN"/>
        </w:rPr>
        <w:tab/>
      </w:r>
      <w:r>
        <w:rPr>
          <w:color w:val="231F20"/>
          <w:lang w:eastAsia="zh-CN"/>
        </w:rPr>
        <w:t>项解除的，乙方或乙方监护人应向甲方支付违约金</w:t>
      </w:r>
      <w:r>
        <w:rPr>
          <w:color w:val="231F20"/>
          <w:u w:val="single" w:color="231F20"/>
          <w:lang w:eastAsia="zh-CN"/>
        </w:rPr>
        <w:t xml:space="preserve"> </w:t>
      </w:r>
      <w:r>
        <w:rPr>
          <w:color w:val="231F20"/>
          <w:u w:val="single" w:color="231F20"/>
          <w:lang w:eastAsia="zh-CN"/>
        </w:rPr>
        <w:tab/>
      </w:r>
      <w:r>
        <w:rPr>
          <w:color w:val="231F20"/>
          <w:lang w:eastAsia="zh-CN"/>
        </w:rPr>
        <w:t>元。</w:t>
      </w:r>
    </w:p>
    <w:p>
      <w:pPr>
        <w:pStyle w:val="9"/>
        <w:numPr>
          <w:ilvl w:val="1"/>
          <w:numId w:val="21"/>
        </w:numPr>
        <w:tabs>
          <w:tab w:val="left" w:pos="993"/>
        </w:tabs>
        <w:spacing w:before="108"/>
        <w:ind w:left="992" w:hanging="435"/>
        <w:rPr>
          <w:lang w:eastAsia="zh-CN"/>
        </w:rPr>
      </w:pPr>
      <w:r>
        <w:rPr>
          <w:color w:val="231F20"/>
          <w:spacing w:val="-5"/>
          <w:lang w:eastAsia="zh-CN"/>
        </w:rPr>
        <w:t>因乙方原因造成甲方或第三人人身或财产损失的，乙方、乙方监护人应承担赔偿责任。</w:t>
      </w:r>
    </w:p>
    <w:p>
      <w:pPr>
        <w:pStyle w:val="9"/>
        <w:numPr>
          <w:ilvl w:val="1"/>
          <w:numId w:val="21"/>
        </w:numPr>
        <w:tabs>
          <w:tab w:val="left" w:pos="994"/>
        </w:tabs>
        <w:spacing w:before="108"/>
        <w:ind w:firstLine="440"/>
        <w:rPr>
          <w:lang w:eastAsia="zh-CN"/>
        </w:rPr>
      </w:pPr>
      <w:r>
        <w:rPr>
          <w:color w:val="231F20"/>
          <w:lang w:eastAsia="zh-CN"/>
        </w:rPr>
        <w:t>因乙方原因造成其自身损害的，由乙方、乙方监护人自行承担全部后果和责任。</w:t>
      </w:r>
    </w:p>
    <w:p>
      <w:pPr>
        <w:pStyle w:val="5"/>
        <w:spacing w:before="9"/>
        <w:ind w:left="0"/>
        <w:rPr>
          <w:sz w:val="17"/>
          <w:lang w:eastAsia="zh-CN"/>
        </w:rPr>
      </w:pPr>
    </w:p>
    <w:p>
      <w:pPr>
        <w:pStyle w:val="4"/>
        <w:tabs>
          <w:tab w:val="left" w:pos="1266"/>
        </w:tabs>
        <w:rPr>
          <w:lang w:eastAsia="zh-CN"/>
        </w:rPr>
      </w:pPr>
      <w:r>
        <w:rPr>
          <w:color w:val="231F20"/>
          <w:lang w:eastAsia="zh-CN"/>
        </w:rPr>
        <w:t>第十二条</w:t>
      </w:r>
      <w:r>
        <w:rPr>
          <w:color w:val="231F20"/>
          <w:lang w:eastAsia="zh-CN"/>
        </w:rPr>
        <w:tab/>
      </w:r>
      <w:r>
        <w:rPr>
          <w:color w:val="231F20"/>
          <w:lang w:eastAsia="zh-CN"/>
        </w:rPr>
        <w:t>纠纷的解决方式及管辖</w:t>
      </w:r>
    </w:p>
    <w:p>
      <w:pPr>
        <w:pStyle w:val="5"/>
        <w:spacing w:before="5"/>
        <w:ind w:left="0"/>
        <w:rPr>
          <w:rFonts w:ascii="方正黑体_GBK"/>
          <w:sz w:val="18"/>
          <w:lang w:eastAsia="zh-CN"/>
        </w:rPr>
      </w:pPr>
    </w:p>
    <w:p>
      <w:pPr>
        <w:pStyle w:val="5"/>
        <w:spacing w:before="0" w:line="319" w:lineRule="auto"/>
        <w:ind w:right="215" w:firstLine="440"/>
        <w:rPr>
          <w:color w:val="231F20"/>
          <w:lang w:eastAsia="zh-CN"/>
        </w:rPr>
      </w:pPr>
      <w:r>
        <w:rPr>
          <w:color w:val="231F20"/>
          <w:lang w:eastAsia="zh-CN"/>
        </w:rPr>
        <w:t>与本合同有关的或者因本合同引发的纠纷应尽量协商解决，协商解决不成的，应向甲方住所地人民法院提起诉讼解决。</w:t>
      </w:r>
    </w:p>
    <w:p>
      <w:pPr>
        <w:pStyle w:val="5"/>
        <w:spacing w:before="0" w:line="319" w:lineRule="auto"/>
        <w:ind w:right="215" w:firstLine="440"/>
        <w:rPr>
          <w:color w:val="231F20"/>
          <w:lang w:eastAsia="zh-CN"/>
        </w:rPr>
      </w:pPr>
    </w:p>
    <w:p>
      <w:pPr>
        <w:pStyle w:val="4"/>
        <w:tabs>
          <w:tab w:val="left" w:pos="1199"/>
        </w:tabs>
        <w:spacing w:before="182"/>
      </w:pPr>
      <w:r>
        <w:rPr>
          <w:color w:val="231F20"/>
        </w:rPr>
        <w:t>第十三条</w:t>
      </w:r>
      <w:r>
        <w:rPr>
          <w:color w:val="231F20"/>
        </w:rPr>
        <w:tab/>
      </w:r>
      <w:r>
        <w:rPr>
          <w:color w:val="231F20"/>
        </w:rPr>
        <w:t>通知与送达</w:t>
      </w:r>
    </w:p>
    <w:p>
      <w:pPr>
        <w:pStyle w:val="5"/>
        <w:spacing w:before="5"/>
        <w:ind w:left="0"/>
        <w:rPr>
          <w:rFonts w:ascii="方正黑体_GBK"/>
          <w:sz w:val="18"/>
        </w:rPr>
      </w:pPr>
    </w:p>
    <w:p>
      <w:pPr>
        <w:pStyle w:val="9"/>
        <w:numPr>
          <w:ilvl w:val="1"/>
          <w:numId w:val="22"/>
        </w:numPr>
        <w:tabs>
          <w:tab w:val="left" w:pos="995"/>
        </w:tabs>
        <w:spacing w:before="0" w:line="319" w:lineRule="auto"/>
        <w:ind w:right="215" w:firstLine="440"/>
        <w:rPr>
          <w:lang w:eastAsia="zh-CN"/>
        </w:rPr>
      </w:pPr>
      <w:r>
        <w:rPr>
          <w:color w:val="231F20"/>
          <w:lang w:eastAsia="zh-CN"/>
        </w:rPr>
        <w:t>在本合同首页中所标明的甲方、乙方、乙方监护人和丙方的地址和联系方式为各方各自有效的通讯地址和联系方式。一方变更通讯地址和联络方式应及时通知其他各方。</w:t>
      </w:r>
    </w:p>
    <w:p>
      <w:pPr>
        <w:pStyle w:val="9"/>
        <w:numPr>
          <w:ilvl w:val="2"/>
          <w:numId w:val="22"/>
        </w:numPr>
        <w:tabs>
          <w:tab w:val="left" w:pos="1159"/>
        </w:tabs>
        <w:spacing w:before="24" w:line="319" w:lineRule="auto"/>
        <w:ind w:right="211" w:firstLine="440"/>
        <w:rPr>
          <w:lang w:eastAsia="zh-CN"/>
        </w:rPr>
      </w:pPr>
      <w:r>
        <w:rPr>
          <w:color w:val="231F20"/>
          <w:spacing w:val="-5"/>
          <w:lang w:eastAsia="zh-CN"/>
        </w:rPr>
        <w:t>以下情形，视为送达，但受送达人有证据证明其因客观原因未实际接收到通知的除外：</w:t>
      </w:r>
      <w:r>
        <w:rPr>
          <w:color w:val="231F20"/>
          <w:spacing w:val="-1"/>
          <w:lang w:eastAsia="zh-CN"/>
        </w:rPr>
        <w:t xml:space="preserve">以特快专递形式发送的，已经签收的，以签收日为送达日；未签收的，同城自发送之日起 </w:t>
      </w:r>
      <w:r>
        <w:rPr>
          <w:color w:val="231F20"/>
          <w:lang w:eastAsia="zh-CN"/>
        </w:rPr>
        <w:t>2</w:t>
      </w:r>
      <w:r>
        <w:rPr>
          <w:color w:val="231F20"/>
          <w:spacing w:val="-1"/>
          <w:lang w:eastAsia="zh-CN"/>
        </w:rPr>
        <w:t xml:space="preserve"> 日视为文件已经送达，异地 </w:t>
      </w:r>
      <w:r>
        <w:rPr>
          <w:color w:val="231F20"/>
          <w:lang w:eastAsia="zh-CN"/>
        </w:rPr>
        <w:t>5</w:t>
      </w:r>
      <w:r>
        <w:rPr>
          <w:color w:val="231F20"/>
          <w:spacing w:val="-1"/>
          <w:lang w:eastAsia="zh-CN"/>
        </w:rPr>
        <w:t xml:space="preserve"> 日视为送达，境外 </w:t>
      </w:r>
      <w:r>
        <w:rPr>
          <w:color w:val="231F20"/>
          <w:lang w:eastAsia="zh-CN"/>
        </w:rPr>
        <w:t>15</w:t>
      </w:r>
      <w:r>
        <w:rPr>
          <w:color w:val="231F20"/>
          <w:spacing w:val="-1"/>
          <w:lang w:eastAsia="zh-CN"/>
        </w:rPr>
        <w:t xml:space="preserve"> 日视为送达。</w:t>
      </w:r>
    </w:p>
    <w:p>
      <w:pPr>
        <w:pStyle w:val="9"/>
        <w:numPr>
          <w:ilvl w:val="2"/>
          <w:numId w:val="22"/>
        </w:numPr>
        <w:tabs>
          <w:tab w:val="left" w:pos="1157"/>
        </w:tabs>
        <w:spacing w:before="26"/>
        <w:ind w:left="1156" w:hanging="599"/>
        <w:rPr>
          <w:lang w:eastAsia="zh-CN"/>
        </w:rPr>
      </w:pPr>
      <w:r>
        <w:rPr>
          <w:color w:val="231F20"/>
          <w:lang w:eastAsia="zh-CN"/>
        </w:rPr>
        <w:t>手机短信发送的，发出之时即视为送达。</w:t>
      </w:r>
    </w:p>
    <w:p>
      <w:pPr>
        <w:pStyle w:val="9"/>
        <w:numPr>
          <w:ilvl w:val="2"/>
          <w:numId w:val="22"/>
        </w:numPr>
        <w:tabs>
          <w:tab w:val="left" w:pos="1157"/>
        </w:tabs>
        <w:ind w:left="1156" w:hanging="599"/>
        <w:rPr>
          <w:lang w:eastAsia="zh-CN"/>
        </w:rPr>
      </w:pPr>
      <w:r>
        <w:rPr>
          <w:color w:val="231F20"/>
          <w:lang w:eastAsia="zh-CN"/>
        </w:rPr>
        <w:t>电子邮件自发出进入收件方邮箱服务器视为送达。</w:t>
      </w:r>
    </w:p>
    <w:p>
      <w:pPr>
        <w:pStyle w:val="9"/>
        <w:numPr>
          <w:ilvl w:val="2"/>
          <w:numId w:val="22"/>
        </w:numPr>
        <w:tabs>
          <w:tab w:val="left" w:pos="1157"/>
        </w:tabs>
        <w:ind w:left="1156" w:hanging="599"/>
        <w:rPr>
          <w:lang w:eastAsia="zh-CN"/>
        </w:rPr>
      </w:pPr>
      <w:r>
        <w:rPr>
          <w:color w:val="231F20"/>
          <w:lang w:eastAsia="zh-CN"/>
        </w:rPr>
        <w:t>传真发送自发出对方传真机接收视为送达。</w:t>
      </w:r>
    </w:p>
    <w:p>
      <w:pPr>
        <w:pStyle w:val="9"/>
        <w:numPr>
          <w:ilvl w:val="1"/>
          <w:numId w:val="23"/>
        </w:numPr>
        <w:tabs>
          <w:tab w:val="left" w:pos="995"/>
        </w:tabs>
        <w:spacing w:line="319" w:lineRule="auto"/>
        <w:ind w:right="213" w:firstLine="440"/>
        <w:rPr>
          <w:lang w:eastAsia="zh-CN"/>
        </w:rPr>
      </w:pPr>
      <w:r>
        <w:rPr>
          <w:color w:val="231F20"/>
          <w:lang w:eastAsia="zh-CN"/>
        </w:rPr>
        <w:t>因受送达人通讯地址或其他相关信息错误、不详或发生变更未及时通知其他各方造成无法送达的，由受送达人自行承担相关后果。</w:t>
      </w:r>
    </w:p>
    <w:p>
      <w:pPr>
        <w:pStyle w:val="9"/>
        <w:numPr>
          <w:ilvl w:val="1"/>
          <w:numId w:val="23"/>
        </w:numPr>
        <w:tabs>
          <w:tab w:val="left" w:pos="995"/>
        </w:tabs>
        <w:spacing w:before="25" w:line="319" w:lineRule="auto"/>
        <w:ind w:right="104" w:firstLine="440"/>
        <w:rPr>
          <w:lang w:eastAsia="zh-CN"/>
        </w:rPr>
      </w:pPr>
      <w:r>
        <w:rPr>
          <w:color w:val="231F20"/>
          <w:lang w:eastAsia="zh-CN"/>
        </w:rPr>
        <w:t>乙方入住甲方期间，有关本合同的履行事宜甲方应以书面或数据电文形式通知乙方或</w:t>
      </w:r>
      <w:r>
        <w:rPr>
          <w:color w:val="231F20"/>
          <w:spacing w:val="-1"/>
          <w:lang w:eastAsia="zh-CN"/>
        </w:rPr>
        <w:t>乙方监护人、丙方，由乙方或乙方监护人、丙方确认签收；乙方或乙方监护人、丙方拒签的， 书面通知在第三方见证下送至收件人地址的视为已通知或已送达，数据电文进入收件人接收系统的视为已通知或已送达。</w:t>
      </w:r>
    </w:p>
    <w:p>
      <w:pPr>
        <w:pStyle w:val="4"/>
        <w:tabs>
          <w:tab w:val="left" w:pos="1199"/>
        </w:tabs>
        <w:spacing w:before="181"/>
        <w:rPr>
          <w:lang w:eastAsia="zh-CN"/>
        </w:rPr>
      </w:pPr>
      <w:r>
        <w:rPr>
          <w:color w:val="231F20"/>
          <w:lang w:eastAsia="zh-CN"/>
        </w:rPr>
        <w:t>第十四条</w:t>
      </w:r>
      <w:r>
        <w:rPr>
          <w:color w:val="231F20"/>
          <w:lang w:eastAsia="zh-CN"/>
        </w:rPr>
        <w:tab/>
      </w:r>
      <w:r>
        <w:rPr>
          <w:color w:val="231F20"/>
          <w:lang w:eastAsia="zh-CN"/>
        </w:rPr>
        <w:t>当事人协商一致的其他内容</w:t>
      </w:r>
    </w:p>
    <w:p>
      <w:pPr>
        <w:pStyle w:val="5"/>
        <w:spacing w:before="0"/>
        <w:ind w:left="0"/>
        <w:rPr>
          <w:rFonts w:ascii="方正黑体_GBK"/>
          <w:sz w:val="20"/>
          <w:lang w:eastAsia="zh-CN"/>
        </w:rPr>
      </w:pPr>
    </w:p>
    <w:p>
      <w:pPr>
        <w:pStyle w:val="5"/>
        <w:spacing w:before="7"/>
        <w:ind w:left="0"/>
        <w:rPr>
          <w:rFonts w:ascii="方正黑体_GBK"/>
          <w:sz w:val="17"/>
          <w:lang w:eastAsia="zh-CN"/>
        </w:rPr>
      </w:pPr>
      <w:r>
        <w:pict>
          <v:line id="_x0000_s1030" o:spid="_x0000_s1030" o:spt="20" style="position:absolute;left:0pt;margin-left:70.85pt;margin-top:15pt;height:0pt;width:453.55pt;mso-position-horizontal-relative:page;mso-wrap-distance-bottom:0pt;mso-wrap-distance-top:0pt;z-index:251659264;mso-width-relative:page;mso-height-relative:page;" stroked="t" coordsize="21600,21600">
            <v:path arrowok="t"/>
            <v:fill focussize="0,0"/>
            <v:stroke weight="0.282992125984252pt" color="#231F20"/>
            <v:imagedata o:title=""/>
            <o:lock v:ext="edit"/>
            <w10:wrap type="topAndBottom"/>
          </v:line>
        </w:pict>
      </w:r>
      <w:r>
        <w:pict>
          <v:line id="_x0000_s1029" o:spid="_x0000_s1029" o:spt="20" style="position:absolute;left:0pt;margin-left:70.85pt;margin-top:37pt;height:0pt;width:453.55pt;mso-position-horizontal-relative:page;mso-wrap-distance-bottom:0pt;mso-wrap-distance-top:0pt;z-index:251660288;mso-width-relative:page;mso-height-relative:page;" stroked="t" coordsize="21600,21600">
            <v:path arrowok="t"/>
            <v:fill focussize="0,0"/>
            <v:stroke weight="0.282992125984252pt" color="#231F20"/>
            <v:imagedata o:title=""/>
            <o:lock v:ext="edit"/>
            <w10:wrap type="topAndBottom"/>
          </v:line>
        </w:pict>
      </w:r>
      <w:r>
        <w:pict>
          <v:line id="_x0000_s1028" o:spid="_x0000_s1028" o:spt="20" style="position:absolute;left:0pt;margin-left:70.85pt;margin-top:59pt;height:0pt;width:453.55pt;mso-position-horizontal-relative:page;mso-wrap-distance-bottom:0pt;mso-wrap-distance-top:0pt;z-index:251661312;mso-width-relative:page;mso-height-relative:page;" stroked="t" coordsize="21600,21600">
            <v:path arrowok="t"/>
            <v:fill focussize="0,0"/>
            <v:stroke weight="0.282992125984252pt" color="#231F20"/>
            <v:imagedata o:title=""/>
            <o:lock v:ext="edit"/>
            <w10:wrap type="topAndBottom"/>
          </v:line>
        </w:pict>
      </w:r>
      <w:r>
        <w:pict>
          <v:line id="_x0000_s1027" o:spid="_x0000_s1027" o:spt="20" style="position:absolute;left:0pt;margin-left:70.85pt;margin-top:81pt;height:0pt;width:453.55pt;mso-position-horizontal-relative:page;mso-wrap-distance-bottom:0pt;mso-wrap-distance-top:0pt;z-index:251661312;mso-width-relative:page;mso-height-relative:page;" stroked="t" coordsize="21600,21600">
            <v:path arrowok="t"/>
            <v:fill focussize="0,0"/>
            <v:stroke weight="0.282992125984252pt" color="#231F20"/>
            <v:imagedata o:title=""/>
            <o:lock v:ext="edit"/>
            <w10:wrap type="topAndBottom"/>
          </v:line>
        </w:pict>
      </w:r>
    </w:p>
    <w:p>
      <w:pPr>
        <w:pStyle w:val="5"/>
        <w:spacing w:before="13"/>
        <w:ind w:left="0"/>
        <w:rPr>
          <w:rFonts w:ascii="方正黑体_GBK"/>
          <w:sz w:val="24"/>
          <w:lang w:eastAsia="zh-CN"/>
        </w:rPr>
      </w:pPr>
    </w:p>
    <w:p>
      <w:pPr>
        <w:pStyle w:val="5"/>
        <w:spacing w:before="13"/>
        <w:ind w:left="0"/>
        <w:rPr>
          <w:rFonts w:ascii="方正黑体_GBK"/>
          <w:sz w:val="24"/>
          <w:lang w:eastAsia="zh-CN"/>
        </w:rPr>
      </w:pPr>
    </w:p>
    <w:p>
      <w:pPr>
        <w:pStyle w:val="5"/>
        <w:spacing w:before="13"/>
        <w:ind w:left="0"/>
        <w:rPr>
          <w:rFonts w:ascii="方正黑体_GBK"/>
          <w:sz w:val="24"/>
          <w:lang w:eastAsia="zh-CN"/>
        </w:rPr>
      </w:pPr>
    </w:p>
    <w:p>
      <w:pPr>
        <w:pStyle w:val="5"/>
        <w:spacing w:before="83"/>
        <w:ind w:left="447"/>
        <w:rPr>
          <w:color w:val="231F20"/>
          <w:lang w:eastAsia="zh-CN"/>
        </w:rPr>
      </w:pPr>
      <w:r>
        <w:rPr>
          <w:color w:val="231F20"/>
          <w:lang w:eastAsia="zh-CN"/>
        </w:rPr>
        <w:t>（约定内容可以另行附页）</w:t>
      </w:r>
    </w:p>
    <w:p>
      <w:pPr>
        <w:pStyle w:val="5"/>
        <w:spacing w:before="83"/>
        <w:ind w:left="447"/>
        <w:rPr>
          <w:color w:val="231F20"/>
          <w:lang w:eastAsia="zh-CN"/>
        </w:rPr>
      </w:pPr>
    </w:p>
    <w:p>
      <w:pPr>
        <w:pStyle w:val="5"/>
        <w:spacing w:before="83"/>
        <w:ind w:left="447"/>
        <w:rPr>
          <w:color w:val="231F20"/>
          <w:lang w:eastAsia="zh-CN"/>
        </w:rPr>
      </w:pPr>
    </w:p>
    <w:p>
      <w:pPr>
        <w:pStyle w:val="5"/>
        <w:spacing w:before="83"/>
        <w:ind w:left="447"/>
        <w:rPr>
          <w:color w:val="231F20"/>
          <w:lang w:eastAsia="zh-CN"/>
        </w:rPr>
      </w:pPr>
    </w:p>
    <w:p>
      <w:pPr>
        <w:pStyle w:val="5"/>
        <w:spacing w:before="83"/>
        <w:ind w:left="447"/>
        <w:rPr>
          <w:color w:val="231F20"/>
          <w:lang w:eastAsia="zh-CN"/>
        </w:rPr>
      </w:pPr>
    </w:p>
    <w:p>
      <w:pPr>
        <w:pStyle w:val="5"/>
        <w:spacing w:before="9"/>
        <w:ind w:left="0"/>
        <w:rPr>
          <w:sz w:val="17"/>
          <w:lang w:eastAsia="zh-CN"/>
        </w:rPr>
      </w:pPr>
    </w:p>
    <w:p>
      <w:pPr>
        <w:pStyle w:val="4"/>
        <w:tabs>
          <w:tab w:val="left" w:pos="1266"/>
        </w:tabs>
        <w:rPr>
          <w:lang w:eastAsia="zh-CN"/>
        </w:rPr>
      </w:pPr>
      <w:r>
        <w:rPr>
          <w:color w:val="231F20"/>
          <w:lang w:eastAsia="zh-CN"/>
        </w:rPr>
        <w:t>第十五条</w:t>
      </w:r>
      <w:r>
        <w:rPr>
          <w:color w:val="231F20"/>
          <w:lang w:eastAsia="zh-CN"/>
        </w:rPr>
        <w:tab/>
      </w:r>
      <w:r>
        <w:rPr>
          <w:color w:val="231F20"/>
          <w:lang w:eastAsia="zh-CN"/>
        </w:rPr>
        <w:t>合同生效及附件</w:t>
      </w:r>
    </w:p>
    <w:p>
      <w:pPr>
        <w:pStyle w:val="5"/>
        <w:spacing w:before="5"/>
        <w:ind w:left="0"/>
        <w:rPr>
          <w:rFonts w:ascii="方正黑体_GBK"/>
          <w:sz w:val="18"/>
          <w:lang w:eastAsia="zh-CN"/>
        </w:rPr>
      </w:pPr>
    </w:p>
    <w:p>
      <w:pPr>
        <w:pStyle w:val="9"/>
        <w:numPr>
          <w:ilvl w:val="1"/>
          <w:numId w:val="24"/>
        </w:numPr>
        <w:tabs>
          <w:tab w:val="left" w:pos="995"/>
          <w:tab w:val="left" w:pos="3201"/>
        </w:tabs>
        <w:spacing w:before="0" w:line="319" w:lineRule="auto"/>
        <w:ind w:right="212" w:firstLine="440"/>
        <w:rPr>
          <w:lang w:eastAsia="zh-CN"/>
        </w:rPr>
      </w:pPr>
      <w:r>
        <w:rPr>
          <w:color w:val="231F20"/>
          <w:lang w:eastAsia="zh-CN"/>
        </w:rPr>
        <w:t>本合同一式</w:t>
      </w:r>
      <w:r>
        <w:rPr>
          <w:color w:val="231F20"/>
          <w:u w:val="single" w:color="231F20"/>
          <w:lang w:eastAsia="zh-CN"/>
        </w:rPr>
        <w:t xml:space="preserve"> </w:t>
      </w:r>
      <w:r>
        <w:rPr>
          <w:color w:val="231F20"/>
          <w:u w:val="single" w:color="231F20"/>
          <w:lang w:eastAsia="zh-CN"/>
        </w:rPr>
        <w:tab/>
      </w:r>
      <w:r>
        <w:rPr>
          <w:color w:val="231F20"/>
          <w:lang w:eastAsia="zh-CN"/>
        </w:rPr>
        <w:t>份，甲、乙或乙方监护人丙方各执一份，自各方签字或盖章之日生效。</w:t>
      </w:r>
    </w:p>
    <w:p>
      <w:pPr>
        <w:pStyle w:val="9"/>
        <w:numPr>
          <w:ilvl w:val="1"/>
          <w:numId w:val="24"/>
        </w:numPr>
        <w:tabs>
          <w:tab w:val="left" w:pos="994"/>
        </w:tabs>
        <w:spacing w:before="26"/>
        <w:ind w:left="993" w:hanging="436"/>
        <w:rPr>
          <w:lang w:eastAsia="zh-CN"/>
        </w:rPr>
      </w:pPr>
      <w:r>
        <w:rPr>
          <w:color w:val="231F20"/>
          <w:lang w:eastAsia="zh-CN"/>
        </w:rPr>
        <w:t>下列文件为本合同附件：</w:t>
      </w:r>
    </w:p>
    <w:p>
      <w:pPr>
        <w:pStyle w:val="5"/>
        <w:ind w:left="447"/>
        <w:rPr>
          <w:lang w:eastAsia="zh-CN"/>
        </w:rPr>
      </w:pPr>
      <w:r>
        <w:rPr>
          <w:color w:val="231F20"/>
          <w:lang w:eastAsia="zh-CN"/>
        </w:rPr>
        <w:t>（ 1）加盖甲方公章的甲方合法注册登记文件复印件</w:t>
      </w:r>
    </w:p>
    <w:p>
      <w:pPr>
        <w:pStyle w:val="5"/>
        <w:spacing w:line="319" w:lineRule="auto"/>
        <w:ind w:right="199" w:firstLine="330"/>
        <w:rPr>
          <w:lang w:eastAsia="zh-CN"/>
        </w:rPr>
      </w:pPr>
      <w:r>
        <w:rPr>
          <w:color w:val="231F20"/>
          <w:lang w:eastAsia="zh-CN"/>
        </w:rPr>
        <w:t>（ 2）乙方、乙方监护人、丙方（个人）身份证及户口本复印件，丙方（单位）加盖公章的丙方合法注册登记文件复印件及联系人信息</w:t>
      </w:r>
    </w:p>
    <w:p>
      <w:pPr>
        <w:pStyle w:val="5"/>
        <w:spacing w:before="26"/>
        <w:ind w:left="447"/>
        <w:rPr>
          <w:lang w:eastAsia="zh-CN"/>
        </w:rPr>
      </w:pPr>
      <w:r>
        <w:rPr>
          <w:color w:val="231F20"/>
          <w:lang w:eastAsia="zh-CN"/>
        </w:rPr>
        <w:t>（ 3）二级甲等以上医院出具的《体检报告》（体检时间在一个月以内）</w:t>
      </w:r>
    </w:p>
    <w:p>
      <w:pPr>
        <w:pStyle w:val="5"/>
        <w:ind w:left="447"/>
        <w:rPr>
          <w:lang w:eastAsia="zh-CN"/>
        </w:rPr>
      </w:pPr>
      <w:r>
        <w:rPr>
          <w:color w:val="231F20"/>
          <w:lang w:eastAsia="zh-CN"/>
        </w:rPr>
        <w:t>（ 4）乙方、乙方监护人及丙方签章的乙方《健康状况自我陈述书》及《入住登记表》</w:t>
      </w:r>
    </w:p>
    <w:p>
      <w:pPr>
        <w:pStyle w:val="5"/>
        <w:ind w:left="447"/>
        <w:rPr>
          <w:lang w:eastAsia="zh-CN"/>
        </w:rPr>
      </w:pPr>
      <w:r>
        <w:rPr>
          <w:color w:val="231F20"/>
          <w:lang w:eastAsia="zh-CN"/>
        </w:rPr>
        <w:t>（ 5）甲方出具的、经乙方、乙方监护人、丙方签章认可的《老年人能力评估报告》</w:t>
      </w:r>
    </w:p>
    <w:p>
      <w:pPr>
        <w:pStyle w:val="5"/>
        <w:ind w:left="447"/>
        <w:rPr>
          <w:lang w:eastAsia="zh-CN"/>
        </w:rPr>
      </w:pPr>
      <w:r>
        <w:rPr>
          <w:color w:val="231F20"/>
          <w:lang w:eastAsia="zh-CN"/>
        </w:rPr>
        <w:t>（ 6）房间、设备物品表</w:t>
      </w:r>
    </w:p>
    <w:p>
      <w:pPr>
        <w:pStyle w:val="5"/>
        <w:ind w:left="447"/>
        <w:rPr>
          <w:lang w:eastAsia="zh-CN"/>
        </w:rPr>
      </w:pPr>
      <w:r>
        <w:rPr>
          <w:color w:val="231F20"/>
          <w:lang w:eastAsia="zh-CN"/>
        </w:rPr>
        <w:t>（ 7）公共设施、设备表</w:t>
      </w:r>
    </w:p>
    <w:p>
      <w:pPr>
        <w:pStyle w:val="5"/>
        <w:spacing w:before="24"/>
        <w:ind w:left="447"/>
        <w:rPr>
          <w:color w:val="231F20"/>
          <w:lang w:eastAsia="zh-CN"/>
        </w:rPr>
      </w:pPr>
      <w:r>
        <w:rPr>
          <w:color w:val="231F20"/>
          <w:lang w:eastAsia="zh-CN"/>
        </w:rPr>
        <w:t>（ 8）甲方服务范围表</w:t>
      </w:r>
    </w:p>
    <w:p>
      <w:pPr>
        <w:pStyle w:val="5"/>
        <w:spacing w:before="24"/>
        <w:ind w:left="447"/>
        <w:rPr>
          <w:lang w:eastAsia="zh-CN"/>
        </w:rPr>
      </w:pPr>
      <w:r>
        <w:rPr>
          <w:color w:val="231F20"/>
          <w:lang w:eastAsia="zh-CN"/>
        </w:rPr>
        <w:t>（ 9）乙方、乙方监护人、丙方选择的《护理等级与服务项目》</w:t>
      </w:r>
    </w:p>
    <w:p>
      <w:pPr>
        <w:pStyle w:val="5"/>
        <w:ind w:left="447"/>
        <w:rPr>
          <w:lang w:eastAsia="zh-CN"/>
        </w:rPr>
      </w:pPr>
      <w:r>
        <w:rPr>
          <w:color w:val="231F20"/>
          <w:lang w:eastAsia="zh-CN"/>
        </w:rPr>
        <w:t>（ 10）甲方提供养老服务的各种服务项目的收费标准表</w:t>
      </w:r>
    </w:p>
    <w:p>
      <w:pPr>
        <w:pStyle w:val="5"/>
        <w:tabs>
          <w:tab w:val="left" w:pos="4213"/>
        </w:tabs>
        <w:ind w:left="447"/>
        <w:rPr>
          <w:lang w:eastAsia="zh-CN"/>
        </w:rPr>
      </w:pPr>
      <w:r>
        <w:rPr>
          <w:color w:val="231F20"/>
          <w:lang w:eastAsia="zh-CN"/>
        </w:rPr>
        <w:t>（</w:t>
      </w:r>
      <w:r>
        <w:rPr>
          <w:color w:val="231F20"/>
          <w:spacing w:val="-28"/>
          <w:lang w:eastAsia="zh-CN"/>
        </w:rPr>
        <w:t xml:space="preserve"> </w:t>
      </w:r>
      <w:r>
        <w:rPr>
          <w:color w:val="231F20"/>
          <w:lang w:eastAsia="zh-CN"/>
        </w:rPr>
        <w:t>11）经签署的《</w:t>
      </w:r>
      <w:r>
        <w:rPr>
          <w:color w:val="231F20"/>
          <w:u w:val="single" w:color="231F20"/>
          <w:lang w:eastAsia="zh-CN"/>
        </w:rPr>
        <w:t xml:space="preserve"> </w:t>
      </w:r>
      <w:r>
        <w:rPr>
          <w:color w:val="231F20"/>
          <w:u w:val="single" w:color="231F20"/>
          <w:lang w:eastAsia="zh-CN"/>
        </w:rPr>
        <w:tab/>
      </w:r>
      <w:r>
        <w:rPr>
          <w:color w:val="231F20"/>
          <w:lang w:eastAsia="zh-CN"/>
        </w:rPr>
        <w:t>养老机构入住须知》</w:t>
      </w:r>
    </w:p>
    <w:p>
      <w:pPr>
        <w:pStyle w:val="5"/>
        <w:tabs>
          <w:tab w:val="left" w:pos="9188"/>
        </w:tabs>
        <w:ind w:left="447"/>
        <w:rPr>
          <w:lang w:eastAsia="zh-CN"/>
        </w:rPr>
      </w:pPr>
      <w:r>
        <w:rPr>
          <w:color w:val="231F20"/>
          <w:lang w:eastAsia="zh-CN"/>
        </w:rPr>
        <w:t>（</w:t>
      </w:r>
      <w:r>
        <w:rPr>
          <w:color w:val="231F20"/>
          <w:spacing w:val="-42"/>
          <w:lang w:eastAsia="zh-CN"/>
        </w:rPr>
        <w:t xml:space="preserve"> </w:t>
      </w:r>
      <w:r>
        <w:rPr>
          <w:color w:val="231F20"/>
          <w:lang w:eastAsia="zh-CN"/>
        </w:rPr>
        <w:t>12）甲方制定并公示的规章制度</w:t>
      </w:r>
      <w:r>
        <w:rPr>
          <w:color w:val="231F20"/>
          <w:u w:val="single" w:color="231F20"/>
          <w:lang w:eastAsia="zh-CN"/>
        </w:rPr>
        <w:t>：</w:t>
      </w:r>
      <w:r>
        <w:rPr>
          <w:color w:val="231F20"/>
          <w:u w:val="single" w:color="231F20"/>
          <w:lang w:eastAsia="zh-CN"/>
        </w:rPr>
        <w:tab/>
      </w:r>
    </w:p>
    <w:p>
      <w:pPr>
        <w:pStyle w:val="5"/>
        <w:ind w:left="447"/>
        <w:rPr>
          <w:lang w:eastAsia="zh-CN"/>
        </w:rPr>
      </w:pPr>
      <w:r>
        <w:rPr>
          <w:color w:val="231F20"/>
          <w:lang w:eastAsia="zh-CN"/>
        </w:rPr>
        <w:t>（ 13）其它联系人表</w:t>
      </w:r>
    </w:p>
    <w:p>
      <w:pPr>
        <w:pStyle w:val="5"/>
        <w:ind w:left="447"/>
        <w:rPr>
          <w:lang w:eastAsia="zh-CN"/>
        </w:rPr>
      </w:pPr>
      <w:r>
        <w:rPr>
          <w:color w:val="231F20"/>
          <w:lang w:eastAsia="zh-CN"/>
        </w:rPr>
        <w:t>（ 14）其他附件：</w:t>
      </w:r>
    </w:p>
    <w:p>
      <w:pPr>
        <w:pStyle w:val="9"/>
        <w:numPr>
          <w:ilvl w:val="1"/>
          <w:numId w:val="24"/>
        </w:numPr>
        <w:tabs>
          <w:tab w:val="left" w:pos="994"/>
        </w:tabs>
        <w:ind w:left="993" w:hanging="436"/>
        <w:rPr>
          <w:lang w:eastAsia="zh-CN"/>
        </w:rPr>
      </w:pPr>
      <w:r>
        <w:rPr>
          <w:color w:val="231F20"/>
          <w:lang w:eastAsia="zh-CN"/>
        </w:rPr>
        <w:t>本合同附件系本合同组成部分，与合同具有同等法律效力。</w:t>
      </w:r>
    </w:p>
    <w:p>
      <w:pPr>
        <w:pStyle w:val="5"/>
        <w:ind w:left="447"/>
        <w:rPr>
          <w:lang w:eastAsia="zh-CN"/>
        </w:rPr>
      </w:pPr>
      <w:r>
        <w:rPr>
          <w:color w:val="231F20"/>
          <w:lang w:eastAsia="zh-CN"/>
        </w:rPr>
        <w:t>（本文以下无正文）</w:t>
      </w:r>
    </w:p>
    <w:p>
      <w:pPr>
        <w:pStyle w:val="5"/>
        <w:spacing w:before="0"/>
        <w:ind w:left="0"/>
        <w:rPr>
          <w:sz w:val="24"/>
          <w:lang w:eastAsia="zh-CN"/>
        </w:rPr>
      </w:pPr>
    </w:p>
    <w:p>
      <w:pPr>
        <w:pStyle w:val="5"/>
        <w:spacing w:before="0"/>
        <w:ind w:left="0"/>
        <w:rPr>
          <w:sz w:val="24"/>
          <w:lang w:eastAsia="zh-CN"/>
        </w:rPr>
      </w:pPr>
    </w:p>
    <w:p>
      <w:pPr>
        <w:pStyle w:val="5"/>
        <w:spacing w:before="0"/>
        <w:ind w:left="0"/>
        <w:rPr>
          <w:sz w:val="24"/>
          <w:lang w:eastAsia="zh-CN"/>
        </w:rPr>
      </w:pPr>
    </w:p>
    <w:p>
      <w:pPr>
        <w:pStyle w:val="5"/>
        <w:spacing w:before="1"/>
        <w:ind w:left="0"/>
        <w:rPr>
          <w:sz w:val="23"/>
          <w:lang w:eastAsia="zh-CN"/>
        </w:rPr>
      </w:pPr>
    </w:p>
    <w:p>
      <w:pPr>
        <w:pStyle w:val="5"/>
        <w:spacing w:before="0"/>
        <w:ind w:left="557"/>
        <w:rPr>
          <w:lang w:eastAsia="zh-CN"/>
        </w:rPr>
      </w:pPr>
      <w:r>
        <w:rPr>
          <w:color w:val="231F20"/>
          <w:spacing w:val="-55"/>
          <w:lang w:eastAsia="zh-CN"/>
        </w:rPr>
        <w:t>甲方：</w:t>
      </w:r>
      <w:r>
        <w:rPr>
          <w:color w:val="231F20"/>
          <w:lang w:eastAsia="zh-CN"/>
        </w:rPr>
        <w:t>（公章）</w:t>
      </w:r>
    </w:p>
    <w:p>
      <w:pPr>
        <w:pStyle w:val="5"/>
        <w:spacing w:line="319" w:lineRule="auto"/>
        <w:ind w:left="557" w:right="5433"/>
        <w:rPr>
          <w:lang w:eastAsia="zh-CN"/>
        </w:rPr>
      </w:pPr>
      <w:r>
        <w:rPr>
          <w:color w:val="231F20"/>
          <w:lang w:eastAsia="zh-CN"/>
        </w:rPr>
        <w:t>法定代表人或授权代表（签字）： 日期：</w:t>
      </w:r>
    </w:p>
    <w:p>
      <w:pPr>
        <w:pStyle w:val="5"/>
        <w:spacing w:before="0"/>
        <w:ind w:left="0"/>
        <w:rPr>
          <w:sz w:val="24"/>
          <w:lang w:eastAsia="zh-CN"/>
        </w:rPr>
      </w:pPr>
    </w:p>
    <w:p>
      <w:pPr>
        <w:pStyle w:val="5"/>
        <w:spacing w:before="0"/>
        <w:ind w:left="0"/>
        <w:rPr>
          <w:sz w:val="24"/>
          <w:lang w:eastAsia="zh-CN"/>
        </w:rPr>
      </w:pPr>
    </w:p>
    <w:p>
      <w:pPr>
        <w:pStyle w:val="5"/>
        <w:spacing w:before="184" w:line="319" w:lineRule="auto"/>
        <w:ind w:left="557" w:right="5653"/>
        <w:rPr>
          <w:lang w:eastAsia="zh-CN"/>
        </w:rPr>
      </w:pPr>
      <w:r>
        <w:rPr>
          <w:color w:val="231F20"/>
          <w:lang w:eastAsia="zh-CN"/>
        </w:rPr>
        <w:t>乙方（签字、盖章、按手印）： 日期：</w:t>
      </w:r>
    </w:p>
    <w:p>
      <w:pPr>
        <w:pStyle w:val="5"/>
        <w:spacing w:before="25" w:line="319" w:lineRule="auto"/>
        <w:ind w:left="557" w:right="4993"/>
        <w:rPr>
          <w:lang w:eastAsia="zh-CN"/>
        </w:rPr>
      </w:pPr>
      <w:r>
        <w:rPr>
          <w:color w:val="231F20"/>
          <w:lang w:eastAsia="zh-CN"/>
        </w:rPr>
        <w:t>乙方监护人（签字、盖章、按手印）： 日期：</w:t>
      </w:r>
    </w:p>
    <w:p>
      <w:pPr>
        <w:pStyle w:val="5"/>
        <w:spacing w:before="14"/>
        <w:ind w:left="0"/>
        <w:rPr>
          <w:sz w:val="30"/>
          <w:lang w:eastAsia="zh-CN"/>
        </w:rPr>
      </w:pPr>
    </w:p>
    <w:p>
      <w:pPr>
        <w:pStyle w:val="5"/>
        <w:spacing w:before="1"/>
        <w:ind w:left="557"/>
        <w:rPr>
          <w:lang w:eastAsia="zh-CN"/>
        </w:rPr>
      </w:pPr>
      <w:r>
        <w:rPr>
          <w:color w:val="231F20"/>
          <w:lang w:eastAsia="zh-CN"/>
        </w:rPr>
        <w:t>丙方（签字、盖章）：</w:t>
      </w:r>
    </w:p>
    <w:p>
      <w:pPr>
        <w:pStyle w:val="5"/>
        <w:spacing w:before="0"/>
        <w:ind w:left="0"/>
        <w:rPr>
          <w:sz w:val="20"/>
          <w:lang w:eastAsia="zh-CN"/>
        </w:rPr>
      </w:pPr>
    </w:p>
    <w:p>
      <w:pPr>
        <w:pStyle w:val="5"/>
        <w:spacing w:before="0"/>
        <w:ind w:left="0"/>
        <w:rPr>
          <w:sz w:val="20"/>
          <w:lang w:eastAsia="zh-CN"/>
        </w:rPr>
      </w:pPr>
    </w:p>
    <w:p>
      <w:pPr>
        <w:pStyle w:val="5"/>
        <w:spacing w:before="5"/>
        <w:ind w:left="0"/>
        <w:rPr>
          <w:sz w:val="15"/>
          <w:lang w:eastAsia="zh-CN"/>
        </w:rPr>
      </w:pPr>
      <w:r>
        <w:pict>
          <v:line id="_x0000_s1026" o:spid="_x0000_s1026" o:spt="20" style="position:absolute;left:0pt;margin-left:92.85pt;margin-top:13.65pt;height:0pt;width:431.55pt;mso-position-horizontal-relative:page;mso-wrap-distance-bottom:0pt;mso-wrap-distance-top:0pt;z-index:251662336;mso-width-relative:page;mso-height-relative:page;" stroked="t" coordsize="21600,21600">
            <v:path arrowok="t"/>
            <v:fill focussize="0,0"/>
            <v:stroke weight="0.282992125984252pt" color="#231F20"/>
            <v:imagedata o:title=""/>
            <o:lock v:ext="edit"/>
            <w10:wrap type="topAndBottom"/>
          </v:line>
        </w:pict>
      </w:r>
    </w:p>
    <w:p>
      <w:pPr>
        <w:pStyle w:val="5"/>
        <w:spacing w:before="83" w:line="319" w:lineRule="auto"/>
        <w:ind w:left="557" w:right="7633"/>
        <w:rPr>
          <w:lang w:eastAsia="zh-CN"/>
        </w:rPr>
      </w:pPr>
      <w:r>
        <w:rPr>
          <w:color w:val="231F20"/>
          <w:lang w:eastAsia="zh-CN"/>
        </w:rPr>
        <w:t>签署日期： 签署地点：</w:t>
      </w:r>
    </w:p>
    <w:p>
      <w:pPr>
        <w:spacing w:line="319" w:lineRule="auto"/>
        <w:rPr>
          <w:lang w:eastAsia="zh-CN"/>
        </w:rPr>
        <w:sectPr>
          <w:footerReference r:id="rId7" w:type="default"/>
          <w:footerReference r:id="rId8" w:type="even"/>
          <w:pgSz w:w="11910" w:h="16840"/>
          <w:pgMar w:top="1580" w:right="1300" w:bottom="1020" w:left="1300" w:header="0" w:footer="832" w:gutter="0"/>
          <w:cols w:space="720" w:num="1"/>
        </w:sectPr>
      </w:pPr>
    </w:p>
    <w:p>
      <w:pPr>
        <w:pStyle w:val="5"/>
        <w:spacing w:before="0"/>
        <w:ind w:left="0"/>
        <w:rPr>
          <w:sz w:val="20"/>
          <w:lang w:eastAsia="zh-CN"/>
        </w:rPr>
      </w:pPr>
    </w:p>
    <w:p>
      <w:pPr>
        <w:pStyle w:val="5"/>
        <w:spacing w:before="3"/>
        <w:ind w:left="0"/>
        <w:rPr>
          <w:sz w:val="15"/>
          <w:lang w:eastAsia="zh-CN"/>
        </w:rPr>
      </w:pPr>
    </w:p>
    <w:p>
      <w:pPr>
        <w:pStyle w:val="2"/>
        <w:ind w:left="4012"/>
        <w:rPr>
          <w:lang w:eastAsia="zh-CN"/>
        </w:rPr>
      </w:pPr>
      <w:r>
        <w:rPr>
          <w:color w:val="231F20"/>
          <w:lang w:eastAsia="zh-CN"/>
        </w:rPr>
        <w:t>专用条款</w:t>
      </w:r>
    </w:p>
    <w:p>
      <w:pPr>
        <w:pStyle w:val="5"/>
        <w:spacing w:before="15"/>
        <w:ind w:left="0"/>
        <w:rPr>
          <w:rFonts w:ascii="方正小标宋_GBK"/>
          <w:sz w:val="41"/>
          <w:lang w:eastAsia="zh-CN"/>
        </w:rPr>
      </w:pPr>
    </w:p>
    <w:p>
      <w:pPr>
        <w:pStyle w:val="5"/>
        <w:spacing w:before="0"/>
        <w:ind w:left="557"/>
        <w:rPr>
          <w:rFonts w:ascii="方正黑体_GBK" w:eastAsia="方正黑体_GBK"/>
          <w:lang w:eastAsia="zh-CN"/>
        </w:rPr>
      </w:pPr>
      <w:r>
        <w:rPr>
          <w:rFonts w:hint="eastAsia" w:ascii="方正黑体_GBK" w:eastAsia="方正黑体_GBK"/>
          <w:color w:val="231F20"/>
          <w:lang w:eastAsia="zh-CN"/>
        </w:rPr>
        <w:t>丙方为付款义务人的，应增加或替用以下专用条款：</w:t>
      </w:r>
    </w:p>
    <w:p>
      <w:pPr>
        <w:pStyle w:val="5"/>
        <w:tabs>
          <w:tab w:val="left" w:pos="1217"/>
          <w:tab w:val="left" w:pos="8088"/>
        </w:tabs>
        <w:spacing w:before="122" w:line="319" w:lineRule="auto"/>
        <w:ind w:right="115" w:firstLine="440"/>
        <w:jc w:val="both"/>
        <w:rPr>
          <w:lang w:eastAsia="zh-CN"/>
        </w:rPr>
      </w:pPr>
      <w:r>
        <w:rPr>
          <w:color w:val="231F20"/>
          <w:lang w:eastAsia="zh-CN"/>
        </w:rPr>
        <w:t>3.1.4</w:t>
      </w:r>
      <w:r>
        <w:rPr>
          <w:color w:val="231F20"/>
          <w:spacing w:val="-1"/>
          <w:lang w:eastAsia="zh-CN"/>
        </w:rPr>
        <w:t xml:space="preserve"> </w:t>
      </w:r>
      <w:r>
        <w:rPr>
          <w:color w:val="231F20"/>
          <w:lang w:eastAsia="zh-CN"/>
        </w:rPr>
        <w:t>乙方（乙方监护人）和丙方支付养老服务费的时间为</w:t>
      </w:r>
      <w:r>
        <w:rPr>
          <w:color w:val="231F20"/>
          <w:u w:val="single" w:color="231F20"/>
          <w:lang w:eastAsia="zh-CN"/>
        </w:rPr>
        <w:t xml:space="preserve"> </w:t>
      </w:r>
      <w:r>
        <w:rPr>
          <w:color w:val="231F20"/>
          <w:u w:val="single" w:color="231F20"/>
          <w:lang w:eastAsia="zh-CN"/>
        </w:rPr>
        <w:tab/>
      </w:r>
      <w:r>
        <w:rPr>
          <w:color w:val="231F20"/>
          <w:lang w:eastAsia="zh-CN"/>
        </w:rPr>
        <w:t>，支付方式为</w:t>
      </w:r>
      <w:r>
        <w:rPr>
          <w:color w:val="231F20"/>
          <w:u w:val="single" w:color="231F20"/>
          <w:lang w:eastAsia="zh-CN"/>
        </w:rPr>
        <w:t xml:space="preserve"> </w:t>
      </w:r>
      <w:r>
        <w:rPr>
          <w:color w:val="231F20"/>
          <w:u w:val="single" w:color="231F20"/>
          <w:lang w:eastAsia="zh-CN"/>
        </w:rPr>
        <w:tab/>
      </w:r>
      <w:r>
        <w:rPr>
          <w:color w:val="231F20"/>
          <w:lang w:eastAsia="zh-CN"/>
        </w:rPr>
        <w:t>。</w:t>
      </w:r>
    </w:p>
    <w:p>
      <w:pPr>
        <w:pStyle w:val="9"/>
        <w:numPr>
          <w:ilvl w:val="2"/>
          <w:numId w:val="25"/>
        </w:numPr>
        <w:tabs>
          <w:tab w:val="left" w:pos="1049"/>
          <w:tab w:val="left" w:pos="1828"/>
          <w:tab w:val="left" w:pos="3467"/>
        </w:tabs>
        <w:spacing w:before="26" w:line="319" w:lineRule="auto"/>
        <w:ind w:right="112" w:firstLine="440"/>
        <w:jc w:val="both"/>
        <w:rPr>
          <w:lang w:eastAsia="zh-CN"/>
        </w:rPr>
      </w:pPr>
      <w:r>
        <w:rPr>
          <w:color w:val="231F20"/>
          <w:lang w:eastAsia="zh-CN"/>
        </w:rPr>
        <w:t>本合同签署生效后</w:t>
      </w:r>
      <w:r>
        <w:rPr>
          <w:color w:val="231F20"/>
          <w:u w:val="single" w:color="231F20"/>
          <w:lang w:eastAsia="zh-CN"/>
        </w:rPr>
        <w:t xml:space="preserve"> </w:t>
      </w:r>
      <w:r>
        <w:rPr>
          <w:color w:val="231F20"/>
          <w:u w:val="single" w:color="231F20"/>
          <w:lang w:eastAsia="zh-CN"/>
        </w:rPr>
        <w:tab/>
      </w:r>
      <w:r>
        <w:rPr>
          <w:color w:val="231F20"/>
          <w:lang w:eastAsia="zh-CN"/>
        </w:rPr>
        <w:t>日内，乙方（乙方监护人）和丙方应向甲方支付押金，押金金额为：</w:t>
      </w:r>
      <w:r>
        <w:rPr>
          <w:color w:val="231F20"/>
          <w:lang w:eastAsia="zh-CN"/>
        </w:rPr>
        <w:tab/>
      </w:r>
      <w:r>
        <w:rPr>
          <w:color w:val="231F20"/>
          <w:lang w:eastAsia="zh-CN"/>
        </w:rPr>
        <w:t>。该押金可用于抵扣欠付的养老服务费用、违约金、赔偿金以及出现突发情况救治  时需支付给医院的押金及相关费用等。</w:t>
      </w:r>
    </w:p>
    <w:p>
      <w:pPr>
        <w:pStyle w:val="9"/>
        <w:numPr>
          <w:ilvl w:val="2"/>
          <w:numId w:val="25"/>
        </w:numPr>
        <w:tabs>
          <w:tab w:val="left" w:pos="1068"/>
          <w:tab w:val="left" w:pos="1877"/>
        </w:tabs>
        <w:spacing w:before="26" w:line="319" w:lineRule="auto"/>
        <w:ind w:right="112" w:firstLine="440"/>
        <w:jc w:val="both"/>
        <w:rPr>
          <w:lang w:eastAsia="zh-CN"/>
        </w:rPr>
      </w:pPr>
      <w:r>
        <w:rPr>
          <w:color w:val="231F20"/>
          <w:lang w:eastAsia="zh-CN"/>
        </w:rPr>
        <w:t>合同期限内因</w:t>
      </w:r>
      <w:r>
        <w:rPr>
          <w:color w:val="231F20"/>
          <w:spacing w:val="40"/>
          <w:lang w:eastAsia="zh-CN"/>
        </w:rPr>
        <w:t xml:space="preserve"> </w:t>
      </w:r>
      <w:r>
        <w:rPr>
          <w:color w:val="231F20"/>
          <w:lang w:eastAsia="zh-CN"/>
        </w:rPr>
        <w:t>3.2.1</w:t>
      </w:r>
      <w:r>
        <w:rPr>
          <w:color w:val="231F20"/>
          <w:spacing w:val="40"/>
          <w:lang w:eastAsia="zh-CN"/>
        </w:rPr>
        <w:t xml:space="preserve"> </w:t>
      </w:r>
      <w:r>
        <w:rPr>
          <w:color w:val="231F20"/>
          <w:lang w:eastAsia="zh-CN"/>
        </w:rPr>
        <w:t>情形出现押金不足时，乙方（乙方监护人）和丙方应在接到甲方通知之日起</w:t>
      </w:r>
      <w:r>
        <w:rPr>
          <w:color w:val="231F20"/>
          <w:u w:val="single" w:color="231F20"/>
          <w:lang w:eastAsia="zh-CN"/>
        </w:rPr>
        <w:t xml:space="preserve"> </w:t>
      </w:r>
      <w:r>
        <w:rPr>
          <w:rFonts w:hint="eastAsia"/>
          <w:color w:val="231F20"/>
          <w:u w:val="single" w:color="231F20"/>
          <w:lang w:val="en-US" w:eastAsia="zh-CN"/>
        </w:rPr>
        <w:t xml:space="preserve">  </w:t>
      </w:r>
      <w:r>
        <w:rPr>
          <w:color w:val="231F20"/>
          <w:u w:val="single" w:color="231F20"/>
          <w:lang w:eastAsia="zh-CN"/>
        </w:rPr>
        <w:tab/>
      </w:r>
      <w:r>
        <w:rPr>
          <w:rFonts w:hint="eastAsia"/>
          <w:color w:val="231F20"/>
          <w:u w:val="single" w:color="231F20"/>
          <w:lang w:val="en-US" w:eastAsia="zh-CN"/>
        </w:rPr>
        <w:t xml:space="preserve">   </w:t>
      </w:r>
      <w:r>
        <w:rPr>
          <w:color w:val="231F20"/>
          <w:lang w:eastAsia="zh-CN"/>
        </w:rPr>
        <w:t>日内补足。</w:t>
      </w:r>
    </w:p>
    <w:p>
      <w:pPr>
        <w:pStyle w:val="5"/>
        <w:spacing w:before="26" w:line="319" w:lineRule="auto"/>
        <w:ind w:right="115" w:firstLine="440"/>
        <w:jc w:val="both"/>
        <w:rPr>
          <w:lang w:eastAsia="zh-CN"/>
        </w:rPr>
      </w:pPr>
      <w:r>
        <w:rPr>
          <w:color w:val="231F20"/>
          <w:lang w:eastAsia="zh-CN"/>
        </w:rPr>
        <w:t>3.2.4 甲方不得将押金挪作它用，在合同到期或合同提前终止时，扣除应结清的相关费用后应于合同终止时返还乙方（乙方监护人）和丙方。</w:t>
      </w:r>
    </w:p>
    <w:p>
      <w:pPr>
        <w:pStyle w:val="9"/>
        <w:numPr>
          <w:ilvl w:val="2"/>
          <w:numId w:val="26"/>
        </w:numPr>
        <w:tabs>
          <w:tab w:val="left" w:pos="1048"/>
        </w:tabs>
        <w:spacing w:before="26"/>
        <w:rPr>
          <w:lang w:eastAsia="zh-CN"/>
        </w:rPr>
      </w:pPr>
      <w:r>
        <w:rPr>
          <w:color w:val="231F20"/>
          <w:lang w:eastAsia="zh-CN"/>
        </w:rPr>
        <w:t>及时向甲方支付本合同项下的款项。</w:t>
      </w:r>
    </w:p>
    <w:p>
      <w:pPr>
        <w:pStyle w:val="9"/>
        <w:numPr>
          <w:ilvl w:val="2"/>
          <w:numId w:val="26"/>
        </w:numPr>
        <w:tabs>
          <w:tab w:val="left" w:pos="1048"/>
        </w:tabs>
        <w:rPr>
          <w:lang w:eastAsia="zh-CN"/>
        </w:rPr>
      </w:pPr>
      <w:r>
        <w:rPr>
          <w:color w:val="231F20"/>
          <w:lang w:eastAsia="zh-CN"/>
        </w:rPr>
        <w:t>本合同有效期内乙方去世的，及时进行善后处理并支付全部费用。</w:t>
      </w:r>
    </w:p>
    <w:p>
      <w:pPr>
        <w:pStyle w:val="5"/>
        <w:ind w:left="557"/>
        <w:rPr>
          <w:lang w:eastAsia="zh-CN"/>
        </w:rPr>
      </w:pPr>
      <w:r>
        <w:rPr>
          <w:color w:val="231F20"/>
          <w:lang w:eastAsia="zh-CN"/>
        </w:rPr>
        <w:t>8.5 丙方保证对本合同项下款项承担支付责任。</w:t>
      </w:r>
    </w:p>
    <w:p>
      <w:pPr>
        <w:pStyle w:val="9"/>
        <w:numPr>
          <w:ilvl w:val="1"/>
          <w:numId w:val="27"/>
        </w:numPr>
        <w:tabs>
          <w:tab w:val="left" w:pos="885"/>
        </w:tabs>
        <w:ind w:hanging="327"/>
      </w:pPr>
      <w:r>
        <w:rPr>
          <w:color w:val="231F20"/>
        </w:rPr>
        <w:t>合同的变更</w:t>
      </w:r>
    </w:p>
    <w:p>
      <w:pPr>
        <w:pStyle w:val="9"/>
        <w:numPr>
          <w:ilvl w:val="2"/>
          <w:numId w:val="27"/>
        </w:numPr>
        <w:tabs>
          <w:tab w:val="left" w:pos="1049"/>
        </w:tabs>
        <w:spacing w:line="319" w:lineRule="auto"/>
        <w:ind w:right="115" w:firstLine="440"/>
        <w:jc w:val="both"/>
        <w:rPr>
          <w:lang w:eastAsia="zh-CN"/>
        </w:rPr>
      </w:pPr>
      <w:r>
        <w:rPr>
          <w:color w:val="231F20"/>
          <w:lang w:eastAsia="zh-CN"/>
        </w:rPr>
        <w:t>根据乙方健康状况的变化，甲方可以提出变更服务方案，并以书面形式通知乙方（乙方监护人）和丙方，经甲、乙方（乙方监护人）和丙方三方协商一致，签署补充协议。</w:t>
      </w:r>
    </w:p>
    <w:p>
      <w:pPr>
        <w:pStyle w:val="5"/>
        <w:tabs>
          <w:tab w:val="left" w:pos="7416"/>
        </w:tabs>
        <w:spacing w:before="26" w:line="319" w:lineRule="auto"/>
        <w:ind w:right="113" w:firstLine="440"/>
        <w:jc w:val="both"/>
        <w:rPr>
          <w:lang w:eastAsia="zh-CN"/>
        </w:rPr>
      </w:pPr>
      <w:r>
        <w:rPr>
          <w:color w:val="231F20"/>
          <w:lang w:eastAsia="zh-CN"/>
        </w:rPr>
        <w:t>乙方（乙方监护人）和丙方收到甲方变更服务方案的书面通知后</w:t>
      </w:r>
      <w:r>
        <w:rPr>
          <w:color w:val="231F20"/>
          <w:u w:val="single" w:color="231F20"/>
          <w:lang w:eastAsia="zh-CN"/>
        </w:rPr>
        <w:t xml:space="preserve"> </w:t>
      </w:r>
      <w:r>
        <w:rPr>
          <w:color w:val="231F20"/>
          <w:u w:val="single" w:color="231F20"/>
          <w:lang w:eastAsia="zh-CN"/>
        </w:rPr>
        <w:tab/>
      </w:r>
      <w:r>
        <w:rPr>
          <w:color w:val="231F20"/>
          <w:lang w:eastAsia="zh-CN"/>
        </w:rPr>
        <w:t>日内既不确认又不 提出异议，但乙方实际接受甲方提供的相应服务的，视为甲、乙方（乙方监护人）和丙方三方就合同约定的服务项目的变更达成了一致，乙方（乙方监护人）和丙方有义务按照新的服务项目支付相应的服务费用。</w:t>
      </w:r>
    </w:p>
    <w:p>
      <w:pPr>
        <w:pStyle w:val="5"/>
        <w:spacing w:before="26" w:line="319" w:lineRule="auto"/>
        <w:ind w:right="117" w:firstLine="440"/>
        <w:jc w:val="both"/>
        <w:rPr>
          <w:lang w:eastAsia="zh-CN"/>
        </w:rPr>
      </w:pPr>
      <w:r>
        <w:rPr>
          <w:color w:val="231F20"/>
          <w:lang w:eastAsia="zh-CN"/>
        </w:rPr>
        <w:t>如果根据乙方健康状况的变化，不调整服务项目将导致乙方的健康安全无法保障的，甲方提出变更的服务方案后，乙方（乙方监护人）和丙方既不同意，也不接受实际服务，甲方与乙方（乙方监护人）和丙方均有权解除本合同。</w:t>
      </w:r>
    </w:p>
    <w:p>
      <w:pPr>
        <w:pStyle w:val="9"/>
        <w:numPr>
          <w:ilvl w:val="2"/>
          <w:numId w:val="27"/>
        </w:numPr>
        <w:tabs>
          <w:tab w:val="left" w:pos="1049"/>
        </w:tabs>
        <w:spacing w:before="26" w:line="319" w:lineRule="auto"/>
        <w:ind w:right="115" w:firstLine="440"/>
        <w:jc w:val="both"/>
        <w:rPr>
          <w:lang w:eastAsia="zh-CN"/>
        </w:rPr>
      </w:pPr>
      <w:r>
        <w:rPr>
          <w:color w:val="231F20"/>
          <w:spacing w:val="-2"/>
          <w:lang w:eastAsia="zh-CN"/>
        </w:rPr>
        <w:t xml:space="preserve">当与甲方日常管理、服务直接相关的物价指数变动幅度超过 </w:t>
      </w:r>
      <w:r>
        <w:rPr>
          <w:color w:val="231F20"/>
          <w:spacing w:val="-4"/>
          <w:lang w:eastAsia="zh-CN"/>
        </w:rPr>
        <w:t>10</w:t>
      </w:r>
      <w:r>
        <w:rPr>
          <w:color w:val="231F20"/>
          <w:spacing w:val="-6"/>
          <w:lang w:eastAsia="zh-CN"/>
        </w:rPr>
        <w:t>% 时，甲方有权适当调</w:t>
      </w:r>
      <w:r>
        <w:rPr>
          <w:color w:val="231F20"/>
          <w:spacing w:val="-5"/>
          <w:lang w:eastAsia="zh-CN"/>
        </w:rPr>
        <w:t xml:space="preserve">整收费标准，并将价格调整的通知在调价前 </w:t>
      </w:r>
      <w:r>
        <w:rPr>
          <w:color w:val="231F20"/>
          <w:spacing w:val="-3"/>
          <w:lang w:eastAsia="zh-CN"/>
        </w:rPr>
        <w:t>30</w:t>
      </w:r>
      <w:r>
        <w:rPr>
          <w:color w:val="231F20"/>
          <w:spacing w:val="-5"/>
          <w:lang w:eastAsia="zh-CN"/>
        </w:rPr>
        <w:t xml:space="preserve"> 日以书面形式通知乙方（乙方监护人）和丙方。</w:t>
      </w:r>
    </w:p>
    <w:p>
      <w:pPr>
        <w:pStyle w:val="5"/>
        <w:spacing w:before="24"/>
        <w:rPr>
          <w:lang w:eastAsia="zh-CN"/>
        </w:rPr>
      </w:pPr>
      <w:r>
        <w:rPr>
          <w:color w:val="231F20"/>
          <w:lang w:eastAsia="zh-CN"/>
        </w:rPr>
        <w:t>乙方（乙方监护人）和丙方对价格调整有异议的，可在收到通知后 15 日内以书面形式提出解除合同；乙方（乙方监护人）和丙方虽有异议但要求继续按照原收费标准履行合同的，甲方有权提出解除合同。</w:t>
      </w:r>
    </w:p>
    <w:p>
      <w:pPr>
        <w:pStyle w:val="5"/>
        <w:spacing w:line="319" w:lineRule="auto"/>
        <w:ind w:right="215" w:firstLine="440"/>
        <w:rPr>
          <w:lang w:eastAsia="zh-CN"/>
        </w:rPr>
      </w:pPr>
      <w:r>
        <w:rPr>
          <w:color w:val="231F20"/>
          <w:lang w:eastAsia="zh-CN"/>
        </w:rPr>
        <w:t>乙方（乙方监护人）和丙方收到通知后 15 日内不以书面形式提出异议，但拒绝根据调整后的价格支付相关费用的，甲方有权解除合同并按照原收费标准收取已提供服务的费用。</w:t>
      </w:r>
    </w:p>
    <w:p>
      <w:pPr>
        <w:pStyle w:val="5"/>
        <w:spacing w:before="25" w:line="319" w:lineRule="auto"/>
        <w:ind w:firstLine="440"/>
        <w:rPr>
          <w:lang w:eastAsia="zh-CN"/>
        </w:rPr>
      </w:pPr>
      <w:r>
        <w:rPr>
          <w:color w:val="231F20"/>
          <w:lang w:eastAsia="zh-CN"/>
        </w:rPr>
        <w:t>9.2.1</w:t>
      </w:r>
      <w:r>
        <w:rPr>
          <w:color w:val="231F20"/>
          <w:spacing w:val="-5"/>
          <w:lang w:eastAsia="zh-CN"/>
        </w:rPr>
        <w:t xml:space="preserve"> 除本合同另有约定外，下列情况下，乙方</w:t>
      </w:r>
      <w:r>
        <w:rPr>
          <w:color w:val="231F20"/>
          <w:lang w:eastAsia="zh-CN"/>
        </w:rPr>
        <w:t>（乙方监护人</w:t>
      </w:r>
      <w:r>
        <w:rPr>
          <w:color w:val="231F20"/>
          <w:spacing w:val="-55"/>
          <w:lang w:eastAsia="zh-CN"/>
        </w:rPr>
        <w:t>）</w:t>
      </w:r>
      <w:r>
        <w:rPr>
          <w:color w:val="231F20"/>
          <w:lang w:eastAsia="zh-CN"/>
        </w:rPr>
        <w:t>和丙方可以单方解除本合同， 并无需承担违约责任：</w:t>
      </w:r>
    </w:p>
    <w:p>
      <w:pPr>
        <w:pStyle w:val="5"/>
        <w:tabs>
          <w:tab w:val="left" w:pos="8516"/>
        </w:tabs>
        <w:spacing w:before="25" w:line="319" w:lineRule="auto"/>
        <w:ind w:right="209" w:firstLine="330"/>
        <w:rPr>
          <w:lang w:eastAsia="zh-CN"/>
        </w:rPr>
      </w:pPr>
      <w:r>
        <w:rPr>
          <w:color w:val="231F20"/>
          <w:lang w:eastAsia="zh-CN"/>
        </w:rPr>
        <w:t>（</w:t>
      </w:r>
      <w:r>
        <w:rPr>
          <w:color w:val="231F20"/>
          <w:spacing w:val="-27"/>
          <w:lang w:eastAsia="zh-CN"/>
        </w:rPr>
        <w:t xml:space="preserve"> </w:t>
      </w:r>
      <w:r>
        <w:rPr>
          <w:color w:val="231F20"/>
          <w:spacing w:val="-17"/>
          <w:lang w:eastAsia="zh-CN"/>
        </w:rPr>
        <w:t>1）</w:t>
      </w:r>
      <w:r>
        <w:rPr>
          <w:color w:val="231F20"/>
          <w:spacing w:val="5"/>
          <w:lang w:eastAsia="zh-CN"/>
        </w:rPr>
        <w:t>甲方提供的服务不符合合同约</w:t>
      </w:r>
      <w:r>
        <w:rPr>
          <w:color w:val="231F20"/>
          <w:lang w:eastAsia="zh-CN"/>
        </w:rPr>
        <w:t>定</w:t>
      </w:r>
      <w:r>
        <w:rPr>
          <w:color w:val="231F20"/>
          <w:spacing w:val="5"/>
          <w:lang w:eastAsia="zh-CN"/>
        </w:rPr>
        <w:t>，经乙</w:t>
      </w:r>
      <w:r>
        <w:rPr>
          <w:color w:val="231F20"/>
          <w:lang w:eastAsia="zh-CN"/>
        </w:rPr>
        <w:t>方</w:t>
      </w:r>
      <w:r>
        <w:rPr>
          <w:color w:val="231F20"/>
          <w:spacing w:val="5"/>
          <w:lang w:eastAsia="zh-CN"/>
        </w:rPr>
        <w:t>（乙方监护人）和丙方提</w:t>
      </w:r>
      <w:r>
        <w:rPr>
          <w:color w:val="231F20"/>
          <w:lang w:eastAsia="zh-CN"/>
        </w:rPr>
        <w:t>出，</w:t>
      </w:r>
      <w:r>
        <w:rPr>
          <w:color w:val="231F20"/>
          <w:u w:val="single"/>
          <w:lang w:eastAsia="zh-CN"/>
        </w:rPr>
        <w:tab/>
      </w:r>
      <w:r>
        <w:rPr>
          <w:color w:val="231F20"/>
          <w:spacing w:val="5"/>
          <w:lang w:eastAsia="zh-CN"/>
        </w:rPr>
        <w:t>日内不</w:t>
      </w:r>
      <w:r>
        <w:rPr>
          <w:color w:val="231F20"/>
          <w:lang w:eastAsia="zh-CN"/>
        </w:rPr>
        <w:t>改正的；</w:t>
      </w:r>
    </w:p>
    <w:p>
      <w:pPr>
        <w:pStyle w:val="5"/>
        <w:spacing w:before="25"/>
        <w:ind w:left="447"/>
        <w:rPr>
          <w:lang w:eastAsia="zh-CN"/>
        </w:rPr>
      </w:pPr>
      <w:r>
        <w:rPr>
          <w:color w:val="231F20"/>
          <w:lang w:eastAsia="zh-CN"/>
        </w:rPr>
        <w:t>（ 2）因甲方或甲方工作人员的严重过错造成乙方人身、财产损害的；</w:t>
      </w:r>
    </w:p>
    <w:p>
      <w:pPr>
        <w:pStyle w:val="5"/>
        <w:spacing w:before="108" w:line="319" w:lineRule="auto"/>
        <w:ind w:right="199" w:firstLine="330"/>
        <w:rPr>
          <w:lang w:eastAsia="zh-CN"/>
        </w:rPr>
      </w:pPr>
      <w:r>
        <w:rPr>
          <w:color w:val="231F20"/>
          <w:lang w:eastAsia="zh-CN"/>
        </w:rPr>
        <w:t>（ 3）乙方因疾病或其他个人原因离院的，但乙方（乙方监护人）和丙方不提出解除本合同而要求保留床位或房间的除外；</w:t>
      </w:r>
    </w:p>
    <w:p>
      <w:pPr>
        <w:pStyle w:val="5"/>
        <w:tabs>
          <w:tab w:val="left" w:pos="2778"/>
        </w:tabs>
        <w:spacing w:before="25"/>
        <w:ind w:left="447"/>
        <w:rPr>
          <w:lang w:eastAsia="zh-CN"/>
        </w:rPr>
      </w:pPr>
      <w:r>
        <w:rPr>
          <w:color w:val="231F20"/>
          <w:lang w:eastAsia="zh-CN"/>
        </w:rPr>
        <w:t>（</w:t>
      </w:r>
      <w:r>
        <w:rPr>
          <w:color w:val="231F20"/>
          <w:spacing w:val="-27"/>
          <w:lang w:eastAsia="zh-CN"/>
        </w:rPr>
        <w:t xml:space="preserve"> </w:t>
      </w:r>
      <w:r>
        <w:rPr>
          <w:color w:val="231F20"/>
          <w:spacing w:val="-29"/>
          <w:lang w:eastAsia="zh-CN"/>
        </w:rPr>
        <w:t>4）</w:t>
      </w:r>
      <w:r>
        <w:rPr>
          <w:color w:val="231F20"/>
          <w:lang w:eastAsia="zh-CN"/>
        </w:rPr>
        <w:t>乙方首次入住</w:t>
      </w:r>
      <w:r>
        <w:rPr>
          <w:color w:val="231F20"/>
          <w:u w:val="single" w:color="231F20"/>
          <w:lang w:eastAsia="zh-CN"/>
        </w:rPr>
        <w:t xml:space="preserve"> </w:t>
      </w:r>
      <w:r>
        <w:rPr>
          <w:color w:val="231F20"/>
          <w:u w:val="single" w:color="231F20"/>
          <w:lang w:eastAsia="zh-CN"/>
        </w:rPr>
        <w:tab/>
      </w:r>
      <w:r>
        <w:rPr>
          <w:rFonts w:hint="eastAsia"/>
          <w:color w:val="231F20"/>
          <w:u w:val="single" w:color="231F20"/>
          <w:lang w:val="en-US" w:eastAsia="zh-CN"/>
        </w:rPr>
        <w:t xml:space="preserve">  </w:t>
      </w:r>
      <w:r>
        <w:rPr>
          <w:color w:val="231F20"/>
          <w:lang w:eastAsia="zh-CN"/>
        </w:rPr>
        <w:t>日内不适应居住环境或管理方式的；</w:t>
      </w:r>
    </w:p>
    <w:p>
      <w:pPr>
        <w:pStyle w:val="5"/>
        <w:spacing w:line="319" w:lineRule="auto"/>
        <w:ind w:right="215" w:firstLine="330"/>
        <w:rPr>
          <w:lang w:eastAsia="zh-CN"/>
        </w:rPr>
      </w:pPr>
      <w:r>
        <w:rPr>
          <w:color w:val="231F20"/>
          <w:lang w:eastAsia="zh-CN"/>
        </w:rPr>
        <w:t>（ 5）本合同履行过程中，乙方（乙方监护人）和丙方提前 30 日书面通知甲方并结清服务费用的。</w:t>
      </w:r>
    </w:p>
    <w:p>
      <w:pPr>
        <w:pStyle w:val="5"/>
        <w:spacing w:before="26" w:line="319" w:lineRule="auto"/>
        <w:ind w:right="215" w:firstLine="440"/>
        <w:rPr>
          <w:lang w:eastAsia="zh-CN"/>
        </w:rPr>
      </w:pPr>
      <w:r>
        <w:rPr>
          <w:color w:val="231F20"/>
          <w:lang w:eastAsia="zh-CN"/>
        </w:rPr>
        <w:t>10.1.2 因乙方发生紧急情况产生的费用急救费用、治疗费用、住院押金等均由乙方（乙方监护人）和丙方负担。甲方因此垫付费用的，乙方（乙方监护人）和丙方应及时清偿。</w:t>
      </w:r>
    </w:p>
    <w:p>
      <w:pPr>
        <w:pStyle w:val="9"/>
        <w:numPr>
          <w:ilvl w:val="1"/>
          <w:numId w:val="28"/>
        </w:numPr>
        <w:tabs>
          <w:tab w:val="left" w:pos="993"/>
          <w:tab w:val="left" w:pos="2752"/>
          <w:tab w:val="left" w:pos="8692"/>
        </w:tabs>
        <w:spacing w:before="26"/>
        <w:ind w:firstLine="440"/>
        <w:rPr>
          <w:lang w:eastAsia="zh-CN"/>
        </w:rPr>
      </w:pPr>
      <w:r>
        <w:rPr>
          <w:color w:val="231F20"/>
          <w:lang w:eastAsia="zh-CN"/>
        </w:rPr>
        <w:t>本合同因</w:t>
      </w:r>
      <w:r>
        <w:rPr>
          <w:color w:val="231F20"/>
          <w:u w:val="single" w:color="231F20"/>
          <w:lang w:eastAsia="zh-CN"/>
        </w:rPr>
        <w:t xml:space="preserve"> </w:t>
      </w:r>
      <w:r>
        <w:rPr>
          <w:color w:val="231F20"/>
          <w:u w:val="single" w:color="231F20"/>
          <w:lang w:eastAsia="zh-CN"/>
        </w:rPr>
        <w:tab/>
      </w:r>
      <w:r>
        <w:rPr>
          <w:color w:val="231F20"/>
          <w:lang w:eastAsia="zh-CN"/>
        </w:rPr>
        <w:t>项解除的，乙方（乙方监护人）和丙方应支付违约金</w:t>
      </w:r>
      <w:r>
        <w:rPr>
          <w:color w:val="231F20"/>
          <w:u w:val="single" w:color="231F20"/>
          <w:lang w:eastAsia="zh-CN"/>
        </w:rPr>
        <w:t xml:space="preserve"> </w:t>
      </w:r>
      <w:r>
        <w:rPr>
          <w:color w:val="231F20"/>
          <w:u w:val="single" w:color="231F20"/>
          <w:lang w:eastAsia="zh-CN"/>
        </w:rPr>
        <w:tab/>
      </w:r>
      <w:r>
        <w:rPr>
          <w:color w:val="231F20"/>
          <w:lang w:eastAsia="zh-CN"/>
        </w:rPr>
        <w:t>元。</w:t>
      </w:r>
    </w:p>
    <w:p>
      <w:pPr>
        <w:pStyle w:val="9"/>
        <w:numPr>
          <w:ilvl w:val="1"/>
          <w:numId w:val="28"/>
        </w:numPr>
        <w:tabs>
          <w:tab w:val="left" w:pos="995"/>
        </w:tabs>
        <w:spacing w:line="319" w:lineRule="auto"/>
        <w:ind w:right="215" w:firstLine="440"/>
        <w:rPr>
          <w:lang w:eastAsia="zh-CN"/>
        </w:rPr>
      </w:pPr>
      <w:r>
        <w:rPr>
          <w:color w:val="231F20"/>
          <w:lang w:eastAsia="zh-CN"/>
        </w:rPr>
        <w:t>因乙方原因造成甲方或第三人人身或财产损失的，乙方（乙方监护人）和丙方应承担赔偿责任。</w:t>
      </w:r>
    </w:p>
    <w:p>
      <w:pPr>
        <w:pStyle w:val="5"/>
        <w:spacing w:before="18"/>
        <w:ind w:left="557"/>
        <w:rPr>
          <w:rFonts w:ascii="方正黑体_GBK" w:eastAsia="方正黑体_GBK"/>
          <w:lang w:eastAsia="zh-CN"/>
        </w:rPr>
      </w:pPr>
      <w:r>
        <w:rPr>
          <w:color w:val="231F20"/>
          <w:spacing w:val="-2"/>
          <w:lang w:eastAsia="zh-CN"/>
        </w:rPr>
        <w:t>因乙方原因造成自身损害的，由乙方</w:t>
      </w:r>
      <w:r>
        <w:rPr>
          <w:color w:val="231F20"/>
          <w:lang w:eastAsia="zh-CN"/>
        </w:rPr>
        <w:t>（乙方监护人</w:t>
      </w:r>
      <w:r>
        <w:rPr>
          <w:color w:val="231F20"/>
          <w:spacing w:val="-28"/>
          <w:lang w:eastAsia="zh-CN"/>
        </w:rPr>
        <w:t>）</w:t>
      </w:r>
      <w:r>
        <w:rPr>
          <w:color w:val="231F20"/>
          <w:lang w:eastAsia="zh-CN"/>
        </w:rPr>
        <w:t>和丙方自行承担全部后果和责任。</w:t>
      </w:r>
      <w:r>
        <w:rPr>
          <w:rFonts w:hint="eastAsia" w:ascii="方正黑体_GBK" w:eastAsia="方正黑体_GBK"/>
          <w:color w:val="231F20"/>
          <w:lang w:eastAsia="zh-CN"/>
        </w:rPr>
        <w:t>丙方为连带责任保证人的，应增加或替用以下专用条款：</w:t>
      </w:r>
    </w:p>
    <w:p>
      <w:pPr>
        <w:pStyle w:val="9"/>
        <w:numPr>
          <w:ilvl w:val="2"/>
          <w:numId w:val="29"/>
        </w:numPr>
        <w:tabs>
          <w:tab w:val="left" w:pos="1049"/>
          <w:tab w:val="left" w:pos="8748"/>
        </w:tabs>
        <w:spacing w:before="122" w:line="319" w:lineRule="auto"/>
        <w:ind w:right="115" w:firstLine="440"/>
        <w:rPr>
          <w:lang w:eastAsia="zh-CN"/>
        </w:rPr>
      </w:pPr>
      <w:r>
        <w:rPr>
          <w:color w:val="231F20"/>
          <w:lang w:eastAsia="zh-CN"/>
        </w:rPr>
        <w:t>乙方或乙方监护人未按照本合同及时支付款项的，自应付而未付之日起</w:t>
      </w:r>
      <w:r>
        <w:rPr>
          <w:color w:val="231F20"/>
          <w:u w:val="single" w:color="231F20"/>
          <w:lang w:eastAsia="zh-CN"/>
        </w:rPr>
        <w:t xml:space="preserve"> </w:t>
      </w:r>
      <w:r>
        <w:rPr>
          <w:color w:val="231F20"/>
          <w:u w:val="single" w:color="231F20"/>
          <w:lang w:eastAsia="zh-CN"/>
        </w:rPr>
        <w:tab/>
      </w:r>
      <w:r>
        <w:rPr>
          <w:color w:val="231F20"/>
          <w:lang w:eastAsia="zh-CN"/>
        </w:rPr>
        <w:t>日内代乙方或乙方监护人向甲方支付。</w:t>
      </w:r>
    </w:p>
    <w:p>
      <w:pPr>
        <w:pStyle w:val="9"/>
        <w:numPr>
          <w:ilvl w:val="2"/>
          <w:numId w:val="29"/>
        </w:numPr>
        <w:tabs>
          <w:tab w:val="left" w:pos="1048"/>
        </w:tabs>
        <w:spacing w:before="25"/>
        <w:ind w:left="1047" w:hanging="490"/>
        <w:rPr>
          <w:lang w:eastAsia="zh-CN"/>
        </w:rPr>
      </w:pPr>
      <w:r>
        <w:rPr>
          <w:color w:val="231F20"/>
          <w:lang w:eastAsia="zh-CN"/>
        </w:rPr>
        <w:t>本合同有效期内乙方去世的，及时进行善后处理并支付相关费用。</w:t>
      </w:r>
    </w:p>
    <w:p>
      <w:pPr>
        <w:pStyle w:val="9"/>
        <w:numPr>
          <w:ilvl w:val="1"/>
          <w:numId w:val="30"/>
        </w:numPr>
        <w:tabs>
          <w:tab w:val="left" w:pos="906"/>
        </w:tabs>
        <w:spacing w:before="108" w:line="319" w:lineRule="auto"/>
        <w:ind w:right="115" w:firstLine="440"/>
        <w:rPr>
          <w:lang w:eastAsia="zh-CN"/>
        </w:rPr>
      </w:pPr>
      <w:r>
        <w:rPr>
          <w:color w:val="231F20"/>
          <w:lang w:eastAsia="zh-CN"/>
        </w:rPr>
        <w:t>丙方保证系具有提供保证担保的民事行为能力之人，自愿就乙方或乙方监护人履行本合同发生的全部债务承担连带保证责任。</w:t>
      </w:r>
    </w:p>
    <w:p>
      <w:pPr>
        <w:pStyle w:val="9"/>
        <w:numPr>
          <w:ilvl w:val="1"/>
          <w:numId w:val="30"/>
        </w:numPr>
        <w:tabs>
          <w:tab w:val="left" w:pos="885"/>
          <w:tab w:val="left" w:pos="7091"/>
        </w:tabs>
        <w:spacing w:before="25"/>
        <w:ind w:left="884" w:hanging="327"/>
        <w:rPr>
          <w:lang w:eastAsia="zh-CN"/>
        </w:rPr>
      </w:pPr>
      <w:r>
        <w:rPr>
          <w:color w:val="231F20"/>
          <w:lang w:eastAsia="zh-CN"/>
        </w:rPr>
        <w:t>丙方为乙方或乙方监护人提供保证的期限为</w:t>
      </w:r>
      <w:r>
        <w:rPr>
          <w:color w:val="231F20"/>
          <w:u w:val="single" w:color="231F20"/>
          <w:lang w:eastAsia="zh-CN"/>
        </w:rPr>
        <w:t xml:space="preserve"> </w:t>
      </w:r>
      <w:r>
        <w:rPr>
          <w:color w:val="231F20"/>
          <w:u w:val="single" w:color="231F20"/>
          <w:lang w:eastAsia="zh-CN"/>
        </w:rPr>
        <w:tab/>
      </w:r>
      <w:r>
        <w:rPr>
          <w:color w:val="231F20"/>
          <w:lang w:eastAsia="zh-CN"/>
        </w:rPr>
        <w:t>。</w:t>
      </w:r>
    </w:p>
    <w:p>
      <w:pPr>
        <w:pStyle w:val="5"/>
        <w:spacing w:line="319" w:lineRule="auto"/>
        <w:ind w:right="103" w:firstLine="440"/>
        <w:rPr>
          <w:lang w:eastAsia="zh-CN"/>
        </w:rPr>
      </w:pPr>
      <w:r>
        <w:rPr>
          <w:color w:val="231F20"/>
          <w:lang w:eastAsia="zh-CN"/>
        </w:rPr>
        <w:t>9.2.3 甲方、乙方或乙方监护人单独解除合同或者甲方、乙方或乙方监护人双方协商解除合同的，甲乙双方均应当及时通知丙方。</w:t>
      </w:r>
    </w:p>
    <w:p>
      <w:pPr>
        <w:pStyle w:val="5"/>
        <w:spacing w:before="26" w:line="319" w:lineRule="auto"/>
        <w:ind w:right="103" w:firstLine="440"/>
        <w:rPr>
          <w:lang w:eastAsia="zh-CN"/>
        </w:rPr>
      </w:pPr>
      <w:r>
        <w:rPr>
          <w:color w:val="231F20"/>
          <w:lang w:eastAsia="zh-CN"/>
        </w:rPr>
        <w:t>10.1.2 因乙方发生紧急情况产生的费用急救费用、治疗费用、住院押金等均由乙方（乙方监护人）和丙方负担。甲方因此垫付费用的，乙方（乙方监护人）和丙方应及时清偿。</w:t>
      </w:r>
    </w:p>
    <w:p>
      <w:pPr>
        <w:pStyle w:val="5"/>
        <w:spacing w:before="26"/>
        <w:ind w:left="557"/>
        <w:rPr>
          <w:lang w:eastAsia="zh-CN"/>
        </w:rPr>
      </w:pPr>
      <w:r>
        <w:rPr>
          <w:color w:val="231F20"/>
          <w:lang w:eastAsia="zh-CN"/>
        </w:rPr>
        <w:t>10.3 甲方与乙方监护人或丙方联系中断</w:t>
      </w:r>
    </w:p>
    <w:p>
      <w:pPr>
        <w:pStyle w:val="5"/>
        <w:spacing w:line="319" w:lineRule="auto"/>
        <w:ind w:right="117" w:firstLine="440"/>
        <w:jc w:val="both"/>
        <w:rPr>
          <w:lang w:eastAsia="zh-CN"/>
        </w:rPr>
      </w:pPr>
      <w:r>
        <w:rPr>
          <w:color w:val="231F20"/>
          <w:lang w:eastAsia="zh-CN"/>
        </w:rPr>
        <w:t>因乙方监护人或丙方提供的联系地址、方式不准确或不详细或变更后未及时通知甲方，或</w:t>
      </w:r>
      <w:r>
        <w:rPr>
          <w:color w:val="231F20"/>
          <w:spacing w:val="-5"/>
          <w:lang w:eastAsia="zh-CN"/>
        </w:rPr>
        <w:t>其他客观原因致使甲方无法与乙方监护人或丙方及时联系，此种情况连续达一个月则视为联系中断。甲方与乙方或乙方监护人协商后，可以重新确定联系人。联系中断不免除丙方的保证责任。</w:t>
      </w:r>
    </w:p>
    <w:p>
      <w:pPr>
        <w:pStyle w:val="5"/>
        <w:spacing w:before="18"/>
        <w:ind w:left="557"/>
        <w:rPr>
          <w:rFonts w:ascii="方正黑体_GBK" w:eastAsia="方正黑体_GBK"/>
          <w:lang w:eastAsia="zh-CN"/>
        </w:rPr>
      </w:pPr>
      <w:r>
        <w:rPr>
          <w:color w:val="231F20"/>
          <w:lang w:eastAsia="zh-CN"/>
        </w:rPr>
        <w:t>11.8 甲方有权选择起诉乙方（乙方监护人）和丙方各方或任意一方。</w:t>
      </w:r>
      <w:r>
        <w:rPr>
          <w:rFonts w:hint="eastAsia" w:ascii="方正黑体_GBK" w:eastAsia="方正黑体_GBK"/>
          <w:color w:val="231F20"/>
          <w:lang w:eastAsia="zh-CN"/>
        </w:rPr>
        <w:t>丙方为合同履行联系人的，应增加或替用以下专用条款：</w:t>
      </w:r>
    </w:p>
    <w:p>
      <w:pPr>
        <w:pStyle w:val="5"/>
        <w:spacing w:before="122"/>
        <w:ind w:left="557"/>
        <w:rPr>
          <w:lang w:eastAsia="zh-CN"/>
        </w:rPr>
      </w:pPr>
      <w:r>
        <w:rPr>
          <w:color w:val="231F20"/>
          <w:lang w:eastAsia="zh-CN"/>
        </w:rPr>
        <w:t>8.5 丙方保证担任本合同履行过程的联系人，接收甲方的通知。</w:t>
      </w:r>
    </w:p>
    <w:p>
      <w:pPr>
        <w:pStyle w:val="5"/>
        <w:spacing w:line="319" w:lineRule="auto"/>
        <w:ind w:right="146" w:firstLine="440"/>
        <w:rPr>
          <w:lang w:eastAsia="zh-CN"/>
        </w:rPr>
      </w:pPr>
      <w:r>
        <w:rPr>
          <w:color w:val="231F20"/>
          <w:lang w:eastAsia="zh-CN"/>
        </w:rPr>
        <w:t>9.2.3 甲方、乙方或乙方监护人单独解除合同或者甲乙或乙方监护人双方协商解除合同的， 甲方均应当及时通知丙方。</w:t>
      </w:r>
    </w:p>
    <w:p>
      <w:pPr>
        <w:pStyle w:val="5"/>
        <w:spacing w:before="26"/>
        <w:ind w:left="557"/>
        <w:rPr>
          <w:lang w:eastAsia="zh-CN"/>
        </w:rPr>
      </w:pPr>
      <w:r>
        <w:rPr>
          <w:color w:val="231F20"/>
          <w:lang w:eastAsia="zh-CN"/>
        </w:rPr>
        <w:t>10.3 甲方与乙方监护人或丙方联系中断</w:t>
      </w:r>
    </w:p>
    <w:p>
      <w:pPr>
        <w:pStyle w:val="5"/>
        <w:spacing w:line="319" w:lineRule="auto"/>
        <w:ind w:right="213" w:firstLine="440"/>
        <w:jc w:val="both"/>
        <w:rPr>
          <w:lang w:eastAsia="zh-CN"/>
        </w:rPr>
      </w:pPr>
      <w:r>
        <w:rPr>
          <w:color w:val="231F20"/>
          <w:lang w:eastAsia="zh-CN"/>
        </w:rPr>
        <w:t>因乙方监护人或丙方提供的联系地址、方式不准确或不详细或变更后未及时通知甲方，或其他客观原因致使甲方无法与乙方监护人或丙方及时联系，此种情况连续达一个月则视为联系中断。甲方与乙方或乙方监护人协商后，可以重新确定新的联系人担任丙方。</w:t>
      </w:r>
    </w:p>
    <w:sectPr>
      <w:pgSz w:w="11910" w:h="16840"/>
      <w:pgMar w:top="1580" w:right="1200" w:bottom="1020" w:left="1300" w:header="0" w:footer="83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3D496FE4-A241-48F1-9D30-1106B4B55D1C}"/>
  </w:font>
  <w:font w:name="方正书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embedRegular r:id="rId2" w:fontKey="{F6D13C26-63D1-4DCA-ADFA-E425A570214E}"/>
  </w:font>
  <w:font w:name="方正楷体_GBK">
    <w:panose1 w:val="02000000000000000000"/>
    <w:charset w:val="86"/>
    <w:family w:val="script"/>
    <w:pitch w:val="default"/>
    <w:sig w:usb0="800002BF" w:usb1="38CF7CFA" w:usb2="00000016" w:usb3="00000000" w:csb0="00040000" w:csb1="00000000"/>
    <w:embedRegular r:id="rId3" w:fontKey="{90FB0476-C0AB-4566-A9FB-00B0532DC102}"/>
  </w:font>
  <w:font w:name="方正黑体_GBK">
    <w:altName w:val="微软雅黑"/>
    <w:panose1 w:val="03000509000000000000"/>
    <w:charset w:val="86"/>
    <w:family w:val="script"/>
    <w:pitch w:val="default"/>
    <w:sig w:usb0="00000000" w:usb1="00000000" w:usb2="00000010" w:usb3="00000000" w:csb0="00040000" w:csb1="00000000"/>
    <w:embedRegular r:id="rId4" w:fontKey="{91B1087C-C1AF-4C9B-92C3-61C22A3F768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ind w:left="0"/>
      <w:rPr>
        <w:sz w:val="20"/>
      </w:rPr>
    </w:pPr>
    <w:r>
      <w:pict>
        <v:shape id="_x0000_s2054" o:spid="_x0000_s2054" o:spt="202" type="#_x0000_t202" style="position:absolute;left:0pt;margin-left:512.4pt;margin-top:789.25pt;height:13.1pt;width:14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1"/>
                  <w:ind w:left="40"/>
                  <w:rPr>
                    <w:rFonts w:ascii="Times New Roman"/>
                    <w:sz w:val="20"/>
                  </w:rPr>
                </w:pPr>
                <w:r>
                  <w:fldChar w:fldCharType="begin"/>
                </w:r>
                <w:r>
                  <w:rPr>
                    <w:rFonts w:ascii="Times New Roman"/>
                    <w:color w:val="231F20"/>
                    <w:sz w:val="20"/>
                  </w:rPr>
                  <w:instrText xml:space="preserve"> PAGE </w:instrText>
                </w:r>
                <w:r>
                  <w:fldChar w:fldCharType="separate"/>
                </w:r>
                <w:r>
                  <w:rPr>
                    <w:rFonts w:ascii="Times New Roman"/>
                    <w:color w:val="231F20"/>
                    <w:sz w:val="20"/>
                  </w:rPr>
                  <w:t>9</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ind w:left="0"/>
      <w:rPr>
        <w:sz w:val="20"/>
      </w:rPr>
    </w:pPr>
    <w:r>
      <w:pict>
        <v:shape id="_x0000_s2053" o:spid="_x0000_s2053" o:spt="202" type="#_x0000_t202" style="position:absolute;left:0pt;margin-left:68.85pt;margin-top:789.25pt;height:13.1pt;width:9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1"/>
                  <w:ind w:left="40"/>
                  <w:rPr>
                    <w:rFonts w:ascii="Times New Roman"/>
                    <w:sz w:val="20"/>
                  </w:rPr>
                </w:pPr>
                <w:r>
                  <w:fldChar w:fldCharType="begin"/>
                </w:r>
                <w:r>
                  <w:rPr>
                    <w:rFonts w:ascii="Times New Roman"/>
                    <w:color w:val="231F20"/>
                    <w:sz w:val="20"/>
                  </w:rPr>
                  <w:instrText xml:space="preserve"> PAGE </w:instrText>
                </w:r>
                <w:r>
                  <w:fldChar w:fldCharType="separate"/>
                </w:r>
                <w:r>
                  <w:rPr>
                    <w:rFonts w:ascii="Times New Roman"/>
                    <w:color w:val="231F20"/>
                    <w:sz w:val="20"/>
                  </w:rPr>
                  <w:t>8</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ind w:left="0"/>
      <w:rPr>
        <w:sz w:val="20"/>
      </w:rPr>
    </w:pPr>
    <w:r>
      <w:pict>
        <v:shape id="_x0000_s2051" o:spid="_x0000_s2051" o:spt="202" type="#_x0000_t202" style="position:absolute;left:0pt;margin-left:512.8pt;margin-top:789.25pt;height:13.1pt;width:13.3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1"/>
                  <w:ind w:left="40"/>
                  <w:rPr>
                    <w:rFonts w:ascii="Times New Roman"/>
                    <w:sz w:val="20"/>
                  </w:rPr>
                </w:pPr>
                <w:r>
                  <w:rPr>
                    <w:rFonts w:ascii="Times New Roman"/>
                    <w:color w:val="231F20"/>
                    <w:sz w:val="20"/>
                  </w:rPr>
                  <w:t>11</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ind w:left="0"/>
      <w:rPr>
        <w:sz w:val="20"/>
      </w:rPr>
    </w:pPr>
    <w:r>
      <w:pict>
        <v:shape id="_x0000_s2052" o:spid="_x0000_s2052" o:spt="202" type="#_x0000_t202" style="position:absolute;left:0pt;margin-left:69.85pt;margin-top:789.25pt;height:13.1pt;width:12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1"/>
                  <w:ind w:left="20"/>
                  <w:rPr>
                    <w:rFonts w:ascii="Times New Roman"/>
                    <w:sz w:val="20"/>
                  </w:rPr>
                </w:pPr>
                <w:r>
                  <w:rPr>
                    <w:rFonts w:ascii="Times New Roman"/>
                    <w:color w:val="231F20"/>
                    <w:sz w:val="20"/>
                  </w:rPr>
                  <w:t>10</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ind w:left="0"/>
      <w:rPr>
        <w:sz w:val="20"/>
      </w:rPr>
    </w:pPr>
    <w:r>
      <w:pict>
        <v:shape id="_x0000_s2049" o:spid="_x0000_s2049" o:spt="202" type="#_x0000_t202" style="position:absolute;left:0pt;margin-left:512.4pt;margin-top:789.25pt;height:13.1pt;width:1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1"/>
                  <w:ind w:left="40"/>
                  <w:rPr>
                    <w:rFonts w:ascii="Times New Roman"/>
                    <w:sz w:val="20"/>
                  </w:rPr>
                </w:pPr>
                <w:r>
                  <w:fldChar w:fldCharType="begin"/>
                </w:r>
                <w:r>
                  <w:rPr>
                    <w:rFonts w:ascii="Times New Roman"/>
                    <w:color w:val="231F20"/>
                    <w:sz w:val="20"/>
                  </w:rPr>
                  <w:instrText xml:space="preserve"> PAGE </w:instrText>
                </w:r>
                <w:r>
                  <w:fldChar w:fldCharType="separate"/>
                </w:r>
                <w:r>
                  <w:rPr>
                    <w:rFonts w:ascii="Times New Roman"/>
                    <w:color w:val="231F20"/>
                    <w:sz w:val="20"/>
                  </w:rPr>
                  <w:t>17</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ind w:left="0"/>
      <w:rPr>
        <w:sz w:val="20"/>
      </w:rPr>
    </w:pPr>
    <w:r>
      <w:pict>
        <v:shape id="_x0000_s2050" o:spid="_x0000_s2050" o:spt="202" type="#_x0000_t202" style="position:absolute;left:0pt;margin-left:68.85pt;margin-top:789.25pt;height:13.1pt;width:1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1"/>
                  <w:ind w:left="40"/>
                  <w:rPr>
                    <w:rFonts w:ascii="Times New Roman"/>
                    <w:sz w:val="20"/>
                  </w:rPr>
                </w:pPr>
                <w:r>
                  <w:fldChar w:fldCharType="begin"/>
                </w:r>
                <w:r>
                  <w:rPr>
                    <w:rFonts w:ascii="Times New Roman"/>
                    <w:color w:val="231F20"/>
                    <w:sz w:val="20"/>
                  </w:rPr>
                  <w:instrText xml:space="preserve"> PAGE </w:instrText>
                </w:r>
                <w:r>
                  <w:fldChar w:fldCharType="separate"/>
                </w:r>
                <w:r>
                  <w:rPr>
                    <w:rFonts w:ascii="Times New Roman"/>
                    <w:color w:val="231F20"/>
                    <w:sz w:val="20"/>
                  </w:rPr>
                  <w:t>18</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3D7FFD"/>
    <w:multiLevelType w:val="multilevel"/>
    <w:tmpl w:val="023D7FFD"/>
    <w:lvl w:ilvl="0" w:tentative="0">
      <w:start w:val="6"/>
      <w:numFmt w:val="decimal"/>
      <w:lvlText w:val="%1"/>
      <w:lvlJc w:val="left"/>
      <w:pPr>
        <w:ind w:left="435" w:hanging="435"/>
      </w:pPr>
      <w:rPr>
        <w:rFonts w:hint="default"/>
        <w:color w:val="231F20"/>
      </w:rPr>
    </w:lvl>
    <w:lvl w:ilvl="1" w:tentative="0">
      <w:start w:val="3"/>
      <w:numFmt w:val="decimal"/>
      <w:lvlText w:val="%1.%2"/>
      <w:lvlJc w:val="left"/>
      <w:pPr>
        <w:ind w:left="713" w:hanging="435"/>
      </w:pPr>
      <w:rPr>
        <w:rFonts w:hint="default"/>
        <w:color w:val="231F20"/>
      </w:rPr>
    </w:lvl>
    <w:lvl w:ilvl="2" w:tentative="0">
      <w:start w:val="2"/>
      <w:numFmt w:val="decimal"/>
      <w:lvlText w:val="%1.%2.%3"/>
      <w:lvlJc w:val="left"/>
      <w:pPr>
        <w:ind w:left="1276" w:hanging="720"/>
      </w:pPr>
      <w:rPr>
        <w:rFonts w:hint="default"/>
        <w:color w:val="231F20"/>
      </w:rPr>
    </w:lvl>
    <w:lvl w:ilvl="3" w:tentative="0">
      <w:start w:val="1"/>
      <w:numFmt w:val="decimal"/>
      <w:lvlText w:val="%1.%2.%3.%4"/>
      <w:lvlJc w:val="left"/>
      <w:pPr>
        <w:ind w:left="1554" w:hanging="720"/>
      </w:pPr>
      <w:rPr>
        <w:rFonts w:hint="default"/>
        <w:color w:val="231F20"/>
      </w:rPr>
    </w:lvl>
    <w:lvl w:ilvl="4" w:tentative="0">
      <w:start w:val="1"/>
      <w:numFmt w:val="decimal"/>
      <w:lvlText w:val="%1.%2.%3.%4.%5"/>
      <w:lvlJc w:val="left"/>
      <w:pPr>
        <w:ind w:left="2192" w:hanging="1080"/>
      </w:pPr>
      <w:rPr>
        <w:rFonts w:hint="default"/>
        <w:color w:val="231F20"/>
      </w:rPr>
    </w:lvl>
    <w:lvl w:ilvl="5" w:tentative="0">
      <w:start w:val="1"/>
      <w:numFmt w:val="decimal"/>
      <w:lvlText w:val="%1.%2.%3.%4.%5.%6"/>
      <w:lvlJc w:val="left"/>
      <w:pPr>
        <w:ind w:left="2470" w:hanging="1080"/>
      </w:pPr>
      <w:rPr>
        <w:rFonts w:hint="default"/>
        <w:color w:val="231F20"/>
      </w:rPr>
    </w:lvl>
    <w:lvl w:ilvl="6" w:tentative="0">
      <w:start w:val="1"/>
      <w:numFmt w:val="decimal"/>
      <w:lvlText w:val="%1.%2.%3.%4.%5.%6.%7"/>
      <w:lvlJc w:val="left"/>
      <w:pPr>
        <w:ind w:left="3108" w:hanging="1440"/>
      </w:pPr>
      <w:rPr>
        <w:rFonts w:hint="default"/>
        <w:color w:val="231F20"/>
      </w:rPr>
    </w:lvl>
    <w:lvl w:ilvl="7" w:tentative="0">
      <w:start w:val="1"/>
      <w:numFmt w:val="decimal"/>
      <w:lvlText w:val="%1.%2.%3.%4.%5.%6.%7.%8"/>
      <w:lvlJc w:val="left"/>
      <w:pPr>
        <w:ind w:left="3386" w:hanging="1440"/>
      </w:pPr>
      <w:rPr>
        <w:rFonts w:hint="default"/>
        <w:color w:val="231F20"/>
      </w:rPr>
    </w:lvl>
    <w:lvl w:ilvl="8" w:tentative="0">
      <w:start w:val="1"/>
      <w:numFmt w:val="decimal"/>
      <w:lvlText w:val="%1.%2.%3.%4.%5.%6.%7.%8.%9"/>
      <w:lvlJc w:val="left"/>
      <w:pPr>
        <w:ind w:left="3664" w:hanging="1440"/>
      </w:pPr>
      <w:rPr>
        <w:rFonts w:hint="default"/>
        <w:color w:val="231F20"/>
      </w:rPr>
    </w:lvl>
  </w:abstractNum>
  <w:abstractNum w:abstractNumId="1">
    <w:nsid w:val="071B5461"/>
    <w:multiLevelType w:val="multilevel"/>
    <w:tmpl w:val="071B5461"/>
    <w:lvl w:ilvl="0" w:tentative="0">
      <w:start w:val="5"/>
      <w:numFmt w:val="decimal"/>
      <w:lvlText w:val="%1"/>
      <w:lvlJc w:val="left"/>
      <w:pPr>
        <w:ind w:left="884" w:hanging="328"/>
        <w:jc w:val="left"/>
      </w:pPr>
      <w:rPr>
        <w:rFonts w:hint="default"/>
      </w:rPr>
    </w:lvl>
    <w:lvl w:ilvl="1" w:tentative="0">
      <w:start w:val="2"/>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774" w:hanging="491"/>
      </w:pPr>
      <w:rPr>
        <w:rFonts w:hint="default"/>
      </w:rPr>
    </w:lvl>
    <w:lvl w:ilvl="4" w:tentative="0">
      <w:start w:val="0"/>
      <w:numFmt w:val="bullet"/>
      <w:lvlText w:val="•"/>
      <w:lvlJc w:val="left"/>
      <w:pPr>
        <w:ind w:left="3721" w:hanging="491"/>
      </w:pPr>
      <w:rPr>
        <w:rFonts w:hint="default"/>
      </w:rPr>
    </w:lvl>
    <w:lvl w:ilvl="5" w:tentative="0">
      <w:start w:val="0"/>
      <w:numFmt w:val="bullet"/>
      <w:lvlText w:val="•"/>
      <w:lvlJc w:val="left"/>
      <w:pPr>
        <w:ind w:left="4669" w:hanging="491"/>
      </w:pPr>
      <w:rPr>
        <w:rFonts w:hint="default"/>
      </w:rPr>
    </w:lvl>
    <w:lvl w:ilvl="6" w:tentative="0">
      <w:start w:val="0"/>
      <w:numFmt w:val="bullet"/>
      <w:lvlText w:val="•"/>
      <w:lvlJc w:val="left"/>
      <w:pPr>
        <w:ind w:left="5616" w:hanging="491"/>
      </w:pPr>
      <w:rPr>
        <w:rFonts w:hint="default"/>
      </w:rPr>
    </w:lvl>
    <w:lvl w:ilvl="7" w:tentative="0">
      <w:start w:val="0"/>
      <w:numFmt w:val="bullet"/>
      <w:lvlText w:val="•"/>
      <w:lvlJc w:val="left"/>
      <w:pPr>
        <w:ind w:left="6563" w:hanging="491"/>
      </w:pPr>
      <w:rPr>
        <w:rFonts w:hint="default"/>
      </w:rPr>
    </w:lvl>
    <w:lvl w:ilvl="8" w:tentative="0">
      <w:start w:val="0"/>
      <w:numFmt w:val="bullet"/>
      <w:lvlText w:val="•"/>
      <w:lvlJc w:val="left"/>
      <w:pPr>
        <w:ind w:left="7510" w:hanging="491"/>
      </w:pPr>
      <w:rPr>
        <w:rFonts w:hint="default"/>
      </w:rPr>
    </w:lvl>
  </w:abstractNum>
  <w:abstractNum w:abstractNumId="2">
    <w:nsid w:val="091E7E48"/>
    <w:multiLevelType w:val="multilevel"/>
    <w:tmpl w:val="091E7E48"/>
    <w:lvl w:ilvl="0" w:tentative="0">
      <w:start w:val="9"/>
      <w:numFmt w:val="decimal"/>
      <w:lvlText w:val="%1"/>
      <w:lvlJc w:val="left"/>
      <w:pPr>
        <w:ind w:left="884" w:hanging="328"/>
        <w:jc w:val="left"/>
      </w:pPr>
      <w:rPr>
        <w:rFonts w:hint="default"/>
      </w:rPr>
    </w:lvl>
    <w:lvl w:ilvl="1" w:tentative="0">
      <w:start w:val="2"/>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774" w:hanging="491"/>
      </w:pPr>
      <w:rPr>
        <w:rFonts w:hint="default"/>
      </w:rPr>
    </w:lvl>
    <w:lvl w:ilvl="4" w:tentative="0">
      <w:start w:val="0"/>
      <w:numFmt w:val="bullet"/>
      <w:lvlText w:val="•"/>
      <w:lvlJc w:val="left"/>
      <w:pPr>
        <w:ind w:left="3721" w:hanging="491"/>
      </w:pPr>
      <w:rPr>
        <w:rFonts w:hint="default"/>
      </w:rPr>
    </w:lvl>
    <w:lvl w:ilvl="5" w:tentative="0">
      <w:start w:val="0"/>
      <w:numFmt w:val="bullet"/>
      <w:lvlText w:val="•"/>
      <w:lvlJc w:val="left"/>
      <w:pPr>
        <w:ind w:left="4669" w:hanging="491"/>
      </w:pPr>
      <w:rPr>
        <w:rFonts w:hint="default"/>
      </w:rPr>
    </w:lvl>
    <w:lvl w:ilvl="6" w:tentative="0">
      <w:start w:val="0"/>
      <w:numFmt w:val="bullet"/>
      <w:lvlText w:val="•"/>
      <w:lvlJc w:val="left"/>
      <w:pPr>
        <w:ind w:left="5616" w:hanging="491"/>
      </w:pPr>
      <w:rPr>
        <w:rFonts w:hint="default"/>
      </w:rPr>
    </w:lvl>
    <w:lvl w:ilvl="7" w:tentative="0">
      <w:start w:val="0"/>
      <w:numFmt w:val="bullet"/>
      <w:lvlText w:val="•"/>
      <w:lvlJc w:val="left"/>
      <w:pPr>
        <w:ind w:left="6563" w:hanging="491"/>
      </w:pPr>
      <w:rPr>
        <w:rFonts w:hint="default"/>
      </w:rPr>
    </w:lvl>
    <w:lvl w:ilvl="8" w:tentative="0">
      <w:start w:val="0"/>
      <w:numFmt w:val="bullet"/>
      <w:lvlText w:val="•"/>
      <w:lvlJc w:val="left"/>
      <w:pPr>
        <w:ind w:left="7510" w:hanging="491"/>
      </w:pPr>
      <w:rPr>
        <w:rFonts w:hint="default"/>
      </w:rPr>
    </w:lvl>
  </w:abstractNum>
  <w:abstractNum w:abstractNumId="3">
    <w:nsid w:val="19076015"/>
    <w:multiLevelType w:val="multilevel"/>
    <w:tmpl w:val="19076015"/>
    <w:lvl w:ilvl="0" w:tentative="0">
      <w:start w:val="8"/>
      <w:numFmt w:val="decimal"/>
      <w:lvlText w:val="%1"/>
      <w:lvlJc w:val="left"/>
      <w:pPr>
        <w:ind w:left="117" w:hanging="329"/>
        <w:jc w:val="left"/>
      </w:pPr>
      <w:rPr>
        <w:rFonts w:hint="default"/>
      </w:rPr>
    </w:lvl>
    <w:lvl w:ilvl="1" w:tentative="0">
      <w:start w:val="1"/>
      <w:numFmt w:val="decimal"/>
      <w:lvlText w:val="%1.%2"/>
      <w:lvlJc w:val="left"/>
      <w:pPr>
        <w:ind w:left="117" w:hanging="329"/>
        <w:jc w:val="left"/>
      </w:pPr>
      <w:rPr>
        <w:rFonts w:hint="default" w:ascii="方正书宋_GBK" w:hAnsi="方正书宋_GBK" w:eastAsia="方正书宋_GBK" w:cs="方正书宋_GBK"/>
        <w:color w:val="231F20"/>
        <w:w w:val="100"/>
        <w:sz w:val="22"/>
        <w:szCs w:val="22"/>
      </w:rPr>
    </w:lvl>
    <w:lvl w:ilvl="2" w:tentative="0">
      <w:start w:val="0"/>
      <w:numFmt w:val="bullet"/>
      <w:lvlText w:val="•"/>
      <w:lvlJc w:val="left"/>
      <w:pPr>
        <w:ind w:left="1957" w:hanging="329"/>
      </w:pPr>
      <w:rPr>
        <w:rFonts w:hint="default"/>
      </w:rPr>
    </w:lvl>
    <w:lvl w:ilvl="3" w:tentative="0">
      <w:start w:val="0"/>
      <w:numFmt w:val="bullet"/>
      <w:lvlText w:val="•"/>
      <w:lvlJc w:val="left"/>
      <w:pPr>
        <w:ind w:left="2875" w:hanging="329"/>
      </w:pPr>
      <w:rPr>
        <w:rFonts w:hint="default"/>
      </w:rPr>
    </w:lvl>
    <w:lvl w:ilvl="4" w:tentative="0">
      <w:start w:val="0"/>
      <w:numFmt w:val="bullet"/>
      <w:lvlText w:val="•"/>
      <w:lvlJc w:val="left"/>
      <w:pPr>
        <w:ind w:left="3794" w:hanging="329"/>
      </w:pPr>
      <w:rPr>
        <w:rFonts w:hint="default"/>
      </w:rPr>
    </w:lvl>
    <w:lvl w:ilvl="5" w:tentative="0">
      <w:start w:val="0"/>
      <w:numFmt w:val="bullet"/>
      <w:lvlText w:val="•"/>
      <w:lvlJc w:val="left"/>
      <w:pPr>
        <w:ind w:left="4712" w:hanging="329"/>
      </w:pPr>
      <w:rPr>
        <w:rFonts w:hint="default"/>
      </w:rPr>
    </w:lvl>
    <w:lvl w:ilvl="6" w:tentative="0">
      <w:start w:val="0"/>
      <w:numFmt w:val="bullet"/>
      <w:lvlText w:val="•"/>
      <w:lvlJc w:val="left"/>
      <w:pPr>
        <w:ind w:left="5631" w:hanging="329"/>
      </w:pPr>
      <w:rPr>
        <w:rFonts w:hint="default"/>
      </w:rPr>
    </w:lvl>
    <w:lvl w:ilvl="7" w:tentative="0">
      <w:start w:val="0"/>
      <w:numFmt w:val="bullet"/>
      <w:lvlText w:val="•"/>
      <w:lvlJc w:val="left"/>
      <w:pPr>
        <w:ind w:left="6549" w:hanging="329"/>
      </w:pPr>
      <w:rPr>
        <w:rFonts w:hint="default"/>
      </w:rPr>
    </w:lvl>
    <w:lvl w:ilvl="8" w:tentative="0">
      <w:start w:val="0"/>
      <w:numFmt w:val="bullet"/>
      <w:lvlText w:val="•"/>
      <w:lvlJc w:val="left"/>
      <w:pPr>
        <w:ind w:left="7468" w:hanging="329"/>
      </w:pPr>
      <w:rPr>
        <w:rFonts w:hint="default"/>
      </w:rPr>
    </w:lvl>
  </w:abstractNum>
  <w:abstractNum w:abstractNumId="4">
    <w:nsid w:val="1A475DF1"/>
    <w:multiLevelType w:val="multilevel"/>
    <w:tmpl w:val="1A475DF1"/>
    <w:lvl w:ilvl="0" w:tentative="0">
      <w:start w:val="9"/>
      <w:numFmt w:val="decimal"/>
      <w:lvlText w:val="%1"/>
      <w:lvlJc w:val="left"/>
      <w:pPr>
        <w:ind w:left="884" w:hanging="328"/>
        <w:jc w:val="left"/>
      </w:pPr>
      <w:rPr>
        <w:rFonts w:hint="default"/>
      </w:rPr>
    </w:lvl>
    <w:lvl w:ilvl="1" w:tentative="0">
      <w:start w:val="1"/>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752" w:hanging="491"/>
      </w:pPr>
      <w:rPr>
        <w:rFonts w:hint="default"/>
      </w:rPr>
    </w:lvl>
    <w:lvl w:ilvl="4" w:tentative="0">
      <w:start w:val="0"/>
      <w:numFmt w:val="bullet"/>
      <w:lvlText w:val="•"/>
      <w:lvlJc w:val="left"/>
      <w:pPr>
        <w:ind w:left="3688" w:hanging="491"/>
      </w:pPr>
      <w:rPr>
        <w:rFonts w:hint="default"/>
      </w:rPr>
    </w:lvl>
    <w:lvl w:ilvl="5" w:tentative="0">
      <w:start w:val="0"/>
      <w:numFmt w:val="bullet"/>
      <w:lvlText w:val="•"/>
      <w:lvlJc w:val="left"/>
      <w:pPr>
        <w:ind w:left="4624" w:hanging="491"/>
      </w:pPr>
      <w:rPr>
        <w:rFonts w:hint="default"/>
      </w:rPr>
    </w:lvl>
    <w:lvl w:ilvl="6" w:tentative="0">
      <w:start w:val="0"/>
      <w:numFmt w:val="bullet"/>
      <w:lvlText w:val="•"/>
      <w:lvlJc w:val="left"/>
      <w:pPr>
        <w:ind w:left="5560" w:hanging="491"/>
      </w:pPr>
      <w:rPr>
        <w:rFonts w:hint="default"/>
      </w:rPr>
    </w:lvl>
    <w:lvl w:ilvl="7" w:tentative="0">
      <w:start w:val="0"/>
      <w:numFmt w:val="bullet"/>
      <w:lvlText w:val="•"/>
      <w:lvlJc w:val="left"/>
      <w:pPr>
        <w:ind w:left="6497" w:hanging="491"/>
      </w:pPr>
      <w:rPr>
        <w:rFonts w:hint="default"/>
      </w:rPr>
    </w:lvl>
    <w:lvl w:ilvl="8" w:tentative="0">
      <w:start w:val="0"/>
      <w:numFmt w:val="bullet"/>
      <w:lvlText w:val="•"/>
      <w:lvlJc w:val="left"/>
      <w:pPr>
        <w:ind w:left="7433" w:hanging="491"/>
      </w:pPr>
      <w:rPr>
        <w:rFonts w:hint="default"/>
      </w:rPr>
    </w:lvl>
  </w:abstractNum>
  <w:abstractNum w:abstractNumId="5">
    <w:nsid w:val="1C7C7B17"/>
    <w:multiLevelType w:val="multilevel"/>
    <w:tmpl w:val="1C7C7B17"/>
    <w:lvl w:ilvl="0" w:tentative="0">
      <w:start w:val="2"/>
      <w:numFmt w:val="decimal"/>
      <w:lvlText w:val="%1"/>
      <w:lvlJc w:val="left"/>
      <w:pPr>
        <w:ind w:left="217" w:hanging="346"/>
        <w:jc w:val="left"/>
      </w:pPr>
      <w:rPr>
        <w:rFonts w:hint="default"/>
      </w:rPr>
    </w:lvl>
    <w:lvl w:ilvl="1" w:tentative="0">
      <w:start w:val="1"/>
      <w:numFmt w:val="decimal"/>
      <w:lvlText w:val="%1.%2"/>
      <w:lvlJc w:val="left"/>
      <w:pPr>
        <w:ind w:left="217" w:hanging="346"/>
        <w:jc w:val="right"/>
      </w:pPr>
      <w:rPr>
        <w:rFonts w:hint="default" w:ascii="方正书宋_GBK" w:hAnsi="方正书宋_GBK" w:eastAsia="方正书宋_GBK" w:cs="方正书宋_GBK"/>
        <w:color w:val="231F20"/>
        <w:w w:val="100"/>
        <w:sz w:val="22"/>
        <w:szCs w:val="22"/>
      </w:rPr>
    </w:lvl>
    <w:lvl w:ilvl="2" w:tentative="0">
      <w:start w:val="0"/>
      <w:numFmt w:val="bullet"/>
      <w:lvlText w:val="•"/>
      <w:lvlJc w:val="left"/>
      <w:pPr>
        <w:ind w:left="2077" w:hanging="346"/>
      </w:pPr>
      <w:rPr>
        <w:rFonts w:hint="default"/>
      </w:rPr>
    </w:lvl>
    <w:lvl w:ilvl="3" w:tentative="0">
      <w:start w:val="0"/>
      <w:numFmt w:val="bullet"/>
      <w:lvlText w:val="•"/>
      <w:lvlJc w:val="left"/>
      <w:pPr>
        <w:ind w:left="3005" w:hanging="346"/>
      </w:pPr>
      <w:rPr>
        <w:rFonts w:hint="default"/>
      </w:rPr>
    </w:lvl>
    <w:lvl w:ilvl="4" w:tentative="0">
      <w:start w:val="0"/>
      <w:numFmt w:val="bullet"/>
      <w:lvlText w:val="•"/>
      <w:lvlJc w:val="left"/>
      <w:pPr>
        <w:ind w:left="3934" w:hanging="346"/>
      </w:pPr>
      <w:rPr>
        <w:rFonts w:hint="default"/>
      </w:rPr>
    </w:lvl>
    <w:lvl w:ilvl="5" w:tentative="0">
      <w:start w:val="0"/>
      <w:numFmt w:val="bullet"/>
      <w:lvlText w:val="•"/>
      <w:lvlJc w:val="left"/>
      <w:pPr>
        <w:ind w:left="4862" w:hanging="346"/>
      </w:pPr>
      <w:rPr>
        <w:rFonts w:hint="default"/>
      </w:rPr>
    </w:lvl>
    <w:lvl w:ilvl="6" w:tentative="0">
      <w:start w:val="0"/>
      <w:numFmt w:val="bullet"/>
      <w:lvlText w:val="•"/>
      <w:lvlJc w:val="left"/>
      <w:pPr>
        <w:ind w:left="5791" w:hanging="346"/>
      </w:pPr>
      <w:rPr>
        <w:rFonts w:hint="default"/>
      </w:rPr>
    </w:lvl>
    <w:lvl w:ilvl="7" w:tentative="0">
      <w:start w:val="0"/>
      <w:numFmt w:val="bullet"/>
      <w:lvlText w:val="•"/>
      <w:lvlJc w:val="left"/>
      <w:pPr>
        <w:ind w:left="6719" w:hanging="346"/>
      </w:pPr>
      <w:rPr>
        <w:rFonts w:hint="default"/>
      </w:rPr>
    </w:lvl>
    <w:lvl w:ilvl="8" w:tentative="0">
      <w:start w:val="0"/>
      <w:numFmt w:val="bullet"/>
      <w:lvlText w:val="•"/>
      <w:lvlJc w:val="left"/>
      <w:pPr>
        <w:ind w:left="7648" w:hanging="346"/>
      </w:pPr>
      <w:rPr>
        <w:rFonts w:hint="default"/>
      </w:rPr>
    </w:lvl>
  </w:abstractNum>
  <w:abstractNum w:abstractNumId="6">
    <w:nsid w:val="1FDC7372"/>
    <w:multiLevelType w:val="multilevel"/>
    <w:tmpl w:val="1FDC7372"/>
    <w:lvl w:ilvl="0" w:tentative="0">
      <w:start w:val="15"/>
      <w:numFmt w:val="decimal"/>
      <w:lvlText w:val="%1"/>
      <w:lvlJc w:val="left"/>
      <w:pPr>
        <w:ind w:left="117" w:hanging="438"/>
        <w:jc w:val="left"/>
      </w:pPr>
      <w:rPr>
        <w:rFonts w:hint="default"/>
      </w:rPr>
    </w:lvl>
    <w:lvl w:ilvl="1" w:tentative="0">
      <w:start w:val="1"/>
      <w:numFmt w:val="decimal"/>
      <w:lvlText w:val="%1.%2"/>
      <w:lvlJc w:val="left"/>
      <w:pPr>
        <w:ind w:left="117" w:hanging="438"/>
        <w:jc w:val="left"/>
      </w:pPr>
      <w:rPr>
        <w:rFonts w:hint="default" w:ascii="方正书宋_GBK" w:hAnsi="方正书宋_GBK" w:eastAsia="方正书宋_GBK" w:cs="方正书宋_GBK"/>
        <w:color w:val="231F20"/>
        <w:w w:val="100"/>
        <w:sz w:val="22"/>
        <w:szCs w:val="22"/>
      </w:rPr>
    </w:lvl>
    <w:lvl w:ilvl="2" w:tentative="0">
      <w:start w:val="0"/>
      <w:numFmt w:val="bullet"/>
      <w:lvlText w:val="•"/>
      <w:lvlJc w:val="left"/>
      <w:pPr>
        <w:ind w:left="1977" w:hanging="438"/>
      </w:pPr>
      <w:rPr>
        <w:rFonts w:hint="default"/>
      </w:rPr>
    </w:lvl>
    <w:lvl w:ilvl="3" w:tentative="0">
      <w:start w:val="0"/>
      <w:numFmt w:val="bullet"/>
      <w:lvlText w:val="•"/>
      <w:lvlJc w:val="left"/>
      <w:pPr>
        <w:ind w:left="2905" w:hanging="438"/>
      </w:pPr>
      <w:rPr>
        <w:rFonts w:hint="default"/>
      </w:rPr>
    </w:lvl>
    <w:lvl w:ilvl="4" w:tentative="0">
      <w:start w:val="0"/>
      <w:numFmt w:val="bullet"/>
      <w:lvlText w:val="•"/>
      <w:lvlJc w:val="left"/>
      <w:pPr>
        <w:ind w:left="3834" w:hanging="438"/>
      </w:pPr>
      <w:rPr>
        <w:rFonts w:hint="default"/>
      </w:rPr>
    </w:lvl>
    <w:lvl w:ilvl="5" w:tentative="0">
      <w:start w:val="0"/>
      <w:numFmt w:val="bullet"/>
      <w:lvlText w:val="•"/>
      <w:lvlJc w:val="left"/>
      <w:pPr>
        <w:ind w:left="4762" w:hanging="438"/>
      </w:pPr>
      <w:rPr>
        <w:rFonts w:hint="default"/>
      </w:rPr>
    </w:lvl>
    <w:lvl w:ilvl="6" w:tentative="0">
      <w:start w:val="0"/>
      <w:numFmt w:val="bullet"/>
      <w:lvlText w:val="•"/>
      <w:lvlJc w:val="left"/>
      <w:pPr>
        <w:ind w:left="5691" w:hanging="438"/>
      </w:pPr>
      <w:rPr>
        <w:rFonts w:hint="default"/>
      </w:rPr>
    </w:lvl>
    <w:lvl w:ilvl="7" w:tentative="0">
      <w:start w:val="0"/>
      <w:numFmt w:val="bullet"/>
      <w:lvlText w:val="•"/>
      <w:lvlJc w:val="left"/>
      <w:pPr>
        <w:ind w:left="6619" w:hanging="438"/>
      </w:pPr>
      <w:rPr>
        <w:rFonts w:hint="default"/>
      </w:rPr>
    </w:lvl>
    <w:lvl w:ilvl="8" w:tentative="0">
      <w:start w:val="0"/>
      <w:numFmt w:val="bullet"/>
      <w:lvlText w:val="•"/>
      <w:lvlJc w:val="left"/>
      <w:pPr>
        <w:ind w:left="7548" w:hanging="438"/>
      </w:pPr>
      <w:rPr>
        <w:rFonts w:hint="default"/>
      </w:rPr>
    </w:lvl>
  </w:abstractNum>
  <w:abstractNum w:abstractNumId="7">
    <w:nsid w:val="22386784"/>
    <w:multiLevelType w:val="multilevel"/>
    <w:tmpl w:val="22386784"/>
    <w:lvl w:ilvl="0" w:tentative="0">
      <w:start w:val="3"/>
      <w:numFmt w:val="decimal"/>
      <w:lvlText w:val="%1"/>
      <w:lvlJc w:val="left"/>
      <w:pPr>
        <w:ind w:left="883" w:hanging="327"/>
        <w:jc w:val="left"/>
      </w:pPr>
      <w:rPr>
        <w:rFonts w:hint="default"/>
      </w:rPr>
    </w:lvl>
    <w:lvl w:ilvl="1" w:tentative="0">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774" w:hanging="491"/>
      </w:pPr>
      <w:rPr>
        <w:rFonts w:hint="default"/>
      </w:rPr>
    </w:lvl>
    <w:lvl w:ilvl="4" w:tentative="0">
      <w:start w:val="0"/>
      <w:numFmt w:val="bullet"/>
      <w:lvlText w:val="•"/>
      <w:lvlJc w:val="left"/>
      <w:pPr>
        <w:ind w:left="3721" w:hanging="491"/>
      </w:pPr>
      <w:rPr>
        <w:rFonts w:hint="default"/>
      </w:rPr>
    </w:lvl>
    <w:lvl w:ilvl="5" w:tentative="0">
      <w:start w:val="0"/>
      <w:numFmt w:val="bullet"/>
      <w:lvlText w:val="•"/>
      <w:lvlJc w:val="left"/>
      <w:pPr>
        <w:ind w:left="4669" w:hanging="491"/>
      </w:pPr>
      <w:rPr>
        <w:rFonts w:hint="default"/>
      </w:rPr>
    </w:lvl>
    <w:lvl w:ilvl="6" w:tentative="0">
      <w:start w:val="0"/>
      <w:numFmt w:val="bullet"/>
      <w:lvlText w:val="•"/>
      <w:lvlJc w:val="left"/>
      <w:pPr>
        <w:ind w:left="5616" w:hanging="491"/>
      </w:pPr>
      <w:rPr>
        <w:rFonts w:hint="default"/>
      </w:rPr>
    </w:lvl>
    <w:lvl w:ilvl="7" w:tentative="0">
      <w:start w:val="0"/>
      <w:numFmt w:val="bullet"/>
      <w:lvlText w:val="•"/>
      <w:lvlJc w:val="left"/>
      <w:pPr>
        <w:ind w:left="6563" w:hanging="491"/>
      </w:pPr>
      <w:rPr>
        <w:rFonts w:hint="default"/>
      </w:rPr>
    </w:lvl>
    <w:lvl w:ilvl="8" w:tentative="0">
      <w:start w:val="0"/>
      <w:numFmt w:val="bullet"/>
      <w:lvlText w:val="•"/>
      <w:lvlJc w:val="left"/>
      <w:pPr>
        <w:ind w:left="7510" w:hanging="491"/>
      </w:pPr>
      <w:rPr>
        <w:rFonts w:hint="default"/>
      </w:rPr>
    </w:lvl>
  </w:abstractNum>
  <w:abstractNum w:abstractNumId="8">
    <w:nsid w:val="23E71EAB"/>
    <w:multiLevelType w:val="multilevel"/>
    <w:tmpl w:val="23E71EAB"/>
    <w:lvl w:ilvl="0" w:tentative="0">
      <w:start w:val="3"/>
      <w:numFmt w:val="decimal"/>
      <w:lvlText w:val="%1"/>
      <w:lvlJc w:val="left"/>
      <w:pPr>
        <w:ind w:left="884" w:hanging="328"/>
        <w:jc w:val="left"/>
      </w:pPr>
      <w:rPr>
        <w:rFonts w:hint="default"/>
      </w:rPr>
    </w:lvl>
    <w:lvl w:ilvl="1" w:tentative="0">
      <w:start w:val="1"/>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774" w:hanging="491"/>
      </w:pPr>
      <w:rPr>
        <w:rFonts w:hint="default"/>
      </w:rPr>
    </w:lvl>
    <w:lvl w:ilvl="4" w:tentative="0">
      <w:start w:val="0"/>
      <w:numFmt w:val="bullet"/>
      <w:lvlText w:val="•"/>
      <w:lvlJc w:val="left"/>
      <w:pPr>
        <w:ind w:left="3721" w:hanging="491"/>
      </w:pPr>
      <w:rPr>
        <w:rFonts w:hint="default"/>
      </w:rPr>
    </w:lvl>
    <w:lvl w:ilvl="5" w:tentative="0">
      <w:start w:val="0"/>
      <w:numFmt w:val="bullet"/>
      <w:lvlText w:val="•"/>
      <w:lvlJc w:val="left"/>
      <w:pPr>
        <w:ind w:left="4669" w:hanging="491"/>
      </w:pPr>
      <w:rPr>
        <w:rFonts w:hint="default"/>
      </w:rPr>
    </w:lvl>
    <w:lvl w:ilvl="6" w:tentative="0">
      <w:start w:val="0"/>
      <w:numFmt w:val="bullet"/>
      <w:lvlText w:val="•"/>
      <w:lvlJc w:val="left"/>
      <w:pPr>
        <w:ind w:left="5616" w:hanging="491"/>
      </w:pPr>
      <w:rPr>
        <w:rFonts w:hint="default"/>
      </w:rPr>
    </w:lvl>
    <w:lvl w:ilvl="7" w:tentative="0">
      <w:start w:val="0"/>
      <w:numFmt w:val="bullet"/>
      <w:lvlText w:val="•"/>
      <w:lvlJc w:val="left"/>
      <w:pPr>
        <w:ind w:left="6563" w:hanging="491"/>
      </w:pPr>
      <w:rPr>
        <w:rFonts w:hint="default"/>
      </w:rPr>
    </w:lvl>
    <w:lvl w:ilvl="8" w:tentative="0">
      <w:start w:val="0"/>
      <w:numFmt w:val="bullet"/>
      <w:lvlText w:val="•"/>
      <w:lvlJc w:val="left"/>
      <w:pPr>
        <w:ind w:left="7510" w:hanging="491"/>
      </w:pPr>
      <w:rPr>
        <w:rFonts w:hint="default"/>
      </w:rPr>
    </w:lvl>
  </w:abstractNum>
  <w:abstractNum w:abstractNumId="9">
    <w:nsid w:val="256A030B"/>
    <w:multiLevelType w:val="multilevel"/>
    <w:tmpl w:val="256A030B"/>
    <w:lvl w:ilvl="0" w:tentative="0">
      <w:start w:val="7"/>
      <w:numFmt w:val="decimal"/>
      <w:lvlText w:val="%1"/>
      <w:lvlJc w:val="left"/>
      <w:pPr>
        <w:ind w:left="1047" w:hanging="490"/>
        <w:jc w:val="left"/>
      </w:pPr>
      <w:rPr>
        <w:rFonts w:hint="default"/>
      </w:rPr>
    </w:lvl>
    <w:lvl w:ilvl="1" w:tentative="0">
      <w:start w:val="2"/>
      <w:numFmt w:val="decimal"/>
      <w:lvlText w:val="%1.%2"/>
      <w:lvlJc w:val="left"/>
      <w:pPr>
        <w:ind w:left="1047" w:hanging="490"/>
        <w:jc w:val="left"/>
      </w:pPr>
      <w:rPr>
        <w:rFonts w:hint="default"/>
      </w:rPr>
    </w:lvl>
    <w:lvl w:ilvl="2" w:tentative="0">
      <w:start w:val="4"/>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3519" w:hanging="490"/>
      </w:pPr>
      <w:rPr>
        <w:rFonts w:hint="default"/>
      </w:rPr>
    </w:lvl>
    <w:lvl w:ilvl="4" w:tentative="0">
      <w:start w:val="0"/>
      <w:numFmt w:val="bullet"/>
      <w:lvlText w:val="•"/>
      <w:lvlJc w:val="left"/>
      <w:pPr>
        <w:ind w:left="4346" w:hanging="490"/>
      </w:pPr>
      <w:rPr>
        <w:rFonts w:hint="default"/>
      </w:rPr>
    </w:lvl>
    <w:lvl w:ilvl="5" w:tentative="0">
      <w:start w:val="0"/>
      <w:numFmt w:val="bullet"/>
      <w:lvlText w:val="•"/>
      <w:lvlJc w:val="left"/>
      <w:pPr>
        <w:ind w:left="5172" w:hanging="490"/>
      </w:pPr>
      <w:rPr>
        <w:rFonts w:hint="default"/>
      </w:rPr>
    </w:lvl>
    <w:lvl w:ilvl="6" w:tentative="0">
      <w:start w:val="0"/>
      <w:numFmt w:val="bullet"/>
      <w:lvlText w:val="•"/>
      <w:lvlJc w:val="left"/>
      <w:pPr>
        <w:ind w:left="5999" w:hanging="490"/>
      </w:pPr>
      <w:rPr>
        <w:rFonts w:hint="default"/>
      </w:rPr>
    </w:lvl>
    <w:lvl w:ilvl="7" w:tentative="0">
      <w:start w:val="0"/>
      <w:numFmt w:val="bullet"/>
      <w:lvlText w:val="•"/>
      <w:lvlJc w:val="left"/>
      <w:pPr>
        <w:ind w:left="6825" w:hanging="490"/>
      </w:pPr>
      <w:rPr>
        <w:rFonts w:hint="default"/>
      </w:rPr>
    </w:lvl>
    <w:lvl w:ilvl="8" w:tentative="0">
      <w:start w:val="0"/>
      <w:numFmt w:val="bullet"/>
      <w:lvlText w:val="•"/>
      <w:lvlJc w:val="left"/>
      <w:pPr>
        <w:ind w:left="7652" w:hanging="490"/>
      </w:pPr>
      <w:rPr>
        <w:rFonts w:hint="default"/>
      </w:rPr>
    </w:lvl>
  </w:abstractNum>
  <w:abstractNum w:abstractNumId="10">
    <w:nsid w:val="29C0759F"/>
    <w:multiLevelType w:val="multilevel"/>
    <w:tmpl w:val="29C0759F"/>
    <w:lvl w:ilvl="0" w:tentative="0">
      <w:start w:val="11"/>
      <w:numFmt w:val="decimal"/>
      <w:lvlText w:val="%1"/>
      <w:lvlJc w:val="left"/>
      <w:pPr>
        <w:ind w:left="117" w:hanging="437"/>
        <w:jc w:val="left"/>
      </w:pPr>
      <w:rPr>
        <w:rFonts w:hint="default"/>
      </w:rPr>
    </w:lvl>
    <w:lvl w:ilvl="1" w:tentative="0">
      <w:start w:val="1"/>
      <w:numFmt w:val="decimal"/>
      <w:lvlText w:val="%1.%2"/>
      <w:lvlJc w:val="left"/>
      <w:pPr>
        <w:ind w:left="117" w:hanging="437"/>
        <w:jc w:val="left"/>
      </w:pPr>
      <w:rPr>
        <w:rFonts w:hint="default" w:ascii="方正书宋_GBK" w:hAnsi="方正书宋_GBK" w:eastAsia="方正书宋_GBK" w:cs="方正书宋_GBK"/>
        <w:color w:val="231F20"/>
        <w:spacing w:val="-1"/>
        <w:w w:val="100"/>
        <w:sz w:val="22"/>
        <w:szCs w:val="22"/>
      </w:rPr>
    </w:lvl>
    <w:lvl w:ilvl="2" w:tentative="0">
      <w:start w:val="0"/>
      <w:numFmt w:val="bullet"/>
      <w:lvlText w:val="•"/>
      <w:lvlJc w:val="left"/>
      <w:pPr>
        <w:ind w:left="1977" w:hanging="437"/>
      </w:pPr>
      <w:rPr>
        <w:rFonts w:hint="default"/>
      </w:rPr>
    </w:lvl>
    <w:lvl w:ilvl="3" w:tentative="0">
      <w:start w:val="0"/>
      <w:numFmt w:val="bullet"/>
      <w:lvlText w:val="•"/>
      <w:lvlJc w:val="left"/>
      <w:pPr>
        <w:ind w:left="2905" w:hanging="437"/>
      </w:pPr>
      <w:rPr>
        <w:rFonts w:hint="default"/>
      </w:rPr>
    </w:lvl>
    <w:lvl w:ilvl="4" w:tentative="0">
      <w:start w:val="0"/>
      <w:numFmt w:val="bullet"/>
      <w:lvlText w:val="•"/>
      <w:lvlJc w:val="left"/>
      <w:pPr>
        <w:ind w:left="3834" w:hanging="437"/>
      </w:pPr>
      <w:rPr>
        <w:rFonts w:hint="default"/>
      </w:rPr>
    </w:lvl>
    <w:lvl w:ilvl="5" w:tentative="0">
      <w:start w:val="0"/>
      <w:numFmt w:val="bullet"/>
      <w:lvlText w:val="•"/>
      <w:lvlJc w:val="left"/>
      <w:pPr>
        <w:ind w:left="4762" w:hanging="437"/>
      </w:pPr>
      <w:rPr>
        <w:rFonts w:hint="default"/>
      </w:rPr>
    </w:lvl>
    <w:lvl w:ilvl="6" w:tentative="0">
      <w:start w:val="0"/>
      <w:numFmt w:val="bullet"/>
      <w:lvlText w:val="•"/>
      <w:lvlJc w:val="left"/>
      <w:pPr>
        <w:ind w:left="5691" w:hanging="437"/>
      </w:pPr>
      <w:rPr>
        <w:rFonts w:hint="default"/>
      </w:rPr>
    </w:lvl>
    <w:lvl w:ilvl="7" w:tentative="0">
      <w:start w:val="0"/>
      <w:numFmt w:val="bullet"/>
      <w:lvlText w:val="•"/>
      <w:lvlJc w:val="left"/>
      <w:pPr>
        <w:ind w:left="6619" w:hanging="437"/>
      </w:pPr>
      <w:rPr>
        <w:rFonts w:hint="default"/>
      </w:rPr>
    </w:lvl>
    <w:lvl w:ilvl="8" w:tentative="0">
      <w:start w:val="0"/>
      <w:numFmt w:val="bullet"/>
      <w:lvlText w:val="•"/>
      <w:lvlJc w:val="left"/>
      <w:pPr>
        <w:ind w:left="7548" w:hanging="437"/>
      </w:pPr>
      <w:rPr>
        <w:rFonts w:hint="default"/>
      </w:rPr>
    </w:lvl>
  </w:abstractNum>
  <w:abstractNum w:abstractNumId="11">
    <w:nsid w:val="2E8842AA"/>
    <w:multiLevelType w:val="multilevel"/>
    <w:tmpl w:val="2E8842AA"/>
    <w:lvl w:ilvl="0" w:tentative="0">
      <w:start w:val="1"/>
      <w:numFmt w:val="decimal"/>
      <w:lvlText w:val="%1"/>
      <w:lvlJc w:val="left"/>
      <w:pPr>
        <w:ind w:left="983" w:hanging="327"/>
        <w:jc w:val="left"/>
      </w:pPr>
      <w:rPr>
        <w:rFonts w:hint="default"/>
      </w:rPr>
    </w:lvl>
    <w:lvl w:ilvl="1" w:tentative="0">
      <w:start w:val="1"/>
      <w:numFmt w:val="decimal"/>
      <w:lvlText w:val="%1.%2"/>
      <w:lvlJc w:val="left"/>
      <w:pPr>
        <w:ind w:left="217" w:hanging="327"/>
        <w:jc w:val="left"/>
      </w:pPr>
      <w:rPr>
        <w:rFonts w:hint="default" w:ascii="方正书宋_GBK" w:hAnsi="方正书宋_GBK" w:eastAsia="方正书宋_GBK" w:cs="方正书宋_GBK"/>
        <w:color w:val="231F20"/>
        <w:spacing w:val="-1"/>
        <w:w w:val="100"/>
        <w:sz w:val="22"/>
        <w:szCs w:val="22"/>
      </w:rPr>
    </w:lvl>
    <w:lvl w:ilvl="2" w:tentative="0">
      <w:start w:val="0"/>
      <w:numFmt w:val="bullet"/>
      <w:lvlText w:val="•"/>
      <w:lvlJc w:val="left"/>
      <w:pPr>
        <w:ind w:left="1927" w:hanging="327"/>
      </w:pPr>
      <w:rPr>
        <w:rFonts w:hint="default"/>
      </w:rPr>
    </w:lvl>
    <w:lvl w:ilvl="3" w:tentative="0">
      <w:start w:val="0"/>
      <w:numFmt w:val="bullet"/>
      <w:lvlText w:val="•"/>
      <w:lvlJc w:val="left"/>
      <w:pPr>
        <w:ind w:left="2874" w:hanging="327"/>
      </w:pPr>
      <w:rPr>
        <w:rFonts w:hint="default"/>
      </w:rPr>
    </w:lvl>
    <w:lvl w:ilvl="4" w:tentative="0">
      <w:start w:val="0"/>
      <w:numFmt w:val="bullet"/>
      <w:lvlText w:val="•"/>
      <w:lvlJc w:val="left"/>
      <w:pPr>
        <w:ind w:left="3821" w:hanging="327"/>
      </w:pPr>
      <w:rPr>
        <w:rFonts w:hint="default"/>
      </w:rPr>
    </w:lvl>
    <w:lvl w:ilvl="5" w:tentative="0">
      <w:start w:val="0"/>
      <w:numFmt w:val="bullet"/>
      <w:lvlText w:val="•"/>
      <w:lvlJc w:val="left"/>
      <w:pPr>
        <w:ind w:left="4769" w:hanging="327"/>
      </w:pPr>
      <w:rPr>
        <w:rFonts w:hint="default"/>
      </w:rPr>
    </w:lvl>
    <w:lvl w:ilvl="6" w:tentative="0">
      <w:start w:val="0"/>
      <w:numFmt w:val="bullet"/>
      <w:lvlText w:val="•"/>
      <w:lvlJc w:val="left"/>
      <w:pPr>
        <w:ind w:left="5716" w:hanging="327"/>
      </w:pPr>
      <w:rPr>
        <w:rFonts w:hint="default"/>
      </w:rPr>
    </w:lvl>
    <w:lvl w:ilvl="7" w:tentative="0">
      <w:start w:val="0"/>
      <w:numFmt w:val="bullet"/>
      <w:lvlText w:val="•"/>
      <w:lvlJc w:val="left"/>
      <w:pPr>
        <w:ind w:left="6663" w:hanging="327"/>
      </w:pPr>
      <w:rPr>
        <w:rFonts w:hint="default"/>
      </w:rPr>
    </w:lvl>
    <w:lvl w:ilvl="8" w:tentative="0">
      <w:start w:val="0"/>
      <w:numFmt w:val="bullet"/>
      <w:lvlText w:val="•"/>
      <w:lvlJc w:val="left"/>
      <w:pPr>
        <w:ind w:left="7610" w:hanging="327"/>
      </w:pPr>
      <w:rPr>
        <w:rFonts w:hint="default"/>
      </w:rPr>
    </w:lvl>
  </w:abstractNum>
  <w:abstractNum w:abstractNumId="12">
    <w:nsid w:val="33B849F4"/>
    <w:multiLevelType w:val="multilevel"/>
    <w:tmpl w:val="33B849F4"/>
    <w:lvl w:ilvl="0" w:tentative="0">
      <w:start w:val="7"/>
      <w:numFmt w:val="decimal"/>
      <w:lvlText w:val="%1"/>
      <w:lvlJc w:val="left"/>
      <w:pPr>
        <w:ind w:left="117" w:hanging="491"/>
        <w:jc w:val="left"/>
      </w:pPr>
      <w:rPr>
        <w:rFonts w:hint="default"/>
      </w:rPr>
    </w:lvl>
    <w:lvl w:ilvl="1" w:tentative="0">
      <w:start w:val="2"/>
      <w:numFmt w:val="decimal"/>
      <w:lvlText w:val="%1.%2"/>
      <w:lvlJc w:val="left"/>
      <w:pPr>
        <w:ind w:left="117" w:hanging="491"/>
        <w:jc w:val="left"/>
      </w:pPr>
      <w:rPr>
        <w:rFonts w:hint="default"/>
      </w:rPr>
    </w:lvl>
    <w:lvl w:ilvl="2" w:tentative="0">
      <w:start w:val="4"/>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875" w:hanging="491"/>
      </w:pPr>
      <w:rPr>
        <w:rFonts w:hint="default"/>
      </w:rPr>
    </w:lvl>
    <w:lvl w:ilvl="4" w:tentative="0">
      <w:start w:val="0"/>
      <w:numFmt w:val="bullet"/>
      <w:lvlText w:val="•"/>
      <w:lvlJc w:val="left"/>
      <w:pPr>
        <w:ind w:left="3794" w:hanging="491"/>
      </w:pPr>
      <w:rPr>
        <w:rFonts w:hint="default"/>
      </w:rPr>
    </w:lvl>
    <w:lvl w:ilvl="5" w:tentative="0">
      <w:start w:val="0"/>
      <w:numFmt w:val="bullet"/>
      <w:lvlText w:val="•"/>
      <w:lvlJc w:val="left"/>
      <w:pPr>
        <w:ind w:left="4712" w:hanging="491"/>
      </w:pPr>
      <w:rPr>
        <w:rFonts w:hint="default"/>
      </w:rPr>
    </w:lvl>
    <w:lvl w:ilvl="6" w:tentative="0">
      <w:start w:val="0"/>
      <w:numFmt w:val="bullet"/>
      <w:lvlText w:val="•"/>
      <w:lvlJc w:val="left"/>
      <w:pPr>
        <w:ind w:left="5631" w:hanging="491"/>
      </w:pPr>
      <w:rPr>
        <w:rFonts w:hint="default"/>
      </w:rPr>
    </w:lvl>
    <w:lvl w:ilvl="7" w:tentative="0">
      <w:start w:val="0"/>
      <w:numFmt w:val="bullet"/>
      <w:lvlText w:val="•"/>
      <w:lvlJc w:val="left"/>
      <w:pPr>
        <w:ind w:left="6549" w:hanging="491"/>
      </w:pPr>
      <w:rPr>
        <w:rFonts w:hint="default"/>
      </w:rPr>
    </w:lvl>
    <w:lvl w:ilvl="8" w:tentative="0">
      <w:start w:val="0"/>
      <w:numFmt w:val="bullet"/>
      <w:lvlText w:val="•"/>
      <w:lvlJc w:val="left"/>
      <w:pPr>
        <w:ind w:left="7468" w:hanging="491"/>
      </w:pPr>
      <w:rPr>
        <w:rFonts w:hint="default"/>
      </w:rPr>
    </w:lvl>
  </w:abstractNum>
  <w:abstractNum w:abstractNumId="13">
    <w:nsid w:val="38A01C8A"/>
    <w:multiLevelType w:val="multilevel"/>
    <w:tmpl w:val="38A01C8A"/>
    <w:lvl w:ilvl="0" w:tentative="0">
      <w:start w:val="6"/>
      <w:numFmt w:val="decimal"/>
      <w:lvlText w:val="%1"/>
      <w:lvlJc w:val="left"/>
      <w:pPr>
        <w:ind w:left="884" w:hanging="328"/>
        <w:jc w:val="left"/>
      </w:pPr>
      <w:rPr>
        <w:rFonts w:hint="default"/>
      </w:rPr>
    </w:lvl>
    <w:lvl w:ilvl="1" w:tentative="0">
      <w:start w:val="1"/>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774" w:hanging="491"/>
      </w:pPr>
      <w:rPr>
        <w:rFonts w:hint="default"/>
      </w:rPr>
    </w:lvl>
    <w:lvl w:ilvl="4" w:tentative="0">
      <w:start w:val="0"/>
      <w:numFmt w:val="bullet"/>
      <w:lvlText w:val="•"/>
      <w:lvlJc w:val="left"/>
      <w:pPr>
        <w:ind w:left="3721" w:hanging="491"/>
      </w:pPr>
      <w:rPr>
        <w:rFonts w:hint="default"/>
      </w:rPr>
    </w:lvl>
    <w:lvl w:ilvl="5" w:tentative="0">
      <w:start w:val="0"/>
      <w:numFmt w:val="bullet"/>
      <w:lvlText w:val="•"/>
      <w:lvlJc w:val="left"/>
      <w:pPr>
        <w:ind w:left="4669" w:hanging="491"/>
      </w:pPr>
      <w:rPr>
        <w:rFonts w:hint="default"/>
      </w:rPr>
    </w:lvl>
    <w:lvl w:ilvl="6" w:tentative="0">
      <w:start w:val="0"/>
      <w:numFmt w:val="bullet"/>
      <w:lvlText w:val="•"/>
      <w:lvlJc w:val="left"/>
      <w:pPr>
        <w:ind w:left="5616" w:hanging="491"/>
      </w:pPr>
      <w:rPr>
        <w:rFonts w:hint="default"/>
      </w:rPr>
    </w:lvl>
    <w:lvl w:ilvl="7" w:tentative="0">
      <w:start w:val="0"/>
      <w:numFmt w:val="bullet"/>
      <w:lvlText w:val="•"/>
      <w:lvlJc w:val="left"/>
      <w:pPr>
        <w:ind w:left="6563" w:hanging="491"/>
      </w:pPr>
      <w:rPr>
        <w:rFonts w:hint="default"/>
      </w:rPr>
    </w:lvl>
    <w:lvl w:ilvl="8" w:tentative="0">
      <w:start w:val="0"/>
      <w:numFmt w:val="bullet"/>
      <w:lvlText w:val="•"/>
      <w:lvlJc w:val="left"/>
      <w:pPr>
        <w:ind w:left="7510" w:hanging="491"/>
      </w:pPr>
      <w:rPr>
        <w:rFonts w:hint="default"/>
      </w:rPr>
    </w:lvl>
  </w:abstractNum>
  <w:abstractNum w:abstractNumId="14">
    <w:nsid w:val="405E1F52"/>
    <w:multiLevelType w:val="multilevel"/>
    <w:tmpl w:val="405E1F52"/>
    <w:lvl w:ilvl="0" w:tentative="0">
      <w:start w:val="11"/>
      <w:numFmt w:val="decimal"/>
      <w:lvlText w:val="%1"/>
      <w:lvlJc w:val="left"/>
      <w:pPr>
        <w:ind w:left="117" w:hanging="436"/>
        <w:jc w:val="left"/>
      </w:pPr>
      <w:rPr>
        <w:rFonts w:hint="default"/>
      </w:rPr>
    </w:lvl>
    <w:lvl w:ilvl="1" w:tentative="0">
      <w:start w:val="5"/>
      <w:numFmt w:val="decimal"/>
      <w:lvlText w:val="%1.%2"/>
      <w:lvlJc w:val="left"/>
      <w:pPr>
        <w:ind w:left="117" w:hanging="436"/>
        <w:jc w:val="left"/>
      </w:pPr>
      <w:rPr>
        <w:rFonts w:hint="default" w:ascii="方正书宋_GBK" w:hAnsi="方正书宋_GBK" w:eastAsia="方正书宋_GBK" w:cs="方正书宋_GBK"/>
        <w:color w:val="231F20"/>
        <w:spacing w:val="-1"/>
        <w:w w:val="100"/>
        <w:sz w:val="22"/>
        <w:szCs w:val="22"/>
      </w:rPr>
    </w:lvl>
    <w:lvl w:ilvl="2" w:tentative="0">
      <w:start w:val="0"/>
      <w:numFmt w:val="bullet"/>
      <w:lvlText w:val="•"/>
      <w:lvlJc w:val="left"/>
      <w:pPr>
        <w:ind w:left="1977" w:hanging="436"/>
      </w:pPr>
      <w:rPr>
        <w:rFonts w:hint="default"/>
      </w:rPr>
    </w:lvl>
    <w:lvl w:ilvl="3" w:tentative="0">
      <w:start w:val="0"/>
      <w:numFmt w:val="bullet"/>
      <w:lvlText w:val="•"/>
      <w:lvlJc w:val="left"/>
      <w:pPr>
        <w:ind w:left="2905" w:hanging="436"/>
      </w:pPr>
      <w:rPr>
        <w:rFonts w:hint="default"/>
      </w:rPr>
    </w:lvl>
    <w:lvl w:ilvl="4" w:tentative="0">
      <w:start w:val="0"/>
      <w:numFmt w:val="bullet"/>
      <w:lvlText w:val="•"/>
      <w:lvlJc w:val="left"/>
      <w:pPr>
        <w:ind w:left="3834" w:hanging="436"/>
      </w:pPr>
      <w:rPr>
        <w:rFonts w:hint="default"/>
      </w:rPr>
    </w:lvl>
    <w:lvl w:ilvl="5" w:tentative="0">
      <w:start w:val="0"/>
      <w:numFmt w:val="bullet"/>
      <w:lvlText w:val="•"/>
      <w:lvlJc w:val="left"/>
      <w:pPr>
        <w:ind w:left="4762" w:hanging="436"/>
      </w:pPr>
      <w:rPr>
        <w:rFonts w:hint="default"/>
      </w:rPr>
    </w:lvl>
    <w:lvl w:ilvl="6" w:tentative="0">
      <w:start w:val="0"/>
      <w:numFmt w:val="bullet"/>
      <w:lvlText w:val="•"/>
      <w:lvlJc w:val="left"/>
      <w:pPr>
        <w:ind w:left="5691" w:hanging="436"/>
      </w:pPr>
      <w:rPr>
        <w:rFonts w:hint="default"/>
      </w:rPr>
    </w:lvl>
    <w:lvl w:ilvl="7" w:tentative="0">
      <w:start w:val="0"/>
      <w:numFmt w:val="bullet"/>
      <w:lvlText w:val="•"/>
      <w:lvlJc w:val="left"/>
      <w:pPr>
        <w:ind w:left="6619" w:hanging="436"/>
      </w:pPr>
      <w:rPr>
        <w:rFonts w:hint="default"/>
      </w:rPr>
    </w:lvl>
    <w:lvl w:ilvl="8" w:tentative="0">
      <w:start w:val="0"/>
      <w:numFmt w:val="bullet"/>
      <w:lvlText w:val="•"/>
      <w:lvlJc w:val="left"/>
      <w:pPr>
        <w:ind w:left="7548" w:hanging="436"/>
      </w:pPr>
      <w:rPr>
        <w:rFonts w:hint="default"/>
      </w:rPr>
    </w:lvl>
  </w:abstractNum>
  <w:abstractNum w:abstractNumId="15">
    <w:nsid w:val="42BD0AD0"/>
    <w:multiLevelType w:val="multilevel"/>
    <w:tmpl w:val="42BD0AD0"/>
    <w:lvl w:ilvl="0" w:tentative="0">
      <w:start w:val="8"/>
      <w:numFmt w:val="decimal"/>
      <w:lvlText w:val="%1"/>
      <w:lvlJc w:val="left"/>
      <w:pPr>
        <w:ind w:left="117" w:hanging="349"/>
        <w:jc w:val="left"/>
      </w:pPr>
      <w:rPr>
        <w:rFonts w:hint="default"/>
      </w:rPr>
    </w:lvl>
    <w:lvl w:ilvl="1" w:tentative="0">
      <w:start w:val="5"/>
      <w:numFmt w:val="decimal"/>
      <w:lvlText w:val="%1.%2"/>
      <w:lvlJc w:val="left"/>
      <w:pPr>
        <w:ind w:left="117" w:hanging="349"/>
        <w:jc w:val="left"/>
      </w:pPr>
      <w:rPr>
        <w:rFonts w:hint="default" w:ascii="方正书宋_GBK" w:hAnsi="方正书宋_GBK" w:eastAsia="方正书宋_GBK" w:cs="方正书宋_GBK"/>
        <w:color w:val="231F20"/>
        <w:w w:val="100"/>
        <w:sz w:val="22"/>
        <w:szCs w:val="22"/>
      </w:rPr>
    </w:lvl>
    <w:lvl w:ilvl="2" w:tentative="0">
      <w:start w:val="0"/>
      <w:numFmt w:val="bullet"/>
      <w:lvlText w:val="•"/>
      <w:lvlJc w:val="left"/>
      <w:pPr>
        <w:ind w:left="1957" w:hanging="349"/>
      </w:pPr>
      <w:rPr>
        <w:rFonts w:hint="default"/>
      </w:rPr>
    </w:lvl>
    <w:lvl w:ilvl="3" w:tentative="0">
      <w:start w:val="0"/>
      <w:numFmt w:val="bullet"/>
      <w:lvlText w:val="•"/>
      <w:lvlJc w:val="left"/>
      <w:pPr>
        <w:ind w:left="2875" w:hanging="349"/>
      </w:pPr>
      <w:rPr>
        <w:rFonts w:hint="default"/>
      </w:rPr>
    </w:lvl>
    <w:lvl w:ilvl="4" w:tentative="0">
      <w:start w:val="0"/>
      <w:numFmt w:val="bullet"/>
      <w:lvlText w:val="•"/>
      <w:lvlJc w:val="left"/>
      <w:pPr>
        <w:ind w:left="3794" w:hanging="349"/>
      </w:pPr>
      <w:rPr>
        <w:rFonts w:hint="default"/>
      </w:rPr>
    </w:lvl>
    <w:lvl w:ilvl="5" w:tentative="0">
      <w:start w:val="0"/>
      <w:numFmt w:val="bullet"/>
      <w:lvlText w:val="•"/>
      <w:lvlJc w:val="left"/>
      <w:pPr>
        <w:ind w:left="4712" w:hanging="349"/>
      </w:pPr>
      <w:rPr>
        <w:rFonts w:hint="default"/>
      </w:rPr>
    </w:lvl>
    <w:lvl w:ilvl="6" w:tentative="0">
      <w:start w:val="0"/>
      <w:numFmt w:val="bullet"/>
      <w:lvlText w:val="•"/>
      <w:lvlJc w:val="left"/>
      <w:pPr>
        <w:ind w:left="5631" w:hanging="349"/>
      </w:pPr>
      <w:rPr>
        <w:rFonts w:hint="default"/>
      </w:rPr>
    </w:lvl>
    <w:lvl w:ilvl="7" w:tentative="0">
      <w:start w:val="0"/>
      <w:numFmt w:val="bullet"/>
      <w:lvlText w:val="•"/>
      <w:lvlJc w:val="left"/>
      <w:pPr>
        <w:ind w:left="6549" w:hanging="349"/>
      </w:pPr>
      <w:rPr>
        <w:rFonts w:hint="default"/>
      </w:rPr>
    </w:lvl>
    <w:lvl w:ilvl="8" w:tentative="0">
      <w:start w:val="0"/>
      <w:numFmt w:val="bullet"/>
      <w:lvlText w:val="•"/>
      <w:lvlJc w:val="left"/>
      <w:pPr>
        <w:ind w:left="7468" w:hanging="349"/>
      </w:pPr>
      <w:rPr>
        <w:rFonts w:hint="default"/>
      </w:rPr>
    </w:lvl>
  </w:abstractNum>
  <w:abstractNum w:abstractNumId="16">
    <w:nsid w:val="4B30263E"/>
    <w:multiLevelType w:val="multilevel"/>
    <w:tmpl w:val="4B30263E"/>
    <w:lvl w:ilvl="0" w:tentative="0">
      <w:start w:val="9"/>
      <w:numFmt w:val="decimal"/>
      <w:lvlText w:val="%1"/>
      <w:lvlJc w:val="left"/>
      <w:pPr>
        <w:ind w:left="884" w:hanging="328"/>
        <w:jc w:val="left"/>
      </w:pPr>
      <w:rPr>
        <w:rFonts w:hint="default"/>
      </w:rPr>
    </w:lvl>
    <w:lvl w:ilvl="1" w:tentative="0">
      <w:start w:val="1"/>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774" w:hanging="491"/>
      </w:pPr>
      <w:rPr>
        <w:rFonts w:hint="default"/>
      </w:rPr>
    </w:lvl>
    <w:lvl w:ilvl="4" w:tentative="0">
      <w:start w:val="0"/>
      <w:numFmt w:val="bullet"/>
      <w:lvlText w:val="•"/>
      <w:lvlJc w:val="left"/>
      <w:pPr>
        <w:ind w:left="3721" w:hanging="491"/>
      </w:pPr>
      <w:rPr>
        <w:rFonts w:hint="default"/>
      </w:rPr>
    </w:lvl>
    <w:lvl w:ilvl="5" w:tentative="0">
      <w:start w:val="0"/>
      <w:numFmt w:val="bullet"/>
      <w:lvlText w:val="•"/>
      <w:lvlJc w:val="left"/>
      <w:pPr>
        <w:ind w:left="4669" w:hanging="491"/>
      </w:pPr>
      <w:rPr>
        <w:rFonts w:hint="default"/>
      </w:rPr>
    </w:lvl>
    <w:lvl w:ilvl="6" w:tentative="0">
      <w:start w:val="0"/>
      <w:numFmt w:val="bullet"/>
      <w:lvlText w:val="•"/>
      <w:lvlJc w:val="left"/>
      <w:pPr>
        <w:ind w:left="5616" w:hanging="491"/>
      </w:pPr>
      <w:rPr>
        <w:rFonts w:hint="default"/>
      </w:rPr>
    </w:lvl>
    <w:lvl w:ilvl="7" w:tentative="0">
      <w:start w:val="0"/>
      <w:numFmt w:val="bullet"/>
      <w:lvlText w:val="•"/>
      <w:lvlJc w:val="left"/>
      <w:pPr>
        <w:ind w:left="6563" w:hanging="491"/>
      </w:pPr>
      <w:rPr>
        <w:rFonts w:hint="default"/>
      </w:rPr>
    </w:lvl>
    <w:lvl w:ilvl="8" w:tentative="0">
      <w:start w:val="0"/>
      <w:numFmt w:val="bullet"/>
      <w:lvlText w:val="•"/>
      <w:lvlJc w:val="left"/>
      <w:pPr>
        <w:ind w:left="7510" w:hanging="491"/>
      </w:pPr>
      <w:rPr>
        <w:rFonts w:hint="default"/>
      </w:rPr>
    </w:lvl>
  </w:abstractNum>
  <w:abstractNum w:abstractNumId="17">
    <w:nsid w:val="50033FAC"/>
    <w:multiLevelType w:val="multilevel"/>
    <w:tmpl w:val="50033FAC"/>
    <w:lvl w:ilvl="0" w:tentative="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tentative="0">
      <w:start w:val="1"/>
      <w:numFmt w:val="decimal"/>
      <w:lvlText w:val="%2."/>
      <w:lvlJc w:val="left"/>
      <w:pPr>
        <w:ind w:left="217" w:hanging="219"/>
        <w:jc w:val="left"/>
      </w:pPr>
      <w:rPr>
        <w:rFonts w:hint="default" w:ascii="方正书宋_GBK" w:hAnsi="方正书宋_GBK" w:eastAsia="方正书宋_GBK" w:cs="方正书宋_GBK"/>
        <w:color w:val="231F20"/>
        <w:w w:val="100"/>
        <w:sz w:val="22"/>
        <w:szCs w:val="22"/>
      </w:rPr>
    </w:lvl>
    <w:lvl w:ilvl="2" w:tentative="0">
      <w:start w:val="0"/>
      <w:numFmt w:val="bullet"/>
      <w:lvlText w:val="•"/>
      <w:lvlJc w:val="left"/>
      <w:pPr>
        <w:ind w:left="1229" w:hanging="219"/>
      </w:pPr>
      <w:rPr>
        <w:rFonts w:hint="default"/>
      </w:rPr>
    </w:lvl>
    <w:lvl w:ilvl="3" w:tentative="0">
      <w:start w:val="0"/>
      <w:numFmt w:val="bullet"/>
      <w:lvlText w:val="•"/>
      <w:lvlJc w:val="left"/>
      <w:pPr>
        <w:ind w:left="2239" w:hanging="219"/>
      </w:pPr>
      <w:rPr>
        <w:rFonts w:hint="default"/>
      </w:rPr>
    </w:lvl>
    <w:lvl w:ilvl="4" w:tentative="0">
      <w:start w:val="0"/>
      <w:numFmt w:val="bullet"/>
      <w:lvlText w:val="•"/>
      <w:lvlJc w:val="left"/>
      <w:pPr>
        <w:ind w:left="3248" w:hanging="219"/>
      </w:pPr>
      <w:rPr>
        <w:rFonts w:hint="default"/>
      </w:rPr>
    </w:lvl>
    <w:lvl w:ilvl="5" w:tentative="0">
      <w:start w:val="0"/>
      <w:numFmt w:val="bullet"/>
      <w:lvlText w:val="•"/>
      <w:lvlJc w:val="left"/>
      <w:pPr>
        <w:ind w:left="4258" w:hanging="219"/>
      </w:pPr>
      <w:rPr>
        <w:rFonts w:hint="default"/>
      </w:rPr>
    </w:lvl>
    <w:lvl w:ilvl="6" w:tentative="0">
      <w:start w:val="0"/>
      <w:numFmt w:val="bullet"/>
      <w:lvlText w:val="•"/>
      <w:lvlJc w:val="left"/>
      <w:pPr>
        <w:ind w:left="5267" w:hanging="219"/>
      </w:pPr>
      <w:rPr>
        <w:rFonts w:hint="default"/>
      </w:rPr>
    </w:lvl>
    <w:lvl w:ilvl="7" w:tentative="0">
      <w:start w:val="0"/>
      <w:numFmt w:val="bullet"/>
      <w:lvlText w:val="•"/>
      <w:lvlJc w:val="left"/>
      <w:pPr>
        <w:ind w:left="6277" w:hanging="219"/>
      </w:pPr>
      <w:rPr>
        <w:rFonts w:hint="default"/>
      </w:rPr>
    </w:lvl>
    <w:lvl w:ilvl="8" w:tentative="0">
      <w:start w:val="0"/>
      <w:numFmt w:val="bullet"/>
      <w:lvlText w:val="•"/>
      <w:lvlJc w:val="left"/>
      <w:pPr>
        <w:ind w:left="7286" w:hanging="219"/>
      </w:pPr>
      <w:rPr>
        <w:rFonts w:hint="default"/>
      </w:rPr>
    </w:lvl>
  </w:abstractNum>
  <w:abstractNum w:abstractNumId="18">
    <w:nsid w:val="50E36716"/>
    <w:multiLevelType w:val="multilevel"/>
    <w:tmpl w:val="50E36716"/>
    <w:lvl w:ilvl="0" w:tentative="0">
      <w:start w:val="7"/>
      <w:numFmt w:val="decimal"/>
      <w:lvlText w:val="%1"/>
      <w:lvlJc w:val="left"/>
      <w:pPr>
        <w:ind w:left="884" w:hanging="328"/>
        <w:jc w:val="left"/>
      </w:pPr>
      <w:rPr>
        <w:rFonts w:hint="default"/>
      </w:rPr>
    </w:lvl>
    <w:lvl w:ilvl="1" w:tentative="0">
      <w:start w:val="1"/>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048"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876" w:hanging="491"/>
      </w:pPr>
      <w:rPr>
        <w:rFonts w:hint="default"/>
      </w:rPr>
    </w:lvl>
    <w:lvl w:ilvl="4" w:tentative="0">
      <w:start w:val="0"/>
      <w:numFmt w:val="bullet"/>
      <w:lvlText w:val="•"/>
      <w:lvlJc w:val="left"/>
      <w:pPr>
        <w:ind w:left="3795" w:hanging="491"/>
      </w:pPr>
      <w:rPr>
        <w:rFonts w:hint="default"/>
      </w:rPr>
    </w:lvl>
    <w:lvl w:ilvl="5" w:tentative="0">
      <w:start w:val="0"/>
      <w:numFmt w:val="bullet"/>
      <w:lvlText w:val="•"/>
      <w:lvlJc w:val="left"/>
      <w:pPr>
        <w:ind w:left="4713" w:hanging="491"/>
      </w:pPr>
      <w:rPr>
        <w:rFonts w:hint="default"/>
      </w:rPr>
    </w:lvl>
    <w:lvl w:ilvl="6" w:tentative="0">
      <w:start w:val="0"/>
      <w:numFmt w:val="bullet"/>
      <w:lvlText w:val="•"/>
      <w:lvlJc w:val="left"/>
      <w:pPr>
        <w:ind w:left="5631" w:hanging="491"/>
      </w:pPr>
      <w:rPr>
        <w:rFonts w:hint="default"/>
      </w:rPr>
    </w:lvl>
    <w:lvl w:ilvl="7" w:tentative="0">
      <w:start w:val="0"/>
      <w:numFmt w:val="bullet"/>
      <w:lvlText w:val="•"/>
      <w:lvlJc w:val="left"/>
      <w:pPr>
        <w:ind w:left="6550" w:hanging="491"/>
      </w:pPr>
      <w:rPr>
        <w:rFonts w:hint="default"/>
      </w:rPr>
    </w:lvl>
    <w:lvl w:ilvl="8" w:tentative="0">
      <w:start w:val="0"/>
      <w:numFmt w:val="bullet"/>
      <w:lvlText w:val="•"/>
      <w:lvlJc w:val="left"/>
      <w:pPr>
        <w:ind w:left="7468" w:hanging="491"/>
      </w:pPr>
      <w:rPr>
        <w:rFonts w:hint="default"/>
      </w:rPr>
    </w:lvl>
  </w:abstractNum>
  <w:abstractNum w:abstractNumId="19">
    <w:nsid w:val="51573ED7"/>
    <w:multiLevelType w:val="multilevel"/>
    <w:tmpl w:val="51573ED7"/>
    <w:lvl w:ilvl="0" w:tentative="0">
      <w:start w:val="3"/>
      <w:numFmt w:val="decimal"/>
      <w:lvlText w:val="%1"/>
      <w:lvlJc w:val="left"/>
      <w:pPr>
        <w:ind w:left="117" w:hanging="491"/>
        <w:jc w:val="left"/>
      </w:pPr>
      <w:rPr>
        <w:rFonts w:hint="default"/>
      </w:rPr>
    </w:lvl>
    <w:lvl w:ilvl="1" w:tentative="0">
      <w:start w:val="2"/>
      <w:numFmt w:val="decimal"/>
      <w:lvlText w:val="%1.%2"/>
      <w:lvlJc w:val="left"/>
      <w:pPr>
        <w:ind w:left="117" w:hanging="491"/>
        <w:jc w:val="left"/>
      </w:pPr>
      <w:rPr>
        <w:rFonts w:hint="default"/>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875" w:hanging="491"/>
      </w:pPr>
      <w:rPr>
        <w:rFonts w:hint="default"/>
      </w:rPr>
    </w:lvl>
    <w:lvl w:ilvl="4" w:tentative="0">
      <w:start w:val="0"/>
      <w:numFmt w:val="bullet"/>
      <w:lvlText w:val="•"/>
      <w:lvlJc w:val="left"/>
      <w:pPr>
        <w:ind w:left="3794" w:hanging="491"/>
      </w:pPr>
      <w:rPr>
        <w:rFonts w:hint="default"/>
      </w:rPr>
    </w:lvl>
    <w:lvl w:ilvl="5" w:tentative="0">
      <w:start w:val="0"/>
      <w:numFmt w:val="bullet"/>
      <w:lvlText w:val="•"/>
      <w:lvlJc w:val="left"/>
      <w:pPr>
        <w:ind w:left="4712" w:hanging="491"/>
      </w:pPr>
      <w:rPr>
        <w:rFonts w:hint="default"/>
      </w:rPr>
    </w:lvl>
    <w:lvl w:ilvl="6" w:tentative="0">
      <w:start w:val="0"/>
      <w:numFmt w:val="bullet"/>
      <w:lvlText w:val="•"/>
      <w:lvlJc w:val="left"/>
      <w:pPr>
        <w:ind w:left="5631" w:hanging="491"/>
      </w:pPr>
      <w:rPr>
        <w:rFonts w:hint="default"/>
      </w:rPr>
    </w:lvl>
    <w:lvl w:ilvl="7" w:tentative="0">
      <w:start w:val="0"/>
      <w:numFmt w:val="bullet"/>
      <w:lvlText w:val="•"/>
      <w:lvlJc w:val="left"/>
      <w:pPr>
        <w:ind w:left="6549" w:hanging="491"/>
      </w:pPr>
      <w:rPr>
        <w:rFonts w:hint="default"/>
      </w:rPr>
    </w:lvl>
    <w:lvl w:ilvl="8" w:tentative="0">
      <w:start w:val="0"/>
      <w:numFmt w:val="bullet"/>
      <w:lvlText w:val="•"/>
      <w:lvlJc w:val="left"/>
      <w:pPr>
        <w:ind w:left="7468" w:hanging="491"/>
      </w:pPr>
      <w:rPr>
        <w:rFonts w:hint="default"/>
      </w:rPr>
    </w:lvl>
  </w:abstractNum>
  <w:abstractNum w:abstractNumId="20">
    <w:nsid w:val="5D2219FE"/>
    <w:multiLevelType w:val="multilevel"/>
    <w:tmpl w:val="5D2219FE"/>
    <w:lvl w:ilvl="0" w:tentative="0">
      <w:start w:val="13"/>
      <w:numFmt w:val="decimal"/>
      <w:lvlText w:val="%1"/>
      <w:lvlJc w:val="left"/>
      <w:pPr>
        <w:ind w:left="117" w:hanging="437"/>
        <w:jc w:val="left"/>
      </w:pPr>
      <w:rPr>
        <w:rFonts w:hint="default"/>
      </w:rPr>
    </w:lvl>
    <w:lvl w:ilvl="1" w:tentative="0">
      <w:start w:val="1"/>
      <w:numFmt w:val="decimal"/>
      <w:lvlText w:val="%1.%2"/>
      <w:lvlJc w:val="left"/>
      <w:pPr>
        <w:ind w:left="117" w:hanging="437"/>
        <w:jc w:val="left"/>
      </w:pPr>
      <w:rPr>
        <w:rFonts w:hint="default" w:ascii="方正书宋_GBK" w:hAnsi="方正书宋_GBK" w:eastAsia="方正书宋_GBK" w:cs="方正书宋_GBK"/>
        <w:color w:val="231F20"/>
        <w:w w:val="100"/>
        <w:sz w:val="22"/>
        <w:szCs w:val="22"/>
      </w:rPr>
    </w:lvl>
    <w:lvl w:ilvl="2" w:tentative="0">
      <w:start w:val="1"/>
      <w:numFmt w:val="decimal"/>
      <w:lvlText w:val="%1.%2.%3"/>
      <w:lvlJc w:val="left"/>
      <w:pPr>
        <w:ind w:left="117" w:hanging="602"/>
        <w:jc w:val="left"/>
      </w:pPr>
      <w:rPr>
        <w:rFonts w:hint="default" w:ascii="方正书宋_GBK" w:hAnsi="方正书宋_GBK" w:eastAsia="方正书宋_GBK" w:cs="方正书宋_GBK"/>
        <w:color w:val="231F20"/>
        <w:w w:val="100"/>
        <w:sz w:val="22"/>
        <w:szCs w:val="22"/>
      </w:rPr>
    </w:lvl>
    <w:lvl w:ilvl="3" w:tentative="0">
      <w:start w:val="0"/>
      <w:numFmt w:val="bullet"/>
      <w:lvlText w:val="•"/>
      <w:lvlJc w:val="left"/>
      <w:pPr>
        <w:ind w:left="2905" w:hanging="602"/>
      </w:pPr>
      <w:rPr>
        <w:rFonts w:hint="default"/>
      </w:rPr>
    </w:lvl>
    <w:lvl w:ilvl="4" w:tentative="0">
      <w:start w:val="0"/>
      <w:numFmt w:val="bullet"/>
      <w:lvlText w:val="•"/>
      <w:lvlJc w:val="left"/>
      <w:pPr>
        <w:ind w:left="3834" w:hanging="602"/>
      </w:pPr>
      <w:rPr>
        <w:rFonts w:hint="default"/>
      </w:rPr>
    </w:lvl>
    <w:lvl w:ilvl="5" w:tentative="0">
      <w:start w:val="0"/>
      <w:numFmt w:val="bullet"/>
      <w:lvlText w:val="•"/>
      <w:lvlJc w:val="left"/>
      <w:pPr>
        <w:ind w:left="4762" w:hanging="602"/>
      </w:pPr>
      <w:rPr>
        <w:rFonts w:hint="default"/>
      </w:rPr>
    </w:lvl>
    <w:lvl w:ilvl="6" w:tentative="0">
      <w:start w:val="0"/>
      <w:numFmt w:val="bullet"/>
      <w:lvlText w:val="•"/>
      <w:lvlJc w:val="left"/>
      <w:pPr>
        <w:ind w:left="5691" w:hanging="602"/>
      </w:pPr>
      <w:rPr>
        <w:rFonts w:hint="default"/>
      </w:rPr>
    </w:lvl>
    <w:lvl w:ilvl="7" w:tentative="0">
      <w:start w:val="0"/>
      <w:numFmt w:val="bullet"/>
      <w:lvlText w:val="•"/>
      <w:lvlJc w:val="left"/>
      <w:pPr>
        <w:ind w:left="6619" w:hanging="602"/>
      </w:pPr>
      <w:rPr>
        <w:rFonts w:hint="default"/>
      </w:rPr>
    </w:lvl>
    <w:lvl w:ilvl="8" w:tentative="0">
      <w:start w:val="0"/>
      <w:numFmt w:val="bullet"/>
      <w:lvlText w:val="•"/>
      <w:lvlJc w:val="left"/>
      <w:pPr>
        <w:ind w:left="7548" w:hanging="602"/>
      </w:pPr>
      <w:rPr>
        <w:rFonts w:hint="default"/>
      </w:rPr>
    </w:lvl>
  </w:abstractNum>
  <w:abstractNum w:abstractNumId="21">
    <w:nsid w:val="5F377B3E"/>
    <w:multiLevelType w:val="multilevel"/>
    <w:tmpl w:val="5F377B3E"/>
    <w:lvl w:ilvl="0" w:tentative="0">
      <w:start w:val="10"/>
      <w:numFmt w:val="decimal"/>
      <w:lvlText w:val="%1"/>
      <w:lvlJc w:val="left"/>
      <w:pPr>
        <w:ind w:left="993" w:hanging="437"/>
        <w:jc w:val="left"/>
      </w:pPr>
      <w:rPr>
        <w:rFonts w:hint="default"/>
      </w:rPr>
    </w:lvl>
    <w:lvl w:ilvl="1" w:tentative="0">
      <w:start w:val="2"/>
      <w:numFmt w:val="decimal"/>
      <w:lvlText w:val="%1.%2"/>
      <w:lvlJc w:val="left"/>
      <w:pPr>
        <w:ind w:left="117" w:hanging="437"/>
        <w:jc w:val="left"/>
      </w:pPr>
      <w:rPr>
        <w:rFonts w:hint="default" w:ascii="方正书宋_GBK" w:hAnsi="方正书宋_GBK" w:eastAsia="方正书宋_GBK" w:cs="方正书宋_GBK"/>
        <w:color w:val="231F20"/>
        <w:spacing w:val="-1"/>
        <w:w w:val="100"/>
        <w:sz w:val="22"/>
        <w:szCs w:val="22"/>
      </w:rPr>
    </w:lvl>
    <w:lvl w:ilvl="2" w:tentative="0">
      <w:start w:val="0"/>
      <w:numFmt w:val="bullet"/>
      <w:lvlText w:val="•"/>
      <w:lvlJc w:val="left"/>
      <w:pPr>
        <w:ind w:left="1933" w:hanging="437"/>
      </w:pPr>
      <w:rPr>
        <w:rFonts w:hint="default"/>
      </w:rPr>
    </w:lvl>
    <w:lvl w:ilvl="3" w:tentative="0">
      <w:start w:val="0"/>
      <w:numFmt w:val="bullet"/>
      <w:lvlText w:val="•"/>
      <w:lvlJc w:val="left"/>
      <w:pPr>
        <w:ind w:left="2867" w:hanging="437"/>
      </w:pPr>
      <w:rPr>
        <w:rFonts w:hint="default"/>
      </w:rPr>
    </w:lvl>
    <w:lvl w:ilvl="4" w:tentative="0">
      <w:start w:val="0"/>
      <w:numFmt w:val="bullet"/>
      <w:lvlText w:val="•"/>
      <w:lvlJc w:val="left"/>
      <w:pPr>
        <w:ind w:left="3801" w:hanging="437"/>
      </w:pPr>
      <w:rPr>
        <w:rFonts w:hint="default"/>
      </w:rPr>
    </w:lvl>
    <w:lvl w:ilvl="5" w:tentative="0">
      <w:start w:val="0"/>
      <w:numFmt w:val="bullet"/>
      <w:lvlText w:val="•"/>
      <w:lvlJc w:val="left"/>
      <w:pPr>
        <w:ind w:left="4735" w:hanging="437"/>
      </w:pPr>
      <w:rPr>
        <w:rFonts w:hint="default"/>
      </w:rPr>
    </w:lvl>
    <w:lvl w:ilvl="6" w:tentative="0">
      <w:start w:val="0"/>
      <w:numFmt w:val="bullet"/>
      <w:lvlText w:val="•"/>
      <w:lvlJc w:val="left"/>
      <w:pPr>
        <w:ind w:left="5669" w:hanging="437"/>
      </w:pPr>
      <w:rPr>
        <w:rFonts w:hint="default"/>
      </w:rPr>
    </w:lvl>
    <w:lvl w:ilvl="7" w:tentative="0">
      <w:start w:val="0"/>
      <w:numFmt w:val="bullet"/>
      <w:lvlText w:val="•"/>
      <w:lvlJc w:val="left"/>
      <w:pPr>
        <w:ind w:left="6603" w:hanging="437"/>
      </w:pPr>
      <w:rPr>
        <w:rFonts w:hint="default"/>
      </w:rPr>
    </w:lvl>
    <w:lvl w:ilvl="8" w:tentative="0">
      <w:start w:val="0"/>
      <w:numFmt w:val="bullet"/>
      <w:lvlText w:val="•"/>
      <w:lvlJc w:val="left"/>
      <w:pPr>
        <w:ind w:left="7537" w:hanging="437"/>
      </w:pPr>
      <w:rPr>
        <w:rFonts w:hint="default"/>
      </w:rPr>
    </w:lvl>
  </w:abstractNum>
  <w:abstractNum w:abstractNumId="22">
    <w:nsid w:val="6000269D"/>
    <w:multiLevelType w:val="multilevel"/>
    <w:tmpl w:val="6000269D"/>
    <w:lvl w:ilvl="0" w:tentative="0">
      <w:start w:val="6"/>
      <w:numFmt w:val="decimal"/>
      <w:lvlText w:val="%1"/>
      <w:lvlJc w:val="left"/>
      <w:pPr>
        <w:ind w:left="884" w:hanging="328"/>
        <w:jc w:val="left"/>
      </w:pPr>
      <w:rPr>
        <w:rFonts w:hint="default"/>
      </w:rPr>
    </w:lvl>
    <w:lvl w:ilvl="1" w:tentative="0">
      <w:start w:val="3"/>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83"/>
        <w:w w:val="100"/>
        <w:sz w:val="22"/>
        <w:szCs w:val="22"/>
      </w:rPr>
    </w:lvl>
    <w:lvl w:ilvl="3" w:tentative="0">
      <w:start w:val="0"/>
      <w:numFmt w:val="bullet"/>
      <w:lvlText w:val="•"/>
      <w:lvlJc w:val="left"/>
      <w:pPr>
        <w:ind w:left="2774" w:hanging="491"/>
      </w:pPr>
      <w:rPr>
        <w:rFonts w:hint="default"/>
      </w:rPr>
    </w:lvl>
    <w:lvl w:ilvl="4" w:tentative="0">
      <w:start w:val="0"/>
      <w:numFmt w:val="bullet"/>
      <w:lvlText w:val="•"/>
      <w:lvlJc w:val="left"/>
      <w:pPr>
        <w:ind w:left="3721" w:hanging="491"/>
      </w:pPr>
      <w:rPr>
        <w:rFonts w:hint="default"/>
      </w:rPr>
    </w:lvl>
    <w:lvl w:ilvl="5" w:tentative="0">
      <w:start w:val="0"/>
      <w:numFmt w:val="bullet"/>
      <w:lvlText w:val="•"/>
      <w:lvlJc w:val="left"/>
      <w:pPr>
        <w:ind w:left="4669" w:hanging="491"/>
      </w:pPr>
      <w:rPr>
        <w:rFonts w:hint="default"/>
      </w:rPr>
    </w:lvl>
    <w:lvl w:ilvl="6" w:tentative="0">
      <w:start w:val="0"/>
      <w:numFmt w:val="bullet"/>
      <w:lvlText w:val="•"/>
      <w:lvlJc w:val="left"/>
      <w:pPr>
        <w:ind w:left="5616" w:hanging="491"/>
      </w:pPr>
      <w:rPr>
        <w:rFonts w:hint="default"/>
      </w:rPr>
    </w:lvl>
    <w:lvl w:ilvl="7" w:tentative="0">
      <w:start w:val="0"/>
      <w:numFmt w:val="bullet"/>
      <w:lvlText w:val="•"/>
      <w:lvlJc w:val="left"/>
      <w:pPr>
        <w:ind w:left="6563" w:hanging="491"/>
      </w:pPr>
      <w:rPr>
        <w:rFonts w:hint="default"/>
      </w:rPr>
    </w:lvl>
    <w:lvl w:ilvl="8" w:tentative="0">
      <w:start w:val="0"/>
      <w:numFmt w:val="bullet"/>
      <w:lvlText w:val="•"/>
      <w:lvlJc w:val="left"/>
      <w:pPr>
        <w:ind w:left="7510" w:hanging="491"/>
      </w:pPr>
      <w:rPr>
        <w:rFonts w:hint="default"/>
      </w:rPr>
    </w:lvl>
  </w:abstractNum>
  <w:abstractNum w:abstractNumId="23">
    <w:nsid w:val="66D9625D"/>
    <w:multiLevelType w:val="multilevel"/>
    <w:tmpl w:val="66D9625D"/>
    <w:lvl w:ilvl="0" w:tentative="0">
      <w:start w:val="6"/>
      <w:numFmt w:val="decimal"/>
      <w:lvlText w:val="%1"/>
      <w:lvlJc w:val="left"/>
      <w:pPr>
        <w:ind w:left="884" w:hanging="328"/>
        <w:jc w:val="left"/>
      </w:pPr>
      <w:rPr>
        <w:rFonts w:hint="default"/>
      </w:rPr>
    </w:lvl>
    <w:lvl w:ilvl="1" w:tentative="0">
      <w:start w:val="4"/>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83"/>
        <w:w w:val="100"/>
        <w:sz w:val="22"/>
        <w:szCs w:val="22"/>
      </w:rPr>
    </w:lvl>
    <w:lvl w:ilvl="3" w:tentative="0">
      <w:start w:val="0"/>
      <w:numFmt w:val="bullet"/>
      <w:lvlText w:val="•"/>
      <w:lvlJc w:val="left"/>
      <w:pPr>
        <w:ind w:left="2752" w:hanging="491"/>
      </w:pPr>
      <w:rPr>
        <w:rFonts w:hint="default"/>
      </w:rPr>
    </w:lvl>
    <w:lvl w:ilvl="4" w:tentative="0">
      <w:start w:val="0"/>
      <w:numFmt w:val="bullet"/>
      <w:lvlText w:val="•"/>
      <w:lvlJc w:val="left"/>
      <w:pPr>
        <w:ind w:left="3688" w:hanging="491"/>
      </w:pPr>
      <w:rPr>
        <w:rFonts w:hint="default"/>
      </w:rPr>
    </w:lvl>
    <w:lvl w:ilvl="5" w:tentative="0">
      <w:start w:val="0"/>
      <w:numFmt w:val="bullet"/>
      <w:lvlText w:val="•"/>
      <w:lvlJc w:val="left"/>
      <w:pPr>
        <w:ind w:left="4624" w:hanging="491"/>
      </w:pPr>
      <w:rPr>
        <w:rFonts w:hint="default"/>
      </w:rPr>
    </w:lvl>
    <w:lvl w:ilvl="6" w:tentative="0">
      <w:start w:val="0"/>
      <w:numFmt w:val="bullet"/>
      <w:lvlText w:val="•"/>
      <w:lvlJc w:val="left"/>
      <w:pPr>
        <w:ind w:left="5560" w:hanging="491"/>
      </w:pPr>
      <w:rPr>
        <w:rFonts w:hint="default"/>
      </w:rPr>
    </w:lvl>
    <w:lvl w:ilvl="7" w:tentative="0">
      <w:start w:val="0"/>
      <w:numFmt w:val="bullet"/>
      <w:lvlText w:val="•"/>
      <w:lvlJc w:val="left"/>
      <w:pPr>
        <w:ind w:left="6497" w:hanging="491"/>
      </w:pPr>
      <w:rPr>
        <w:rFonts w:hint="default"/>
      </w:rPr>
    </w:lvl>
    <w:lvl w:ilvl="8" w:tentative="0">
      <w:start w:val="0"/>
      <w:numFmt w:val="bullet"/>
      <w:lvlText w:val="•"/>
      <w:lvlJc w:val="left"/>
      <w:pPr>
        <w:ind w:left="7433" w:hanging="491"/>
      </w:pPr>
      <w:rPr>
        <w:rFonts w:hint="default"/>
      </w:rPr>
    </w:lvl>
  </w:abstractNum>
  <w:abstractNum w:abstractNumId="24">
    <w:nsid w:val="67340199"/>
    <w:multiLevelType w:val="multilevel"/>
    <w:tmpl w:val="67340199"/>
    <w:lvl w:ilvl="0" w:tentative="0">
      <w:start w:val="7"/>
      <w:numFmt w:val="decimal"/>
      <w:lvlText w:val="%1"/>
      <w:lvlJc w:val="left"/>
      <w:pPr>
        <w:ind w:left="884" w:hanging="328"/>
        <w:jc w:val="left"/>
      </w:pPr>
      <w:rPr>
        <w:rFonts w:hint="default"/>
      </w:rPr>
    </w:lvl>
    <w:lvl w:ilvl="1" w:tentative="0">
      <w:start w:val="2"/>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876" w:hanging="490"/>
      </w:pPr>
      <w:rPr>
        <w:rFonts w:hint="default"/>
      </w:rPr>
    </w:lvl>
    <w:lvl w:ilvl="4" w:tentative="0">
      <w:start w:val="0"/>
      <w:numFmt w:val="bullet"/>
      <w:lvlText w:val="•"/>
      <w:lvlJc w:val="left"/>
      <w:pPr>
        <w:ind w:left="3795" w:hanging="490"/>
      </w:pPr>
      <w:rPr>
        <w:rFonts w:hint="default"/>
      </w:rPr>
    </w:lvl>
    <w:lvl w:ilvl="5" w:tentative="0">
      <w:start w:val="0"/>
      <w:numFmt w:val="bullet"/>
      <w:lvlText w:val="•"/>
      <w:lvlJc w:val="left"/>
      <w:pPr>
        <w:ind w:left="4713" w:hanging="490"/>
      </w:pPr>
      <w:rPr>
        <w:rFonts w:hint="default"/>
      </w:rPr>
    </w:lvl>
    <w:lvl w:ilvl="6" w:tentative="0">
      <w:start w:val="0"/>
      <w:numFmt w:val="bullet"/>
      <w:lvlText w:val="•"/>
      <w:lvlJc w:val="left"/>
      <w:pPr>
        <w:ind w:left="5631" w:hanging="490"/>
      </w:pPr>
      <w:rPr>
        <w:rFonts w:hint="default"/>
      </w:rPr>
    </w:lvl>
    <w:lvl w:ilvl="7" w:tentative="0">
      <w:start w:val="0"/>
      <w:numFmt w:val="bullet"/>
      <w:lvlText w:val="•"/>
      <w:lvlJc w:val="left"/>
      <w:pPr>
        <w:ind w:left="6550" w:hanging="490"/>
      </w:pPr>
      <w:rPr>
        <w:rFonts w:hint="default"/>
      </w:rPr>
    </w:lvl>
    <w:lvl w:ilvl="8" w:tentative="0">
      <w:start w:val="0"/>
      <w:numFmt w:val="bullet"/>
      <w:lvlText w:val="•"/>
      <w:lvlJc w:val="left"/>
      <w:pPr>
        <w:ind w:left="7468" w:hanging="490"/>
      </w:pPr>
      <w:rPr>
        <w:rFonts w:hint="default"/>
      </w:rPr>
    </w:lvl>
  </w:abstractNum>
  <w:abstractNum w:abstractNumId="25">
    <w:nsid w:val="67C670A6"/>
    <w:multiLevelType w:val="multilevel"/>
    <w:tmpl w:val="67C670A6"/>
    <w:lvl w:ilvl="0" w:tentative="0">
      <w:start w:val="4"/>
      <w:numFmt w:val="decimal"/>
      <w:lvlText w:val="%1"/>
      <w:lvlJc w:val="left"/>
      <w:pPr>
        <w:ind w:left="117" w:hanging="339"/>
        <w:jc w:val="left"/>
      </w:pPr>
      <w:rPr>
        <w:rFonts w:hint="default"/>
      </w:rPr>
    </w:lvl>
    <w:lvl w:ilvl="1" w:tentative="0">
      <w:start w:val="1"/>
      <w:numFmt w:val="decimal"/>
      <w:lvlText w:val="%1.%2"/>
      <w:lvlJc w:val="left"/>
      <w:pPr>
        <w:ind w:left="117" w:hanging="339"/>
        <w:jc w:val="left"/>
      </w:pPr>
      <w:rPr>
        <w:rFonts w:hint="default" w:ascii="方正书宋_GBK" w:hAnsi="方正书宋_GBK" w:eastAsia="方正书宋_GBK" w:cs="方正书宋_GBK"/>
        <w:color w:val="231F20"/>
        <w:w w:val="100"/>
        <w:sz w:val="22"/>
        <w:szCs w:val="22"/>
      </w:rPr>
    </w:lvl>
    <w:lvl w:ilvl="2" w:tentative="0">
      <w:start w:val="0"/>
      <w:numFmt w:val="bullet"/>
      <w:lvlText w:val="•"/>
      <w:lvlJc w:val="left"/>
      <w:pPr>
        <w:ind w:left="1977" w:hanging="339"/>
      </w:pPr>
      <w:rPr>
        <w:rFonts w:hint="default"/>
      </w:rPr>
    </w:lvl>
    <w:lvl w:ilvl="3" w:tentative="0">
      <w:start w:val="0"/>
      <w:numFmt w:val="bullet"/>
      <w:lvlText w:val="•"/>
      <w:lvlJc w:val="left"/>
      <w:pPr>
        <w:ind w:left="2905" w:hanging="339"/>
      </w:pPr>
      <w:rPr>
        <w:rFonts w:hint="default"/>
      </w:rPr>
    </w:lvl>
    <w:lvl w:ilvl="4" w:tentative="0">
      <w:start w:val="0"/>
      <w:numFmt w:val="bullet"/>
      <w:lvlText w:val="•"/>
      <w:lvlJc w:val="left"/>
      <w:pPr>
        <w:ind w:left="3834" w:hanging="339"/>
      </w:pPr>
      <w:rPr>
        <w:rFonts w:hint="default"/>
      </w:rPr>
    </w:lvl>
    <w:lvl w:ilvl="5" w:tentative="0">
      <w:start w:val="0"/>
      <w:numFmt w:val="bullet"/>
      <w:lvlText w:val="•"/>
      <w:lvlJc w:val="left"/>
      <w:pPr>
        <w:ind w:left="4762" w:hanging="339"/>
      </w:pPr>
      <w:rPr>
        <w:rFonts w:hint="default"/>
      </w:rPr>
    </w:lvl>
    <w:lvl w:ilvl="6" w:tentative="0">
      <w:start w:val="0"/>
      <w:numFmt w:val="bullet"/>
      <w:lvlText w:val="•"/>
      <w:lvlJc w:val="left"/>
      <w:pPr>
        <w:ind w:left="5691" w:hanging="339"/>
      </w:pPr>
      <w:rPr>
        <w:rFonts w:hint="default"/>
      </w:rPr>
    </w:lvl>
    <w:lvl w:ilvl="7" w:tentative="0">
      <w:start w:val="0"/>
      <w:numFmt w:val="bullet"/>
      <w:lvlText w:val="•"/>
      <w:lvlJc w:val="left"/>
      <w:pPr>
        <w:ind w:left="6619" w:hanging="339"/>
      </w:pPr>
      <w:rPr>
        <w:rFonts w:hint="default"/>
      </w:rPr>
    </w:lvl>
    <w:lvl w:ilvl="8" w:tentative="0">
      <w:start w:val="0"/>
      <w:numFmt w:val="bullet"/>
      <w:lvlText w:val="•"/>
      <w:lvlJc w:val="left"/>
      <w:pPr>
        <w:ind w:left="7548" w:hanging="339"/>
      </w:pPr>
      <w:rPr>
        <w:rFonts w:hint="default"/>
      </w:rPr>
    </w:lvl>
  </w:abstractNum>
  <w:abstractNum w:abstractNumId="26">
    <w:nsid w:val="6BBC49F8"/>
    <w:multiLevelType w:val="multilevel"/>
    <w:tmpl w:val="6BBC49F8"/>
    <w:lvl w:ilvl="0" w:tentative="0">
      <w:start w:val="6"/>
      <w:numFmt w:val="decimal"/>
      <w:lvlText w:val="%1"/>
      <w:lvlJc w:val="left"/>
      <w:pPr>
        <w:ind w:left="435" w:hanging="435"/>
      </w:pPr>
      <w:rPr>
        <w:rFonts w:hint="default"/>
        <w:color w:val="231F20"/>
      </w:rPr>
    </w:lvl>
    <w:lvl w:ilvl="1" w:tentative="0">
      <w:start w:val="4"/>
      <w:numFmt w:val="decimal"/>
      <w:lvlText w:val="%1.%2"/>
      <w:lvlJc w:val="left"/>
      <w:pPr>
        <w:ind w:left="713" w:hanging="435"/>
      </w:pPr>
      <w:rPr>
        <w:rFonts w:hint="default"/>
        <w:color w:val="231F20"/>
      </w:rPr>
    </w:lvl>
    <w:lvl w:ilvl="2" w:tentative="0">
      <w:start w:val="5"/>
      <w:numFmt w:val="decimal"/>
      <w:lvlText w:val="%1.%2.%3"/>
      <w:lvlJc w:val="left"/>
      <w:pPr>
        <w:ind w:left="1276" w:hanging="720"/>
      </w:pPr>
      <w:rPr>
        <w:rFonts w:hint="default"/>
        <w:color w:val="231F20"/>
      </w:rPr>
    </w:lvl>
    <w:lvl w:ilvl="3" w:tentative="0">
      <w:start w:val="1"/>
      <w:numFmt w:val="decimal"/>
      <w:lvlText w:val="%1.%2.%3.%4"/>
      <w:lvlJc w:val="left"/>
      <w:pPr>
        <w:ind w:left="1554" w:hanging="720"/>
      </w:pPr>
      <w:rPr>
        <w:rFonts w:hint="default"/>
        <w:color w:val="231F20"/>
      </w:rPr>
    </w:lvl>
    <w:lvl w:ilvl="4" w:tentative="0">
      <w:start w:val="1"/>
      <w:numFmt w:val="decimal"/>
      <w:lvlText w:val="%1.%2.%3.%4.%5"/>
      <w:lvlJc w:val="left"/>
      <w:pPr>
        <w:ind w:left="2192" w:hanging="1080"/>
      </w:pPr>
      <w:rPr>
        <w:rFonts w:hint="default"/>
        <w:color w:val="231F20"/>
      </w:rPr>
    </w:lvl>
    <w:lvl w:ilvl="5" w:tentative="0">
      <w:start w:val="1"/>
      <w:numFmt w:val="decimal"/>
      <w:lvlText w:val="%1.%2.%3.%4.%5.%6"/>
      <w:lvlJc w:val="left"/>
      <w:pPr>
        <w:ind w:left="2470" w:hanging="1080"/>
      </w:pPr>
      <w:rPr>
        <w:rFonts w:hint="default"/>
        <w:color w:val="231F20"/>
      </w:rPr>
    </w:lvl>
    <w:lvl w:ilvl="6" w:tentative="0">
      <w:start w:val="1"/>
      <w:numFmt w:val="decimal"/>
      <w:lvlText w:val="%1.%2.%3.%4.%5.%6.%7"/>
      <w:lvlJc w:val="left"/>
      <w:pPr>
        <w:ind w:left="3108" w:hanging="1440"/>
      </w:pPr>
      <w:rPr>
        <w:rFonts w:hint="default"/>
        <w:color w:val="231F20"/>
      </w:rPr>
    </w:lvl>
    <w:lvl w:ilvl="7" w:tentative="0">
      <w:start w:val="1"/>
      <w:numFmt w:val="decimal"/>
      <w:lvlText w:val="%1.%2.%3.%4.%5.%6.%7.%8"/>
      <w:lvlJc w:val="left"/>
      <w:pPr>
        <w:ind w:left="3386" w:hanging="1440"/>
      </w:pPr>
      <w:rPr>
        <w:rFonts w:hint="default"/>
        <w:color w:val="231F20"/>
      </w:rPr>
    </w:lvl>
    <w:lvl w:ilvl="8" w:tentative="0">
      <w:start w:val="1"/>
      <w:numFmt w:val="decimal"/>
      <w:lvlText w:val="%1.%2.%3.%4.%5.%6.%7.%8.%9"/>
      <w:lvlJc w:val="left"/>
      <w:pPr>
        <w:ind w:left="3664" w:hanging="1440"/>
      </w:pPr>
      <w:rPr>
        <w:rFonts w:hint="default"/>
        <w:color w:val="231F20"/>
      </w:rPr>
    </w:lvl>
  </w:abstractNum>
  <w:abstractNum w:abstractNumId="27">
    <w:nsid w:val="707507F9"/>
    <w:multiLevelType w:val="multilevel"/>
    <w:tmpl w:val="707507F9"/>
    <w:lvl w:ilvl="0" w:tentative="0">
      <w:start w:val="5"/>
      <w:numFmt w:val="decimal"/>
      <w:lvlText w:val="%1"/>
      <w:lvlJc w:val="left"/>
      <w:pPr>
        <w:ind w:left="884" w:hanging="328"/>
        <w:jc w:val="left"/>
      </w:pPr>
      <w:rPr>
        <w:rFonts w:hint="default"/>
      </w:rPr>
    </w:lvl>
    <w:lvl w:ilvl="1" w:tentative="0">
      <w:start w:val="1"/>
      <w:numFmt w:val="decimal"/>
      <w:lvlText w:val="%1.%2"/>
      <w:lvlJc w:val="left"/>
      <w:pPr>
        <w:ind w:left="884" w:hanging="328"/>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774" w:hanging="491"/>
      </w:pPr>
      <w:rPr>
        <w:rFonts w:hint="default"/>
      </w:rPr>
    </w:lvl>
    <w:lvl w:ilvl="4" w:tentative="0">
      <w:start w:val="0"/>
      <w:numFmt w:val="bullet"/>
      <w:lvlText w:val="•"/>
      <w:lvlJc w:val="left"/>
      <w:pPr>
        <w:ind w:left="3721" w:hanging="491"/>
      </w:pPr>
      <w:rPr>
        <w:rFonts w:hint="default"/>
      </w:rPr>
    </w:lvl>
    <w:lvl w:ilvl="5" w:tentative="0">
      <w:start w:val="0"/>
      <w:numFmt w:val="bullet"/>
      <w:lvlText w:val="•"/>
      <w:lvlJc w:val="left"/>
      <w:pPr>
        <w:ind w:left="4669" w:hanging="491"/>
      </w:pPr>
      <w:rPr>
        <w:rFonts w:hint="default"/>
      </w:rPr>
    </w:lvl>
    <w:lvl w:ilvl="6" w:tentative="0">
      <w:start w:val="0"/>
      <w:numFmt w:val="bullet"/>
      <w:lvlText w:val="•"/>
      <w:lvlJc w:val="left"/>
      <w:pPr>
        <w:ind w:left="5616" w:hanging="491"/>
      </w:pPr>
      <w:rPr>
        <w:rFonts w:hint="default"/>
      </w:rPr>
    </w:lvl>
    <w:lvl w:ilvl="7" w:tentative="0">
      <w:start w:val="0"/>
      <w:numFmt w:val="bullet"/>
      <w:lvlText w:val="•"/>
      <w:lvlJc w:val="left"/>
      <w:pPr>
        <w:ind w:left="6563" w:hanging="491"/>
      </w:pPr>
      <w:rPr>
        <w:rFonts w:hint="default"/>
      </w:rPr>
    </w:lvl>
    <w:lvl w:ilvl="8" w:tentative="0">
      <w:start w:val="0"/>
      <w:numFmt w:val="bullet"/>
      <w:lvlText w:val="•"/>
      <w:lvlJc w:val="left"/>
      <w:pPr>
        <w:ind w:left="7510" w:hanging="491"/>
      </w:pPr>
      <w:rPr>
        <w:rFonts w:hint="default"/>
      </w:rPr>
    </w:lvl>
  </w:abstractNum>
  <w:abstractNum w:abstractNumId="28">
    <w:nsid w:val="73113294"/>
    <w:multiLevelType w:val="multilevel"/>
    <w:tmpl w:val="73113294"/>
    <w:lvl w:ilvl="0" w:tentative="0">
      <w:start w:val="10"/>
      <w:numFmt w:val="decimal"/>
      <w:lvlText w:val="%1"/>
      <w:lvlJc w:val="left"/>
      <w:pPr>
        <w:ind w:left="993" w:hanging="437"/>
        <w:jc w:val="left"/>
      </w:pPr>
      <w:rPr>
        <w:rFonts w:hint="default"/>
      </w:rPr>
    </w:lvl>
    <w:lvl w:ilvl="1" w:tentative="0">
      <w:start w:val="1"/>
      <w:numFmt w:val="decimal"/>
      <w:lvlText w:val="%1.%2"/>
      <w:lvlJc w:val="left"/>
      <w:pPr>
        <w:ind w:left="993" w:hanging="437"/>
        <w:jc w:val="left"/>
      </w:pPr>
      <w:rPr>
        <w:rFonts w:hint="default" w:ascii="方正书宋_GBK" w:hAnsi="方正书宋_GBK" w:eastAsia="方正书宋_GBK" w:cs="方正书宋_GBK"/>
        <w:color w:val="231F20"/>
        <w:spacing w:val="-1"/>
        <w:w w:val="100"/>
        <w:sz w:val="22"/>
        <w:szCs w:val="22"/>
      </w:rPr>
    </w:lvl>
    <w:lvl w:ilvl="2" w:tentative="0">
      <w:start w:val="1"/>
      <w:numFmt w:val="decimal"/>
      <w:lvlText w:val="%1.%2.%3"/>
      <w:lvlJc w:val="left"/>
      <w:pPr>
        <w:ind w:left="117" w:hanging="601"/>
        <w:jc w:val="left"/>
      </w:pPr>
      <w:rPr>
        <w:rFonts w:hint="default" w:ascii="方正书宋_GBK" w:hAnsi="方正书宋_GBK" w:eastAsia="方正书宋_GBK" w:cs="方正书宋_GBK"/>
        <w:color w:val="231F20"/>
        <w:spacing w:val="-1"/>
        <w:w w:val="100"/>
        <w:sz w:val="22"/>
        <w:szCs w:val="22"/>
      </w:rPr>
    </w:lvl>
    <w:lvl w:ilvl="3" w:tentative="0">
      <w:start w:val="0"/>
      <w:numFmt w:val="bullet"/>
      <w:lvlText w:val="•"/>
      <w:lvlJc w:val="left"/>
      <w:pPr>
        <w:ind w:left="2867" w:hanging="601"/>
      </w:pPr>
      <w:rPr>
        <w:rFonts w:hint="default"/>
      </w:rPr>
    </w:lvl>
    <w:lvl w:ilvl="4" w:tentative="0">
      <w:start w:val="0"/>
      <w:numFmt w:val="bullet"/>
      <w:lvlText w:val="•"/>
      <w:lvlJc w:val="left"/>
      <w:pPr>
        <w:ind w:left="3801" w:hanging="601"/>
      </w:pPr>
      <w:rPr>
        <w:rFonts w:hint="default"/>
      </w:rPr>
    </w:lvl>
    <w:lvl w:ilvl="5" w:tentative="0">
      <w:start w:val="0"/>
      <w:numFmt w:val="bullet"/>
      <w:lvlText w:val="•"/>
      <w:lvlJc w:val="left"/>
      <w:pPr>
        <w:ind w:left="4735" w:hanging="601"/>
      </w:pPr>
      <w:rPr>
        <w:rFonts w:hint="default"/>
      </w:rPr>
    </w:lvl>
    <w:lvl w:ilvl="6" w:tentative="0">
      <w:start w:val="0"/>
      <w:numFmt w:val="bullet"/>
      <w:lvlText w:val="•"/>
      <w:lvlJc w:val="left"/>
      <w:pPr>
        <w:ind w:left="5669" w:hanging="601"/>
      </w:pPr>
      <w:rPr>
        <w:rFonts w:hint="default"/>
      </w:rPr>
    </w:lvl>
    <w:lvl w:ilvl="7" w:tentative="0">
      <w:start w:val="0"/>
      <w:numFmt w:val="bullet"/>
      <w:lvlText w:val="•"/>
      <w:lvlJc w:val="left"/>
      <w:pPr>
        <w:ind w:left="6603" w:hanging="601"/>
      </w:pPr>
      <w:rPr>
        <w:rFonts w:hint="default"/>
      </w:rPr>
    </w:lvl>
    <w:lvl w:ilvl="8" w:tentative="0">
      <w:start w:val="0"/>
      <w:numFmt w:val="bullet"/>
      <w:lvlText w:val="•"/>
      <w:lvlJc w:val="left"/>
      <w:pPr>
        <w:ind w:left="7537" w:hanging="601"/>
      </w:pPr>
      <w:rPr>
        <w:rFonts w:hint="default"/>
      </w:rPr>
    </w:lvl>
  </w:abstractNum>
  <w:abstractNum w:abstractNumId="29">
    <w:nsid w:val="7D807E6D"/>
    <w:multiLevelType w:val="multilevel"/>
    <w:tmpl w:val="7D807E6D"/>
    <w:lvl w:ilvl="0" w:tentative="0">
      <w:start w:val="13"/>
      <w:numFmt w:val="decimal"/>
      <w:lvlText w:val="%1"/>
      <w:lvlJc w:val="left"/>
      <w:pPr>
        <w:ind w:left="117" w:hanging="437"/>
        <w:jc w:val="left"/>
      </w:pPr>
      <w:rPr>
        <w:rFonts w:hint="default"/>
      </w:rPr>
    </w:lvl>
    <w:lvl w:ilvl="1" w:tentative="0">
      <w:start w:val="3"/>
      <w:numFmt w:val="decimal"/>
      <w:lvlText w:val="%1.%2"/>
      <w:lvlJc w:val="left"/>
      <w:pPr>
        <w:ind w:left="117" w:hanging="437"/>
        <w:jc w:val="left"/>
      </w:pPr>
      <w:rPr>
        <w:rFonts w:hint="default" w:ascii="方正书宋_GBK" w:hAnsi="方正书宋_GBK" w:eastAsia="方正书宋_GBK" w:cs="方正书宋_GBK"/>
        <w:color w:val="231F20"/>
        <w:w w:val="100"/>
        <w:sz w:val="22"/>
        <w:szCs w:val="22"/>
      </w:rPr>
    </w:lvl>
    <w:lvl w:ilvl="2" w:tentative="0">
      <w:start w:val="0"/>
      <w:numFmt w:val="bullet"/>
      <w:lvlText w:val="•"/>
      <w:lvlJc w:val="left"/>
      <w:pPr>
        <w:ind w:left="1977" w:hanging="437"/>
      </w:pPr>
      <w:rPr>
        <w:rFonts w:hint="default"/>
      </w:rPr>
    </w:lvl>
    <w:lvl w:ilvl="3" w:tentative="0">
      <w:start w:val="0"/>
      <w:numFmt w:val="bullet"/>
      <w:lvlText w:val="•"/>
      <w:lvlJc w:val="left"/>
      <w:pPr>
        <w:ind w:left="2905" w:hanging="437"/>
      </w:pPr>
      <w:rPr>
        <w:rFonts w:hint="default"/>
      </w:rPr>
    </w:lvl>
    <w:lvl w:ilvl="4" w:tentative="0">
      <w:start w:val="0"/>
      <w:numFmt w:val="bullet"/>
      <w:lvlText w:val="•"/>
      <w:lvlJc w:val="left"/>
      <w:pPr>
        <w:ind w:left="3834" w:hanging="437"/>
      </w:pPr>
      <w:rPr>
        <w:rFonts w:hint="default"/>
      </w:rPr>
    </w:lvl>
    <w:lvl w:ilvl="5" w:tentative="0">
      <w:start w:val="0"/>
      <w:numFmt w:val="bullet"/>
      <w:lvlText w:val="•"/>
      <w:lvlJc w:val="left"/>
      <w:pPr>
        <w:ind w:left="4762" w:hanging="437"/>
      </w:pPr>
      <w:rPr>
        <w:rFonts w:hint="default"/>
      </w:rPr>
    </w:lvl>
    <w:lvl w:ilvl="6" w:tentative="0">
      <w:start w:val="0"/>
      <w:numFmt w:val="bullet"/>
      <w:lvlText w:val="•"/>
      <w:lvlJc w:val="left"/>
      <w:pPr>
        <w:ind w:left="5691" w:hanging="437"/>
      </w:pPr>
      <w:rPr>
        <w:rFonts w:hint="default"/>
      </w:rPr>
    </w:lvl>
    <w:lvl w:ilvl="7" w:tentative="0">
      <w:start w:val="0"/>
      <w:numFmt w:val="bullet"/>
      <w:lvlText w:val="•"/>
      <w:lvlJc w:val="left"/>
      <w:pPr>
        <w:ind w:left="6619" w:hanging="437"/>
      </w:pPr>
      <w:rPr>
        <w:rFonts w:hint="default"/>
      </w:rPr>
    </w:lvl>
    <w:lvl w:ilvl="8" w:tentative="0">
      <w:start w:val="0"/>
      <w:numFmt w:val="bullet"/>
      <w:lvlText w:val="•"/>
      <w:lvlJc w:val="left"/>
      <w:pPr>
        <w:ind w:left="7548" w:hanging="437"/>
      </w:pPr>
      <w:rPr>
        <w:rFonts w:hint="default"/>
      </w:rPr>
    </w:lvl>
  </w:abstractNum>
  <w:num w:numId="1">
    <w:abstractNumId w:val="17"/>
  </w:num>
  <w:num w:numId="2">
    <w:abstractNumId w:val="11"/>
  </w:num>
  <w:num w:numId="3">
    <w:abstractNumId w:val="5"/>
  </w:num>
  <w:num w:numId="4">
    <w:abstractNumId w:val="8"/>
  </w:num>
  <w:num w:numId="5">
    <w:abstractNumId w:val="7"/>
  </w:num>
  <w:num w:numId="6">
    <w:abstractNumId w:val="25"/>
  </w:num>
  <w:num w:numId="7">
    <w:abstractNumId w:val="27"/>
  </w:num>
  <w:num w:numId="8">
    <w:abstractNumId w:val="1"/>
  </w:num>
  <w:num w:numId="9">
    <w:abstractNumId w:val="13"/>
  </w:num>
  <w:num w:numId="10">
    <w:abstractNumId w:val="22"/>
  </w:num>
  <w:num w:numId="11">
    <w:abstractNumId w:val="0"/>
  </w:num>
  <w:num w:numId="12">
    <w:abstractNumId w:val="23"/>
  </w:num>
  <w:num w:numId="13">
    <w:abstractNumId w:val="26"/>
  </w:num>
  <w:num w:numId="14">
    <w:abstractNumId w:val="18"/>
  </w:num>
  <w:num w:numId="15">
    <w:abstractNumId w:val="24"/>
  </w:num>
  <w:num w:numId="16">
    <w:abstractNumId w:val="3"/>
  </w:num>
  <w:num w:numId="17">
    <w:abstractNumId w:val="16"/>
  </w:num>
  <w:num w:numId="18">
    <w:abstractNumId w:val="2"/>
  </w:num>
  <w:num w:numId="19">
    <w:abstractNumId w:val="28"/>
  </w:num>
  <w:num w:numId="20">
    <w:abstractNumId w:val="21"/>
  </w:num>
  <w:num w:numId="21">
    <w:abstractNumId w:val="10"/>
  </w:num>
  <w:num w:numId="22">
    <w:abstractNumId w:val="20"/>
  </w:num>
  <w:num w:numId="23">
    <w:abstractNumId w:val="29"/>
  </w:num>
  <w:num w:numId="24">
    <w:abstractNumId w:val="6"/>
  </w:num>
  <w:num w:numId="25">
    <w:abstractNumId w:val="19"/>
  </w:num>
  <w:num w:numId="26">
    <w:abstractNumId w:val="9"/>
  </w:num>
  <w:num w:numId="27">
    <w:abstractNumId w:val="4"/>
  </w:num>
  <w:num w:numId="28">
    <w:abstractNumId w:val="14"/>
  </w:num>
  <w:num w:numId="29">
    <w:abstractNumId w:val="12"/>
  </w:num>
  <w:num w:numId="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2"/>
  </w:compat>
  <w:docVars>
    <w:docVar w:name="commondata" w:val="eyJoZGlkIjoiM2RlMGZjY2UxYjAwOWNiOTg3Y2I5YTVkNDE3YWZiN2UifQ=="/>
  </w:docVars>
  <w:rsids>
    <w:rsidRoot w:val="004C5552"/>
    <w:rsid w:val="00346309"/>
    <w:rsid w:val="004C5552"/>
    <w:rsid w:val="00711B1F"/>
    <w:rsid w:val="02000061"/>
    <w:rsid w:val="0AA17C5A"/>
    <w:rsid w:val="32ED0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方正书宋_GBK" w:hAnsi="方正书宋_GBK" w:eastAsia="方正书宋_GBK" w:cs="方正书宋_GBK"/>
      <w:sz w:val="22"/>
      <w:szCs w:val="22"/>
      <w:lang w:val="en-US" w:eastAsia="en-US" w:bidi="ar-SA"/>
    </w:rPr>
  </w:style>
  <w:style w:type="paragraph" w:styleId="2">
    <w:name w:val="heading 1"/>
    <w:basedOn w:val="1"/>
    <w:autoRedefine/>
    <w:qFormat/>
    <w:uiPriority w:val="1"/>
    <w:pPr>
      <w:spacing w:line="481" w:lineRule="exact"/>
      <w:outlineLvl w:val="0"/>
    </w:pPr>
    <w:rPr>
      <w:rFonts w:ascii="方正小标宋_GBK" w:hAnsi="方正小标宋_GBK" w:eastAsia="方正小标宋_GBK" w:cs="方正小标宋_GBK"/>
      <w:sz w:val="32"/>
      <w:szCs w:val="32"/>
    </w:rPr>
  </w:style>
  <w:style w:type="paragraph" w:styleId="3">
    <w:name w:val="heading 2"/>
    <w:basedOn w:val="1"/>
    <w:autoRedefine/>
    <w:qFormat/>
    <w:uiPriority w:val="1"/>
    <w:pPr>
      <w:outlineLvl w:val="1"/>
    </w:pPr>
    <w:rPr>
      <w:rFonts w:ascii="方正楷体_GBK" w:hAnsi="方正楷体_GBK" w:eastAsia="方正楷体_GBK" w:cs="方正楷体_GBK"/>
      <w:sz w:val="28"/>
      <w:szCs w:val="28"/>
    </w:rPr>
  </w:style>
  <w:style w:type="paragraph" w:styleId="4">
    <w:name w:val="heading 3"/>
    <w:basedOn w:val="1"/>
    <w:autoRedefine/>
    <w:qFormat/>
    <w:uiPriority w:val="1"/>
    <w:pPr>
      <w:ind w:right="98"/>
      <w:jc w:val="center"/>
      <w:outlineLvl w:val="2"/>
    </w:pPr>
    <w:rPr>
      <w:rFonts w:ascii="方正黑体_GBK" w:hAnsi="方正黑体_GBK" w:eastAsia="方正黑体_GBK" w:cs="方正黑体_GBK"/>
      <w:sz w:val="24"/>
      <w:szCs w:val="24"/>
    </w:rPr>
  </w:style>
  <w:style w:type="character" w:default="1" w:styleId="7">
    <w:name w:val="Default Paragraph Font"/>
    <w:autoRedefine/>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5">
    <w:name w:val="Body Text"/>
    <w:basedOn w:val="1"/>
    <w:autoRedefine/>
    <w:qFormat/>
    <w:uiPriority w:val="1"/>
    <w:pPr>
      <w:spacing w:before="109"/>
      <w:ind w:left="117"/>
    </w:pPr>
  </w:style>
  <w:style w:type="table" w:customStyle="1" w:styleId="8">
    <w:name w:val="Table Normal"/>
    <w:autoRedefine/>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109"/>
      <w:ind w:left="117" w:firstLine="440"/>
    </w:pPr>
  </w:style>
  <w:style w:type="paragraph" w:customStyle="1" w:styleId="10">
    <w:name w:val="Table Paragraph"/>
    <w:basedOn w:val="1"/>
    <w:autoRedefine/>
    <w:qFormat/>
    <w:uiPriority w:val="1"/>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4"/>
    <customShpInfo spid="_x0000_s2053"/>
    <customShpInfo spid="_x0000_s2051"/>
    <customShpInfo spid="_x0000_s2052"/>
    <customShpInfo spid="_x0000_s2049"/>
    <customShpInfo spid="_x0000_s2050"/>
    <customShpInfo spid="_x0000_s1030"/>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1647</Words>
  <Characters>9392</Characters>
  <Lines>78</Lines>
  <Paragraphs>22</Paragraphs>
  <TotalTime>18</TotalTime>
  <ScaleCrop>false</ScaleCrop>
  <LinksUpToDate>false</LinksUpToDate>
  <CharactersWithSpaces>11017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2021-12-01T23:28:00Z</dcterms:created>
  <dc:creator>Administrator</dc:creator>
  <cp:lastModifiedBy>王恕聪13876302670</cp:lastModifiedBy>
  <dcterms:modified xsi:type="dcterms:W3CDTF">2024-04-25T08:49:28Z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y fmtid="{D5CDD505-2E9C-101B-9397-08002B2CF9AE}" pid="5" name="KSOProductBuildVer">
    <vt:lpwstr>2052-12.1.0.16729</vt:lpwstr>
  </property>
  <property fmtid="{D5CDD505-2E9C-101B-9397-08002B2CF9AE}" pid="6" name="ICV">
    <vt:lpwstr>AFC908E9793849209330DEE8BFEE3F77_12</vt:lpwstr>
  </property>
</Properties>
</file>