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jc w:val="left"/>
        <w:rPr>
          <w:rFonts w:eastAsia="黑体" w:cs="Times New Roman"/>
          <w:sz w:val="36"/>
          <w:szCs w:val="36"/>
        </w:rPr>
      </w:pPr>
      <w:bookmarkStart w:id="0" w:name="_Toc528942445"/>
      <w:bookmarkStart w:id="1" w:name="_Toc479786061"/>
      <w:bookmarkStart w:id="2" w:name="_Toc470777328"/>
      <w:bookmarkStart w:id="3" w:name="_Toc479785435"/>
      <w:bookmarkStart w:id="4" w:name="_Toc530142721"/>
      <w:bookmarkStart w:id="5" w:name="_Toc489980272"/>
      <w:bookmarkStart w:id="6" w:name="_Toc295770617"/>
      <w:bookmarkStart w:id="7" w:name="_Toc529519230"/>
      <w:r>
        <w:rPr>
          <w:rFonts w:hint="eastAsia" w:eastAsia="黑体" w:cs="Times New Roman"/>
          <w:sz w:val="28"/>
          <w:szCs w:val="28"/>
        </w:rPr>
        <w:t>住房和城乡建设部备案号：</w:t>
      </w:r>
      <w:r>
        <w:rPr>
          <w:rFonts w:hint="eastAsia" w:eastAsia="黑体" w:cs="Times New Roman"/>
          <w:b/>
          <w:bCs/>
          <w:sz w:val="28"/>
          <w:szCs w:val="28"/>
        </w:rPr>
        <w:t>JXXXXX-2025</w:t>
      </w:r>
    </w:p>
    <w:p>
      <w:pPr>
        <w:ind w:firstLine="1040"/>
        <w:jc w:val="left"/>
        <w:rPr>
          <w:rFonts w:eastAsia="黑体" w:cs="Times New Roman"/>
          <w:sz w:val="36"/>
          <w:szCs w:val="36"/>
        </w:rPr>
      </w:pPr>
      <w:r>
        <w:rPr>
          <w:sz w:val="52"/>
        </w:rPr>
        <mc:AlternateContent>
          <mc:Choice Requires="wps">
            <w:drawing>
              <wp:anchor distT="0" distB="0" distL="114300" distR="114300" simplePos="0" relativeHeight="251662336" behindDoc="0" locked="0" layoutInCell="1" allowOverlap="1">
                <wp:simplePos x="0" y="0"/>
                <wp:positionH relativeFrom="column">
                  <wp:posOffset>3945890</wp:posOffset>
                </wp:positionH>
                <wp:positionV relativeFrom="paragraph">
                  <wp:posOffset>148590</wp:posOffset>
                </wp:positionV>
                <wp:extent cx="1828800" cy="746760"/>
                <wp:effectExtent l="0" t="0" r="0" b="0"/>
                <wp:wrapNone/>
                <wp:docPr id="2" name="文本框 1"/>
                <wp:cNvGraphicFramePr/>
                <a:graphic xmlns:a="http://schemas.openxmlformats.org/drawingml/2006/main">
                  <a:graphicData uri="http://schemas.microsoft.com/office/word/2010/wordprocessingShape">
                    <wps:wsp>
                      <wps:cNvSpPr txBox="true"/>
                      <wps:spPr>
                        <a:xfrm>
                          <a:off x="0" y="0"/>
                          <a:ext cx="1828800" cy="746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0" w:firstLineChars="0"/>
                              <w:jc w:val="left"/>
                              <w:rPr>
                                <w:rFonts w:eastAsia="黑体" w:cs="Times New Roman"/>
                                <w:b/>
                                <w:bCs/>
                                <w:sz w:val="52"/>
                                <w:szCs w:val="52"/>
                              </w:rPr>
                            </w:pPr>
                            <w:r>
                              <w:rPr>
                                <w:rFonts w:hint="eastAsia" w:eastAsia="黑体" w:cs="Times New Roman"/>
                                <w:b/>
                                <w:bCs/>
                                <w:sz w:val="96"/>
                                <w:szCs w:val="96"/>
                              </w:rPr>
                              <w:t>HN</w:t>
                            </w:r>
                          </w:p>
                        </w:txbxContent>
                      </wps:txbx>
                      <wps:bodyPr rot="0" spcFirstLastPara="0" vertOverflow="overflow" horzOverflow="overflow" vert="horz" wrap="none" lIns="91440" tIns="45720" rIns="91440" bIns="45720" numCol="1" spcCol="0" rtlCol="0" fromWordArt="false" anchor="t" anchorCtr="false" forceAA="false" compatLnSpc="true">
                        <a:noAutofit/>
                      </wps:bodyPr>
                    </wps:wsp>
                  </a:graphicData>
                </a:graphic>
              </wp:anchor>
            </w:drawing>
          </mc:Choice>
          <mc:Fallback>
            <w:pict>
              <v:shape id="文本框 1" o:spid="_x0000_s1026" o:spt="202" type="#_x0000_t202" style="position:absolute;left:0pt;margin-left:310.7pt;margin-top:11.7pt;height:58.8pt;width:144pt;mso-wrap-style:none;z-index:251662336;mso-width-relative:page;mso-height-relative:page;" filled="f" stroked="f" coordsize="21600,21600" o:gfxdata="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isT6y9sAAAAKAQAADwAAAAAAAAABACAAAAA4AAAAZHJz&#10;L2Rvd25yZXYueG1sUEsBAhQAFAAAAAgAh07iQHhuqrYkAgAAKAQAAA4AAAAAAAAAAQAgAAAAQAEA&#10;AGRycy9lMm9Eb2MueG1sUEsFBgAAAAAGAAYAWQEAANYFAAAAAA==&#10;">
                <v:fill on="f" focussize="0,0"/>
                <v:stroke on="f" weight="0.5pt"/>
                <v:imagedata o:title=""/>
                <o:lock v:ext="edit" aspectratio="f"/>
                <v:textbox>
                  <w:txbxContent>
                    <w:p>
                      <w:pPr>
                        <w:ind w:firstLine="0" w:firstLineChars="0"/>
                        <w:jc w:val="left"/>
                        <w:rPr>
                          <w:rFonts w:eastAsia="黑体" w:cs="Times New Roman"/>
                          <w:b/>
                          <w:bCs/>
                          <w:sz w:val="52"/>
                          <w:szCs w:val="52"/>
                        </w:rPr>
                      </w:pPr>
                      <w:r>
                        <w:rPr>
                          <w:rFonts w:hint="eastAsia" w:eastAsia="黑体" w:cs="Times New Roman"/>
                          <w:b/>
                          <w:bCs/>
                          <w:sz w:val="96"/>
                          <w:szCs w:val="96"/>
                        </w:rPr>
                        <w:t>HN</w:t>
                      </w:r>
                    </w:p>
                  </w:txbxContent>
                </v:textbox>
              </v:shape>
            </w:pict>
          </mc:Fallback>
        </mc:AlternateContent>
      </w:r>
    </w:p>
    <w:p>
      <w:pPr>
        <w:ind w:firstLine="720"/>
        <w:jc w:val="left"/>
        <w:rPr>
          <w:rFonts w:eastAsia="黑体" w:cs="Times New Roman"/>
          <w:sz w:val="52"/>
          <w:szCs w:val="52"/>
        </w:rPr>
      </w:pPr>
      <w:r>
        <w:rPr>
          <w:rFonts w:hint="eastAsia" w:eastAsia="黑体" w:cs="Times New Roman"/>
          <w:sz w:val="36"/>
          <w:szCs w:val="36"/>
        </w:rPr>
        <w:t xml:space="preserve">   海南省工程建设地方标准</w:t>
      </w:r>
    </w:p>
    <w:p>
      <w:pPr>
        <w:pBdr>
          <w:bottom w:val="single" w:color="000000" w:sz="12" w:space="0"/>
        </w:pBdr>
        <w:ind w:firstLine="643"/>
        <w:jc w:val="left"/>
        <w:rPr>
          <w:rFonts w:eastAsia="黑体" w:cs="Times New Roman"/>
          <w:b/>
          <w:bCs/>
          <w:sz w:val="28"/>
          <w:szCs w:val="28"/>
          <w:lang w:val="en"/>
        </w:rPr>
      </w:pPr>
      <w:r>
        <w:rPr>
          <w:rFonts w:hint="eastAsia" w:eastAsia="黑体" w:cs="Times New Roman"/>
          <w:b/>
          <w:bCs/>
          <w:sz w:val="32"/>
          <w:szCs w:val="32"/>
        </w:rPr>
        <w:t>P</w:t>
      </w:r>
      <w:r>
        <w:rPr>
          <w:rFonts w:hint="eastAsia" w:eastAsia="黑体" w:cs="Times New Roman"/>
          <w:b/>
          <w:bCs/>
          <w:sz w:val="28"/>
          <w:szCs w:val="28"/>
        </w:rPr>
        <w:t xml:space="preserve">                                    DBJ 46-0</w:t>
      </w:r>
      <w:r>
        <w:rPr>
          <w:rFonts w:eastAsia="黑体" w:cs="Times New Roman"/>
          <w:b/>
          <w:bCs/>
          <w:sz w:val="28"/>
          <w:szCs w:val="28"/>
          <w:lang w:val="en"/>
        </w:rPr>
        <w:t>XX</w:t>
      </w:r>
      <w:r>
        <w:rPr>
          <w:rFonts w:hint="eastAsia" w:eastAsia="黑体" w:cs="Times New Roman"/>
          <w:b/>
          <w:bCs/>
          <w:sz w:val="28"/>
          <w:szCs w:val="28"/>
        </w:rPr>
        <w:t>-20</w:t>
      </w:r>
      <w:r>
        <w:rPr>
          <w:rFonts w:eastAsia="黑体" w:cs="Times New Roman"/>
          <w:b/>
          <w:bCs/>
          <w:sz w:val="28"/>
          <w:szCs w:val="28"/>
          <w:lang w:val="en"/>
        </w:rPr>
        <w:t>XX</w:t>
      </w:r>
    </w:p>
    <w:p>
      <w:pPr>
        <w:ind w:firstLine="0" w:firstLineChars="0"/>
        <w:jc w:val="center"/>
        <w:rPr>
          <w:rFonts w:cstheme="majorBidi"/>
          <w:b/>
          <w:bCs/>
          <w:sz w:val="52"/>
          <w:szCs w:val="52"/>
        </w:rPr>
      </w:pPr>
      <w:r>
        <w:rPr>
          <w:rFonts w:hint="eastAsia" w:cstheme="majorBidi"/>
          <w:b/>
          <w:bCs/>
          <w:sz w:val="52"/>
          <w:szCs w:val="52"/>
        </w:rPr>
        <w:t>海南省近零能耗建筑技术标准</w:t>
      </w:r>
    </w:p>
    <w:p>
      <w:pPr>
        <w:ind w:firstLine="0" w:firstLineChars="0"/>
        <w:jc w:val="center"/>
        <w:rPr>
          <w:rFonts w:cs="Times New Roman"/>
          <w:sz w:val="36"/>
          <w:szCs w:val="36"/>
        </w:rPr>
      </w:pPr>
      <w:r>
        <w:rPr>
          <w:rFonts w:cs="Times New Roman"/>
          <w:sz w:val="36"/>
          <w:szCs w:val="36"/>
        </w:rPr>
        <w:t xml:space="preserve">Technical </w:t>
      </w:r>
      <w:r>
        <w:rPr>
          <w:rFonts w:hint="eastAsia" w:cs="Times New Roman"/>
          <w:sz w:val="36"/>
          <w:szCs w:val="36"/>
        </w:rPr>
        <w:t xml:space="preserve">standard </w:t>
      </w:r>
      <w:r>
        <w:rPr>
          <w:rFonts w:cs="Times New Roman"/>
          <w:sz w:val="36"/>
          <w:szCs w:val="36"/>
        </w:rPr>
        <w:t xml:space="preserve">for </w:t>
      </w:r>
      <w:r>
        <w:rPr>
          <w:rFonts w:hint="eastAsia" w:cs="Times New Roman"/>
          <w:sz w:val="36"/>
          <w:szCs w:val="36"/>
        </w:rPr>
        <w:t>nearly zero</w:t>
      </w:r>
      <w:r>
        <w:rPr>
          <w:rFonts w:cs="Times New Roman"/>
          <w:sz w:val="36"/>
          <w:szCs w:val="36"/>
        </w:rPr>
        <w:t xml:space="preserve"> energy buildings</w:t>
      </w:r>
    </w:p>
    <w:p>
      <w:pPr>
        <w:ind w:firstLine="0" w:firstLineChars="0"/>
        <w:jc w:val="center"/>
        <w:rPr>
          <w:rFonts w:cs="Times New Roman"/>
          <w:sz w:val="36"/>
          <w:szCs w:val="36"/>
        </w:rPr>
      </w:pPr>
      <w:r>
        <w:rPr>
          <w:rFonts w:cs="Times New Roman"/>
          <w:sz w:val="36"/>
          <w:szCs w:val="36"/>
        </w:rPr>
        <w:t>in Hainan province</w:t>
      </w:r>
    </w:p>
    <w:p>
      <w:pPr>
        <w:ind w:firstLine="420"/>
        <w:jc w:val="center"/>
      </w:pPr>
    </w:p>
    <w:p>
      <w:pPr>
        <w:ind w:firstLine="643"/>
        <w:jc w:val="center"/>
        <w:rPr>
          <w:b/>
          <w:bCs/>
          <w:sz w:val="32"/>
          <w:szCs w:val="36"/>
        </w:rPr>
      </w:pPr>
      <w:r>
        <w:rPr>
          <w:rFonts w:hint="eastAsia"/>
          <w:b/>
          <w:bCs/>
          <w:sz w:val="32"/>
          <w:szCs w:val="36"/>
        </w:rPr>
        <w:t>（征求意见稿）</w:t>
      </w:r>
    </w:p>
    <w:p>
      <w:pPr>
        <w:ind w:firstLine="420"/>
        <w:jc w:val="center"/>
      </w:pPr>
    </w:p>
    <w:p>
      <w:pPr>
        <w:ind w:firstLine="420"/>
        <w:jc w:val="center"/>
      </w:pPr>
    </w:p>
    <w:p>
      <w:pPr>
        <w:ind w:firstLine="420"/>
        <w:jc w:val="center"/>
      </w:pPr>
    </w:p>
    <w:p>
      <w:pPr>
        <w:ind w:firstLine="420"/>
        <w:jc w:val="center"/>
      </w:pPr>
    </w:p>
    <w:p>
      <w:pPr>
        <w:ind w:firstLine="0" w:firstLineChars="0"/>
      </w:pPr>
    </w:p>
    <w:p>
      <w:pPr>
        <w:ind w:firstLine="420"/>
        <w:jc w:val="center"/>
      </w:pPr>
    </w:p>
    <w:p>
      <w:pPr>
        <w:ind w:firstLine="420"/>
        <w:jc w:val="center"/>
      </w:pPr>
    </w:p>
    <w:p>
      <w:pPr>
        <w:ind w:firstLine="420"/>
        <w:jc w:val="center"/>
      </w:pPr>
    </w:p>
    <w:p>
      <w:pPr>
        <w:ind w:firstLine="420"/>
        <w:jc w:val="center"/>
      </w:pPr>
    </w:p>
    <w:p>
      <w:pPr>
        <w:ind w:firstLine="0" w:firstLineChars="0"/>
      </w:pPr>
    </w:p>
    <w:p>
      <w:pPr>
        <w:ind w:firstLine="420"/>
        <w:jc w:val="center"/>
      </w:pPr>
    </w:p>
    <w:p>
      <w:pPr>
        <w:ind w:firstLine="0" w:firstLineChars="0"/>
        <w:rPr>
          <w:rFonts w:cs="Times New Roman"/>
          <w:b/>
          <w:sz w:val="30"/>
          <w:szCs w:val="30"/>
        </w:rPr>
      </w:pPr>
      <w:r>
        <w:rPr>
          <w:rFonts w:cs="Times New Roman"/>
          <w:b/>
          <w:sz w:val="30"/>
          <w:szCs w:val="30"/>
        </w:rPr>
        <w:t>20</w:t>
      </w:r>
      <w:r>
        <w:rPr>
          <w:rFonts w:hint="eastAsia" w:cs="Times New Roman"/>
          <w:b/>
          <w:sz w:val="30"/>
          <w:szCs w:val="30"/>
        </w:rPr>
        <w:t>xx</w:t>
      </w:r>
      <w:r>
        <w:rPr>
          <w:rFonts w:cs="Times New Roman"/>
          <w:b/>
          <w:sz w:val="30"/>
          <w:szCs w:val="30"/>
        </w:rPr>
        <w:t>-</w:t>
      </w:r>
      <w:r>
        <w:rPr>
          <w:rFonts w:hint="eastAsia" w:cs="Times New Roman"/>
          <w:b/>
          <w:sz w:val="30"/>
          <w:szCs w:val="30"/>
        </w:rPr>
        <w:t>xx</w:t>
      </w:r>
      <w:r>
        <w:rPr>
          <w:rFonts w:cs="Times New Roman"/>
          <w:b/>
          <w:sz w:val="30"/>
          <w:szCs w:val="30"/>
        </w:rPr>
        <w:t>-</w:t>
      </w:r>
      <w:r>
        <w:rPr>
          <w:rFonts w:hint="eastAsia" w:cs="Times New Roman"/>
          <w:b/>
          <w:sz w:val="30"/>
          <w:szCs w:val="30"/>
        </w:rPr>
        <w:t>xx</w:t>
      </w:r>
      <w:r>
        <w:rPr>
          <w:rFonts w:cs="Times New Roman"/>
          <w:b/>
          <w:sz w:val="30"/>
          <w:szCs w:val="30"/>
        </w:rPr>
        <w:t xml:space="preserve"> 发布                    </w:t>
      </w:r>
      <w:r>
        <w:rPr>
          <w:rFonts w:hint="eastAsia" w:cs="Times New Roman"/>
          <w:b/>
          <w:sz w:val="30"/>
          <w:szCs w:val="30"/>
        </w:rPr>
        <w:t xml:space="preserve">   </w:t>
      </w:r>
      <w:r>
        <w:rPr>
          <w:rFonts w:cs="Times New Roman"/>
          <w:b/>
          <w:sz w:val="30"/>
          <w:szCs w:val="30"/>
        </w:rPr>
        <w:t xml:space="preserve">   20</w:t>
      </w:r>
      <w:r>
        <w:rPr>
          <w:rFonts w:hint="eastAsia" w:cs="Times New Roman"/>
          <w:b/>
          <w:sz w:val="30"/>
          <w:szCs w:val="30"/>
        </w:rPr>
        <w:t>xx</w:t>
      </w:r>
      <w:r>
        <w:rPr>
          <w:rFonts w:cs="Times New Roman"/>
          <w:b/>
          <w:sz w:val="30"/>
          <w:szCs w:val="30"/>
        </w:rPr>
        <w:t>-</w:t>
      </w:r>
      <w:r>
        <w:rPr>
          <w:rFonts w:hint="eastAsia" w:cs="Times New Roman"/>
          <w:b/>
          <w:sz w:val="30"/>
          <w:szCs w:val="30"/>
        </w:rPr>
        <w:t>xx</w:t>
      </w:r>
      <w:r>
        <w:rPr>
          <w:rFonts w:cs="Times New Roman"/>
          <w:b/>
          <w:sz w:val="30"/>
          <w:szCs w:val="30"/>
        </w:rPr>
        <w:t>-</w:t>
      </w:r>
      <w:r>
        <w:rPr>
          <w:rFonts w:hint="eastAsia" w:cs="Times New Roman"/>
          <w:b/>
          <w:sz w:val="30"/>
          <w:szCs w:val="30"/>
        </w:rPr>
        <w:t>xx</w:t>
      </w:r>
      <w:r>
        <w:rPr>
          <w:rFonts w:cs="Times New Roman"/>
          <w:b/>
          <w:sz w:val="30"/>
          <w:szCs w:val="30"/>
        </w:rPr>
        <w:t xml:space="preserve"> 实施</w:t>
      </w:r>
    </w:p>
    <w:p>
      <w:pPr>
        <w:ind w:firstLine="560"/>
        <w:jc w:val="center"/>
        <w:rPr>
          <w:rFonts w:cs="Times New Roman"/>
          <w:b/>
          <w:sz w:val="30"/>
          <w:szCs w:val="30"/>
        </w:rPr>
      </w:pPr>
      <w:r>
        <w:rPr>
          <w:rFonts w:hint="eastAsia" w:ascii="黑体" w:eastAsia="黑体"/>
          <w:sz w:val="28"/>
          <w:szCs w:val="28"/>
        </w:rPr>
        <mc:AlternateContent>
          <mc:Choice Requires="wps">
            <w:drawing>
              <wp:anchor distT="0" distB="0" distL="114300" distR="114300" simplePos="0" relativeHeight="251660288" behindDoc="0" locked="0" layoutInCell="1" allowOverlap="1">
                <wp:simplePos x="0" y="0"/>
                <wp:positionH relativeFrom="column">
                  <wp:posOffset>-211455</wp:posOffset>
                </wp:positionH>
                <wp:positionV relativeFrom="paragraph">
                  <wp:posOffset>37465</wp:posOffset>
                </wp:positionV>
                <wp:extent cx="5680710" cy="0"/>
                <wp:effectExtent l="0" t="0" r="15240" b="19050"/>
                <wp:wrapNone/>
                <wp:docPr id="11" name="直接连接符 11"/>
                <wp:cNvGraphicFramePr/>
                <a:graphic xmlns:a="http://schemas.openxmlformats.org/drawingml/2006/main">
                  <a:graphicData uri="http://schemas.microsoft.com/office/word/2010/wordprocessingShape">
                    <wps:wsp>
                      <wps:cNvCnPr/>
                      <wps:spPr>
                        <a:xfrm>
                          <a:off x="0" y="0"/>
                          <a:ext cx="56807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65pt;margin-top:2.95pt;height:0pt;width:447.3pt;z-index:251660288;mso-width-relative:page;mso-height-relative:page;" filled="f" stroked="t" coordsize="21600,21600" o:gfxdata="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BRlpHI1AAAAAcBAAAPAAAAAAAA&#10;AAEAIAAAADgAAABkcnMvZG93bnJldi54bWxQSwECFAAUAAAACACHTuJA0KwdL8cBAABlAwAADgAA&#10;AAAAAAABACAAAAA5AQAAZHJzL2Uyb0RvYy54bWxQSwUGAAAAAAYABgBZAQAAcgUAAAAA&#10;">
                <v:fill on="f" focussize="0,0"/>
                <v:stroke weight="0.5pt" color="#000000 [3213]" miterlimit="8" joinstyle="miter"/>
                <v:imagedata o:title=""/>
                <o:lock v:ext="edit" aspectratio="f"/>
              </v:line>
            </w:pict>
          </mc:Fallback>
        </mc:AlternateContent>
      </w:r>
    </w:p>
    <w:p>
      <w:pPr>
        <w:pStyle w:val="22"/>
        <w:spacing w:line="360" w:lineRule="auto"/>
        <w:jc w:val="center"/>
        <w:rPr>
          <w:rFonts w:ascii="黑体" w:hAnsi="Times New Roman" w:eastAsia="黑体"/>
          <w:sz w:val="30"/>
          <w:szCs w:val="30"/>
        </w:rPr>
      </w:pPr>
      <w:r>
        <w:rPr>
          <w:rFonts w:hint="eastAsia" w:ascii="黑体" w:hAnsi="Times New Roman" w:eastAsia="黑体"/>
          <w:sz w:val="30"/>
          <w:szCs w:val="30"/>
        </w:rPr>
        <w:t xml:space="preserve">海南省住房和城乡建设厅 </w:t>
      </w:r>
      <w:r>
        <w:rPr>
          <w:rFonts w:ascii="黑体" w:hAnsi="Times New Roman" w:eastAsia="黑体"/>
          <w:sz w:val="30"/>
          <w:szCs w:val="30"/>
        </w:rPr>
        <w:t xml:space="preserve">  </w:t>
      </w:r>
      <w:r>
        <w:rPr>
          <w:rFonts w:hint="eastAsia" w:ascii="黑体" w:hAnsi="Times New Roman" w:eastAsia="黑体"/>
          <w:sz w:val="30"/>
          <w:szCs w:val="30"/>
        </w:rPr>
        <w:t>发布</w:t>
      </w:r>
    </w:p>
    <w:p>
      <w:pPr>
        <w:pStyle w:val="22"/>
        <w:spacing w:line="360" w:lineRule="auto"/>
        <w:ind w:firstLine="602"/>
        <w:jc w:val="center"/>
        <w:rPr>
          <w:rFonts w:ascii="黑体" w:hAnsi="Times New Roman" w:eastAsia="黑体"/>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pStyle w:val="22"/>
        <w:spacing w:line="360" w:lineRule="auto"/>
        <w:ind w:firstLine="640"/>
        <w:jc w:val="center"/>
        <w:rPr>
          <w:rFonts w:ascii="Times New Roman" w:hAnsi="Times New Roman" w:cs="Times New Roman"/>
          <w:b/>
          <w:sz w:val="32"/>
          <w:szCs w:val="32"/>
        </w:rPr>
      </w:pPr>
    </w:p>
    <w:p>
      <w:pPr>
        <w:pStyle w:val="22"/>
        <w:spacing w:line="360" w:lineRule="auto"/>
        <w:ind w:firstLine="640"/>
        <w:jc w:val="center"/>
        <w:rPr>
          <w:rFonts w:ascii="Times New Roman" w:hAnsi="Times New Roman" w:cs="Times New Roman"/>
          <w:b/>
          <w:sz w:val="32"/>
          <w:szCs w:val="32"/>
        </w:rPr>
      </w:pPr>
    </w:p>
    <w:p>
      <w:pPr>
        <w:pStyle w:val="22"/>
        <w:spacing w:line="360" w:lineRule="auto"/>
        <w:ind w:firstLine="640"/>
        <w:jc w:val="center"/>
        <w:rPr>
          <w:rFonts w:ascii="Times New Roman" w:hAnsi="Times New Roman" w:cs="Times New Roman"/>
          <w:b/>
          <w:sz w:val="32"/>
          <w:szCs w:val="32"/>
        </w:rPr>
      </w:pPr>
    </w:p>
    <w:p>
      <w:pPr>
        <w:ind w:firstLine="0" w:firstLineChars="0"/>
        <w:jc w:val="center"/>
        <w:rPr>
          <w:rFonts w:cstheme="majorBidi"/>
          <w:b/>
          <w:bCs/>
          <w:sz w:val="52"/>
          <w:szCs w:val="52"/>
        </w:rPr>
      </w:pPr>
      <w:r>
        <w:rPr>
          <w:rFonts w:hint="eastAsia" w:cstheme="majorBidi"/>
          <w:b/>
          <w:bCs/>
          <w:sz w:val="52"/>
          <w:szCs w:val="52"/>
        </w:rPr>
        <w:t>海南省近零能耗建筑技术标准</w:t>
      </w:r>
    </w:p>
    <w:p>
      <w:pPr>
        <w:ind w:firstLine="0" w:firstLineChars="0"/>
        <w:jc w:val="center"/>
        <w:rPr>
          <w:rFonts w:cs="Times New Roman"/>
          <w:sz w:val="36"/>
          <w:szCs w:val="36"/>
        </w:rPr>
      </w:pPr>
      <w:r>
        <w:rPr>
          <w:rFonts w:cs="Times New Roman"/>
          <w:sz w:val="36"/>
          <w:szCs w:val="36"/>
        </w:rPr>
        <w:t>Technical standard for nearly zero energy buildings</w:t>
      </w:r>
    </w:p>
    <w:p>
      <w:pPr>
        <w:ind w:firstLine="0" w:firstLineChars="0"/>
        <w:jc w:val="center"/>
        <w:rPr>
          <w:rFonts w:cs="Times New Roman"/>
          <w:sz w:val="36"/>
          <w:szCs w:val="36"/>
        </w:rPr>
      </w:pPr>
      <w:r>
        <w:rPr>
          <w:rFonts w:cs="Times New Roman"/>
          <w:sz w:val="36"/>
          <w:szCs w:val="36"/>
        </w:rPr>
        <w:t>in Hainan province</w:t>
      </w: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spacing w:line="360" w:lineRule="auto"/>
        <w:ind w:firstLine="640"/>
        <w:jc w:val="center"/>
        <w:rPr>
          <w:rFonts w:ascii="Times New Roman" w:hAnsi="Times New Roman" w:cs="Times New Roman"/>
          <w:b/>
          <w:sz w:val="32"/>
          <w:szCs w:val="32"/>
          <w:highlight w:val="yellow"/>
        </w:rPr>
      </w:pPr>
    </w:p>
    <w:p>
      <w:pPr>
        <w:pStyle w:val="22"/>
        <w:jc w:val="center"/>
        <w:rPr>
          <w:rFonts w:ascii="Times New Roman" w:hAnsi="Times New Roman" w:cs="Times New Roman"/>
          <w:b/>
          <w:sz w:val="32"/>
          <w:szCs w:val="32"/>
        </w:rPr>
      </w:pPr>
      <w:r>
        <w:rPr>
          <w:rFonts w:hint="eastAsia" w:ascii="Times New Roman" w:hAnsi="Times New Roman" w:cs="Times New Roman"/>
          <w:b/>
          <w:sz w:val="32"/>
          <w:szCs w:val="32"/>
        </w:rPr>
        <w:t>批准部门：海南省住房和城乡建设厅</w:t>
      </w:r>
    </w:p>
    <w:p>
      <w:pPr>
        <w:pStyle w:val="22"/>
        <w:spacing w:line="360" w:lineRule="auto"/>
        <w:ind w:firstLine="602"/>
        <w:jc w:val="center"/>
        <w:rPr>
          <w:rFonts w:ascii="黑体" w:hAnsi="Times New Roman" w:eastAsia="黑体"/>
          <w:sz w:val="30"/>
          <w:szCs w:val="30"/>
        </w:rPr>
      </w:pPr>
    </w:p>
    <w:p>
      <w:pPr>
        <w:pStyle w:val="22"/>
        <w:spacing w:line="360" w:lineRule="auto"/>
        <w:jc w:val="center"/>
        <w:rPr>
          <w:rFonts w:ascii="Times New Roman" w:hAnsi="Times New Roman" w:cs="Times New Roman"/>
          <w:b/>
          <w:sz w:val="30"/>
          <w:szCs w:val="30"/>
        </w:rPr>
        <w:sectPr>
          <w:headerReference r:id="rId12" w:type="first"/>
          <w:footerReference r:id="rId15" w:type="first"/>
          <w:footerReference r:id="rId13" w:type="default"/>
          <w:headerReference r:id="rId11" w:type="even"/>
          <w:footerReference r:id="rId14" w:type="even"/>
          <w:pgSz w:w="11906" w:h="16838"/>
          <w:pgMar w:top="1440" w:right="1800" w:bottom="1440" w:left="1800" w:header="851" w:footer="992" w:gutter="0"/>
          <w:cols w:space="425" w:num="1"/>
          <w:docGrid w:type="lines" w:linePitch="312" w:charSpace="0"/>
        </w:sectPr>
      </w:pPr>
      <w:r>
        <w:rPr>
          <w:rFonts w:hint="eastAsia" w:ascii="黑体" w:hAnsi="Times New Roman" w:eastAsia="黑体"/>
          <w:sz w:val="30"/>
          <w:szCs w:val="30"/>
        </w:rPr>
        <w:t>实施日期：</w:t>
      </w:r>
      <w:r>
        <w:rPr>
          <w:rFonts w:ascii="Times New Roman" w:hAnsi="Times New Roman" w:cs="Times New Roman"/>
          <w:b/>
          <w:sz w:val="30"/>
          <w:szCs w:val="30"/>
        </w:rPr>
        <w:t>20</w:t>
      </w:r>
      <w:r>
        <w:rPr>
          <w:rFonts w:hint="eastAsia" w:ascii="Times New Roman" w:hAnsi="Times New Roman" w:cs="Times New Roman"/>
          <w:b/>
          <w:sz w:val="30"/>
          <w:szCs w:val="30"/>
        </w:rPr>
        <w:t>xx</w:t>
      </w:r>
      <w:r>
        <w:rPr>
          <w:rFonts w:ascii="Times New Roman" w:hAnsi="Times New Roman" w:cs="Times New Roman"/>
          <w:b/>
          <w:sz w:val="30"/>
          <w:szCs w:val="30"/>
        </w:rPr>
        <w:t>年</w:t>
      </w:r>
      <w:r>
        <w:rPr>
          <w:rFonts w:hint="eastAsia" w:ascii="Times New Roman" w:hAnsi="Times New Roman" w:cs="Times New Roman"/>
          <w:b/>
          <w:sz w:val="30"/>
          <w:szCs w:val="30"/>
        </w:rPr>
        <w:t>xx月xx</w:t>
      </w:r>
      <w:r>
        <w:rPr>
          <w:rFonts w:ascii="Times New Roman" w:hAnsi="Times New Roman" w:cs="Times New Roman"/>
          <w:b/>
          <w:sz w:val="30"/>
          <w:szCs w:val="30"/>
        </w:rPr>
        <w:t>日</w:t>
      </w:r>
    </w:p>
    <w:p>
      <w:pPr>
        <w:spacing w:before="156" w:beforeLines="50" w:after="156" w:afterLines="50"/>
        <w:ind w:firstLine="0" w:firstLineChars="0"/>
        <w:jc w:val="center"/>
        <w:rPr>
          <w:sz w:val="32"/>
          <w:szCs w:val="32"/>
        </w:rPr>
      </w:pPr>
      <w:r>
        <w:rPr>
          <w:rFonts w:hint="eastAsia"/>
          <w:b/>
          <w:sz w:val="32"/>
          <w:szCs w:val="32"/>
        </w:rPr>
        <w:t>前 言</w:t>
      </w:r>
    </w:p>
    <w:p>
      <w:pPr>
        <w:widowControl/>
        <w:snapToGrid w:val="0"/>
        <w:ind w:firstLine="420"/>
        <w:rPr>
          <w:szCs w:val="24"/>
        </w:rPr>
      </w:pPr>
      <w:r>
        <w:rPr>
          <w:rFonts w:hint="eastAsia"/>
          <w:szCs w:val="24"/>
        </w:rPr>
        <w:t>为落实海南省</w:t>
      </w:r>
      <w:r>
        <w:rPr>
          <w:rFonts w:hint="eastAsia"/>
          <w:szCs w:val="24"/>
          <w:lang w:eastAsia="zh-CN"/>
        </w:rPr>
        <w:t>城乡建设</w:t>
      </w:r>
      <w:r>
        <w:rPr>
          <w:rFonts w:hint="eastAsia"/>
          <w:szCs w:val="24"/>
        </w:rPr>
        <w:t>领域碳达峰、碳中和相关要求，推进和规范近零能耗建筑建设，根据住房和城乡建设部、国家发改委《城乡建设领域碳达峰实施方案》</w:t>
      </w:r>
      <w:r>
        <w:rPr>
          <w:rFonts w:hint="eastAsia"/>
          <w:szCs w:val="24"/>
          <w:lang w:eastAsia="zh-CN"/>
        </w:rPr>
        <w:t>，</w:t>
      </w:r>
      <w:r>
        <w:rPr>
          <w:rFonts w:hint="eastAsia"/>
          <w:szCs w:val="24"/>
        </w:rPr>
        <w:t>《海南省绿色建筑发展条例》《海南省住房</w:t>
      </w:r>
      <w:bookmarkStart w:id="122" w:name="_GoBack"/>
      <w:bookmarkEnd w:id="122"/>
      <w:r>
        <w:rPr>
          <w:rFonts w:hint="eastAsia"/>
          <w:szCs w:val="24"/>
        </w:rPr>
        <w:t>和城乡建设厅关于发布&lt;2024-2025年度海南省工程建设地方标准制订、修订项目目录&gt;的通知》（琼建定函〔</w:t>
      </w:r>
      <w:r>
        <w:rPr>
          <w:szCs w:val="24"/>
        </w:rPr>
        <w:t>2024</w:t>
      </w:r>
      <w:r>
        <w:rPr>
          <w:rFonts w:hint="eastAsia"/>
          <w:szCs w:val="24"/>
        </w:rPr>
        <w:t>〕</w:t>
      </w:r>
      <w:r>
        <w:rPr>
          <w:szCs w:val="24"/>
        </w:rPr>
        <w:t>181</w:t>
      </w:r>
      <w:r>
        <w:rPr>
          <w:rFonts w:hint="eastAsia"/>
          <w:szCs w:val="24"/>
        </w:rPr>
        <w:t>号）等有关文件的要求，编制组经过广泛调研，借鉴国内外同气候区近零能耗建筑研究成果、标准、案例的经验，根据海南省气候特征和节能建筑实施情况，结合海岛居民工作生活习惯，在广泛征求意见的基础上，编制了</w:t>
      </w:r>
      <w:r>
        <w:rPr>
          <w:rFonts w:hint="eastAsia"/>
          <w:szCs w:val="24"/>
          <w:lang w:val="en" w:eastAsia="zh-CN"/>
        </w:rPr>
        <w:t>本标准</w:t>
      </w:r>
      <w:r>
        <w:rPr>
          <w:rFonts w:hint="eastAsia"/>
          <w:szCs w:val="24"/>
        </w:rPr>
        <w:t>。</w:t>
      </w:r>
    </w:p>
    <w:p>
      <w:pPr>
        <w:widowControl/>
        <w:snapToGrid w:val="0"/>
        <w:ind w:firstLine="420"/>
        <w:rPr>
          <w:szCs w:val="24"/>
        </w:rPr>
      </w:pPr>
      <w:r>
        <w:rPr>
          <w:rFonts w:hint="eastAsia"/>
          <w:szCs w:val="24"/>
          <w:lang w:val="en" w:eastAsia="zh-CN"/>
        </w:rPr>
        <w:t>本标准</w:t>
      </w:r>
      <w:r>
        <w:rPr>
          <w:rFonts w:hint="eastAsia"/>
          <w:szCs w:val="24"/>
        </w:rPr>
        <w:t>共</w:t>
      </w:r>
      <w:r>
        <w:rPr>
          <w:rFonts w:hint="eastAsia"/>
          <w:szCs w:val="24"/>
          <w:lang w:eastAsia="zh-CN"/>
        </w:rPr>
        <w:t>八</w:t>
      </w:r>
      <w:r>
        <w:rPr>
          <w:szCs w:val="24"/>
        </w:rPr>
        <w:t xml:space="preserve">章，内容包括：1 </w:t>
      </w:r>
      <w:r>
        <w:t xml:space="preserve">总则；2 术语；3 </w:t>
      </w:r>
      <w:r>
        <w:rPr>
          <w:rFonts w:hint="eastAsia"/>
        </w:rPr>
        <w:t>基本规定</w:t>
      </w:r>
      <w:r>
        <w:t xml:space="preserve">；4 </w:t>
      </w:r>
      <w:r>
        <w:rPr>
          <w:rFonts w:hint="eastAsia"/>
        </w:rPr>
        <w:t>室内环境参数</w:t>
      </w:r>
      <w:r>
        <w:t>；5</w:t>
      </w:r>
      <w:r>
        <w:rPr>
          <w:rFonts w:hint="eastAsia"/>
        </w:rPr>
        <w:t>能耗指标</w:t>
      </w:r>
      <w:r>
        <w:t xml:space="preserve">；6 </w:t>
      </w:r>
      <w:r>
        <w:rPr>
          <w:rFonts w:hint="eastAsia"/>
        </w:rPr>
        <w:t>技术参数</w:t>
      </w:r>
      <w:r>
        <w:t xml:space="preserve">；7 </w:t>
      </w:r>
      <w:r>
        <w:rPr>
          <w:rFonts w:hint="eastAsia"/>
        </w:rPr>
        <w:t>技术措施</w:t>
      </w:r>
      <w:r>
        <w:t xml:space="preserve">；8 </w:t>
      </w:r>
      <w:r>
        <w:rPr>
          <w:rFonts w:hint="eastAsia"/>
        </w:rPr>
        <w:t>评价方法与判定；</w:t>
      </w:r>
      <w:r>
        <w:t xml:space="preserve"> </w:t>
      </w:r>
      <w:r>
        <w:rPr>
          <w:rFonts w:hint="eastAsia"/>
        </w:rPr>
        <w:t>附录A</w:t>
      </w:r>
      <w:r>
        <w:t xml:space="preserve"> </w:t>
      </w:r>
      <w:r>
        <w:rPr>
          <w:rFonts w:hint="eastAsia"/>
        </w:rPr>
        <w:t>能耗计算参数</w:t>
      </w:r>
      <w:r>
        <w:t>。</w:t>
      </w:r>
    </w:p>
    <w:p>
      <w:pPr>
        <w:widowControl/>
        <w:snapToGrid w:val="0"/>
        <w:ind w:firstLine="420"/>
        <w:rPr>
          <w:szCs w:val="24"/>
        </w:rPr>
      </w:pPr>
      <w:r>
        <w:rPr>
          <w:rFonts w:hint="eastAsia"/>
          <w:szCs w:val="24"/>
          <w:lang w:val="en" w:eastAsia="zh-CN"/>
        </w:rPr>
        <w:t>本标准</w:t>
      </w:r>
      <w:r>
        <w:rPr>
          <w:rFonts w:hint="eastAsia"/>
          <w:szCs w:val="24"/>
        </w:rPr>
        <w:t>由海南省住房和城乡建设厅负责管理，由海南省建设标准定额站负责日常管理，由中国建筑科学研究院有限公司负责具体技术内容的解释。</w:t>
      </w:r>
      <w:r>
        <w:rPr>
          <w:rFonts w:hint="eastAsia"/>
          <w:szCs w:val="24"/>
          <w:lang w:val="en" w:eastAsia="zh-CN"/>
        </w:rPr>
        <w:t>本标准</w:t>
      </w:r>
      <w:r>
        <w:rPr>
          <w:rFonts w:hint="eastAsia"/>
          <w:szCs w:val="24"/>
        </w:rPr>
        <w:t>在执行过程中如有意见或建议，请随时将有关意见和建议反馈至海南省建设标准定额站（地址：海南省海口市美兰区白龙南路77号，邮编：570203，电话：0898-65359219，电子邮箱：</w:t>
      </w:r>
      <w:r>
        <w:rPr>
          <w:rFonts w:hint="eastAsia" w:ascii="Times New Roman" w:hAnsi="Times New Roman" w:eastAsia="宋体"/>
          <w:szCs w:val="24"/>
          <w:lang w:val="en-US" w:eastAsia="zh-CN"/>
        </w:rPr>
        <w:t>bzk</w:t>
      </w:r>
      <w:r>
        <w:rPr>
          <w:rFonts w:hint="eastAsia" w:ascii="Times New Roman" w:hAnsi="Times New Roman" w:eastAsia="宋体"/>
          <w:szCs w:val="24"/>
        </w:rPr>
        <w:t>_</w:t>
      </w:r>
      <w:r>
        <w:rPr>
          <w:rFonts w:hint="eastAsia" w:ascii="Times New Roman" w:hAnsi="Times New Roman" w:eastAsia="宋体"/>
          <w:szCs w:val="24"/>
          <w:lang w:val="en-US" w:eastAsia="zh-CN"/>
        </w:rPr>
        <w:t>dez</w:t>
      </w:r>
      <w:r>
        <w:rPr>
          <w:rFonts w:hint="eastAsia" w:ascii="Times New Roman" w:hAnsi="Times New Roman" w:eastAsia="宋体"/>
          <w:szCs w:val="24"/>
        </w:rPr>
        <w:t>@</w:t>
      </w:r>
      <w:r>
        <w:rPr>
          <w:rFonts w:hint="eastAsia" w:ascii="Times New Roman" w:hAnsi="Times New Roman" w:eastAsia="宋体"/>
          <w:szCs w:val="24"/>
          <w:lang w:val="en-US" w:eastAsia="zh-CN"/>
        </w:rPr>
        <w:t>hainan.gov</w:t>
      </w:r>
      <w:r>
        <w:rPr>
          <w:rFonts w:hint="eastAsia" w:ascii="Times New Roman" w:hAnsi="Times New Roman" w:eastAsia="宋体"/>
          <w:szCs w:val="24"/>
        </w:rPr>
        <w:t>.c</w:t>
      </w:r>
      <w:r>
        <w:rPr>
          <w:rFonts w:hint="eastAsia" w:ascii="Times New Roman" w:hAnsi="Times New Roman" w:eastAsia="宋体"/>
          <w:szCs w:val="24"/>
          <w:lang w:val="en-US" w:eastAsia="zh-CN"/>
        </w:rPr>
        <w:t>n</w:t>
      </w:r>
      <w:r>
        <w:rPr>
          <w:rFonts w:hint="eastAsia" w:ascii="Times New Roman" w:hAnsi="Times New Roman" w:eastAsia="宋体"/>
          <w:szCs w:val="24"/>
        </w:rPr>
        <w:t>）</w:t>
      </w:r>
      <w:r>
        <w:rPr>
          <w:rFonts w:hint="eastAsia"/>
          <w:szCs w:val="24"/>
        </w:rPr>
        <w:t>，以供今后修订时参考</w:t>
      </w:r>
      <w:r>
        <w:rPr>
          <w:szCs w:val="24"/>
        </w:rPr>
        <w:t>。</w:t>
      </w:r>
    </w:p>
    <w:p>
      <w:pPr>
        <w:widowControl/>
        <w:snapToGrid w:val="0"/>
        <w:ind w:firstLine="420"/>
        <w:rPr>
          <w:szCs w:val="24"/>
        </w:rPr>
      </w:pPr>
      <w:r>
        <w:rPr>
          <w:rFonts w:hint="eastAsia"/>
          <w:szCs w:val="24"/>
          <w:lang w:val="en" w:eastAsia="zh-CN"/>
        </w:rPr>
        <w:t>本标准</w:t>
      </w:r>
      <w:r>
        <w:rPr>
          <w:rFonts w:hint="eastAsia"/>
          <w:szCs w:val="24"/>
        </w:rPr>
        <w:t>主编单位、参编单位、主要起草人和主要审查人：</w:t>
      </w:r>
    </w:p>
    <w:p>
      <w:pPr>
        <w:widowControl/>
        <w:snapToGrid w:val="0"/>
        <w:ind w:firstLine="420"/>
        <w:rPr>
          <w:szCs w:val="24"/>
        </w:rPr>
      </w:pPr>
      <w:r>
        <w:rPr>
          <w:szCs w:val="24"/>
        </w:rPr>
        <w:t xml:space="preserve">主编单位： </w:t>
      </w:r>
    </w:p>
    <w:p>
      <w:pPr>
        <w:widowControl/>
        <w:snapToGrid w:val="0"/>
        <w:ind w:firstLine="420"/>
        <w:rPr>
          <w:szCs w:val="24"/>
        </w:rPr>
      </w:pPr>
      <w:r>
        <w:rPr>
          <w:rFonts w:hint="eastAsia"/>
          <w:szCs w:val="24"/>
        </w:rPr>
        <w:t>参编单位：</w:t>
      </w:r>
      <w:r>
        <w:rPr>
          <w:szCs w:val="24"/>
        </w:rPr>
        <w:t xml:space="preserve"> </w:t>
      </w:r>
    </w:p>
    <w:p>
      <w:pPr>
        <w:widowControl/>
        <w:tabs>
          <w:tab w:val="left" w:pos="7035"/>
        </w:tabs>
        <w:snapToGrid w:val="0"/>
        <w:ind w:firstLine="420"/>
        <w:rPr>
          <w:sz w:val="28"/>
          <w:szCs w:val="28"/>
        </w:rPr>
      </w:pPr>
      <w:r>
        <w:rPr>
          <w:szCs w:val="24"/>
        </w:rPr>
        <w:t>主要起草人：</w:t>
      </w:r>
      <w:r>
        <w:rPr>
          <w:sz w:val="28"/>
          <w:szCs w:val="28"/>
        </w:rPr>
        <w:t xml:space="preserve"> </w:t>
      </w:r>
    </w:p>
    <w:p>
      <w:pPr>
        <w:pStyle w:val="22"/>
        <w:spacing w:line="360" w:lineRule="auto"/>
        <w:ind w:firstLine="420" w:firstLineChars="200"/>
        <w:rPr>
          <w:rFonts w:ascii="Times New Roman" w:hAnsi="Times New Roman" w:cs="Times New Roman"/>
          <w:b/>
          <w:sz w:val="30"/>
          <w:szCs w:val="30"/>
        </w:rPr>
      </w:pPr>
      <w:r>
        <w:rPr>
          <w:szCs w:val="24"/>
        </w:rPr>
        <w:t>主要审查人：</w:t>
      </w:r>
    </w:p>
    <w:p>
      <w:pPr>
        <w:ind w:firstLine="420"/>
        <w:sectPr>
          <w:pgSz w:w="11906" w:h="16838"/>
          <w:pgMar w:top="1440" w:right="1800" w:bottom="1440" w:left="1800" w:header="851" w:footer="992" w:gutter="0"/>
          <w:cols w:space="425" w:num="1"/>
          <w:docGrid w:type="lines" w:linePitch="312" w:charSpace="0"/>
        </w:sectPr>
      </w:pPr>
    </w:p>
    <w:p>
      <w:pPr>
        <w:pStyle w:val="29"/>
        <w:tabs>
          <w:tab w:val="right" w:leader="dot" w:pos="8296"/>
        </w:tabs>
        <w:ind w:firstLine="266" w:firstLineChars="95"/>
        <w:jc w:val="center"/>
        <w:rPr>
          <w:sz w:val="28"/>
          <w:szCs w:val="32"/>
        </w:rPr>
      </w:pPr>
      <w:r>
        <w:rPr>
          <w:rFonts w:hint="eastAsia"/>
          <w:sz w:val="28"/>
          <w:szCs w:val="32"/>
        </w:rPr>
        <w:t>目  次</w:t>
      </w:r>
    </w:p>
    <w:p>
      <w:pPr>
        <w:pStyle w:val="29"/>
        <w:tabs>
          <w:tab w:val="right" w:leader="dot" w:pos="8296"/>
        </w:tabs>
        <w:ind w:firstLine="420"/>
        <w:rPr>
          <w:rFonts w:cs="Times New Roman"/>
        </w:rPr>
      </w:pPr>
      <w:r>
        <w:fldChar w:fldCharType="begin"/>
      </w:r>
      <w:r>
        <w:instrText xml:space="preserve"> </w:instrText>
      </w:r>
      <w:r>
        <w:rPr>
          <w:rFonts w:hint="eastAsia"/>
        </w:rPr>
        <w:instrText xml:space="preserve">TOC \o "1-2" \h \z \u</w:instrText>
      </w:r>
      <w:r>
        <w:instrText xml:space="preserve"> </w:instrText>
      </w:r>
      <w:r>
        <w:fldChar w:fldCharType="separate"/>
      </w:r>
      <w:r>
        <w:fldChar w:fldCharType="begin"/>
      </w:r>
      <w:r>
        <w:instrText xml:space="preserve"> HYPERLINK \l "_Toc198125338" </w:instrText>
      </w:r>
      <w:r>
        <w:fldChar w:fldCharType="separate"/>
      </w:r>
      <w:r>
        <w:rPr>
          <w:rStyle w:val="52"/>
          <w:rFonts w:cs="Times New Roman"/>
        </w:rPr>
        <w:t>1.总则</w:t>
      </w:r>
      <w:r>
        <w:rPr>
          <w:rFonts w:cs="Times New Roman"/>
        </w:rPr>
        <w:tab/>
      </w:r>
      <w:r>
        <w:rPr>
          <w:rFonts w:cs="Times New Roman"/>
        </w:rPr>
        <w:t>1</w:t>
      </w:r>
      <w:r>
        <w:rPr>
          <w:rFonts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"_Toc198125339" </w:instrText>
      </w:r>
      <w:r>
        <w:fldChar w:fldCharType="separate"/>
      </w:r>
      <w:r>
        <w:rPr>
          <w:rStyle w:val="52"/>
          <w:rFonts w:cs="Times New Roman"/>
        </w:rPr>
        <w:t>2.</w:t>
      </w:r>
      <w:r>
        <w:rPr>
          <w:rFonts w:cs="Times New Roman"/>
        </w:rPr>
        <w:tab/>
      </w:r>
      <w:r>
        <w:rPr>
          <w:rStyle w:val="52"/>
          <w:rFonts w:cs="Times New Roman"/>
        </w:rPr>
        <w:t>术语</w:t>
      </w:r>
      <w:r>
        <w:rPr>
          <w:rFonts w:cs="Times New Roman"/>
        </w:rPr>
        <w:tab/>
      </w:r>
      <w:r>
        <w:rPr>
          <w:rFonts w:cs="Times New Roman"/>
        </w:rPr>
        <w:t>2</w:t>
      </w:r>
      <w:r>
        <w:rPr>
          <w:rFonts w:cs="Times New Roman"/>
        </w:rPr>
        <w:fldChar w:fldCharType="end"/>
      </w:r>
    </w:p>
    <w:p>
      <w:pPr>
        <w:pStyle w:val="29"/>
        <w:tabs>
          <w:tab w:val="right" w:leader="dot" w:pos="8296"/>
        </w:tabs>
        <w:ind w:firstLine="420"/>
        <w:rPr>
          <w:rFonts w:cs="Times New Roman"/>
        </w:rPr>
      </w:pPr>
      <w:r>
        <w:fldChar w:fldCharType="begin"/>
      </w:r>
      <w:r>
        <w:instrText xml:space="preserve"> HYPERLINK \l "_Toc198125340" </w:instrText>
      </w:r>
      <w:r>
        <w:fldChar w:fldCharType="separate"/>
      </w:r>
      <w:r>
        <w:rPr>
          <w:rStyle w:val="52"/>
          <w:rFonts w:cs="Times New Roman"/>
        </w:rPr>
        <w:t>3.基本规定</w:t>
      </w:r>
      <w:r>
        <w:rPr>
          <w:rFonts w:cs="Times New Roman"/>
        </w:rPr>
        <w:tab/>
      </w:r>
      <w:r>
        <w:rPr>
          <w:rFonts w:cs="Times New Roman"/>
        </w:rPr>
        <w:t>8</w:t>
      </w:r>
      <w:r>
        <w:rPr>
          <w:rFonts w:cs="Times New Roman"/>
        </w:rPr>
        <w:fldChar w:fldCharType="end"/>
      </w:r>
    </w:p>
    <w:p>
      <w:pPr>
        <w:pStyle w:val="29"/>
        <w:tabs>
          <w:tab w:val="right" w:leader="dot" w:pos="8296"/>
        </w:tabs>
        <w:ind w:firstLine="420"/>
        <w:rPr>
          <w:rFonts w:cs="Times New Roman"/>
        </w:rPr>
      </w:pPr>
      <w:r>
        <w:fldChar w:fldCharType="begin"/>
      </w:r>
      <w:r>
        <w:instrText xml:space="preserve"> HYPERLINK \l "_Toc198125348" </w:instrText>
      </w:r>
      <w:r>
        <w:fldChar w:fldCharType="separate"/>
      </w:r>
      <w:r>
        <w:rPr>
          <w:rStyle w:val="52"/>
          <w:rFonts w:cs="Times New Roman"/>
        </w:rPr>
        <w:t>4.室内环境参数</w:t>
      </w:r>
      <w:r>
        <w:rPr>
          <w:rFonts w:cs="Times New Roman"/>
        </w:rPr>
        <w:tab/>
      </w:r>
      <w:r>
        <w:rPr>
          <w:rFonts w:cs="Times New Roman"/>
        </w:rPr>
        <w:t>9</w:t>
      </w:r>
      <w:r>
        <w:rPr>
          <w:rFonts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"_Toc198125353" </w:instrText>
      </w:r>
      <w:r>
        <w:fldChar w:fldCharType="separate"/>
      </w:r>
      <w:r>
        <w:rPr>
          <w:rStyle w:val="52"/>
          <w:rFonts w:cs="Times New Roman"/>
        </w:rPr>
        <w:t>5.</w:t>
      </w:r>
      <w:r>
        <w:rPr>
          <w:rFonts w:cs="Times New Roman"/>
        </w:rPr>
        <w:tab/>
      </w:r>
      <w:r>
        <w:rPr>
          <w:rStyle w:val="52"/>
          <w:rFonts w:cs="Times New Roman"/>
        </w:rPr>
        <w:t>能耗指标</w:t>
      </w:r>
      <w:r>
        <w:rPr>
          <w:rFonts w:cs="Times New Roman"/>
        </w:rPr>
        <w:tab/>
      </w:r>
      <w:r>
        <w:rPr>
          <w:rFonts w:cs="Times New Roman"/>
        </w:rPr>
        <w:fldChar w:fldCharType="begin"/>
      </w:r>
      <w:r>
        <w:rPr>
          <w:rFonts w:cs="Times New Roman"/>
        </w:rPr>
        <w:instrText xml:space="preserve"> PAGEREF _Toc198125353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"_Toc198125359" </w:instrText>
      </w:r>
      <w:r>
        <w:fldChar w:fldCharType="separate"/>
      </w:r>
      <w:r>
        <w:rPr>
          <w:rStyle w:val="52"/>
          <w:rFonts w:cs="Times New Roman"/>
        </w:rPr>
        <w:t>6.</w:t>
      </w:r>
      <w:r>
        <w:rPr>
          <w:rFonts w:cs="Times New Roman"/>
        </w:rPr>
        <w:tab/>
      </w:r>
      <w:r>
        <w:rPr>
          <w:rStyle w:val="52"/>
          <w:rFonts w:cs="Times New Roman"/>
        </w:rPr>
        <w:t>技术参数</w:t>
      </w:r>
      <w:r>
        <w:rPr>
          <w:rFonts w:cs="Times New Roman"/>
        </w:rPr>
        <w:tab/>
      </w:r>
      <w:r>
        <w:rPr>
          <w:rFonts w:cs="Times New Roman"/>
        </w:rPr>
        <w:t>16</w:t>
      </w:r>
      <w:r>
        <w:rPr>
          <w:rFonts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"_Toc198125360" </w:instrText>
      </w:r>
      <w:r>
        <w:fldChar w:fldCharType="separate"/>
      </w:r>
      <w:r>
        <w:rPr>
          <w:rStyle w:val="52"/>
          <w:rFonts w:ascii="Times New Roman" w:hAnsi="Times New Roman" w:eastAsia="宋体" w:cs="Times New Roman"/>
          <w:kern w:val="44"/>
        </w:rPr>
        <w:t xml:space="preserve">6.1 </w:t>
      </w:r>
      <w:r>
        <w:rPr>
          <w:rStyle w:val="52"/>
          <w:rFonts w:hint="eastAsia" w:ascii="Times New Roman" w:hAnsi="Times New Roman" w:eastAsia="宋体" w:cs="Times New Roman"/>
          <w:kern w:val="44"/>
        </w:rPr>
        <w:t>围护结构</w:t>
      </w:r>
      <w:r>
        <w:rPr>
          <w:rFonts w:ascii="Times New Roman" w:hAnsi="Times New Roman" w:eastAsia="宋体" w:cs="Times New Roman"/>
        </w:rPr>
        <w:tab/>
      </w:r>
      <w:r>
        <w:rPr>
          <w:rFonts w:ascii="Times New Roman" w:hAnsi="Times New Roman" w:eastAsia="宋体" w:cs="Times New Roman"/>
        </w:rPr>
        <w:t>16</w:t>
      </w:r>
      <w:r>
        <w:rPr>
          <w:rFonts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"_Toc198125361" </w:instrText>
      </w:r>
      <w:r>
        <w:fldChar w:fldCharType="separate"/>
      </w:r>
      <w:r>
        <w:rPr>
          <w:rStyle w:val="52"/>
          <w:rFonts w:ascii="Times New Roman" w:hAnsi="Times New Roman" w:eastAsia="宋体" w:cs="Times New Roman"/>
          <w:kern w:val="44"/>
        </w:rPr>
        <w:t>6.2 高效制冷除湿</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_Toc198125361 \h </w:instrText>
      </w:r>
      <w:r>
        <w:rPr>
          <w:rFonts w:ascii="Times New Roman" w:hAnsi="Times New Roman" w:eastAsia="宋体" w:cs="Times New Roman"/>
        </w:rPr>
        <w:fldChar w:fldCharType="separate"/>
      </w:r>
      <w:r>
        <w:rPr>
          <w:rFonts w:hint="eastAsia"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"_Toc198125362" </w:instrText>
      </w:r>
      <w:r>
        <w:fldChar w:fldCharType="separate"/>
      </w:r>
      <w:r>
        <w:rPr>
          <w:rStyle w:val="52"/>
          <w:rFonts w:ascii="Times New Roman" w:hAnsi="Times New Roman" w:eastAsia="宋体" w:cs="Times New Roman"/>
          <w:kern w:val="44"/>
        </w:rPr>
        <w:t>6.3 可再生能源利用</w:t>
      </w:r>
      <w:r>
        <w:rPr>
          <w:rFonts w:ascii="Times New Roman" w:hAnsi="Times New Roman" w:eastAsia="宋体" w:cs="Times New Roman"/>
        </w:rPr>
        <w:tab/>
      </w:r>
      <w:r>
        <w:rPr>
          <w:rFonts w:ascii="Times New Roman" w:hAnsi="Times New Roman" w:eastAsia="宋体" w:cs="Times New Roman"/>
        </w:rPr>
        <w:t>2</w:t>
      </w:r>
      <w:r>
        <w:rPr>
          <w:rFonts w:hint="eastAsia" w:ascii="Times New Roman" w:hAnsi="Times New Roman" w:eastAsia="宋体" w:cs="Times New Roman"/>
        </w:rPr>
        <w:t>9</w:t>
      </w:r>
      <w:r>
        <w:rPr>
          <w:rFonts w:hint="eastAsia"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"_Toc198125363" </w:instrText>
      </w:r>
      <w:r>
        <w:fldChar w:fldCharType="separate"/>
      </w:r>
      <w:r>
        <w:rPr>
          <w:rStyle w:val="52"/>
          <w:rFonts w:ascii="Times New Roman" w:hAnsi="Times New Roman" w:eastAsia="宋体" w:cs="Times New Roman"/>
          <w:kern w:val="44"/>
        </w:rPr>
        <w:t>6.4 建筑蓄能</w:t>
      </w:r>
      <w:r>
        <w:rPr>
          <w:rFonts w:ascii="Times New Roman" w:hAnsi="Times New Roman" w:eastAsia="宋体" w:cs="Times New Roman"/>
        </w:rPr>
        <w:tab/>
      </w:r>
      <w:r>
        <w:rPr>
          <w:rFonts w:hint="eastAsia" w:ascii="Times New Roman" w:hAnsi="Times New Roman" w:eastAsia="宋体" w:cs="Times New Roman"/>
        </w:rPr>
        <w:t>33</w:t>
      </w:r>
      <w:r>
        <w:rPr>
          <w:rFonts w:hint="eastAsia" w:ascii="Times New Roman" w:hAnsi="Times New Roman" w:eastAsia="宋体"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"_Toc198125364" </w:instrText>
      </w:r>
      <w:r>
        <w:fldChar w:fldCharType="separate"/>
      </w:r>
      <w:r>
        <w:rPr>
          <w:rStyle w:val="52"/>
          <w:rFonts w:cs="Times New Roman"/>
        </w:rPr>
        <w:t>7.</w:t>
      </w:r>
      <w:r>
        <w:rPr>
          <w:rFonts w:cs="Times New Roman"/>
        </w:rPr>
        <w:tab/>
      </w:r>
      <w:r>
        <w:rPr>
          <w:rStyle w:val="52"/>
          <w:rFonts w:cs="Times New Roman"/>
        </w:rPr>
        <w:t>技术措施</w:t>
      </w:r>
      <w:r>
        <w:rPr>
          <w:rFonts w:cs="Times New Roman"/>
        </w:rPr>
        <w:tab/>
      </w:r>
      <w:r>
        <w:rPr>
          <w:rFonts w:hint="eastAsia" w:cs="Times New Roman"/>
        </w:rPr>
        <w:t>34</w:t>
      </w:r>
      <w:r>
        <w:rPr>
          <w:rFonts w:hint="eastAsia"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"_Toc198125365" </w:instrText>
      </w:r>
      <w:r>
        <w:fldChar w:fldCharType="separate"/>
      </w:r>
      <w:r>
        <w:rPr>
          <w:rStyle w:val="52"/>
          <w:rFonts w:ascii="Times New Roman" w:hAnsi="Times New Roman" w:eastAsia="宋体" w:cs="Times New Roman"/>
          <w:kern w:val="44"/>
        </w:rPr>
        <w:t>7.1 设计</w:t>
      </w:r>
      <w:r>
        <w:rPr>
          <w:rFonts w:ascii="Times New Roman" w:hAnsi="Times New Roman" w:eastAsia="宋体" w:cs="Times New Roman"/>
        </w:rPr>
        <w:tab/>
      </w:r>
      <w:r>
        <w:rPr>
          <w:rFonts w:hint="eastAsia" w:ascii="Times New Roman" w:hAnsi="Times New Roman" w:eastAsia="宋体" w:cs="Times New Roman"/>
        </w:rPr>
        <w:t>34</w:t>
      </w:r>
      <w:r>
        <w:rPr>
          <w:rFonts w:hint="eastAsia"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"_Toc198125366" </w:instrText>
      </w:r>
      <w:r>
        <w:fldChar w:fldCharType="separate"/>
      </w:r>
      <w:r>
        <w:rPr>
          <w:rStyle w:val="52"/>
          <w:rFonts w:ascii="Times New Roman" w:hAnsi="Times New Roman" w:eastAsia="宋体" w:cs="Times New Roman"/>
          <w:kern w:val="44"/>
        </w:rPr>
        <w:t>7.2 施工质量控制</w:t>
      </w:r>
      <w:r>
        <w:rPr>
          <w:rFonts w:ascii="Times New Roman" w:hAnsi="Times New Roman" w:eastAsia="宋体" w:cs="Times New Roman"/>
        </w:rPr>
        <w:tab/>
      </w:r>
      <w:r>
        <w:rPr>
          <w:rFonts w:hint="eastAsia" w:ascii="Times New Roman" w:hAnsi="Times New Roman" w:eastAsia="宋体" w:cs="Times New Roman"/>
        </w:rPr>
        <w:t>52</w:t>
      </w:r>
      <w:r>
        <w:rPr>
          <w:rFonts w:hint="eastAsia"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"_Toc198125367" </w:instrText>
      </w:r>
      <w:r>
        <w:fldChar w:fldCharType="separate"/>
      </w:r>
      <w:r>
        <w:rPr>
          <w:rStyle w:val="52"/>
          <w:rFonts w:ascii="Times New Roman" w:hAnsi="Times New Roman" w:eastAsia="宋体" w:cs="Times New Roman"/>
          <w:kern w:val="44"/>
        </w:rPr>
        <w:t>7.3 运行管理</w:t>
      </w:r>
      <w:r>
        <w:rPr>
          <w:rFonts w:ascii="Times New Roman" w:hAnsi="Times New Roman" w:eastAsia="宋体" w:cs="Times New Roman"/>
        </w:rPr>
        <w:tab/>
      </w:r>
      <w:r>
        <w:rPr>
          <w:rFonts w:hint="eastAsia" w:ascii="Times New Roman" w:hAnsi="Times New Roman" w:eastAsia="宋体" w:cs="Times New Roman"/>
        </w:rPr>
        <w:t>63</w:t>
      </w:r>
      <w:r>
        <w:rPr>
          <w:rFonts w:hint="eastAsia" w:ascii="Times New Roman" w:hAnsi="Times New Roman" w:eastAsia="宋体"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"_Toc198125374" </w:instrText>
      </w:r>
      <w:r>
        <w:fldChar w:fldCharType="separate"/>
      </w:r>
      <w:r>
        <w:rPr>
          <w:rStyle w:val="52"/>
          <w:rFonts w:cs="Times New Roman"/>
        </w:rPr>
        <w:t>8.</w:t>
      </w:r>
      <w:r>
        <w:rPr>
          <w:rFonts w:cs="Times New Roman"/>
        </w:rPr>
        <w:tab/>
      </w:r>
      <w:r>
        <w:rPr>
          <w:rStyle w:val="52"/>
          <w:rFonts w:cs="Times New Roman"/>
        </w:rPr>
        <w:t>评价方法与判定</w:t>
      </w:r>
      <w:r>
        <w:rPr>
          <w:rFonts w:cs="Times New Roman"/>
        </w:rPr>
        <w:tab/>
      </w:r>
      <w:r>
        <w:rPr>
          <w:rFonts w:cs="Times New Roman"/>
        </w:rPr>
        <w:t>67</w:t>
      </w:r>
      <w:r>
        <w:rPr>
          <w:rFonts w:cs="Times New Roman"/>
        </w:rPr>
        <w:fldChar w:fldCharType="end"/>
      </w:r>
    </w:p>
    <w:p>
      <w:pPr>
        <w:pStyle w:val="29"/>
        <w:tabs>
          <w:tab w:val="right" w:leader="dot" w:pos="8296"/>
        </w:tabs>
        <w:ind w:firstLine="420"/>
        <w:rPr>
          <w:rFonts w:asciiTheme="minorHAnsi" w:hAnsiTheme="minorHAnsi" w:eastAsiaTheme="minorEastAsia"/>
        </w:rPr>
      </w:pPr>
      <w:r>
        <w:fldChar w:fldCharType="begin"/>
      </w:r>
      <w:r>
        <w:instrText xml:space="preserve"> HYPERLINK \l "_Toc198125387" </w:instrText>
      </w:r>
      <w:r>
        <w:fldChar w:fldCharType="separate"/>
      </w:r>
      <w:r>
        <w:rPr>
          <w:rStyle w:val="52"/>
          <w:rFonts w:cs="Times New Roman"/>
        </w:rPr>
        <w:t>附录A 能耗计算参数</w:t>
      </w:r>
      <w:r>
        <w:rPr>
          <w:rFonts w:cs="Times New Roman"/>
        </w:rPr>
        <w:tab/>
      </w:r>
      <w:r>
        <w:rPr>
          <w:rFonts w:hint="eastAsia" w:cs="Times New Roman"/>
        </w:rPr>
        <w:t>7</w:t>
      </w:r>
      <w:r>
        <w:rPr>
          <w:rFonts w:cs="Times New Roman"/>
        </w:rPr>
        <w:t>4</w:t>
      </w:r>
      <w:r>
        <w:rPr>
          <w:rFonts w:cs="Times New Roman"/>
        </w:rPr>
        <w:fldChar w:fldCharType="end"/>
      </w:r>
    </w:p>
    <w:p>
      <w:pPr>
        <w:ind w:firstLine="420"/>
        <w:sectPr>
          <w:footerReference r:id="rId16" w:type="default"/>
          <w:pgSz w:w="11906" w:h="16838"/>
          <w:pgMar w:top="1440" w:right="1800" w:bottom="1440" w:left="1800" w:header="851" w:footer="992" w:gutter="0"/>
          <w:pgNumType w:start="1"/>
          <w:cols w:space="425" w:num="1"/>
          <w:docGrid w:type="lines" w:linePitch="312" w:charSpace="0"/>
        </w:sectPr>
      </w:pPr>
      <w:r>
        <w:fldChar w:fldCharType="end"/>
      </w:r>
    </w:p>
    <w:p>
      <w:pPr>
        <w:pStyle w:val="29"/>
        <w:tabs>
          <w:tab w:val="right" w:leader="dot" w:pos="8296"/>
        </w:tabs>
        <w:ind w:firstLine="266" w:firstLineChars="95"/>
        <w:jc w:val="center"/>
        <w:rPr>
          <w:sz w:val="28"/>
          <w:szCs w:val="32"/>
        </w:rPr>
      </w:pPr>
      <w:r>
        <w:rPr>
          <w:sz w:val="28"/>
          <w:szCs w:val="32"/>
        </w:rPr>
        <w:t>Contents</w:t>
      </w:r>
    </w:p>
    <w:p>
      <w:pPr>
        <w:pStyle w:val="29"/>
        <w:tabs>
          <w:tab w:val="right" w:leader="dot" w:pos="8296"/>
        </w:tabs>
        <w:ind w:firstLine="420"/>
        <w:rPr>
          <w:rFonts w:cs="Times New Roman"/>
        </w:rPr>
      </w:pPr>
      <w:r>
        <w:fldChar w:fldCharType="begin"/>
      </w:r>
      <w:r>
        <w:instrText xml:space="preserve"> </w:instrText>
      </w:r>
      <w:r>
        <w:rPr>
          <w:rFonts w:hint="eastAsia"/>
        </w:rPr>
        <w:instrText xml:space="preserve">TOC \o "1-2" \h \z \u</w:instrText>
      </w:r>
      <w:r>
        <w:instrText xml:space="preserve"> </w:instrText>
      </w:r>
      <w:r>
        <w:fldChar w:fldCharType="separate"/>
      </w:r>
      <w:r>
        <w:fldChar w:fldCharType="begin"/>
      </w:r>
      <w:r>
        <w:instrText xml:space="preserve"> HYPERLINK \l "_Toc198125338" </w:instrText>
      </w:r>
      <w:r>
        <w:fldChar w:fldCharType="separate"/>
      </w:r>
      <w:r>
        <w:rPr>
          <w:rStyle w:val="52"/>
          <w:rFonts w:cs="Times New Roman"/>
        </w:rPr>
        <w:t>1.</w:t>
      </w:r>
      <w:r>
        <w:t xml:space="preserve"> </w:t>
      </w:r>
      <w:r>
        <w:rPr>
          <w:rStyle w:val="52"/>
          <w:rFonts w:cs="Times New Roman"/>
        </w:rPr>
        <w:t>General Provisions</w:t>
      </w:r>
      <w:r>
        <w:rPr>
          <w:rFonts w:cs="Times New Roman"/>
        </w:rPr>
        <w:tab/>
      </w:r>
      <w:r>
        <w:rPr>
          <w:rFonts w:cs="Times New Roman"/>
        </w:rPr>
        <w:t>1</w:t>
      </w:r>
      <w:r>
        <w:rPr>
          <w:rFonts w:cs="Times New Roman"/>
        </w:rPr>
        <w:fldChar w:fldCharType="end"/>
      </w:r>
    </w:p>
    <w:p>
      <w:pPr>
        <w:pStyle w:val="29"/>
        <w:tabs>
          <w:tab w:val="left" w:pos="840"/>
          <w:tab w:val="right" w:leader="dot" w:pos="8296"/>
        </w:tabs>
        <w:ind w:firstLine="420"/>
        <w:rPr>
          <w:rFonts w:cs="Times New Roman"/>
        </w:rPr>
      </w:pPr>
      <w:r>
        <w:fldChar w:fldCharType="begin"/>
      </w:r>
      <w:r>
        <w:instrText xml:space="preserve"> HYPERLINK \l "_Toc198125339" </w:instrText>
      </w:r>
      <w:r>
        <w:fldChar w:fldCharType="separate"/>
      </w:r>
      <w:r>
        <w:rPr>
          <w:rStyle w:val="52"/>
          <w:rFonts w:cs="Times New Roman"/>
        </w:rPr>
        <w:t>2. Terms</w:t>
      </w:r>
      <w:r>
        <w:rPr>
          <w:rFonts w:cs="Times New Roman"/>
        </w:rPr>
        <w:tab/>
      </w:r>
      <w:r>
        <w:rPr>
          <w:rFonts w:cs="Times New Roman"/>
        </w:rPr>
        <w:t>2</w:t>
      </w:r>
      <w:r>
        <w:rPr>
          <w:rFonts w:cs="Times New Roman"/>
        </w:rPr>
        <w:fldChar w:fldCharType="end"/>
      </w:r>
    </w:p>
    <w:p>
      <w:pPr>
        <w:pStyle w:val="29"/>
        <w:tabs>
          <w:tab w:val="right" w:leader="dot" w:pos="8296"/>
        </w:tabs>
        <w:ind w:firstLine="420"/>
        <w:rPr>
          <w:rFonts w:cs="Times New Roman"/>
        </w:rPr>
      </w:pPr>
      <w:r>
        <w:fldChar w:fldCharType="begin"/>
      </w:r>
      <w:r>
        <w:instrText xml:space="preserve"> HYPERLINK \l "_Toc198125340" </w:instrText>
      </w:r>
      <w:r>
        <w:fldChar w:fldCharType="separate"/>
      </w:r>
      <w:r>
        <w:rPr>
          <w:rStyle w:val="52"/>
          <w:rFonts w:cs="Times New Roman"/>
        </w:rPr>
        <w:t>3.</w:t>
      </w:r>
      <w:r>
        <w:t xml:space="preserve"> </w:t>
      </w:r>
      <w:r>
        <w:rPr>
          <w:rStyle w:val="52"/>
          <w:rFonts w:cs="Times New Roman"/>
        </w:rPr>
        <w:t>Basic Requirements</w:t>
      </w:r>
      <w:r>
        <w:rPr>
          <w:rFonts w:cs="Times New Roman"/>
        </w:rPr>
        <w:tab/>
      </w:r>
      <w:r>
        <w:rPr>
          <w:rFonts w:cs="Times New Roman"/>
        </w:rPr>
        <w:t>8</w:t>
      </w:r>
      <w:r>
        <w:rPr>
          <w:rFonts w:cs="Times New Roman"/>
        </w:rPr>
        <w:fldChar w:fldCharType="end"/>
      </w:r>
    </w:p>
    <w:p>
      <w:pPr>
        <w:pStyle w:val="29"/>
        <w:tabs>
          <w:tab w:val="right" w:leader="dot" w:pos="8296"/>
        </w:tabs>
        <w:ind w:firstLine="420"/>
        <w:rPr>
          <w:rFonts w:cs="Times New Roman"/>
        </w:rPr>
      </w:pPr>
      <w:r>
        <w:fldChar w:fldCharType="begin"/>
      </w:r>
      <w:r>
        <w:instrText xml:space="preserve"> HYPERLINK \l "_Toc198125348" </w:instrText>
      </w:r>
      <w:r>
        <w:fldChar w:fldCharType="separate"/>
      </w:r>
      <w:r>
        <w:rPr>
          <w:rStyle w:val="52"/>
          <w:rFonts w:cs="Times New Roman"/>
        </w:rPr>
        <w:t>4. Indoor Environment Parameters</w:t>
      </w:r>
      <w:r>
        <w:rPr>
          <w:rFonts w:cs="Times New Roman"/>
        </w:rPr>
        <w:tab/>
      </w:r>
      <w:r>
        <w:rPr>
          <w:rFonts w:cs="Times New Roman"/>
        </w:rPr>
        <w:t>9</w:t>
      </w:r>
      <w:r>
        <w:rPr>
          <w:rFonts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"_Toc198125353" </w:instrText>
      </w:r>
      <w:r>
        <w:fldChar w:fldCharType="separate"/>
      </w:r>
      <w:r>
        <w:rPr>
          <w:rStyle w:val="52"/>
          <w:rFonts w:cs="Times New Roman"/>
        </w:rPr>
        <w:t>5.</w:t>
      </w:r>
      <w:r>
        <w:rPr>
          <w:rFonts w:cs="Times New Roman"/>
        </w:rPr>
        <w:tab/>
      </w:r>
      <w:r>
        <w:rPr>
          <w:rStyle w:val="52"/>
          <w:rFonts w:cs="Times New Roman"/>
        </w:rPr>
        <w:t>Energy Criteria</w:t>
      </w:r>
      <w:r>
        <w:rPr>
          <w:rFonts w:cs="Times New Roman"/>
        </w:rPr>
        <w:tab/>
      </w:r>
      <w:r>
        <w:rPr>
          <w:rFonts w:cs="Times New Roman"/>
        </w:rPr>
        <w:fldChar w:fldCharType="begin"/>
      </w:r>
      <w:r>
        <w:rPr>
          <w:rFonts w:cs="Times New Roman"/>
        </w:rPr>
        <w:instrText xml:space="preserve"> PAGEREF _Toc198125353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"_Toc198125359" </w:instrText>
      </w:r>
      <w:r>
        <w:fldChar w:fldCharType="separate"/>
      </w:r>
      <w:r>
        <w:rPr>
          <w:rStyle w:val="52"/>
          <w:rFonts w:cs="Times New Roman"/>
        </w:rPr>
        <w:t>6.</w:t>
      </w:r>
      <w:r>
        <w:rPr>
          <w:rFonts w:cs="Times New Roman"/>
        </w:rPr>
        <w:tab/>
      </w:r>
      <w:r>
        <w:rPr>
          <w:rFonts w:hint="eastAsia" w:cs="Times New Roman"/>
        </w:rPr>
        <w:t>Technical</w:t>
      </w:r>
      <w:r>
        <w:rPr>
          <w:rFonts w:cs="Times New Roman"/>
        </w:rPr>
        <w:t xml:space="preserve"> </w:t>
      </w:r>
      <w:r>
        <w:rPr>
          <w:rFonts w:hint="eastAsia" w:cs="Times New Roman"/>
        </w:rPr>
        <w:t>Performance</w:t>
      </w:r>
      <w:r>
        <w:rPr>
          <w:rFonts w:cs="Times New Roman"/>
        </w:rPr>
        <w:t xml:space="preserve"> </w:t>
      </w:r>
      <w:r>
        <w:rPr>
          <w:rFonts w:hint="eastAsia" w:cs="Times New Roman"/>
        </w:rPr>
        <w:t>Index</w:t>
      </w:r>
      <w:r>
        <w:rPr>
          <w:rFonts w:cs="Times New Roman"/>
        </w:rPr>
        <w:tab/>
      </w:r>
      <w:r>
        <w:rPr>
          <w:rFonts w:cs="Times New Roman"/>
        </w:rPr>
        <w:t>16</w:t>
      </w:r>
      <w:r>
        <w:rPr>
          <w:rFonts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"_Toc198125360" </w:instrText>
      </w:r>
      <w:r>
        <w:fldChar w:fldCharType="separate"/>
      </w:r>
      <w:r>
        <w:rPr>
          <w:rStyle w:val="52"/>
          <w:rFonts w:ascii="Times New Roman" w:hAnsi="Times New Roman" w:eastAsia="宋体" w:cs="Times New Roman"/>
          <w:kern w:val="44"/>
        </w:rPr>
        <w:t xml:space="preserve">6.1 </w:t>
      </w:r>
      <w:r>
        <w:rPr>
          <w:rStyle w:val="52"/>
          <w:rFonts w:hint="eastAsia" w:ascii="Times New Roman" w:hAnsi="Times New Roman" w:eastAsia="宋体" w:cs="Times New Roman"/>
          <w:kern w:val="44"/>
        </w:rPr>
        <w:t>Building</w:t>
      </w:r>
      <w:r>
        <w:rPr>
          <w:rStyle w:val="52"/>
          <w:rFonts w:ascii="Times New Roman" w:hAnsi="Times New Roman" w:eastAsia="宋体" w:cs="Times New Roman"/>
          <w:kern w:val="44"/>
        </w:rPr>
        <w:t xml:space="preserve"> </w:t>
      </w:r>
      <w:r>
        <w:rPr>
          <w:rStyle w:val="52"/>
          <w:rFonts w:hint="eastAsia" w:ascii="Times New Roman" w:hAnsi="Times New Roman" w:eastAsia="宋体" w:cs="Times New Roman"/>
          <w:kern w:val="44"/>
        </w:rPr>
        <w:t>Design</w:t>
      </w:r>
      <w:r>
        <w:rPr>
          <w:rFonts w:ascii="Times New Roman" w:hAnsi="Times New Roman" w:eastAsia="宋体" w:cs="Times New Roman"/>
        </w:rPr>
        <w:tab/>
      </w:r>
      <w:r>
        <w:rPr>
          <w:rFonts w:ascii="Times New Roman" w:hAnsi="Times New Roman" w:eastAsia="宋体" w:cs="Times New Roman"/>
        </w:rPr>
        <w:t>16</w:t>
      </w:r>
      <w:r>
        <w:rPr>
          <w:rFonts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"_Toc198125361" </w:instrText>
      </w:r>
      <w:r>
        <w:fldChar w:fldCharType="separate"/>
      </w:r>
      <w:r>
        <w:rPr>
          <w:rStyle w:val="52"/>
          <w:rFonts w:ascii="Times New Roman" w:hAnsi="Times New Roman" w:eastAsia="宋体" w:cs="Times New Roman"/>
          <w:kern w:val="44"/>
        </w:rPr>
        <w:t>6.2 High Efficiency Refrigeration and Dehumidification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_Toc198125361 \h </w:instrText>
      </w:r>
      <w:r>
        <w:rPr>
          <w:rFonts w:ascii="Times New Roman" w:hAnsi="Times New Roman" w:eastAsia="宋体" w:cs="Times New Roman"/>
        </w:rPr>
        <w:fldChar w:fldCharType="separate"/>
      </w:r>
      <w:r>
        <w:rPr>
          <w:rFonts w:hint="eastAsia"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"_Toc198125362" </w:instrText>
      </w:r>
      <w:r>
        <w:fldChar w:fldCharType="separate"/>
      </w:r>
      <w:r>
        <w:rPr>
          <w:rStyle w:val="52"/>
          <w:rFonts w:ascii="Times New Roman" w:hAnsi="Times New Roman" w:eastAsia="宋体" w:cs="Times New Roman"/>
          <w:kern w:val="44"/>
        </w:rPr>
        <w:t xml:space="preserve">6.3 </w:t>
      </w:r>
      <w:r>
        <w:rPr>
          <w:rStyle w:val="52"/>
          <w:rFonts w:hint="eastAsia" w:ascii="Times New Roman" w:hAnsi="Times New Roman" w:eastAsia="宋体" w:cs="Times New Roman"/>
          <w:kern w:val="44"/>
        </w:rPr>
        <w:t>R</w:t>
      </w:r>
      <w:r>
        <w:rPr>
          <w:rStyle w:val="52"/>
          <w:rFonts w:ascii="Times New Roman" w:hAnsi="Times New Roman" w:eastAsia="宋体" w:cs="Times New Roman"/>
          <w:kern w:val="44"/>
        </w:rPr>
        <w:t>enewable Energy</w:t>
      </w:r>
      <w:r>
        <w:rPr>
          <w:rFonts w:ascii="Times New Roman" w:hAnsi="Times New Roman" w:eastAsia="宋体" w:cs="Times New Roman"/>
        </w:rPr>
        <w:tab/>
      </w:r>
      <w:r>
        <w:rPr>
          <w:rFonts w:ascii="Times New Roman" w:hAnsi="Times New Roman" w:eastAsia="宋体" w:cs="Times New Roman"/>
        </w:rPr>
        <w:t>2</w:t>
      </w:r>
      <w:r>
        <w:rPr>
          <w:rFonts w:hint="eastAsia" w:ascii="Times New Roman" w:hAnsi="Times New Roman" w:eastAsia="宋体" w:cs="Times New Roman"/>
        </w:rPr>
        <w:t>9</w:t>
      </w:r>
      <w:r>
        <w:rPr>
          <w:rFonts w:hint="eastAsia"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"_Toc198125363" </w:instrText>
      </w:r>
      <w:r>
        <w:fldChar w:fldCharType="separate"/>
      </w:r>
      <w:r>
        <w:rPr>
          <w:rStyle w:val="52"/>
          <w:rFonts w:ascii="Times New Roman" w:hAnsi="Times New Roman" w:eastAsia="宋体" w:cs="Times New Roman"/>
          <w:kern w:val="44"/>
        </w:rPr>
        <w:t>6.4 Building Energy Storage</w:t>
      </w:r>
      <w:r>
        <w:rPr>
          <w:rFonts w:ascii="Times New Roman" w:hAnsi="Times New Roman" w:eastAsia="宋体" w:cs="Times New Roman"/>
        </w:rPr>
        <w:tab/>
      </w:r>
      <w:r>
        <w:rPr>
          <w:rFonts w:hint="eastAsia" w:ascii="Times New Roman" w:hAnsi="Times New Roman" w:eastAsia="宋体" w:cs="Times New Roman"/>
        </w:rPr>
        <w:t>33</w:t>
      </w:r>
      <w:r>
        <w:rPr>
          <w:rFonts w:hint="eastAsia" w:ascii="Times New Roman" w:hAnsi="Times New Roman" w:eastAsia="宋体"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"_Toc198125364" </w:instrText>
      </w:r>
      <w:r>
        <w:fldChar w:fldCharType="separate"/>
      </w:r>
      <w:r>
        <w:rPr>
          <w:rStyle w:val="52"/>
          <w:rFonts w:cs="Times New Roman"/>
        </w:rPr>
        <w:t>7.</w:t>
      </w:r>
      <w:r>
        <w:rPr>
          <w:rFonts w:cs="Times New Roman"/>
        </w:rPr>
        <w:tab/>
      </w:r>
      <w:r>
        <w:rPr>
          <w:rStyle w:val="52"/>
          <w:rFonts w:cs="Times New Roman"/>
        </w:rPr>
        <w:t>Technical Measures</w:t>
      </w:r>
      <w:r>
        <w:rPr>
          <w:rFonts w:cs="Times New Roman"/>
        </w:rPr>
        <w:tab/>
      </w:r>
      <w:r>
        <w:rPr>
          <w:rFonts w:hint="eastAsia" w:cs="Times New Roman"/>
        </w:rPr>
        <w:t>34</w:t>
      </w:r>
      <w:r>
        <w:rPr>
          <w:rFonts w:hint="eastAsia"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"_Toc198125365" </w:instrText>
      </w:r>
      <w:r>
        <w:fldChar w:fldCharType="separate"/>
      </w:r>
      <w:r>
        <w:rPr>
          <w:rStyle w:val="52"/>
          <w:rFonts w:ascii="Times New Roman" w:hAnsi="Times New Roman" w:eastAsia="宋体" w:cs="Times New Roman"/>
          <w:kern w:val="44"/>
        </w:rPr>
        <w:t>7.1 Design</w:t>
      </w:r>
      <w:r>
        <w:rPr>
          <w:rFonts w:ascii="Times New Roman" w:hAnsi="Times New Roman" w:eastAsia="宋体" w:cs="Times New Roman"/>
        </w:rPr>
        <w:tab/>
      </w:r>
      <w:r>
        <w:rPr>
          <w:rFonts w:hint="eastAsia" w:ascii="Times New Roman" w:hAnsi="Times New Roman" w:eastAsia="宋体" w:cs="Times New Roman"/>
        </w:rPr>
        <w:t>34</w:t>
      </w:r>
      <w:r>
        <w:rPr>
          <w:rFonts w:hint="eastAsia"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"_Toc198125366" </w:instrText>
      </w:r>
      <w:r>
        <w:fldChar w:fldCharType="separate"/>
      </w:r>
      <w:r>
        <w:rPr>
          <w:rStyle w:val="52"/>
          <w:rFonts w:ascii="Times New Roman" w:hAnsi="Times New Roman" w:eastAsia="宋体" w:cs="Times New Roman"/>
          <w:kern w:val="44"/>
        </w:rPr>
        <w:t>7.2 Construction Quality Control</w:t>
      </w:r>
      <w:r>
        <w:rPr>
          <w:rFonts w:ascii="Times New Roman" w:hAnsi="Times New Roman" w:eastAsia="宋体" w:cs="Times New Roman"/>
        </w:rPr>
        <w:tab/>
      </w:r>
      <w:r>
        <w:rPr>
          <w:rFonts w:hint="eastAsia" w:ascii="Times New Roman" w:hAnsi="Times New Roman" w:eastAsia="宋体" w:cs="Times New Roman"/>
        </w:rPr>
        <w:t>52</w:t>
      </w:r>
      <w:r>
        <w:rPr>
          <w:rFonts w:hint="eastAsia" w:ascii="Times New Roman" w:hAnsi="Times New Roman" w:eastAsia="宋体" w:cs="Times New Roman"/>
        </w:rPr>
        <w:fldChar w:fldCharType="end"/>
      </w:r>
    </w:p>
    <w:p>
      <w:pPr>
        <w:pStyle w:val="36"/>
        <w:tabs>
          <w:tab w:val="right" w:leader="dot" w:pos="8296"/>
        </w:tabs>
        <w:spacing w:line="360" w:lineRule="auto"/>
        <w:ind w:firstLine="420" w:firstLineChars="200"/>
        <w:rPr>
          <w:rFonts w:ascii="Times New Roman" w:hAnsi="Times New Roman" w:eastAsia="宋体" w:cs="Times New Roman"/>
        </w:rPr>
      </w:pPr>
      <w:r>
        <w:fldChar w:fldCharType="begin"/>
      </w:r>
      <w:r>
        <w:instrText xml:space="preserve"> HYPERLINK \l "_Toc198125367" </w:instrText>
      </w:r>
      <w:r>
        <w:fldChar w:fldCharType="separate"/>
      </w:r>
      <w:r>
        <w:rPr>
          <w:rStyle w:val="52"/>
          <w:rFonts w:ascii="Times New Roman" w:hAnsi="Times New Roman" w:eastAsia="宋体" w:cs="Times New Roman"/>
          <w:kern w:val="44"/>
        </w:rPr>
        <w:t>7.3 Operation and Management</w:t>
      </w:r>
      <w:r>
        <w:rPr>
          <w:rFonts w:ascii="Times New Roman" w:hAnsi="Times New Roman" w:eastAsia="宋体" w:cs="Times New Roman"/>
        </w:rPr>
        <w:tab/>
      </w:r>
      <w:r>
        <w:rPr>
          <w:rFonts w:hint="eastAsia" w:ascii="Times New Roman" w:hAnsi="Times New Roman" w:eastAsia="宋体" w:cs="Times New Roman"/>
        </w:rPr>
        <w:t>63</w:t>
      </w:r>
      <w:r>
        <w:rPr>
          <w:rFonts w:hint="eastAsia" w:ascii="Times New Roman" w:hAnsi="Times New Roman" w:eastAsia="宋体" w:cs="Times New Roman"/>
        </w:rPr>
        <w:fldChar w:fldCharType="end"/>
      </w:r>
    </w:p>
    <w:p>
      <w:pPr>
        <w:pStyle w:val="29"/>
        <w:tabs>
          <w:tab w:val="left" w:pos="630"/>
          <w:tab w:val="right" w:leader="dot" w:pos="8296"/>
        </w:tabs>
        <w:ind w:firstLine="420"/>
        <w:rPr>
          <w:rFonts w:cs="Times New Roman"/>
        </w:rPr>
      </w:pPr>
      <w:r>
        <w:fldChar w:fldCharType="begin"/>
      </w:r>
      <w:r>
        <w:instrText xml:space="preserve"> HYPERLINK \l "_Toc198125374" </w:instrText>
      </w:r>
      <w:r>
        <w:fldChar w:fldCharType="separate"/>
      </w:r>
      <w:r>
        <w:rPr>
          <w:rStyle w:val="52"/>
          <w:rFonts w:cs="Times New Roman"/>
        </w:rPr>
        <w:t>8.</w:t>
      </w:r>
      <w:r>
        <w:rPr>
          <w:rFonts w:cs="Times New Roman"/>
        </w:rPr>
        <w:tab/>
      </w:r>
      <w:r>
        <w:rPr>
          <w:rStyle w:val="52"/>
          <w:rFonts w:cs="Times New Roman"/>
        </w:rPr>
        <w:t>Evaluation Method and Determination</w:t>
      </w:r>
      <w:r>
        <w:rPr>
          <w:rFonts w:cs="Times New Roman"/>
        </w:rPr>
        <w:tab/>
      </w:r>
      <w:r>
        <w:rPr>
          <w:rFonts w:cs="Times New Roman"/>
        </w:rPr>
        <w:t>67</w:t>
      </w:r>
      <w:r>
        <w:rPr>
          <w:rFonts w:cs="Times New Roman"/>
        </w:rPr>
        <w:fldChar w:fldCharType="end"/>
      </w:r>
    </w:p>
    <w:p>
      <w:pPr>
        <w:pStyle w:val="29"/>
        <w:tabs>
          <w:tab w:val="right" w:leader="dot" w:pos="8296"/>
        </w:tabs>
        <w:ind w:firstLine="420"/>
        <w:rPr>
          <w:rFonts w:asciiTheme="minorHAnsi" w:hAnsiTheme="minorHAnsi" w:eastAsiaTheme="minorEastAsia"/>
        </w:rPr>
      </w:pPr>
      <w:r>
        <w:fldChar w:fldCharType="begin"/>
      </w:r>
      <w:r>
        <w:instrText xml:space="preserve"> HYPERLINK \l "_Toc198125387" </w:instrText>
      </w:r>
      <w:r>
        <w:fldChar w:fldCharType="separate"/>
      </w:r>
      <w:r>
        <w:rPr>
          <w:rStyle w:val="52"/>
          <w:rFonts w:hint="eastAsia" w:cs="Times New Roman"/>
        </w:rPr>
        <w:t>A</w:t>
      </w:r>
      <w:r>
        <w:rPr>
          <w:rStyle w:val="52"/>
          <w:rFonts w:cs="Times New Roman"/>
        </w:rPr>
        <w:t>ppendix A  Energy Consumption Calculation Parameters</w:t>
      </w:r>
      <w:r>
        <w:rPr>
          <w:rFonts w:cs="Times New Roman"/>
        </w:rPr>
        <w:tab/>
      </w:r>
      <w:r>
        <w:rPr>
          <w:rFonts w:hint="eastAsia" w:cs="Times New Roman"/>
        </w:rPr>
        <w:t>7</w:t>
      </w:r>
      <w:r>
        <w:rPr>
          <w:rFonts w:cs="Times New Roman"/>
        </w:rPr>
        <w:t>4</w:t>
      </w:r>
      <w:r>
        <w:rPr>
          <w:rFonts w:cs="Times New Roman"/>
        </w:rPr>
        <w:fldChar w:fldCharType="end"/>
      </w:r>
    </w:p>
    <w:p>
      <w:pPr>
        <w:ind w:firstLine="0" w:firstLineChars="0"/>
      </w:pPr>
      <w:r>
        <w:fldChar w:fldCharType="end"/>
      </w:r>
    </w:p>
    <w:p>
      <w:pPr>
        <w:widowControl/>
        <w:spacing w:line="240" w:lineRule="auto"/>
        <w:ind w:firstLine="0" w:firstLineChars="0"/>
        <w:jc w:val="left"/>
        <w:rPr>
          <w:rFonts w:ascii="仿宋" w:hAnsi="仿宋" w:eastAsia="仿宋" w:cs="仿宋"/>
          <w:szCs w:val="28"/>
        </w:rPr>
        <w:sectPr>
          <w:pgSz w:w="11906" w:h="16838"/>
          <w:pgMar w:top="1440" w:right="1800" w:bottom="1440" w:left="1800" w:header="851" w:footer="992" w:gutter="0"/>
          <w:pgNumType w:start="1"/>
          <w:cols w:space="425" w:num="1"/>
          <w:docGrid w:type="lines" w:linePitch="312" w:charSpace="0"/>
        </w:sectPr>
      </w:pPr>
      <w:r>
        <w:rPr>
          <w:rFonts w:ascii="仿宋" w:hAnsi="仿宋" w:eastAsia="仿宋" w:cs="仿宋"/>
          <w:szCs w:val="28"/>
        </w:rPr>
        <w:br w:type="page"/>
      </w:r>
      <w:bookmarkStart w:id="8" w:name="_Toc198125338"/>
    </w:p>
    <w:p>
      <w:pPr>
        <w:pStyle w:val="57"/>
        <w:tabs>
          <w:tab w:val="left" w:pos="0"/>
        </w:tabs>
        <w:snapToGrid w:val="0"/>
        <w:spacing w:before="156" w:beforeLines="50" w:after="156" w:afterLines="50" w:line="276" w:lineRule="auto"/>
        <w:ind w:left="360"/>
        <w:rPr>
          <w:rFonts w:ascii="仿宋" w:hAnsi="仿宋" w:eastAsia="仿宋" w:cs="仿宋"/>
          <w:szCs w:val="28"/>
          <w:lang w:eastAsia="zh-CN"/>
        </w:rPr>
      </w:pPr>
      <w:r>
        <w:rPr>
          <w:rFonts w:hint="eastAsia" w:ascii="仿宋" w:hAnsi="仿宋" w:eastAsia="仿宋" w:cs="仿宋"/>
          <w:szCs w:val="28"/>
          <w:lang w:eastAsia="zh-CN"/>
        </w:rPr>
        <w:t>1.</w:t>
      </w:r>
      <w:r>
        <w:rPr>
          <w:rFonts w:hint="eastAsia" w:ascii="Times New Roman" w:hAnsi="Times New Roman"/>
          <w:b w:val="0"/>
          <w:color w:val="auto"/>
          <w:sz w:val="32"/>
          <w:lang w:eastAsia="zh-CN"/>
        </w:rPr>
        <w:t>总则</w:t>
      </w:r>
      <w:bookmarkEnd w:id="8"/>
    </w:p>
    <w:p>
      <w:pPr>
        <w:ind w:firstLine="0" w:firstLineChars="0"/>
      </w:pPr>
      <w:r>
        <w:t>1.0.1</w:t>
      </w:r>
      <w:r>
        <w:rPr>
          <w:rFonts w:hint="eastAsia"/>
        </w:rPr>
        <w:t xml:space="preserve"> </w:t>
      </w:r>
      <w:r>
        <w:t>为贯彻国家有关法律法规和海南省城乡建设领域碳达峰、碳中和有关法规政策，提升建筑室内环境品质，降低用能需求，提高能源利用效率，推动可再生能源建筑应用，引导建筑逐步实现近零能耗，规范海南省</w:t>
      </w:r>
      <w:r>
        <w:rPr>
          <w:rFonts w:hint="eastAsia"/>
        </w:rPr>
        <w:t>近零能耗</w:t>
      </w:r>
      <w:r>
        <w:t>建筑建设</w:t>
      </w:r>
      <w:r>
        <w:rPr>
          <w:rFonts w:hint="eastAsia"/>
        </w:rPr>
        <w:t>，</w:t>
      </w:r>
      <w:r>
        <w:t>制定</w:t>
      </w:r>
      <w:r>
        <w:rPr>
          <w:rFonts w:hint="eastAsia"/>
          <w:lang w:val="en" w:eastAsia="zh-CN"/>
        </w:rPr>
        <w:t>本标准</w:t>
      </w:r>
      <w:r>
        <w:rPr>
          <w:rFonts w:hint="eastAsia"/>
        </w:rPr>
        <w:t>。</w:t>
      </w:r>
    </w:p>
    <w:p>
      <w:pPr>
        <w:ind w:firstLine="0" w:firstLineChars="0"/>
      </w:pPr>
      <w:r>
        <w:t>1.0.2</w:t>
      </w:r>
      <w:r>
        <w:rPr>
          <w:rFonts w:hint="eastAsia"/>
        </w:rPr>
        <w:t xml:space="preserve"> </w:t>
      </w:r>
      <w:r>
        <w:rPr>
          <w:rFonts w:hint="eastAsia"/>
          <w:lang w:val="en" w:eastAsia="zh-CN"/>
        </w:rPr>
        <w:t>本标准</w:t>
      </w:r>
      <w:r>
        <w:t>适用于</w:t>
      </w:r>
      <w:r>
        <w:rPr>
          <w:rFonts w:hint="eastAsia"/>
        </w:rPr>
        <w:t>新建、改建、扩建的</w:t>
      </w:r>
      <w:r>
        <w:t>近零能耗</w:t>
      </w:r>
      <w:r>
        <w:rPr>
          <w:rFonts w:hint="eastAsia"/>
        </w:rPr>
        <w:t>建筑</w:t>
      </w:r>
      <w:r>
        <w:t>的设计、施工、运行和评价。</w:t>
      </w:r>
    </w:p>
    <w:p>
      <w:pPr>
        <w:ind w:firstLine="0" w:firstLineChars="0"/>
      </w:pPr>
      <w:r>
        <w:t>1.0.3 近零能耗建筑的设计、施工、运行和评价除应符合</w:t>
      </w:r>
      <w:r>
        <w:rPr>
          <w:rFonts w:hint="eastAsia"/>
          <w:lang w:val="en" w:eastAsia="zh-CN"/>
        </w:rPr>
        <w:t>本标准</w:t>
      </w:r>
      <w:r>
        <w:t>的规定外，尚应符合国家</w:t>
      </w:r>
      <w:r>
        <w:rPr>
          <w:rFonts w:hint="eastAsia"/>
        </w:rPr>
        <w:t>、行业和地方现行</w:t>
      </w:r>
      <w:r>
        <w:t>有关标准</w:t>
      </w:r>
      <w:r>
        <w:rPr>
          <w:rFonts w:hint="eastAsia"/>
        </w:rPr>
        <w:t>规范</w:t>
      </w:r>
      <w:r>
        <w:t>的规定</w:t>
      </w:r>
      <w:r>
        <w:rPr>
          <w:rFonts w:hint="eastAsia"/>
        </w:rPr>
        <w:t>。</w:t>
      </w:r>
    </w:p>
    <w:p>
      <w:pPr>
        <w:ind w:firstLine="0" w:firstLineChars="0"/>
        <w:sectPr>
          <w:footerReference r:id="rId17" w:type="default"/>
          <w:pgSz w:w="11906" w:h="16838"/>
          <w:pgMar w:top="1440" w:right="1800" w:bottom="1440" w:left="1800" w:header="851" w:footer="992" w:gutter="0"/>
          <w:pgNumType w:start="1"/>
          <w:cols w:space="425" w:num="1"/>
          <w:docGrid w:type="lines" w:linePitch="312" w:charSpace="0"/>
        </w:sectPr>
      </w:pPr>
    </w:p>
    <w:bookmarkEnd w:id="0"/>
    <w:bookmarkEnd w:id="1"/>
    <w:bookmarkEnd w:id="2"/>
    <w:bookmarkEnd w:id="3"/>
    <w:bookmarkEnd w:id="4"/>
    <w:bookmarkEnd w:id="5"/>
    <w:bookmarkEnd w:id="6"/>
    <w:bookmarkEnd w:id="7"/>
    <w:p>
      <w:pPr>
        <w:pStyle w:val="57"/>
        <w:numPr>
          <w:ilvl w:val="0"/>
          <w:numId w:val="12"/>
        </w:numPr>
        <w:tabs>
          <w:tab w:val="left" w:pos="0"/>
        </w:tabs>
        <w:snapToGrid w:val="0"/>
        <w:spacing w:before="156" w:beforeLines="50" w:after="156" w:afterLines="50" w:line="276" w:lineRule="auto"/>
        <w:rPr>
          <w:rFonts w:ascii="Times New Roman" w:hAnsi="Times New Roman"/>
          <w:b w:val="0"/>
          <w:color w:val="auto"/>
          <w:sz w:val="32"/>
        </w:rPr>
      </w:pPr>
      <w:bookmarkStart w:id="9" w:name="_Toc198125339"/>
      <w:bookmarkStart w:id="10" w:name="_Toc18712"/>
      <w:r>
        <w:rPr>
          <w:rFonts w:hint="eastAsia" w:ascii="Times New Roman" w:hAnsi="Times New Roman"/>
          <w:b w:val="0"/>
          <w:color w:val="auto"/>
          <w:sz w:val="32"/>
          <w:lang w:eastAsia="zh-CN"/>
        </w:rPr>
        <w:t>术语</w:t>
      </w:r>
      <w:bookmarkEnd w:id="9"/>
      <w:bookmarkEnd w:id="10"/>
    </w:p>
    <w:p>
      <w:pPr>
        <w:ind w:firstLine="0" w:firstLineChars="0"/>
      </w:pPr>
      <w:r>
        <w:rPr>
          <w:rFonts w:hint="eastAsia"/>
        </w:rPr>
        <w:t>2.0.1近零能耗建筑 nearly zero energy building</w:t>
      </w:r>
    </w:p>
    <w:p>
      <w:pPr>
        <w:ind w:firstLine="420"/>
      </w:pPr>
      <w:r>
        <w:rPr>
          <w:rFonts w:hint="eastAsia"/>
        </w:rPr>
        <w:t>适应当地气候特征和场地条件，通过被动式建筑设计最大幅度降低建筑供暖、空调、照明需求，通过主动技术措施最大幅度提高能源设备与系统效率，充分利用可再生能源，以最少的能源消耗提供舒适室内环境， 且其室内环境参数和能效指标符合</w:t>
      </w:r>
      <w:r>
        <w:rPr>
          <w:rFonts w:hint="eastAsia"/>
          <w:lang w:val="en" w:eastAsia="zh-CN"/>
        </w:rPr>
        <w:t>本标准</w:t>
      </w:r>
      <w:r>
        <w:rPr>
          <w:rFonts w:hint="eastAsia"/>
        </w:rPr>
        <w:t>规定的建筑，其建筑能耗水平应较国家标准《建筑节能与可再生能源利用通用规范》 GB55015-2021 降低 50%以上。</w:t>
      </w:r>
    </w:p>
    <w:p>
      <w:pPr>
        <w:ind w:firstLine="0" w:firstLineChars="0"/>
      </w:pPr>
      <w:r>
        <w:rPr>
          <w:rFonts w:hint="eastAsia"/>
        </w:rPr>
        <w:t>【条文说明】</w:t>
      </w:r>
    </w:p>
    <w:p>
      <w:pPr>
        <w:ind w:firstLine="420"/>
      </w:pPr>
      <w:r>
        <w:rPr>
          <w:rFonts w:hint="eastAsia"/>
        </w:rPr>
        <w:t>2.0.1 近零能耗建筑是以能耗为控制目标，首先通过被动式建筑设计降低建筑冷热需求，提高建筑用能系统效率降低能耗，在此基础上在通过利用可再生能源，实现超低能耗、近零能耗和零能耗。近零能耗建筑是以超低能耗建筑为基础，是达到零能耗建筑的准备阶段。近零能耗建筑在满足能耗控制目标的同时，其室内环境参数应满足较高的热舒适水平，健康、舒适的室内环境是近零能耗建筑的基本前提。</w:t>
      </w:r>
    </w:p>
    <w:p>
      <w:pPr>
        <w:ind w:firstLine="420"/>
      </w:pPr>
      <w:r>
        <w:rPr>
          <w:rFonts w:hint="eastAsia"/>
        </w:rPr>
        <w:t xml:space="preserve">近零能耗建筑2016 年国家建筑节能设计标准为基准，给出相对节能水平。基准是国家标准《建筑节能与可再生能源利用通用规范》 GB55015-2021，能耗计算范围包括建筑全年供暖、通风、空调、照明、生活热水、电梯能耗及可再生能源的利用量。海南省近零能耗建筑是在基准建筑的基础上，建筑能耗降低 </w:t>
      </w:r>
      <w:r>
        <w:t>50</w:t>
      </w:r>
      <w:r>
        <w:rPr>
          <w:rFonts w:hint="eastAsia"/>
        </w:rPr>
        <w:t>%以上。国家标准《建筑节能与可再生能源利用通用规范》 GB55015-2021相对于《夏热冬暖地区居住建筑节能设计标准》JGJ</w:t>
      </w:r>
      <w:r>
        <w:t>75</w:t>
      </w:r>
      <w:r>
        <w:rPr>
          <w:rFonts w:hint="eastAsia"/>
        </w:rPr>
        <w:t>-</w:t>
      </w:r>
      <w:r>
        <w:t>2012</w:t>
      </w:r>
      <w:r>
        <w:rPr>
          <w:rFonts w:hint="eastAsia"/>
        </w:rPr>
        <w:t>，供暖、空调及照明能耗降低约30%，相对于《公共建筑节能设计标准》GB/T50189-2015，供暖、空调及照明能耗降低约20%~30%左右，</w:t>
      </w:r>
      <w:r>
        <w:rPr>
          <w:rFonts w:hint="eastAsia"/>
          <w:lang w:val="en" w:eastAsia="zh-CN"/>
        </w:rPr>
        <w:t>本标准</w:t>
      </w:r>
      <w:r>
        <w:rPr>
          <w:rFonts w:hint="eastAsia"/>
        </w:rPr>
        <w:t>中近零能耗建筑相对于按《夏热冬暖地区居住建筑节能设计标准》JGJ</w:t>
      </w:r>
      <w:r>
        <w:t>75</w:t>
      </w:r>
      <w:r>
        <w:rPr>
          <w:rFonts w:hint="eastAsia"/>
        </w:rPr>
        <w:t>-</w:t>
      </w:r>
      <w:r>
        <w:t>2012</w:t>
      </w:r>
      <w:r>
        <w:rPr>
          <w:rFonts w:hint="eastAsia"/>
        </w:rPr>
        <w:t>、《公共建筑节能设计标准》GB/T50189-2015设计建造的建筑，能耗降低60%以上。</w:t>
      </w:r>
    </w:p>
    <w:p>
      <w:pPr>
        <w:ind w:firstLine="0" w:firstLineChars="0"/>
      </w:pPr>
    </w:p>
    <w:p>
      <w:pPr>
        <w:ind w:firstLine="0" w:firstLineChars="0"/>
      </w:pPr>
      <w:r>
        <w:rPr>
          <w:rFonts w:hint="eastAsia"/>
        </w:rPr>
        <w:t>2.0.2超低能耗建筑 ultra low energy building</w:t>
      </w:r>
    </w:p>
    <w:p>
      <w:pPr>
        <w:ind w:firstLine="420"/>
      </w:pPr>
      <w:r>
        <w:rPr>
          <w:rFonts w:hint="eastAsia"/>
        </w:rPr>
        <w:t>适应当地气候特征和场地条件，通过被动式建筑设计最大幅度降低建筑供暖、空调、照明需求，通过主动技术措施最大幅度提高能源设备与系统效率，充分利用可再生能源，以最少的能源消耗提供舒适室内环境，且其室内环境参数和能效指标符合</w:t>
      </w:r>
      <w:r>
        <w:rPr>
          <w:rFonts w:hint="eastAsia"/>
          <w:lang w:eastAsia="zh-CN"/>
        </w:rPr>
        <w:t>本标准</w:t>
      </w:r>
      <w:r>
        <w:rPr>
          <w:rFonts w:hint="eastAsia"/>
        </w:rPr>
        <w:t>规定的建筑，其建筑能耗水平应较国家标准《建筑节能与可再生能源利用通用规范》 GB55015-2021 降低 40%以上。</w:t>
      </w:r>
    </w:p>
    <w:p>
      <w:pPr>
        <w:ind w:firstLine="0" w:firstLineChars="0"/>
      </w:pPr>
      <w:r>
        <w:rPr>
          <w:rFonts w:hint="eastAsia"/>
        </w:rPr>
        <w:t>【条文说明】</w:t>
      </w:r>
    </w:p>
    <w:p>
      <w:pPr>
        <w:ind w:firstLine="420"/>
      </w:pPr>
      <w:r>
        <w:t>2.0.2</w:t>
      </w:r>
      <w:r>
        <w:rPr>
          <w:rFonts w:hint="eastAsia"/>
        </w:rPr>
        <w:t>超低能耗建筑是实现近零能耗建筑的预备阶段，除节能水平外，其他技术要求与近零能耗建筑无原则差异。以国家标准《建筑节能与可再生能源利用通用规范》 GB55015-2021为基准，其供暖、通风、空调、照明、生活热水、电梯能耗降低</w:t>
      </w:r>
      <w:r>
        <w:t>40</w:t>
      </w:r>
      <w:r>
        <w:rPr>
          <w:rFonts w:hint="eastAsia"/>
        </w:rPr>
        <w:t>%以上。国家标准《建筑节能与可再生能源利用通用规范》 GB55015-2021相对于《夏热冬暖地区居住建筑节能设计标准》JGJ</w:t>
      </w:r>
      <w:r>
        <w:t>75</w:t>
      </w:r>
      <w:r>
        <w:rPr>
          <w:rFonts w:hint="eastAsia"/>
        </w:rPr>
        <w:t>-</w:t>
      </w:r>
      <w:r>
        <w:t>2012</w:t>
      </w:r>
      <w:r>
        <w:rPr>
          <w:rFonts w:hint="eastAsia"/>
        </w:rPr>
        <w:t>，供暖、空调及照明能耗降低约30%，相对于《公共建筑节能设计标准》GB/T50189-2015，供暖、空调及照明能耗降低约20%~30%左右，</w:t>
      </w:r>
      <w:r>
        <w:rPr>
          <w:rFonts w:hint="eastAsia"/>
          <w:lang w:val="en" w:eastAsia="zh-CN"/>
        </w:rPr>
        <w:t>本标准</w:t>
      </w:r>
      <w:r>
        <w:rPr>
          <w:rFonts w:hint="eastAsia"/>
        </w:rPr>
        <w:t>中超低能耗建筑相对于按《夏热冬暖地区居住建筑节能设计标准》JGJ</w:t>
      </w:r>
      <w:r>
        <w:t>75</w:t>
      </w:r>
      <w:r>
        <w:rPr>
          <w:rFonts w:hint="eastAsia"/>
        </w:rPr>
        <w:t>-</w:t>
      </w:r>
      <w:r>
        <w:t>2012</w:t>
      </w:r>
      <w:r>
        <w:rPr>
          <w:rFonts w:hint="eastAsia"/>
        </w:rPr>
        <w:t>、《公共建筑节能设计标准》GB/T50189-2015设计建造的建筑，能耗降低50%以上。</w:t>
      </w:r>
    </w:p>
    <w:p>
      <w:pPr>
        <w:ind w:firstLine="0" w:firstLineChars="0"/>
      </w:pPr>
    </w:p>
    <w:p>
      <w:pPr>
        <w:ind w:firstLine="0" w:firstLineChars="0"/>
      </w:pPr>
      <w:r>
        <w:rPr>
          <w:rFonts w:hint="eastAsia"/>
        </w:rPr>
        <w:t>2.0.3零能耗建筑 zero energy building</w:t>
      </w:r>
    </w:p>
    <w:p>
      <w:pPr>
        <w:ind w:firstLine="420"/>
      </w:pPr>
      <w:r>
        <w:rPr>
          <w:rFonts w:hint="eastAsia"/>
        </w:rPr>
        <w:t xml:space="preserve">零能耗建筑能是近零能耗建筑的高级表现形式，其室内环境参数与近零能耗建筑相同，充分利用建筑本体和周边的可再生能源资源，使可再生能源年产能大于等于建筑全年全部用能的建筑。 </w:t>
      </w:r>
    </w:p>
    <w:p>
      <w:pPr>
        <w:ind w:firstLine="0" w:firstLineChars="0"/>
      </w:pPr>
      <w:r>
        <w:rPr>
          <w:rFonts w:hint="eastAsia"/>
        </w:rPr>
        <w:t>【条文说明】</w:t>
      </w:r>
    </w:p>
    <w:p>
      <w:pPr>
        <w:ind w:firstLine="420"/>
      </w:pPr>
      <w:r>
        <w:t>2.0.3</w:t>
      </w:r>
      <w:r>
        <w:rPr>
          <w:rFonts w:hint="eastAsia"/>
        </w:rPr>
        <w:t xml:space="preserve">零能耗建筑是近零能耗建筑发展的更高层次。考虑我国建筑和能源管理法规和管理制度，零能耗建筑并不是指建筑能耗为零，而是在近零能耗建筑基础上，通过充分利用可再生能源，实现建筑全年用能与可再生能源产能的平衡。可再生能源产能包括建筑本体及周边的可再生能源的产能量，建筑周边的可再生能源通常指区域内同一业主或物业公司所拥有或管理的区域，可将可再生能源发电通过专用输电线路输送至建筑使用。 </w:t>
      </w:r>
    </w:p>
    <w:p>
      <w:pPr>
        <w:ind w:firstLine="0" w:firstLineChars="0"/>
      </w:pPr>
    </w:p>
    <w:p>
      <w:pPr>
        <w:ind w:firstLine="0" w:firstLineChars="0"/>
      </w:pPr>
      <w:r>
        <w:rPr>
          <w:rFonts w:hint="eastAsia"/>
        </w:rPr>
        <w:t>2.0.4建筑能耗综合值 building energy consumption</w:t>
      </w:r>
    </w:p>
    <w:p>
      <w:pPr>
        <w:ind w:firstLine="420"/>
      </w:pPr>
      <w:r>
        <w:rPr>
          <w:rFonts w:hint="eastAsia"/>
        </w:rPr>
        <w:t>在设定计算条件下，单位面积年供暖、通风、空调、照明、生活热水、电梯的终端能耗量和可再生能源系统发电量，利用能源换算系数，统一换算到标准煤当量后，两者的差值。</w:t>
      </w:r>
    </w:p>
    <w:p>
      <w:pPr>
        <w:ind w:firstLine="0" w:firstLineChars="0"/>
      </w:pPr>
      <w:r>
        <w:rPr>
          <w:rFonts w:hint="eastAsia"/>
        </w:rPr>
        <w:t>【条文说明】</w:t>
      </w:r>
    </w:p>
    <w:p>
      <w:pPr>
        <w:ind w:firstLine="420"/>
      </w:pPr>
      <w:r>
        <w:rPr>
          <w:rFonts w:hint="eastAsia"/>
        </w:rPr>
        <w:t>2.0.4建筑能耗综合值为换算到标准煤当量的建筑能源消耗量，体现了建筑对化石能源的消耗和对环境的影响程度，能耗范围为供暖、通风、空调、照明、生活热水、电梯系统的终端能耗。为方便比对，计算中需将此部分建筑终端能耗通过平均低位发热量和能源换算系数统一换算到标准煤当量。</w:t>
      </w:r>
    </w:p>
    <w:p>
      <w:pPr>
        <w:ind w:firstLine="0" w:firstLineChars="0"/>
      </w:pPr>
    </w:p>
    <w:p>
      <w:pPr>
        <w:ind w:firstLine="0" w:firstLineChars="0"/>
      </w:pPr>
      <w:r>
        <w:rPr>
          <w:rFonts w:hint="eastAsia"/>
        </w:rPr>
        <w:t>2.0.5建筑综合节能率 building energy saving rate</w:t>
      </w:r>
    </w:p>
    <w:p>
      <w:pPr>
        <w:ind w:firstLine="420"/>
      </w:pPr>
      <w:r>
        <w:rPr>
          <w:rFonts w:hint="eastAsia"/>
        </w:rPr>
        <w:t>设计建筑和基准建筑的建筑能耗综合值的差值，与基准建筑的建筑能耗综合值的比值。</w:t>
      </w:r>
    </w:p>
    <w:p>
      <w:pPr>
        <w:ind w:firstLine="0" w:firstLineChars="0"/>
      </w:pPr>
      <w:r>
        <w:rPr>
          <w:rFonts w:hint="eastAsia"/>
        </w:rPr>
        <w:t>【条文说明】</w:t>
      </w:r>
    </w:p>
    <w:p>
      <w:pPr>
        <w:ind w:firstLine="420"/>
      </w:pPr>
      <w:r>
        <w:rPr>
          <w:rFonts w:hint="eastAsia"/>
        </w:rPr>
        <w:t>2.0.5表征建筑的整体节能水平，是公共建筑核心能效指标之一。</w:t>
      </w:r>
    </w:p>
    <w:p>
      <w:pPr>
        <w:ind w:firstLine="0" w:firstLineChars="0"/>
      </w:pPr>
    </w:p>
    <w:p>
      <w:pPr>
        <w:ind w:firstLine="0" w:firstLineChars="0"/>
      </w:pPr>
      <w:r>
        <w:rPr>
          <w:rFonts w:hint="eastAsia"/>
        </w:rPr>
        <w:t>2.0.6建筑本体节能率building energy efficiency improvement rate</w:t>
      </w:r>
    </w:p>
    <w:p>
      <w:pPr>
        <w:ind w:firstLine="420"/>
      </w:pPr>
      <w:r>
        <w:rPr>
          <w:rFonts w:hint="eastAsia"/>
        </w:rPr>
        <w:t>在设定计算条件下，设计建筑不包括可再生能源发电量的建筑能耗综合值与基准建筑的建筑能耗综合值的差值， 与基准建筑的建筑能耗综合值的比值。</w:t>
      </w:r>
    </w:p>
    <w:p>
      <w:pPr>
        <w:ind w:firstLine="0" w:firstLineChars="0"/>
      </w:pPr>
      <w:r>
        <w:rPr>
          <w:rFonts w:hint="eastAsia"/>
        </w:rPr>
        <w:t>【条文说明】</w:t>
      </w:r>
    </w:p>
    <w:p>
      <w:pPr>
        <w:ind w:firstLine="420"/>
      </w:pPr>
      <w:r>
        <w:rPr>
          <w:rFonts w:hint="eastAsia"/>
        </w:rPr>
        <w:t>2.0.6通过被动式建筑设计、 提高围护结构性能和建筑用能系统的能效，降低建筑用能需求， 实现近零能耗建筑的基础，建筑本体节能率表征了建筑除利用可再生能源发电外，建筑本体能效提升的水平，是公共建筑能效指标的重要组成部分。</w:t>
      </w:r>
    </w:p>
    <w:p>
      <w:pPr>
        <w:ind w:firstLine="0" w:firstLineChars="0"/>
      </w:pPr>
    </w:p>
    <w:p>
      <w:pPr>
        <w:ind w:firstLine="0" w:firstLineChars="0"/>
      </w:pPr>
      <w:r>
        <w:rPr>
          <w:rFonts w:hint="eastAsia"/>
        </w:rPr>
        <w:t>2.0.7供冷年耗冷量指标annual cooling demand</w:t>
      </w:r>
    </w:p>
    <w:p>
      <w:pPr>
        <w:ind w:firstLine="420"/>
      </w:pPr>
      <w:r>
        <w:rPr>
          <w:rFonts w:hint="eastAsia"/>
        </w:rPr>
        <w:t>在设定计算条件下，为满足室内环境参数要求，单位面积年累计消耗的需由室内供冷设备供给的冷量。</w:t>
      </w:r>
    </w:p>
    <w:p>
      <w:pPr>
        <w:ind w:firstLine="0" w:firstLineChars="0"/>
      </w:pPr>
      <w:r>
        <w:rPr>
          <w:rFonts w:hint="eastAsia"/>
        </w:rPr>
        <w:t>【条文说明】</w:t>
      </w:r>
    </w:p>
    <w:p>
      <w:pPr>
        <w:ind w:firstLine="420"/>
      </w:pPr>
      <w:r>
        <w:rPr>
          <w:rFonts w:hint="eastAsia"/>
        </w:rPr>
        <w:t>2.0.7反映了建筑自身的冷需求水平，包括处理新风所需的冷需求。针对于住宅类建筑，标准中该指标是约束性指标，其单位面积为单位套内空调面积。</w:t>
      </w:r>
    </w:p>
    <w:p>
      <w:pPr>
        <w:ind w:firstLine="0" w:firstLineChars="0"/>
      </w:pPr>
    </w:p>
    <w:p>
      <w:pPr>
        <w:ind w:firstLine="0" w:firstLineChars="0"/>
      </w:pPr>
      <w:r>
        <w:rPr>
          <w:rFonts w:hint="eastAsia"/>
        </w:rPr>
        <w:t>2.0.</w:t>
      </w:r>
      <w:r>
        <w:t>8</w:t>
      </w:r>
      <w:r>
        <w:rPr>
          <w:rFonts w:hint="eastAsia"/>
        </w:rPr>
        <w:t>性能化设计performance oriented design</w:t>
      </w:r>
    </w:p>
    <w:p>
      <w:pPr>
        <w:ind w:firstLine="420"/>
      </w:pPr>
      <w:r>
        <w:rPr>
          <w:rFonts w:hint="eastAsia"/>
        </w:rPr>
        <w:t>以建筑室内环境参数和能效指标为性能目标，利用建筑模拟工具，对设计方案进行逐步优化，最终达到预定性能目标要求的设计过程。</w:t>
      </w:r>
    </w:p>
    <w:p>
      <w:pPr>
        <w:ind w:firstLine="0" w:firstLineChars="0"/>
      </w:pPr>
      <w:r>
        <w:rPr>
          <w:rFonts w:hint="eastAsia"/>
        </w:rPr>
        <w:t>【条文说明】</w:t>
      </w:r>
    </w:p>
    <w:p>
      <w:pPr>
        <w:ind w:firstLine="420"/>
      </w:pPr>
      <w:r>
        <w:rPr>
          <w:rFonts w:hint="eastAsia"/>
        </w:rPr>
        <w:t>2.0.</w:t>
      </w:r>
      <w:r>
        <w:t>8</w:t>
      </w:r>
      <w:r>
        <w:rPr>
          <w:rFonts w:hint="eastAsia"/>
        </w:rPr>
        <w:t xml:space="preserve"> </w:t>
      </w:r>
      <w:r>
        <w:t xml:space="preserve"> </w:t>
      </w:r>
      <w:r>
        <w:rPr>
          <w:rFonts w:hint="eastAsia"/>
        </w:rPr>
        <w:t>性能化设计是近零能耗建筑设计过程中重要的一环，性能化设计方法是以节能降碳目标为导向，根据不同建筑实际情况，优化设计方案，达到节能降碳的效果。</w:t>
      </w:r>
    </w:p>
    <w:p>
      <w:pPr>
        <w:ind w:firstLine="0" w:firstLineChars="0"/>
      </w:pPr>
    </w:p>
    <w:p>
      <w:pPr>
        <w:ind w:firstLine="0" w:firstLineChars="0"/>
      </w:pPr>
      <w:r>
        <w:rPr>
          <w:rFonts w:hint="eastAsia"/>
        </w:rPr>
        <w:t>2.0.</w:t>
      </w:r>
      <w:r>
        <w:t>9</w:t>
      </w:r>
      <w:r>
        <w:rPr>
          <w:rFonts w:hint="eastAsia"/>
        </w:rPr>
        <w:t>基准建筑 reference building</w:t>
      </w:r>
    </w:p>
    <w:p>
      <w:pPr>
        <w:ind w:firstLine="420"/>
      </w:pPr>
      <w:r>
        <w:rPr>
          <w:rFonts w:hint="eastAsia"/>
        </w:rPr>
        <w:t>计算建筑本体节能率和建筑综合节能率时用于计算符合国家标准《建筑节能与可再生能源利用通用规范》 GB55015-2021 相关要求的建筑能耗综合值的建筑。</w:t>
      </w:r>
    </w:p>
    <w:p>
      <w:pPr>
        <w:ind w:firstLine="0" w:firstLineChars="0"/>
      </w:pPr>
      <w:r>
        <w:rPr>
          <w:rFonts w:hint="eastAsia"/>
        </w:rPr>
        <w:t>【条文说明】</w:t>
      </w:r>
    </w:p>
    <w:p>
      <w:pPr>
        <w:ind w:firstLine="420"/>
      </w:pPr>
      <w:r>
        <w:rPr>
          <w:rFonts w:hint="eastAsia"/>
        </w:rPr>
        <w:t>2.0.</w:t>
      </w:r>
      <w:r>
        <w:t>9</w:t>
      </w:r>
      <w:r>
        <w:rPr>
          <w:rFonts w:hint="eastAsia"/>
        </w:rPr>
        <w:t>基准建筑是针对公共建筑类型，以设计建筑为基础的假想建筑，</w:t>
      </w:r>
      <w:r>
        <w:rPr>
          <w:rFonts w:hint="eastAsia"/>
          <w:lang w:val="en" w:eastAsia="zh-CN"/>
        </w:rPr>
        <w:t>本标准</w:t>
      </w:r>
      <w:r>
        <w:rPr>
          <w:rFonts w:hint="eastAsia"/>
        </w:rPr>
        <w:t>中的基准建筑是一个满足 《建筑节能与可再生能源利用通用规范》 GB55015-2021 要求的节能建筑，以其全年供暖、 通风、 空调、照明、生活热水、电梯能耗作为比对基准来判断设计建筑的节能率是否满足</w:t>
      </w:r>
      <w:r>
        <w:rPr>
          <w:rFonts w:hint="eastAsia"/>
          <w:lang w:val="en" w:eastAsia="zh-CN"/>
        </w:rPr>
        <w:t>本标准</w:t>
      </w:r>
      <w:r>
        <w:rPr>
          <w:rFonts w:hint="eastAsia"/>
        </w:rPr>
        <w:t>的要求。实际设计计算中，由于</w:t>
      </w:r>
      <w:r>
        <w:rPr>
          <w:rFonts w:hint="eastAsia"/>
          <w:lang w:val="en" w:eastAsia="zh-CN"/>
        </w:rPr>
        <w:t>本标准</w:t>
      </w:r>
      <w:r>
        <w:rPr>
          <w:rFonts w:hint="eastAsia"/>
        </w:rPr>
        <w:t>规定居住建筑使用绝对能耗指标，公共建筑使用相对能耗指标，因此在公共建筑的设计环节涉及到基准建筑的设定。</w:t>
      </w:r>
    </w:p>
    <w:p>
      <w:pPr>
        <w:pStyle w:val="2"/>
        <w:ind w:firstLine="0" w:firstLineChars="0"/>
        <w:rPr>
          <w:rFonts w:eastAsia="宋体" w:cstheme="minorBidi"/>
          <w:color w:val="auto"/>
          <w:szCs w:val="22"/>
        </w:rPr>
      </w:pPr>
    </w:p>
    <w:p>
      <w:pPr>
        <w:ind w:firstLine="0" w:firstLineChars="0"/>
      </w:pPr>
      <w:r>
        <w:rPr>
          <w:rFonts w:hint="eastAsia"/>
        </w:rPr>
        <w:t>2.0.</w:t>
      </w:r>
      <w:r>
        <w:t>10</w:t>
      </w:r>
      <w:r>
        <w:rPr>
          <w:rFonts w:hint="eastAsia"/>
        </w:rPr>
        <w:t xml:space="preserve"> 甲类公共建筑 </w:t>
      </w:r>
      <w:r>
        <w:t>class A</w:t>
      </w:r>
      <w:r>
        <w:rPr>
          <w:rFonts w:hint="eastAsia"/>
        </w:rPr>
        <w:t xml:space="preserve"> public building</w:t>
      </w:r>
    </w:p>
    <w:p>
      <w:pPr>
        <w:ind w:firstLine="420"/>
      </w:pPr>
      <w:r>
        <w:rPr>
          <w:rFonts w:hint="eastAsia"/>
        </w:rPr>
        <w:t>单栋建筑面积大于300 m</w:t>
      </w:r>
      <w:r>
        <w:rPr>
          <w:rFonts w:hint="eastAsia"/>
          <w:vertAlign w:val="superscript"/>
        </w:rPr>
        <w:t>2</w:t>
      </w:r>
      <w:r>
        <w:rPr>
          <w:rFonts w:hint="eastAsia"/>
        </w:rPr>
        <w:t>的公共建筑，或单栋建筑面积小于或等于300 m</w:t>
      </w:r>
      <w:r>
        <w:rPr>
          <w:rFonts w:hint="eastAsia"/>
          <w:vertAlign w:val="superscript"/>
        </w:rPr>
        <w:t>2</w:t>
      </w:r>
      <w:r>
        <w:rPr>
          <w:rFonts w:hint="eastAsia"/>
        </w:rPr>
        <w:t>但总建筑面积大于1000 m</w:t>
      </w:r>
      <w:r>
        <w:rPr>
          <w:rFonts w:hint="eastAsia"/>
          <w:vertAlign w:val="superscript"/>
        </w:rPr>
        <w:t>2</w:t>
      </w:r>
      <w:r>
        <w:rPr>
          <w:rFonts w:hint="eastAsia"/>
        </w:rPr>
        <w:t>的公共建筑群为甲类公共建筑。</w:t>
      </w:r>
    </w:p>
    <w:p>
      <w:pPr>
        <w:pStyle w:val="2"/>
        <w:ind w:firstLine="420"/>
      </w:pPr>
    </w:p>
    <w:p>
      <w:pPr>
        <w:ind w:firstLine="0" w:firstLineChars="0"/>
      </w:pPr>
      <w:r>
        <w:rPr>
          <w:rFonts w:hint="eastAsia"/>
        </w:rPr>
        <w:t>2.0.</w:t>
      </w:r>
      <w:r>
        <w:t>11</w:t>
      </w:r>
      <w:r>
        <w:rPr>
          <w:rFonts w:hint="eastAsia"/>
        </w:rPr>
        <w:t xml:space="preserve"> 乙类公共建筑 </w:t>
      </w:r>
      <w:r>
        <w:t xml:space="preserve">class </w:t>
      </w:r>
      <w:r>
        <w:rPr>
          <w:rFonts w:hint="eastAsia"/>
        </w:rPr>
        <w:t>B public building</w:t>
      </w:r>
    </w:p>
    <w:p>
      <w:pPr>
        <w:ind w:firstLine="420"/>
      </w:pPr>
      <w:r>
        <w:rPr>
          <w:rFonts w:hint="eastAsia"/>
        </w:rPr>
        <w:t>单栋建筑面积小于或等于300m</w:t>
      </w:r>
      <w:r>
        <w:rPr>
          <w:rFonts w:hint="eastAsia"/>
          <w:vertAlign w:val="superscript"/>
        </w:rPr>
        <w:t>2</w:t>
      </w:r>
      <w:r>
        <w:rPr>
          <w:rFonts w:hint="eastAsia"/>
        </w:rPr>
        <w:t>的公共建筑为乙类公共建筑。</w:t>
      </w:r>
    </w:p>
    <w:p>
      <w:pPr>
        <w:pStyle w:val="2"/>
        <w:ind w:firstLine="0" w:firstLineChars="0"/>
      </w:pPr>
    </w:p>
    <w:p>
      <w:pPr>
        <w:ind w:firstLine="0" w:firstLineChars="0"/>
      </w:pPr>
      <w:r>
        <w:rPr>
          <w:rFonts w:hint="eastAsia"/>
        </w:rPr>
        <w:t>2.0.1</w:t>
      </w:r>
      <w:r>
        <w:t>2</w:t>
      </w:r>
      <w:r>
        <w:rPr>
          <w:rFonts w:hint="eastAsia"/>
        </w:rPr>
        <w:t>可再生能源利用率 utilization ratio of renewable energy</w:t>
      </w:r>
    </w:p>
    <w:p>
      <w:pPr>
        <w:ind w:firstLine="420"/>
      </w:pPr>
      <w:r>
        <w:rPr>
          <w:rFonts w:hint="eastAsia"/>
        </w:rPr>
        <w:t>供暖、通风、空调、照明、生活热水、电梯系统中可再生能源利用量占其能量需求量的比例。</w:t>
      </w:r>
    </w:p>
    <w:p>
      <w:pPr>
        <w:ind w:firstLine="0" w:firstLineChars="0"/>
      </w:pPr>
      <w:r>
        <w:rPr>
          <w:rFonts w:hint="eastAsia"/>
        </w:rPr>
        <w:t>【条文说明】</w:t>
      </w:r>
    </w:p>
    <w:p>
      <w:pPr>
        <w:ind w:firstLine="420"/>
      </w:pPr>
      <w:r>
        <w:rPr>
          <w:rFonts w:hint="eastAsia"/>
        </w:rPr>
        <w:t>2.0.1</w:t>
      </w:r>
      <w:r>
        <w:t>2</w:t>
      </w:r>
      <w:r>
        <w:rPr>
          <w:rFonts w:hint="eastAsia"/>
        </w:rPr>
        <w:t>表征建筑用能中可再生能源利用量的比例，是评估近零能耗建筑中可再生能源利用程度的指标。充分利用可再生能源是实现近零能耗的重要手段之一，</w:t>
      </w:r>
      <w:r>
        <w:rPr>
          <w:rFonts w:hint="eastAsia"/>
          <w:lang w:val="en" w:eastAsia="zh-CN"/>
        </w:rPr>
        <w:t>本标准</w:t>
      </w:r>
      <w:r>
        <w:rPr>
          <w:rFonts w:hint="eastAsia"/>
        </w:rPr>
        <w:t>中的可再生能源利用率包含的能源类型范围有所扩大，范围包括可再生能源发电、地源热泵、空气源热泵供热（如有）、太阳能热利用和生物质能。</w:t>
      </w:r>
    </w:p>
    <w:p>
      <w:pPr>
        <w:ind w:firstLine="0" w:firstLineChars="0"/>
      </w:pPr>
    </w:p>
    <w:p>
      <w:pPr>
        <w:pStyle w:val="2"/>
        <w:ind w:firstLine="420"/>
      </w:pPr>
    </w:p>
    <w:p>
      <w:pPr>
        <w:ind w:firstLine="0" w:firstLineChars="0"/>
      </w:pPr>
      <w:r>
        <w:rPr>
          <w:rFonts w:hint="eastAsia"/>
        </w:rPr>
        <w:t>2.0.1</w:t>
      </w:r>
      <w:r>
        <w:t>3</w:t>
      </w:r>
      <w:r>
        <w:rPr>
          <w:rFonts w:hint="eastAsia"/>
        </w:rPr>
        <w:t>自然通风 natural ventilation</w:t>
      </w:r>
    </w:p>
    <w:p>
      <w:pPr>
        <w:ind w:firstLine="420"/>
      </w:pPr>
      <w:r>
        <w:rPr>
          <w:rFonts w:hint="eastAsia"/>
        </w:rPr>
        <w:t>依靠室外风力造成的风压和室内外空气温度差造成的热压，促使空气流动，使得建筑室内外空气交换。</w:t>
      </w:r>
    </w:p>
    <w:p>
      <w:pPr>
        <w:ind w:firstLine="0" w:firstLineChars="0"/>
      </w:pPr>
      <w:r>
        <w:rPr>
          <w:rFonts w:hint="eastAsia"/>
        </w:rPr>
        <w:t>【条文说明】</w:t>
      </w:r>
    </w:p>
    <w:p>
      <w:pPr>
        <w:ind w:firstLine="420"/>
      </w:pPr>
      <w:r>
        <w:rPr>
          <w:rFonts w:hint="eastAsia"/>
        </w:rPr>
        <w:t>2.0.1</w:t>
      </w:r>
      <w:r>
        <w:t>3</w:t>
      </w:r>
      <w:r>
        <w:rPr>
          <w:rFonts w:hint="eastAsia"/>
        </w:rPr>
        <w:t>自然通风不消耗机械动力，同时，在适宜的条件下又能获得巨大的通风换气量，是一种经济的通风方式。自然通风在一般的居住建筑，普通办公楼中有广泛的应用，能经济有效的满足室内人员的空气品质要求。</w:t>
      </w:r>
    </w:p>
    <w:p>
      <w:pPr>
        <w:ind w:firstLine="0" w:firstLineChars="0"/>
      </w:pPr>
    </w:p>
    <w:p>
      <w:pPr>
        <w:ind w:firstLine="0" w:firstLineChars="0"/>
      </w:pPr>
      <w:r>
        <w:rPr>
          <w:rFonts w:hint="eastAsia"/>
        </w:rPr>
        <w:t>2.0.1</w:t>
      </w:r>
      <w:r>
        <w:t>4</w:t>
      </w:r>
      <w:r>
        <w:rPr>
          <w:rFonts w:hint="eastAsia"/>
        </w:rPr>
        <w:t>建筑遮阳 solar shading of buildings</w:t>
      </w:r>
    </w:p>
    <w:p>
      <w:pPr>
        <w:ind w:firstLine="420"/>
      </w:pPr>
      <w:r>
        <w:rPr>
          <w:rFonts w:hint="eastAsia"/>
        </w:rPr>
        <w:t>采用建筑自身设计、建筑构件或安置设施以遮挡或调节进入室内的太阳辐射的措施。</w:t>
      </w:r>
    </w:p>
    <w:p>
      <w:pPr>
        <w:ind w:firstLine="0" w:firstLineChars="0"/>
      </w:pPr>
      <w:r>
        <w:rPr>
          <w:rFonts w:hint="eastAsia"/>
        </w:rPr>
        <w:t>【条文说明】</w:t>
      </w:r>
    </w:p>
    <w:p>
      <w:pPr>
        <w:ind w:firstLine="420"/>
      </w:pPr>
      <w:r>
        <w:rPr>
          <w:rFonts w:hint="eastAsia"/>
        </w:rPr>
        <w:t>2.0.1</w:t>
      </w:r>
      <w:r>
        <w:t>4</w:t>
      </w:r>
      <w:r>
        <w:rPr>
          <w:rFonts w:hint="eastAsia"/>
        </w:rPr>
        <w:t>建筑遮阳是为了避免阳光直射室内，防止建筑物的外围护结构被阳光过分加热，从而防止局部过热和眩光的产生，以及保护室内各种物品而采取的一种必要的措施。它的合理设计是改善夏季室内热舒适状况和降低建筑物能耗的重要因素。</w:t>
      </w:r>
    </w:p>
    <w:p>
      <w:pPr>
        <w:ind w:firstLine="420"/>
      </w:pPr>
      <w:r>
        <w:rPr>
          <w:rFonts w:hint="eastAsia"/>
        </w:rPr>
        <w:t>良好的建筑遮阳设计可有效地防止太阳辐射进入室内，不仅改善室内热环境，而且可以大大降低建筑的夏季空调制冷负荷；能够有效地防止眩光，起到改善室内光环境的作用，满足人们对照明质量的要求。</w:t>
      </w:r>
    </w:p>
    <w:p>
      <w:pPr>
        <w:ind w:firstLine="0" w:firstLineChars="0"/>
      </w:pPr>
    </w:p>
    <w:p>
      <w:pPr>
        <w:ind w:firstLine="0" w:firstLineChars="0"/>
      </w:pPr>
      <w:r>
        <w:rPr>
          <w:rFonts w:hint="eastAsia"/>
        </w:rPr>
        <w:t>2.0.1</w:t>
      </w:r>
      <w:r>
        <w:t>5</w:t>
      </w:r>
      <w:r>
        <w:rPr>
          <w:rFonts w:hint="eastAsia"/>
        </w:rPr>
        <w:t>气密层 air tightness layers</w:t>
      </w:r>
    </w:p>
    <w:p>
      <w:pPr>
        <w:ind w:firstLine="420"/>
      </w:pPr>
      <w:r>
        <w:rPr>
          <w:rFonts w:hint="eastAsia"/>
        </w:rPr>
        <w:t>由气密性材料和建筑部件等形成的阻止空气渗透的连续构造层。</w:t>
      </w:r>
    </w:p>
    <w:p>
      <w:pPr>
        <w:ind w:firstLine="0" w:firstLineChars="0"/>
      </w:pPr>
      <w:r>
        <w:rPr>
          <w:rFonts w:hint="eastAsia"/>
        </w:rPr>
        <w:t>【条文说明】</w:t>
      </w:r>
    </w:p>
    <w:p>
      <w:pPr>
        <w:ind w:firstLine="420"/>
      </w:pPr>
      <w:r>
        <w:rPr>
          <w:rFonts w:hint="eastAsia"/>
        </w:rPr>
        <w:t>2.0.1</w:t>
      </w:r>
      <w:r>
        <w:t>5</w:t>
      </w:r>
      <w:r>
        <w:rPr>
          <w:rFonts w:hint="eastAsia"/>
        </w:rPr>
        <w:t>气密层主要由建筑外围护结构，包括门窗、墙体、屋面、地板等构成，一般位于外墙内侧且连续包裹整栋建筑的外围护结构。</w:t>
      </w:r>
    </w:p>
    <w:p>
      <w:pPr>
        <w:ind w:firstLine="0" w:firstLineChars="0"/>
      </w:pPr>
    </w:p>
    <w:p>
      <w:pPr>
        <w:ind w:firstLine="0" w:firstLineChars="0"/>
      </w:pPr>
      <w:r>
        <w:rPr>
          <w:rFonts w:hint="eastAsia"/>
        </w:rPr>
        <w:t>2.0.1</w:t>
      </w:r>
      <w:r>
        <w:t>6</w:t>
      </w:r>
      <w:r>
        <w:rPr>
          <w:rFonts w:hint="eastAsia"/>
        </w:rPr>
        <w:t>冷源系统全年能效比EERa  annual energy efficiency ratio of cooling source system</w:t>
      </w:r>
    </w:p>
    <w:p>
      <w:pPr>
        <w:ind w:firstLine="420"/>
      </w:pPr>
      <w:r>
        <w:rPr>
          <w:rFonts w:hint="eastAsia"/>
        </w:rPr>
        <w:t>冷源系统全年累计供冷量与供冷系统全年累计用电量的比值。</w:t>
      </w:r>
    </w:p>
    <w:p>
      <w:pPr>
        <w:ind w:firstLine="0" w:firstLineChars="0"/>
      </w:pPr>
      <w:r>
        <w:rPr>
          <w:rFonts w:hint="eastAsia"/>
        </w:rPr>
        <w:t>【条文说明】</w:t>
      </w:r>
    </w:p>
    <w:p>
      <w:pPr>
        <w:ind w:firstLine="420"/>
        <w:rPr>
          <w:bCs/>
        </w:rPr>
      </w:pPr>
      <w:r>
        <w:rPr>
          <w:rFonts w:hint="eastAsia"/>
        </w:rPr>
        <w:t>2.0.1</w:t>
      </w:r>
      <w:r>
        <w:t>6</w:t>
      </w:r>
      <w:r>
        <w:rPr>
          <w:rFonts w:hint="eastAsia"/>
          <w:bCs/>
        </w:rPr>
        <w:t>供冷系统包括冷水机组、冷却塔、冷却水泵、冷水泵。</w:t>
      </w:r>
    </w:p>
    <w:p>
      <w:pPr>
        <w:ind w:firstLine="420"/>
        <w:rPr>
          <w:bCs/>
        </w:rPr>
      </w:pPr>
    </w:p>
    <w:p>
      <w:pPr>
        <w:ind w:firstLine="0" w:firstLineChars="0"/>
      </w:pPr>
      <w:r>
        <w:rPr>
          <w:rFonts w:hint="eastAsia"/>
        </w:rPr>
        <w:t>2.0.1</w:t>
      </w:r>
      <w:r>
        <w:t>7</w:t>
      </w:r>
      <w:r>
        <w:rPr>
          <w:rFonts w:hint="eastAsia"/>
        </w:rPr>
        <w:t>储能装置 energy storage device</w:t>
      </w:r>
    </w:p>
    <w:p>
      <w:pPr>
        <w:ind w:firstLine="420"/>
      </w:pPr>
      <w:r>
        <w:rPr>
          <w:rFonts w:hint="eastAsia"/>
        </w:rPr>
        <w:t>具有调峰、填谷、调频和事故备用等多种作用的实现冷热（量）和电能转移和储存的设备。</w:t>
      </w:r>
    </w:p>
    <w:p>
      <w:pPr>
        <w:ind w:firstLine="0" w:firstLineChars="0"/>
      </w:pPr>
      <w:r>
        <w:rPr>
          <w:rFonts w:hint="eastAsia"/>
        </w:rPr>
        <w:t>【条文说明】</w:t>
      </w:r>
    </w:p>
    <w:p>
      <w:pPr>
        <w:ind w:firstLine="420"/>
      </w:pPr>
      <w:r>
        <w:rPr>
          <w:rFonts w:hint="eastAsia"/>
        </w:rPr>
        <w:t>2.0.1</w:t>
      </w:r>
      <w:r>
        <w:t>7</w:t>
      </w:r>
      <w:r>
        <w:rPr>
          <w:rFonts w:hint="eastAsia"/>
        </w:rPr>
        <w:t>建筑侧常利用的蓄能方式包含储电、蓄热、蓄冷三种方式。储电设备包含各类型的电化学储能电池，蓄热设备包含水蓄热系统、高温固体电蓄热系统，蓄冷设备包含水蓄冷系统和电驱动的冰蓄冷系统。</w:t>
      </w:r>
    </w:p>
    <w:p>
      <w:pPr>
        <w:ind w:firstLine="0" w:firstLineChars="0"/>
      </w:pPr>
    </w:p>
    <w:p>
      <w:pPr>
        <w:ind w:firstLine="0" w:firstLineChars="0"/>
      </w:pPr>
      <w:r>
        <w:rPr>
          <w:rFonts w:hint="eastAsia"/>
        </w:rPr>
        <w:t>2.0.1</w:t>
      </w:r>
      <w:r>
        <w:t>8</w:t>
      </w:r>
      <w:r>
        <w:rPr>
          <w:rFonts w:hint="eastAsia"/>
        </w:rPr>
        <w:t>建筑光伏一体化 building integrated photovoltaic（BIPV）</w:t>
      </w:r>
    </w:p>
    <w:p>
      <w:pPr>
        <w:ind w:firstLine="420"/>
      </w:pPr>
      <w:r>
        <w:rPr>
          <w:rFonts w:hint="eastAsia"/>
        </w:rPr>
        <w:t>光伏发电设备作为建筑材料或构件，在建筑上应用的形式，也称为建筑集成光伏发电系统。</w:t>
      </w:r>
    </w:p>
    <w:p>
      <w:pPr>
        <w:ind w:firstLine="0" w:firstLineChars="0"/>
      </w:pPr>
      <w:r>
        <w:rPr>
          <w:rFonts w:hint="eastAsia"/>
        </w:rPr>
        <w:t>【条文说明】</w:t>
      </w:r>
    </w:p>
    <w:p>
      <w:pPr>
        <w:ind w:firstLine="420"/>
      </w:pPr>
      <w:r>
        <w:rPr>
          <w:rFonts w:hint="eastAsia"/>
        </w:rPr>
        <w:t>2.0.1</w:t>
      </w:r>
      <w:r>
        <w:t>8</w:t>
      </w:r>
      <w:r>
        <w:rPr>
          <w:rFonts w:hint="eastAsia"/>
        </w:rPr>
        <w:t>建筑光伏一体化是一种将太阳能发电（光伏）产品集成到建筑上的技术。建筑光伏一体化统可分为两大类：一类是光伏方阵与建筑的结合。另一类是光伏方阵与建筑的集成。如光电瓦屋顶、光电幕墙和光电采光顶等。在这两种方式中，光伏方阵与建筑的结合是一种常用的形式，特别是与建筑屋面的结合。</w:t>
      </w:r>
    </w:p>
    <w:p>
      <w:pPr>
        <w:ind w:firstLine="0" w:firstLineChars="0"/>
      </w:pPr>
    </w:p>
    <w:p>
      <w:pPr>
        <w:ind w:firstLine="0" w:firstLineChars="0"/>
      </w:pPr>
      <w:r>
        <w:rPr>
          <w:rFonts w:hint="eastAsia"/>
        </w:rPr>
        <w:t>2.0.1</w:t>
      </w:r>
      <w:r>
        <w:t>9</w:t>
      </w:r>
      <w:r>
        <w:rPr>
          <w:rFonts w:hint="eastAsia"/>
        </w:rPr>
        <w:t>电气化率 electrification rate</w:t>
      </w:r>
    </w:p>
    <w:p>
      <w:pPr>
        <w:ind w:firstLine="420"/>
      </w:pPr>
      <w:r>
        <w:rPr>
          <w:rFonts w:hint="eastAsia"/>
        </w:rPr>
        <w:t>建筑终端电力能源消费与终端全部能源消费转化为等效电力后的比值。</w:t>
      </w:r>
    </w:p>
    <w:p>
      <w:pPr>
        <w:ind w:firstLine="0" w:firstLineChars="0"/>
      </w:pPr>
      <w:r>
        <w:rPr>
          <w:rFonts w:hint="eastAsia"/>
        </w:rPr>
        <w:t>【条文说明】</w:t>
      </w:r>
    </w:p>
    <w:p>
      <w:pPr>
        <w:ind w:firstLine="420"/>
      </w:pPr>
      <w:r>
        <w:rPr>
          <w:rFonts w:hint="eastAsia"/>
        </w:rPr>
        <w:t>2.0.1</w:t>
      </w:r>
      <w:r>
        <w:t>9</w:t>
      </w:r>
      <w:r>
        <w:rPr>
          <w:rFonts w:hint="eastAsia"/>
        </w:rPr>
        <w:t>电气化是促进可再生电力能源在建筑领域应用、早日实现建筑碳达峰及碳中和的必要途径，建筑电气化可将直接碳排放转化为间接碳排放，然后通过电力降碳技术实现间接降碳。是实现我国“双碳”目标的重要措施。</w:t>
      </w:r>
      <w:r>
        <w:rPr>
          <w:rFonts w:hint="eastAsia"/>
          <w:lang w:val="en" w:eastAsia="zh-CN"/>
        </w:rPr>
        <w:t>本标准</w:t>
      </w:r>
      <w:r>
        <w:rPr>
          <w:rFonts w:hint="eastAsia"/>
        </w:rPr>
        <w:t>中电气化率计算采用电热当量法。</w:t>
      </w:r>
    </w:p>
    <w:p>
      <w:pPr>
        <w:pStyle w:val="2"/>
        <w:ind w:firstLine="0" w:firstLineChars="0"/>
        <w:rPr>
          <w:rFonts w:eastAsia="宋体" w:cstheme="minorBidi"/>
          <w:color w:val="auto"/>
          <w:szCs w:val="22"/>
        </w:rPr>
      </w:pPr>
    </w:p>
    <w:p>
      <w:pPr>
        <w:pStyle w:val="2"/>
        <w:ind w:firstLine="0" w:firstLineChars="0"/>
      </w:pPr>
    </w:p>
    <w:p>
      <w:pPr>
        <w:widowControl/>
        <w:spacing w:line="240" w:lineRule="auto"/>
        <w:ind w:firstLine="0" w:firstLineChars="0"/>
        <w:jc w:val="left"/>
        <w:rPr>
          <w:rFonts w:ascii="仿宋" w:hAnsi="仿宋" w:eastAsia="仿宋" w:cs="仿宋"/>
          <w:bCs/>
          <w:sz w:val="28"/>
          <w:szCs w:val="28"/>
        </w:rPr>
      </w:pPr>
      <w:r>
        <w:rPr>
          <w:rFonts w:ascii="仿宋" w:hAnsi="仿宋" w:eastAsia="仿宋" w:cs="仿宋"/>
          <w:sz w:val="28"/>
          <w:szCs w:val="28"/>
        </w:rPr>
        <w:br w:type="page"/>
      </w:r>
    </w:p>
    <w:p>
      <w:pPr>
        <w:pStyle w:val="57"/>
        <w:tabs>
          <w:tab w:val="left" w:pos="0"/>
        </w:tabs>
        <w:snapToGrid w:val="0"/>
        <w:spacing w:before="156" w:beforeLines="50" w:after="156" w:afterLines="50" w:line="276" w:lineRule="auto"/>
        <w:ind w:left="360"/>
        <w:rPr>
          <w:rFonts w:ascii="Times New Roman" w:hAnsi="Times New Roman"/>
          <w:b w:val="0"/>
          <w:color w:val="auto"/>
          <w:sz w:val="32"/>
          <w:lang w:eastAsia="zh-CN"/>
        </w:rPr>
      </w:pPr>
      <w:bookmarkStart w:id="11" w:name="_Toc198125340"/>
      <w:r>
        <w:rPr>
          <w:rFonts w:hint="eastAsia" w:ascii="Times New Roman" w:hAnsi="Times New Roman"/>
          <w:b w:val="0"/>
          <w:color w:val="auto"/>
          <w:sz w:val="32"/>
          <w:lang w:eastAsia="zh-CN"/>
        </w:rPr>
        <w:t>3.基本规定</w:t>
      </w:r>
      <w:bookmarkEnd w:id="11"/>
    </w:p>
    <w:p>
      <w:pPr>
        <w:pStyle w:val="41"/>
        <w:spacing w:before="0" w:after="0"/>
        <w:jc w:val="both"/>
        <w:outlineLvl w:val="2"/>
        <w:rPr>
          <w:b w:val="0"/>
        </w:rPr>
      </w:pPr>
      <w:bookmarkStart w:id="12" w:name="_Toc193023007"/>
      <w:bookmarkStart w:id="13" w:name="_Toc198125341"/>
      <w:bookmarkStart w:id="14" w:name="_Toc198125347"/>
      <w:bookmarkStart w:id="15" w:name="_Toc193023013"/>
      <w:r>
        <w:rPr>
          <w:rFonts w:hint="eastAsia"/>
          <w:b w:val="0"/>
        </w:rPr>
        <w:t>3.0.1 建筑设计应以气候环境适应性为原则，遵循海南省气候特征、场地资源条件和生活居住习惯，在满足城乡建设总体规划和建筑使用功能的前提下，通过采用被动式设计降低建筑冷热需求和提升主动式能源系统的能效达到超低能耗建筑，在此基础上，利用可再生能源对建筑能源消耗进行平衡和替代达到近零能耗建筑。</w:t>
      </w:r>
      <w:bookmarkEnd w:id="12"/>
      <w:bookmarkEnd w:id="13"/>
    </w:p>
    <w:p>
      <w:pPr>
        <w:ind w:firstLine="0" w:firstLineChars="0"/>
      </w:pPr>
      <w:r>
        <w:rPr>
          <w:rFonts w:hint="eastAsia"/>
        </w:rPr>
        <w:t>【条文说明】</w:t>
      </w:r>
    </w:p>
    <w:p>
      <w:pPr>
        <w:ind w:firstLine="420"/>
      </w:pPr>
      <w:r>
        <w:rPr>
          <w:rFonts w:hint="eastAsia"/>
        </w:rPr>
        <w:t>3.0.1在建筑迈向更低能耗的方向上，基本技术路径是一致的，即通过建筑被动式设计、主动式高性能能源系统及可再生能源系统应用，最大幅度减少化石能源消耗。建筑应遵循“被动优先、主动优化”的设计原则，设计过程中应根据建筑使用功能和规模，首先统筹协调好影响能耗指标的相关因素，如建筑造型、功能布局、朝向、体形系数、围护结构选型、窗墙比、开窗形式与气密性、采光、遮阳等，最大限度地控制建筑能耗需求。</w:t>
      </w:r>
    </w:p>
    <w:p>
      <w:pPr>
        <w:pStyle w:val="41"/>
        <w:spacing w:before="0" w:after="0"/>
        <w:jc w:val="both"/>
        <w:outlineLvl w:val="2"/>
        <w:rPr>
          <w:b w:val="0"/>
        </w:rPr>
      </w:pPr>
      <w:bookmarkStart w:id="16" w:name="_Toc193023008"/>
      <w:bookmarkStart w:id="17" w:name="_Toc198125342"/>
      <w:r>
        <w:rPr>
          <w:rFonts w:hint="eastAsia"/>
          <w:b w:val="0"/>
        </w:rPr>
        <w:t>3.0.2 近零能耗建筑应以室内环境参数及能耗指标为约束性指标，围护结构、能源设备和系统等技术参数应为推荐性指标。</w:t>
      </w:r>
      <w:bookmarkEnd w:id="16"/>
      <w:bookmarkEnd w:id="17"/>
    </w:p>
    <w:p>
      <w:pPr>
        <w:pStyle w:val="41"/>
        <w:spacing w:before="0" w:after="0"/>
        <w:jc w:val="both"/>
        <w:outlineLvl w:val="2"/>
        <w:rPr>
          <w:b w:val="0"/>
        </w:rPr>
      </w:pPr>
      <w:bookmarkStart w:id="18" w:name="_Toc193023009"/>
      <w:bookmarkStart w:id="19" w:name="_Toc198125343"/>
      <w:r>
        <w:rPr>
          <w:rFonts w:hint="eastAsia"/>
          <w:b w:val="0"/>
        </w:rPr>
        <w:t>3.0.3 建筑能耗指标计算规定及参数选择应符合</w:t>
      </w:r>
      <w:r>
        <w:rPr>
          <w:rFonts w:hint="eastAsia"/>
          <w:b w:val="0"/>
          <w:lang w:val="en" w:eastAsia="zh-CN"/>
        </w:rPr>
        <w:t>本标准</w:t>
      </w:r>
      <w:r>
        <w:rPr>
          <w:rFonts w:hint="eastAsia"/>
          <w:b w:val="0"/>
        </w:rPr>
        <w:t>附录A的规定。</w:t>
      </w:r>
      <w:bookmarkEnd w:id="18"/>
      <w:bookmarkEnd w:id="19"/>
    </w:p>
    <w:p>
      <w:pPr>
        <w:pStyle w:val="41"/>
        <w:spacing w:before="0" w:after="0"/>
        <w:jc w:val="both"/>
        <w:outlineLvl w:val="2"/>
        <w:rPr>
          <w:b w:val="0"/>
        </w:rPr>
      </w:pPr>
      <w:bookmarkStart w:id="20" w:name="_Toc198125344"/>
      <w:bookmarkStart w:id="21" w:name="_Toc193023010"/>
      <w:r>
        <w:rPr>
          <w:rFonts w:hint="eastAsia"/>
          <w:b w:val="0"/>
        </w:rPr>
        <w:t>3.0.4 近零能耗建筑应采用性能化设计、精细化的施工工艺和质量控制及智能化运行管理模式。</w:t>
      </w:r>
      <w:bookmarkEnd w:id="20"/>
      <w:bookmarkEnd w:id="21"/>
    </w:p>
    <w:p>
      <w:pPr>
        <w:pStyle w:val="41"/>
        <w:spacing w:before="0" w:after="0"/>
        <w:jc w:val="both"/>
        <w:outlineLvl w:val="2"/>
        <w:rPr>
          <w:b w:val="0"/>
        </w:rPr>
      </w:pPr>
      <w:bookmarkStart w:id="22" w:name="_Toc198125345"/>
      <w:bookmarkStart w:id="23" w:name="_Toc193023011"/>
      <w:r>
        <w:rPr>
          <w:rFonts w:hint="eastAsia"/>
          <w:b w:val="0"/>
        </w:rPr>
        <w:t>3.0.5 近零能耗建筑应采用全装修。室内装修不应损坏围护结构气密层和影响气流组织，装修建材宜采用获得绿色建材标识(或认证)的材料与部品。</w:t>
      </w:r>
      <w:bookmarkEnd w:id="22"/>
      <w:bookmarkEnd w:id="23"/>
    </w:p>
    <w:p>
      <w:pPr>
        <w:pStyle w:val="41"/>
        <w:spacing w:before="0" w:after="0"/>
        <w:jc w:val="both"/>
        <w:outlineLvl w:val="2"/>
        <w:rPr>
          <w:b w:val="0"/>
        </w:rPr>
      </w:pPr>
      <w:bookmarkStart w:id="24" w:name="_Toc198125346"/>
      <w:bookmarkStart w:id="25" w:name="_Toc193023012"/>
      <w:r>
        <w:rPr>
          <w:rFonts w:hint="eastAsia"/>
          <w:b w:val="0"/>
        </w:rPr>
        <w:t>3.0.6 近零能耗建筑应满足安全性及功能性要求，宜全过程采用建筑信息模型(BIM)技术。</w:t>
      </w:r>
      <w:bookmarkEnd w:id="24"/>
      <w:bookmarkEnd w:id="25"/>
    </w:p>
    <w:p>
      <w:pPr>
        <w:pStyle w:val="41"/>
        <w:spacing w:before="0" w:after="0"/>
        <w:jc w:val="both"/>
        <w:outlineLvl w:val="2"/>
        <w:rPr>
          <w:b w:val="0"/>
        </w:rPr>
      </w:pPr>
      <w:r>
        <w:rPr>
          <w:rFonts w:hint="eastAsia"/>
          <w:b w:val="0"/>
        </w:rPr>
        <w:t>3.0.7 单体建筑面积20000㎡以上的公共建筑，除应符合</w:t>
      </w:r>
      <w:r>
        <w:rPr>
          <w:rFonts w:hint="eastAsia"/>
          <w:b w:val="0"/>
          <w:lang w:val="en" w:eastAsia="zh-CN"/>
        </w:rPr>
        <w:t>本标准</w:t>
      </w:r>
      <w:r>
        <w:rPr>
          <w:rFonts w:hint="eastAsia"/>
          <w:b w:val="0"/>
        </w:rPr>
        <w:t>各项规定外，建设单位应组织专家对其设计及施工方案进行专项论证。</w:t>
      </w:r>
      <w:bookmarkEnd w:id="14"/>
      <w:bookmarkEnd w:id="15"/>
    </w:p>
    <w:p>
      <w:pPr>
        <w:ind w:firstLine="0" w:firstLineChars="0"/>
        <w:sectPr>
          <w:footerReference r:id="rId18" w:type="default"/>
          <w:pgSz w:w="11906" w:h="16838"/>
          <w:pgMar w:top="1440" w:right="1800" w:bottom="1440" w:left="1800" w:header="851" w:footer="992" w:gutter="0"/>
          <w:cols w:space="425" w:num="1"/>
          <w:docGrid w:type="lines" w:linePitch="312" w:charSpace="0"/>
        </w:sectPr>
      </w:pPr>
    </w:p>
    <w:p>
      <w:pPr>
        <w:ind w:firstLine="0" w:firstLineChars="0"/>
        <w:rPr>
          <w:sz w:val="24"/>
        </w:rPr>
      </w:pPr>
    </w:p>
    <w:p>
      <w:pPr>
        <w:pStyle w:val="57"/>
        <w:tabs>
          <w:tab w:val="left" w:pos="0"/>
        </w:tabs>
        <w:snapToGrid w:val="0"/>
        <w:spacing w:before="120" w:beforeLines="50" w:after="120" w:afterLines="50" w:line="276" w:lineRule="auto"/>
        <w:rPr>
          <w:rFonts w:ascii="Times New Roman" w:hAnsi="Times New Roman"/>
          <w:b w:val="0"/>
          <w:color w:val="auto"/>
          <w:sz w:val="32"/>
          <w:lang w:eastAsia="zh-CN"/>
        </w:rPr>
      </w:pPr>
      <w:bookmarkStart w:id="26" w:name="_Toc14995"/>
      <w:bookmarkStart w:id="27" w:name="_Toc198125348"/>
      <w:r>
        <w:rPr>
          <w:rFonts w:hint="eastAsia" w:ascii="Times New Roman" w:hAnsi="Times New Roman"/>
          <w:b w:val="0"/>
          <w:color w:val="auto"/>
          <w:sz w:val="32"/>
          <w:lang w:eastAsia="zh-CN"/>
        </w:rPr>
        <w:t>4. 室内环境参数</w:t>
      </w:r>
      <w:bookmarkEnd w:id="26"/>
      <w:bookmarkEnd w:id="27"/>
    </w:p>
    <w:p>
      <w:pPr>
        <w:ind w:firstLine="0" w:firstLineChars="0"/>
        <w:outlineLvl w:val="0"/>
        <w:rPr>
          <w:rFonts w:cs="Times New Roman"/>
          <w:bCs/>
          <w:szCs w:val="21"/>
        </w:rPr>
      </w:pPr>
      <w:bookmarkStart w:id="28" w:name="_Toc28466"/>
      <w:bookmarkStart w:id="29" w:name="_Toc198125349"/>
      <w:r>
        <w:rPr>
          <w:rFonts w:cs="Times New Roman"/>
          <w:bCs/>
          <w:szCs w:val="21"/>
        </w:rPr>
        <w:t>4.0.1</w:t>
      </w:r>
      <w:bookmarkEnd w:id="28"/>
      <w:r>
        <w:rPr>
          <w:rFonts w:hint="eastAsia" w:ascii="宋体" w:hAnsi="宋体" w:cs="Times New Roman"/>
          <w:bCs/>
          <w:szCs w:val="21"/>
        </w:rPr>
        <w:t>夏季与过渡季建筑主要房间的室内热湿环境应符合表</w:t>
      </w:r>
      <w:r>
        <w:rPr>
          <w:rFonts w:hint="eastAsia" w:cs="Times New Roman"/>
          <w:bCs/>
          <w:szCs w:val="21"/>
        </w:rPr>
        <w:t xml:space="preserve"> 4.</w:t>
      </w:r>
      <w:r>
        <w:rPr>
          <w:rFonts w:cs="Times New Roman"/>
          <w:bCs/>
          <w:szCs w:val="21"/>
        </w:rPr>
        <w:t>0</w:t>
      </w:r>
      <w:r>
        <w:rPr>
          <w:rFonts w:hint="eastAsia" w:cs="Times New Roman"/>
          <w:bCs/>
          <w:szCs w:val="21"/>
        </w:rPr>
        <w:t xml:space="preserve">.1 </w:t>
      </w:r>
      <w:r>
        <w:rPr>
          <w:rFonts w:hint="eastAsia" w:ascii="宋体" w:hAnsi="宋体" w:cs="Times New Roman"/>
          <w:bCs/>
          <w:szCs w:val="21"/>
        </w:rPr>
        <w:t>的规定。</w:t>
      </w:r>
      <w:bookmarkEnd w:id="29"/>
    </w:p>
    <w:p>
      <w:pPr>
        <w:ind w:firstLine="0" w:firstLineChars="0"/>
        <w:jc w:val="center"/>
        <w:rPr>
          <w:rFonts w:cs="Times New Roman"/>
          <w:bCs/>
          <w:szCs w:val="21"/>
        </w:rPr>
      </w:pPr>
      <w:r>
        <w:rPr>
          <w:rFonts w:hint="eastAsia" w:ascii="宋体" w:hAnsi="宋体" w:cs="Times New Roman"/>
          <w:bCs/>
          <w:szCs w:val="21"/>
        </w:rPr>
        <w:t>表</w:t>
      </w:r>
      <w:r>
        <w:rPr>
          <w:rFonts w:hint="eastAsia" w:cs="Times New Roman"/>
          <w:bCs/>
          <w:szCs w:val="21"/>
        </w:rPr>
        <w:t xml:space="preserve"> 4.</w:t>
      </w:r>
      <w:r>
        <w:rPr>
          <w:rFonts w:cs="Times New Roman"/>
          <w:bCs/>
          <w:szCs w:val="21"/>
        </w:rPr>
        <w:t>0</w:t>
      </w:r>
      <w:r>
        <w:rPr>
          <w:rFonts w:hint="eastAsia" w:cs="Times New Roman"/>
          <w:bCs/>
          <w:szCs w:val="21"/>
        </w:rPr>
        <w:t xml:space="preserve">.1 </w:t>
      </w:r>
      <w:r>
        <w:rPr>
          <w:rFonts w:hint="eastAsia" w:ascii="宋体" w:hAnsi="宋体" w:cs="Times New Roman"/>
          <w:bCs/>
          <w:szCs w:val="21"/>
        </w:rPr>
        <w:t>夏季与过渡季主要房间室内热湿环境参数</w:t>
      </w:r>
    </w:p>
    <w:tbl>
      <w:tblPr>
        <w:tblStyle w:val="297"/>
        <w:tblW w:w="0" w:type="auto"/>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2460"/>
        <w:gridCol w:w="2297"/>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6"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Calibri" w:hAnsi="Calibri" w:cs="Times New Roman"/>
                <w:szCs w:val="21"/>
              </w:rPr>
            </w:pPr>
          </w:p>
        </w:tc>
        <w:tc>
          <w:tcPr>
            <w:tcW w:w="246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Calibri" w:hAnsi="Calibri" w:cs="Times New Roman"/>
                <w:szCs w:val="21"/>
              </w:rPr>
            </w:pPr>
            <w:r>
              <w:rPr>
                <w:rFonts w:ascii="宋体" w:hAnsi="宋体" w:cs="Times New Roman"/>
                <w:color w:val="000000"/>
                <w:sz w:val="22"/>
              </w:rPr>
              <w:t>温度（℃）</w:t>
            </w:r>
          </w:p>
        </w:tc>
        <w:tc>
          <w:tcPr>
            <w:tcW w:w="2297" w:type="dxa"/>
            <w:tcBorders>
              <w:top w:val="single" w:color="auto" w:sz="4" w:space="0"/>
              <w:left w:val="single" w:color="auto" w:sz="4" w:space="0"/>
              <w:bottom w:val="single" w:color="auto" w:sz="4" w:space="0"/>
              <w:right w:val="single" w:color="auto" w:sz="4" w:space="0"/>
            </w:tcBorders>
          </w:tcPr>
          <w:p>
            <w:pPr>
              <w:ind w:firstLine="0" w:firstLineChars="0"/>
              <w:jc w:val="center"/>
              <w:rPr>
                <w:rFonts w:hint="eastAsia" w:ascii="TimesNewRomanPS-BoldMT" w:hAnsi="TimesNewRomanPS-BoldMT" w:cs="Times New Roman"/>
                <w:color w:val="000000"/>
                <w:sz w:val="22"/>
              </w:rPr>
            </w:pPr>
            <w:r>
              <w:rPr>
                <w:rFonts w:ascii="宋体" w:hAnsi="宋体" w:cs="Times New Roman"/>
                <w:color w:val="000000"/>
                <w:sz w:val="22"/>
              </w:rPr>
              <w:t>相对湿度（%）</w:t>
            </w:r>
          </w:p>
        </w:tc>
        <w:tc>
          <w:tcPr>
            <w:tcW w:w="2112" w:type="dxa"/>
            <w:tcBorders>
              <w:top w:val="single" w:color="auto" w:sz="4" w:space="0"/>
              <w:left w:val="single" w:color="auto" w:sz="4" w:space="0"/>
              <w:bottom w:val="single" w:color="auto" w:sz="4" w:space="0"/>
              <w:right w:val="single" w:color="auto" w:sz="4" w:space="0"/>
            </w:tcBorders>
          </w:tcPr>
          <w:p>
            <w:pPr>
              <w:ind w:firstLine="0" w:firstLineChars="0"/>
              <w:jc w:val="center"/>
              <w:rPr>
                <w:rFonts w:hint="eastAsia" w:ascii="TimesNewRomanPS-BoldMT" w:hAnsi="TimesNewRomanPS-BoldMT" w:cs="Times New Roman"/>
                <w:color w:val="000000"/>
                <w:sz w:val="22"/>
              </w:rPr>
            </w:pPr>
            <w:r>
              <w:rPr>
                <w:rFonts w:hint="eastAsia" w:ascii="宋体" w:hAnsi="宋体" w:cs="Times New Roman"/>
                <w:color w:val="000000"/>
                <w:sz w:val="22"/>
              </w:rPr>
              <w:t>风速（</w:t>
            </w:r>
            <w:r>
              <w:rPr>
                <w:rFonts w:hint="eastAsia" w:ascii="TimesNewRomanPS-BoldMT" w:hAnsi="TimesNewRomanPS-BoldMT" w:cs="Times New Roman"/>
                <w:color w:val="000000"/>
                <w:sz w:val="22"/>
              </w:rPr>
              <w:t>m</w:t>
            </w:r>
            <w:r>
              <w:rPr>
                <w:rFonts w:ascii="TimesNewRomanPS-BoldMT" w:hAnsi="TimesNewRomanPS-BoldMT" w:cs="Times New Roman"/>
                <w:color w:val="000000"/>
                <w:sz w:val="22"/>
              </w:rPr>
              <w:t>/s</w:t>
            </w:r>
            <w:r>
              <w:rPr>
                <w:rFonts w:hint="eastAsia" w:ascii="宋体" w:hAnsi="宋体" w:cs="Times New Roman"/>
                <w:color w:val="00000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Calibri" w:hAnsi="Calibri" w:cs="Times New Roman"/>
                <w:szCs w:val="21"/>
              </w:rPr>
            </w:pPr>
            <w:r>
              <w:rPr>
                <w:rFonts w:hint="eastAsia" w:ascii="宋体" w:hAnsi="宋体" w:cs="Times New Roman"/>
                <w:szCs w:val="21"/>
              </w:rPr>
              <w:t>空调工况</w:t>
            </w:r>
          </w:p>
        </w:tc>
        <w:tc>
          <w:tcPr>
            <w:tcW w:w="246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Calibri" w:hAnsi="Calibri" w:cs="Times New Roman"/>
                <w:szCs w:val="21"/>
              </w:rPr>
            </w:pPr>
            <w:r>
              <w:rPr>
                <w:rFonts w:ascii="宋体" w:hAnsi="宋体" w:cs="Times New Roman"/>
                <w:color w:val="000000"/>
                <w:sz w:val="22"/>
              </w:rPr>
              <w:t>≤26</w:t>
            </w:r>
          </w:p>
        </w:tc>
        <w:tc>
          <w:tcPr>
            <w:tcW w:w="2297" w:type="dxa"/>
            <w:tcBorders>
              <w:top w:val="single" w:color="auto" w:sz="4" w:space="0"/>
              <w:left w:val="single" w:color="auto" w:sz="4" w:space="0"/>
              <w:bottom w:val="single" w:color="auto" w:sz="4" w:space="0"/>
              <w:right w:val="single" w:color="auto" w:sz="4" w:space="0"/>
            </w:tcBorders>
          </w:tcPr>
          <w:p>
            <w:pPr>
              <w:ind w:firstLine="0" w:firstLineChars="0"/>
              <w:jc w:val="center"/>
              <w:rPr>
                <w:rFonts w:ascii="宋体" w:hAnsi="宋体" w:cs="Times New Roman"/>
                <w:color w:val="000000"/>
                <w:sz w:val="22"/>
              </w:rPr>
            </w:pPr>
            <w:r>
              <w:rPr>
                <w:rFonts w:ascii="宋体" w:hAnsi="宋体" w:cs="Times New Roman"/>
                <w:color w:val="000000"/>
                <w:sz w:val="22"/>
              </w:rPr>
              <w:t>≤60</w:t>
            </w:r>
          </w:p>
        </w:tc>
        <w:tc>
          <w:tcPr>
            <w:tcW w:w="2112" w:type="dxa"/>
            <w:tcBorders>
              <w:top w:val="single" w:color="auto" w:sz="4" w:space="0"/>
              <w:left w:val="single" w:color="auto" w:sz="4" w:space="0"/>
              <w:bottom w:val="single" w:color="auto" w:sz="4" w:space="0"/>
              <w:right w:val="single" w:color="auto" w:sz="4" w:space="0"/>
            </w:tcBorders>
          </w:tcPr>
          <w:p>
            <w:pPr>
              <w:ind w:firstLine="0" w:firstLineChars="0"/>
              <w:jc w:val="center"/>
              <w:rPr>
                <w:rFonts w:ascii="宋体" w:hAnsi="宋体" w:cs="Times New Roman"/>
                <w:color w:val="000000"/>
                <w:sz w:val="22"/>
              </w:rPr>
            </w:pPr>
            <w:r>
              <w:rPr>
                <w:rFonts w:ascii="宋体" w:hAnsi="宋体" w:cs="Times New Roman"/>
                <w:color w:val="000000"/>
                <w:sz w:val="22"/>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Times New Roman"/>
                <w:szCs w:val="21"/>
              </w:rPr>
            </w:pPr>
            <w:r>
              <w:rPr>
                <w:rFonts w:hint="eastAsia" w:ascii="宋体" w:hAnsi="宋体" w:cs="Times New Roman"/>
                <w:szCs w:val="21"/>
              </w:rPr>
              <w:t>空调+风扇工况</w:t>
            </w:r>
          </w:p>
        </w:tc>
        <w:tc>
          <w:tcPr>
            <w:tcW w:w="246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Times New Roman"/>
                <w:color w:val="000000"/>
                <w:sz w:val="22"/>
              </w:rPr>
            </w:pPr>
            <w:r>
              <w:rPr>
                <w:rFonts w:hint="eastAsia" w:ascii="宋体" w:hAnsi="宋体" w:cs="Times New Roman"/>
                <w:color w:val="000000"/>
                <w:sz w:val="22"/>
              </w:rPr>
              <w:t>26～28</w:t>
            </w:r>
          </w:p>
        </w:tc>
        <w:tc>
          <w:tcPr>
            <w:tcW w:w="2297" w:type="dxa"/>
            <w:tcBorders>
              <w:top w:val="single" w:color="auto" w:sz="4" w:space="0"/>
              <w:left w:val="single" w:color="auto" w:sz="4" w:space="0"/>
              <w:bottom w:val="single" w:color="auto" w:sz="4" w:space="0"/>
              <w:right w:val="single" w:color="auto" w:sz="4" w:space="0"/>
            </w:tcBorders>
          </w:tcPr>
          <w:p>
            <w:pPr>
              <w:ind w:firstLine="0" w:firstLineChars="0"/>
              <w:jc w:val="center"/>
              <w:rPr>
                <w:rFonts w:ascii="宋体" w:hAnsi="宋体" w:cs="Times New Roman"/>
                <w:color w:val="000000"/>
                <w:sz w:val="22"/>
              </w:rPr>
            </w:pPr>
            <w:r>
              <w:rPr>
                <w:rFonts w:hint="eastAsia" w:ascii="宋体" w:hAnsi="宋体" w:cs="Times New Roman"/>
                <w:color w:val="000000"/>
                <w:sz w:val="22"/>
              </w:rPr>
              <w:t>≤70</w:t>
            </w:r>
          </w:p>
        </w:tc>
        <w:tc>
          <w:tcPr>
            <w:tcW w:w="2112" w:type="dxa"/>
            <w:tcBorders>
              <w:top w:val="single" w:color="auto" w:sz="4" w:space="0"/>
              <w:left w:val="single" w:color="auto" w:sz="4" w:space="0"/>
              <w:bottom w:val="single" w:color="auto" w:sz="4" w:space="0"/>
              <w:right w:val="single" w:color="auto" w:sz="4" w:space="0"/>
            </w:tcBorders>
          </w:tcPr>
          <w:p>
            <w:pPr>
              <w:ind w:firstLine="0" w:firstLineChars="0"/>
              <w:jc w:val="center"/>
              <w:rPr>
                <w:rFonts w:ascii="宋体" w:hAnsi="宋体" w:cs="Times New Roman"/>
                <w:color w:val="000000"/>
                <w:sz w:val="22"/>
              </w:rPr>
            </w:pPr>
            <w:r>
              <w:rPr>
                <w:rFonts w:hint="eastAsia"/>
                <w:b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6" w:type="dxa"/>
            <w:tcBorders>
              <w:top w:val="nil"/>
              <w:left w:val="single" w:color="auto" w:sz="4" w:space="0"/>
              <w:bottom w:val="single" w:color="auto" w:sz="4" w:space="0"/>
              <w:right w:val="single" w:color="auto" w:sz="4" w:space="0"/>
            </w:tcBorders>
            <w:vAlign w:val="center"/>
          </w:tcPr>
          <w:p>
            <w:pPr>
              <w:ind w:firstLine="0" w:firstLineChars="0"/>
              <w:jc w:val="center"/>
              <w:rPr>
                <w:rFonts w:ascii="Calibri" w:hAnsi="Calibri" w:cs="Times New Roman"/>
                <w:szCs w:val="21"/>
              </w:rPr>
            </w:pPr>
            <w:r>
              <w:rPr>
                <w:rFonts w:hint="eastAsia" w:ascii="宋体" w:hAnsi="宋体" w:cs="Times New Roman"/>
                <w:szCs w:val="21"/>
              </w:rPr>
              <w:t>通风工况</w:t>
            </w:r>
          </w:p>
        </w:tc>
        <w:tc>
          <w:tcPr>
            <w:tcW w:w="246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Times New Roman"/>
                <w:color w:val="000000"/>
                <w:sz w:val="22"/>
              </w:rPr>
            </w:pPr>
            <w:r>
              <w:rPr>
                <w:rFonts w:ascii="宋体" w:hAnsi="宋体" w:cs="Times New Roman"/>
                <w:color w:val="000000"/>
                <w:sz w:val="22"/>
              </w:rPr>
              <w:t>≤28</w:t>
            </w:r>
          </w:p>
        </w:tc>
        <w:tc>
          <w:tcPr>
            <w:tcW w:w="2297" w:type="dxa"/>
            <w:tcBorders>
              <w:top w:val="single" w:color="auto" w:sz="4" w:space="0"/>
              <w:left w:val="single" w:color="auto" w:sz="4" w:space="0"/>
              <w:bottom w:val="single" w:color="auto" w:sz="4" w:space="0"/>
              <w:right w:val="single" w:color="auto" w:sz="4" w:space="0"/>
            </w:tcBorders>
          </w:tcPr>
          <w:p>
            <w:pPr>
              <w:ind w:firstLine="0" w:firstLineChars="0"/>
              <w:jc w:val="center"/>
              <w:rPr>
                <w:rFonts w:ascii="宋体" w:hAnsi="宋体" w:cs="Times New Roman"/>
                <w:color w:val="000000"/>
                <w:sz w:val="22"/>
              </w:rPr>
            </w:pPr>
            <w:r>
              <w:rPr>
                <w:rFonts w:ascii="宋体" w:hAnsi="宋体" w:cs="Times New Roman"/>
                <w:color w:val="000000"/>
                <w:sz w:val="22"/>
              </w:rPr>
              <w:t>≤80</w:t>
            </w:r>
          </w:p>
        </w:tc>
        <w:tc>
          <w:tcPr>
            <w:tcW w:w="2112" w:type="dxa"/>
            <w:tcBorders>
              <w:top w:val="single" w:color="auto" w:sz="4" w:space="0"/>
              <w:left w:val="single" w:color="auto" w:sz="4" w:space="0"/>
              <w:bottom w:val="single" w:color="auto" w:sz="4" w:space="0"/>
              <w:right w:val="single" w:color="auto" w:sz="4" w:space="0"/>
            </w:tcBorders>
          </w:tcPr>
          <w:p>
            <w:pPr>
              <w:ind w:firstLine="0" w:firstLineChars="0"/>
              <w:jc w:val="center"/>
              <w:rPr>
                <w:rFonts w:ascii="宋体" w:hAnsi="宋体" w:cs="Times New Roman"/>
                <w:color w:val="000000"/>
                <w:sz w:val="22"/>
              </w:rPr>
            </w:pPr>
            <w:r>
              <w:rPr>
                <w:rFonts w:hint="eastAsia"/>
                <w:b w:val="0"/>
                <w:szCs w:val="21"/>
              </w:rPr>
              <w:t>—</w:t>
            </w:r>
          </w:p>
        </w:tc>
      </w:tr>
    </w:tbl>
    <w:p>
      <w:pPr>
        <w:ind w:firstLine="0" w:firstLineChars="0"/>
      </w:pPr>
      <w:r>
        <w:t>【条文说明】</w:t>
      </w:r>
    </w:p>
    <w:p>
      <w:pPr>
        <w:ind w:firstLine="420"/>
      </w:pPr>
      <w:r>
        <w:rPr>
          <w:rFonts w:hint="eastAsia"/>
        </w:rPr>
        <w:t>4</w:t>
      </w:r>
      <w:r>
        <w:t xml:space="preserve">.0.1 </w:t>
      </w:r>
      <w:r>
        <w:rPr>
          <w:rFonts w:hint="eastAsia"/>
        </w:rPr>
        <w:t>本条是设计人员选用夏季与过渡季室内环境设计参数时需要遵循的规定。近零能耗建筑室内环境参数应保证较高的热舒适水平。室内热湿环境参数主要包括室内温度、相对湿度，这些参数直接影响室内的热舒适水平和建筑能耗。</w:t>
      </w:r>
    </w:p>
    <w:p>
      <w:pPr>
        <w:ind w:firstLine="420"/>
      </w:pPr>
      <w:r>
        <w:rPr>
          <w:rFonts w:hint="eastAsia"/>
        </w:rPr>
        <w:t>海南地区居民对自然通风需求较大。自然通风和</w:t>
      </w:r>
      <w:r>
        <w:rPr>
          <w:rFonts w:hint="eastAsia" w:ascii="宋体" w:hAnsi="宋体" w:cs="Times New Roman"/>
          <w:szCs w:val="21"/>
        </w:rPr>
        <w:t>空调+风扇</w:t>
      </w:r>
      <w:r>
        <w:rPr>
          <w:rFonts w:hint="eastAsia"/>
        </w:rPr>
        <w:t>工况下人员的热舒适区会比空调工况下更加放宽，因此</w:t>
      </w:r>
      <w:r>
        <w:rPr>
          <w:rFonts w:hint="eastAsia"/>
          <w:lang w:val="en" w:eastAsia="zh-CN"/>
        </w:rPr>
        <w:t>本标准</w:t>
      </w:r>
      <w:r>
        <w:rPr>
          <w:rFonts w:hint="eastAsia"/>
        </w:rPr>
        <w:t>提出适用于海南地区的空调、</w:t>
      </w:r>
      <w:r>
        <w:rPr>
          <w:rFonts w:hint="eastAsia" w:ascii="宋体" w:hAnsi="宋体" w:cs="Times New Roman"/>
          <w:szCs w:val="21"/>
        </w:rPr>
        <w:t>空调+风扇</w:t>
      </w:r>
      <w:r>
        <w:rPr>
          <w:rFonts w:hint="eastAsia"/>
        </w:rPr>
        <w:t>与通风三种环境保障模式。在不同的室外条件下采取不同的方式，消除室内余热余湿、保障室内环境舒适的同时可有效降低建筑能耗。</w:t>
      </w:r>
    </w:p>
    <w:p>
      <w:pPr>
        <w:ind w:firstLine="420"/>
      </w:pPr>
      <w:r>
        <w:rPr>
          <w:rFonts w:hint="eastAsia"/>
        </w:rPr>
        <w:t>空调工况是在夏季与过渡季采用空调系统调节形成的室内环境，根据国内外有关研究结果，当人体衣着适宜、保暖量充分且处于安静状态时，室内温度 20℃比较舒适， 18℃无冷感， 15℃时产生明显冷感的温度界限。热舒适环境（ -1≤PMV≤1）对应的温度范围为： 18~28.4℃。在保证室内舒适度的条件下尽量节能，将夏季室内环境参数，空调温度上限值为 26℃，相对湿度上限值为 60%。</w:t>
      </w:r>
    </w:p>
    <w:p>
      <w:pPr>
        <w:ind w:firstLine="420"/>
      </w:pPr>
      <w:r>
        <w:rPr>
          <w:rFonts w:hint="eastAsia"/>
        </w:rPr>
        <w:t>海南地区在过渡季部分时间，其供冷负荷相对较小，在风扇开启的情况下，风扇可增加空气的流速，使空气更快流通进而提高空调的效率，也可以使低温空气更加均匀地分布到房间的各个区域，最终降低空调能耗。因此，除传统的空调工况外，</w:t>
      </w:r>
      <w:r>
        <w:rPr>
          <w:rFonts w:hint="eastAsia"/>
          <w:lang w:val="en" w:eastAsia="zh-CN"/>
        </w:rPr>
        <w:t>本标准</w:t>
      </w:r>
      <w:r>
        <w:rPr>
          <w:rFonts w:hint="eastAsia"/>
        </w:rPr>
        <w:t>也提出风扇辅助空调运行的混合工况，以鼓励近零能耗建筑在实际运行中采用兼顾舒适与低能耗的方式。</w:t>
      </w:r>
    </w:p>
    <w:p>
      <w:pPr>
        <w:ind w:firstLine="420"/>
      </w:pPr>
      <w:r>
        <w:rPr>
          <w:rFonts w:hint="eastAsia"/>
        </w:rPr>
        <w:t>通风工况是指利用自然或机械的手段将室内空气和外界空气进行交换所形成的室内环境。在通风环境下，考虑到通风环境舒适性，温度应不高于2</w:t>
      </w:r>
      <w:r>
        <w:t>8</w:t>
      </w:r>
      <w:r>
        <w:rPr>
          <w:rFonts w:ascii="宋体" w:hAnsi="宋体" w:cs="Times New Roman"/>
          <w:color w:val="000000"/>
          <w:sz w:val="22"/>
        </w:rPr>
        <w:t>℃</w:t>
      </w:r>
      <w:r>
        <w:rPr>
          <w:rFonts w:hint="eastAsia" w:ascii="宋体" w:hAnsi="宋体" w:cs="Times New Roman"/>
          <w:color w:val="000000"/>
          <w:sz w:val="22"/>
        </w:rPr>
        <w:t>，相对湿度不高于</w:t>
      </w:r>
      <w:r>
        <w:rPr>
          <w:rFonts w:hint="eastAsia"/>
        </w:rPr>
        <w:t>8</w:t>
      </w:r>
      <w:r>
        <w:t>0</w:t>
      </w:r>
      <w:r>
        <w:rPr>
          <w:rFonts w:hint="eastAsia"/>
        </w:rPr>
        <w:t>%。</w:t>
      </w:r>
    </w:p>
    <w:p>
      <w:pPr>
        <w:ind w:firstLine="420"/>
      </w:pPr>
    </w:p>
    <w:p>
      <w:pPr>
        <w:ind w:firstLine="0" w:firstLineChars="0"/>
        <w:outlineLvl w:val="0"/>
        <w:rPr>
          <w:rFonts w:cs="Times New Roman"/>
          <w:bCs/>
          <w:szCs w:val="21"/>
        </w:rPr>
      </w:pPr>
      <w:bookmarkStart w:id="30" w:name="_Toc193023017"/>
      <w:bookmarkStart w:id="31" w:name="_Toc198125351"/>
      <w:r>
        <w:rPr>
          <w:rFonts w:cs="Times New Roman"/>
          <w:bCs/>
          <w:szCs w:val="21"/>
        </w:rPr>
        <w:t>4.0.</w:t>
      </w:r>
      <w:bookmarkEnd w:id="30"/>
      <w:r>
        <w:rPr>
          <w:rFonts w:cs="Times New Roman"/>
          <w:bCs/>
          <w:szCs w:val="21"/>
        </w:rPr>
        <w:t>2</w:t>
      </w:r>
      <w:r>
        <w:rPr>
          <w:rFonts w:hint="eastAsia" w:ascii="宋体" w:hAnsi="宋体" w:cs="Times New Roman"/>
          <w:bCs/>
          <w:szCs w:val="21"/>
        </w:rPr>
        <w:t>近零能耗建筑主要房间的新风量应符合现行国家标准《民用建筑供暖通风与空气调节设计规范》</w:t>
      </w:r>
      <w:r>
        <w:rPr>
          <w:rFonts w:hint="eastAsia" w:cs="Times New Roman"/>
          <w:bCs/>
          <w:szCs w:val="21"/>
        </w:rPr>
        <w:t xml:space="preserve"> GB50736 </w:t>
      </w:r>
      <w:r>
        <w:rPr>
          <w:rFonts w:hint="eastAsia" w:ascii="宋体" w:hAnsi="宋体" w:cs="Times New Roman"/>
          <w:bCs/>
          <w:szCs w:val="21"/>
        </w:rPr>
        <w:t>的规定。</w:t>
      </w:r>
      <w:bookmarkEnd w:id="31"/>
    </w:p>
    <w:p>
      <w:pPr>
        <w:ind w:firstLine="0" w:firstLineChars="0"/>
      </w:pPr>
      <w:r>
        <w:t>【条文说明】</w:t>
      </w:r>
    </w:p>
    <w:p>
      <w:pPr>
        <w:ind w:firstLine="420"/>
      </w:pPr>
      <w:bookmarkStart w:id="32" w:name="_Toc74"/>
      <w:r>
        <w:t>4.0.</w:t>
      </w:r>
      <w:bookmarkEnd w:id="32"/>
      <w:r>
        <w:t xml:space="preserve">2 </w:t>
      </w:r>
      <w:r>
        <w:rPr>
          <w:rFonts w:hint="eastAsia"/>
        </w:rPr>
        <w:t>近零能耗建筑的新风量设计与现行国家标准《民用建筑供暖通风与空气调节设计规范》 GB50736要求保持一致。</w:t>
      </w:r>
    </w:p>
    <w:p>
      <w:pPr>
        <w:ind w:firstLine="0" w:firstLineChars="0"/>
        <w:outlineLvl w:val="0"/>
        <w:rPr>
          <w:rFonts w:cs="Times New Roman"/>
          <w:bCs/>
          <w:szCs w:val="21"/>
        </w:rPr>
      </w:pPr>
      <w:bookmarkStart w:id="33" w:name="_Toc193023018"/>
      <w:bookmarkStart w:id="34" w:name="_Toc198125352"/>
      <w:r>
        <w:rPr>
          <w:rFonts w:cs="Times New Roman"/>
          <w:bCs/>
          <w:szCs w:val="21"/>
        </w:rPr>
        <w:t>4.0.</w:t>
      </w:r>
      <w:bookmarkEnd w:id="33"/>
      <w:r>
        <w:rPr>
          <w:rFonts w:cs="Times New Roman"/>
          <w:bCs/>
          <w:szCs w:val="21"/>
        </w:rPr>
        <w:t>3</w:t>
      </w:r>
      <w:r>
        <w:rPr>
          <w:rFonts w:hint="eastAsia" w:ascii="宋体" w:hAnsi="宋体" w:cs="Times New Roman"/>
          <w:bCs/>
          <w:szCs w:val="21"/>
        </w:rPr>
        <w:t>近零能耗居住建筑室内噪声应符合现行国家标准《建筑环境通用规范》</w:t>
      </w:r>
      <w:r>
        <w:rPr>
          <w:rFonts w:hint="eastAsia" w:cs="Times New Roman"/>
          <w:bCs/>
          <w:szCs w:val="21"/>
        </w:rPr>
        <w:t>GB 550</w:t>
      </w:r>
      <w:r>
        <w:rPr>
          <w:rFonts w:cs="Times New Roman"/>
          <w:bCs/>
          <w:szCs w:val="21"/>
        </w:rPr>
        <w:t>16</w:t>
      </w:r>
      <w:r>
        <w:rPr>
          <w:rFonts w:hint="eastAsia" w:cs="Times New Roman"/>
          <w:bCs/>
          <w:szCs w:val="21"/>
        </w:rPr>
        <w:t>中声环境的规定</w:t>
      </w:r>
      <w:r>
        <w:rPr>
          <w:rFonts w:hint="eastAsia" w:ascii="宋体" w:hAnsi="宋体" w:cs="Times New Roman"/>
          <w:bCs/>
          <w:szCs w:val="21"/>
        </w:rPr>
        <w:t xml:space="preserve">。酒店类建筑的室内噪声级应符合现行国家标准《民用建筑隔声设计规范》 </w:t>
      </w:r>
      <w:r>
        <w:rPr>
          <w:rFonts w:hint="eastAsia" w:cs="Times New Roman"/>
          <w:bCs/>
          <w:szCs w:val="21"/>
        </w:rPr>
        <w:t>GB50118</w:t>
      </w:r>
      <w:r>
        <w:rPr>
          <w:rFonts w:hint="eastAsia" w:ascii="宋体" w:hAnsi="宋体" w:cs="Times New Roman"/>
          <w:bCs/>
          <w:szCs w:val="21"/>
        </w:rPr>
        <w:t xml:space="preserve">中室内允许噪声级一级的规定；其他建筑类型的室内允许噪声级应符合现行国家标准《民用建筑隔声设计规范》 </w:t>
      </w:r>
      <w:r>
        <w:rPr>
          <w:rFonts w:hint="eastAsia" w:cs="Times New Roman"/>
          <w:bCs/>
          <w:szCs w:val="21"/>
        </w:rPr>
        <w:t xml:space="preserve">GB50118 </w:t>
      </w:r>
      <w:r>
        <w:rPr>
          <w:rFonts w:hint="eastAsia" w:ascii="宋体" w:hAnsi="宋体" w:cs="Times New Roman"/>
          <w:bCs/>
          <w:szCs w:val="21"/>
        </w:rPr>
        <w:t>中室内允许噪声级高要求标准的规定。</w:t>
      </w:r>
      <w:bookmarkEnd w:id="34"/>
    </w:p>
    <w:p>
      <w:pPr>
        <w:ind w:firstLine="0" w:firstLineChars="0"/>
      </w:pPr>
      <w:r>
        <w:t>【条文说明】</w:t>
      </w:r>
    </w:p>
    <w:p>
      <w:pPr>
        <w:ind w:firstLine="420"/>
      </w:pPr>
      <w:r>
        <w:rPr>
          <w:rFonts w:hint="eastAsia"/>
        </w:rPr>
        <w:t>4</w:t>
      </w:r>
      <w:r>
        <w:t xml:space="preserve">.0.3 </w:t>
      </w:r>
      <w:r>
        <w:rPr>
          <w:rFonts w:hint="eastAsia"/>
        </w:rPr>
        <w:t>我国现行国家标准</w:t>
      </w:r>
      <w:r>
        <w:rPr>
          <w:rFonts w:hint="eastAsia" w:ascii="宋体" w:hAnsi="宋体" w:cs="Times New Roman"/>
          <w:bCs/>
          <w:szCs w:val="21"/>
        </w:rPr>
        <w:t>《建筑环境通用规范》</w:t>
      </w:r>
      <w:r>
        <w:rPr>
          <w:rFonts w:hint="eastAsia" w:cs="Times New Roman"/>
          <w:bCs/>
          <w:szCs w:val="21"/>
        </w:rPr>
        <w:t>GB 550</w:t>
      </w:r>
      <w:r>
        <w:rPr>
          <w:rFonts w:cs="Times New Roman"/>
          <w:bCs/>
          <w:szCs w:val="21"/>
        </w:rPr>
        <w:t>16</w:t>
      </w:r>
      <w:r>
        <w:rPr>
          <w:rFonts w:hint="eastAsia"/>
        </w:rPr>
        <w:t>-20</w:t>
      </w:r>
      <w:r>
        <w:t>21</w:t>
      </w:r>
      <w:r>
        <w:rPr>
          <w:rFonts w:hint="eastAsia"/>
        </w:rPr>
        <w:t xml:space="preserve"> 中对住宅的睡眠房间允许的噪声级为昼间40 dB（A），夜间30dB（A）。室内噪声不仅和建筑所处的声功能区、周边噪声源的情况有关，而且和建筑本身的隔声设计密切相关。近零能耗建筑采用高性能的建筑部品，应具有较好的隔声能力。根据国内外的标准和现有隔声技术情况，确定了近零能耗建筑应具备较高水平的室内声环境。</w:t>
      </w:r>
    </w:p>
    <w:p>
      <w:pPr>
        <w:ind w:firstLine="420"/>
        <w:sectPr>
          <w:pgSz w:w="12240" w:h="15840"/>
          <w:pgMar w:top="1440" w:right="1800" w:bottom="1440" w:left="1800" w:header="720" w:footer="720" w:gutter="0"/>
          <w:cols w:space="720" w:num="1"/>
        </w:sectPr>
      </w:pPr>
      <w:r>
        <w:rPr>
          <w:rFonts w:hint="eastAsia"/>
        </w:rPr>
        <w:t>近零能耗建筑通过技术手段控制室内自身的声源和来自室外的噪声，室内噪声源一般为通风空调设备、电器设备等；室外噪声源则包括来自建筑外部的噪声（如周边交通噪声、社会生活噪声、工业噪声等），设计过程中应计算外墙、楼板、分户墙、门窗的隔声性能验证建筑室内的声环境是否满足要求。</w:t>
      </w:r>
    </w:p>
    <w:p>
      <w:pPr>
        <w:pStyle w:val="57"/>
        <w:numPr>
          <w:ilvl w:val="0"/>
          <w:numId w:val="13"/>
        </w:numPr>
        <w:tabs>
          <w:tab w:val="left" w:pos="0"/>
        </w:tabs>
        <w:snapToGrid w:val="0"/>
        <w:spacing w:before="156" w:beforeLines="50" w:after="156" w:afterLines="50" w:line="276" w:lineRule="auto"/>
        <w:rPr>
          <w:rFonts w:ascii="Times New Roman" w:hAnsi="Times New Roman"/>
          <w:b w:val="0"/>
          <w:color w:val="auto"/>
          <w:sz w:val="32"/>
          <w:lang w:eastAsia="zh-CN"/>
        </w:rPr>
      </w:pPr>
      <w:bookmarkStart w:id="35" w:name="_Toc198125353"/>
      <w:bookmarkStart w:id="36" w:name="_Toc10187"/>
      <w:r>
        <w:rPr>
          <w:rFonts w:hint="eastAsia" w:ascii="Times New Roman" w:hAnsi="Times New Roman"/>
          <w:b w:val="0"/>
          <w:color w:val="auto"/>
          <w:sz w:val="32"/>
          <w:lang w:eastAsia="zh-CN"/>
        </w:rPr>
        <w:t>能耗指标</w:t>
      </w:r>
      <w:bookmarkEnd w:id="35"/>
      <w:bookmarkEnd w:id="36"/>
    </w:p>
    <w:p>
      <w:pPr>
        <w:pStyle w:val="41"/>
        <w:jc w:val="both"/>
        <w:rPr>
          <w:b w:val="0"/>
        </w:rPr>
      </w:pPr>
      <w:r>
        <w:rPr>
          <w:rFonts w:hint="eastAsia"/>
          <w:b w:val="0"/>
        </w:rPr>
        <w:t>5.0.</w:t>
      </w:r>
      <w:r>
        <w:rPr>
          <w:b w:val="0"/>
        </w:rPr>
        <w:t>1</w:t>
      </w:r>
      <w:r>
        <w:rPr>
          <w:rFonts w:hint="eastAsia"/>
          <w:b w:val="0"/>
        </w:rPr>
        <w:t>超低能耗居住建筑的能效指标应采用绝对值指标控制，设计建筑能耗综合值、建筑碳排放强、建筑气密性指标不应高于表5.0.</w:t>
      </w:r>
      <w:r>
        <w:rPr>
          <w:b w:val="0"/>
        </w:rPr>
        <w:t>1</w:t>
      </w:r>
      <w:r>
        <w:rPr>
          <w:rFonts w:hint="eastAsia"/>
          <w:b w:val="0"/>
        </w:rPr>
        <w:t>-1的规定，供冷年耗冷量不应高于表5.0.</w:t>
      </w:r>
      <w:r>
        <w:rPr>
          <w:b w:val="0"/>
        </w:rPr>
        <w:t>1</w:t>
      </w:r>
      <w:r>
        <w:rPr>
          <w:rFonts w:hint="eastAsia"/>
          <w:b w:val="0"/>
        </w:rPr>
        <w:t>-2的规定。</w:t>
      </w:r>
    </w:p>
    <w:p>
      <w:pPr>
        <w:ind w:firstLine="0" w:firstLineChars="0"/>
        <w:jc w:val="center"/>
      </w:pPr>
      <w:r>
        <w:rPr>
          <w:rFonts w:hint="eastAsia"/>
        </w:rPr>
        <w:t xml:space="preserve">表 </w:t>
      </w:r>
      <w:r>
        <w:t>5.0.1</w:t>
      </w:r>
      <w:r>
        <w:rPr>
          <w:rFonts w:hint="eastAsia"/>
        </w:rPr>
        <w:t>-1 超低能耗居住建筑能耗、碳排放控制指标</w:t>
      </w:r>
    </w:p>
    <w:tbl>
      <w:tblPr>
        <w:tblStyle w:val="45"/>
        <w:tblW w:w="8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6"/>
        <w:gridCol w:w="5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2976" w:type="dxa"/>
            <w:vAlign w:val="center"/>
          </w:tcPr>
          <w:p>
            <w:pPr>
              <w:pStyle w:val="2"/>
              <w:spacing w:line="240" w:lineRule="auto"/>
              <w:ind w:firstLine="0" w:firstLineChars="0"/>
              <w:jc w:val="center"/>
              <w:rPr>
                <w:rFonts w:eastAsia="宋体"/>
                <w:sz w:val="24"/>
              </w:rPr>
            </w:pPr>
            <w:r>
              <w:rPr>
                <w:rFonts w:hint="eastAsia" w:eastAsia="宋体"/>
                <w:sz w:val="24"/>
              </w:rPr>
              <w:t>建筑能耗综合值</w:t>
            </w:r>
          </w:p>
        </w:tc>
        <w:tc>
          <w:tcPr>
            <w:tcW w:w="5110" w:type="dxa"/>
            <w:vAlign w:val="center"/>
          </w:tcPr>
          <w:p>
            <w:pPr>
              <w:pStyle w:val="2"/>
              <w:spacing w:line="240" w:lineRule="auto"/>
              <w:ind w:firstLine="0" w:firstLineChars="0"/>
              <w:jc w:val="center"/>
              <w:rPr>
                <w:rFonts w:eastAsia="宋体"/>
                <w:sz w:val="24"/>
              </w:rPr>
            </w:pPr>
            <w:r>
              <w:rPr>
                <w:rFonts w:hint="eastAsia" w:eastAsia="宋体"/>
                <w:sz w:val="24"/>
              </w:rPr>
              <w:t>≤65（kWh /（m</w:t>
            </w:r>
            <w:r>
              <w:rPr>
                <w:rFonts w:hint="eastAsia" w:eastAsia="宋体"/>
                <w:sz w:val="24"/>
                <w:vertAlign w:val="superscript"/>
              </w:rPr>
              <w:t>2</w:t>
            </w:r>
            <w:r>
              <w:rPr>
                <w:rFonts w:hint="eastAsia" w:eastAsia="宋体"/>
                <w:sz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976" w:type="dxa"/>
            <w:vAlign w:val="center"/>
          </w:tcPr>
          <w:p>
            <w:pPr>
              <w:pStyle w:val="2"/>
              <w:spacing w:line="240" w:lineRule="auto"/>
              <w:ind w:firstLine="0" w:firstLineChars="0"/>
              <w:jc w:val="center"/>
              <w:rPr>
                <w:rFonts w:eastAsia="宋体"/>
                <w:sz w:val="24"/>
              </w:rPr>
            </w:pPr>
            <w:r>
              <w:rPr>
                <w:rFonts w:hint="eastAsia" w:eastAsia="宋体"/>
                <w:sz w:val="24"/>
              </w:rPr>
              <w:t>建筑碳排放强度</w:t>
            </w:r>
          </w:p>
        </w:tc>
        <w:tc>
          <w:tcPr>
            <w:tcW w:w="5110" w:type="dxa"/>
            <w:vAlign w:val="center"/>
          </w:tcPr>
          <w:p>
            <w:pPr>
              <w:pStyle w:val="2"/>
              <w:spacing w:line="240" w:lineRule="auto"/>
              <w:ind w:firstLine="0" w:firstLineChars="0"/>
              <w:jc w:val="center"/>
              <w:rPr>
                <w:rFonts w:eastAsia="宋体"/>
                <w:sz w:val="24"/>
              </w:rPr>
            </w:pPr>
            <w:r>
              <w:rPr>
                <w:rFonts w:hint="eastAsia"/>
              </w:rPr>
              <w:t>≤</w:t>
            </w:r>
            <w:r>
              <w:rPr>
                <w:rFonts w:hint="eastAsia" w:eastAsia="宋体"/>
                <w:sz w:val="24"/>
              </w:rPr>
              <w:t>13</w:t>
            </w:r>
            <w:r>
              <w:t xml:space="preserve"> </w:t>
            </w:r>
            <w:r>
              <w:rPr>
                <w:rFonts w:hint="eastAsia"/>
              </w:rPr>
              <w:t>（</w:t>
            </w:r>
            <w:r>
              <w:t>k</w:t>
            </w:r>
            <w:r>
              <w:rPr>
                <w:rFonts w:hint="eastAsia"/>
              </w:rPr>
              <w:t>g</w:t>
            </w:r>
            <w:r>
              <w:t xml:space="preserve"> CO</w:t>
            </w:r>
            <w:r>
              <w:rPr>
                <w:vertAlign w:val="subscript"/>
              </w:rPr>
              <w:t>2</w:t>
            </w:r>
            <w:r>
              <w:rPr>
                <w:rFonts w:hint="eastAsia"/>
                <w:vertAlign w:val="subscript"/>
              </w:rPr>
              <w:t xml:space="preserve"> </w:t>
            </w:r>
            <w:r>
              <w:t>/</w:t>
            </w:r>
            <w:r>
              <w:rPr>
                <w:rFonts w:hint="eastAsia"/>
              </w:rPr>
              <w:t>（</w:t>
            </w:r>
            <w:r>
              <w:t>m²</w:t>
            </w:r>
            <w:r>
              <w:rPr>
                <w:rFonts w:hint="eastAsia" w:eastAsia="宋体"/>
                <w:sz w:val="24"/>
              </w:rPr>
              <w:t>·</w:t>
            </w:r>
            <w:r>
              <w:t>a</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976" w:type="dxa"/>
            <w:vAlign w:val="center"/>
          </w:tcPr>
          <w:p>
            <w:pPr>
              <w:pStyle w:val="2"/>
              <w:spacing w:line="240" w:lineRule="auto"/>
              <w:ind w:firstLine="0" w:firstLineChars="0"/>
              <w:jc w:val="center"/>
              <w:rPr>
                <w:rFonts w:eastAsia="宋体"/>
                <w:sz w:val="24"/>
              </w:rPr>
            </w:pPr>
            <w:r>
              <w:rPr>
                <w:rFonts w:hint="eastAsia" w:eastAsia="宋体"/>
                <w:sz w:val="24"/>
              </w:rPr>
              <w:t>建筑气密性</w:t>
            </w:r>
          </w:p>
          <w:p>
            <w:pPr>
              <w:pStyle w:val="2"/>
              <w:spacing w:line="240" w:lineRule="auto"/>
              <w:ind w:firstLine="0" w:firstLineChars="0"/>
              <w:jc w:val="center"/>
              <w:rPr>
                <w:rFonts w:eastAsia="宋体"/>
                <w:sz w:val="24"/>
              </w:rPr>
            </w:pPr>
            <w:r>
              <w:rPr>
                <w:rFonts w:hint="eastAsia" w:eastAsia="宋体"/>
                <w:sz w:val="24"/>
              </w:rPr>
              <w:t>（换气次数</w:t>
            </w:r>
            <w:r>
              <w:rPr>
                <w:rFonts w:hint="eastAsia" w:eastAsia="宋体"/>
                <w:i/>
                <w:iCs/>
                <w:sz w:val="24"/>
              </w:rPr>
              <w:t>N</w:t>
            </w:r>
            <w:r>
              <w:rPr>
                <w:rFonts w:hint="eastAsia" w:eastAsia="宋体"/>
                <w:i/>
                <w:iCs/>
                <w:sz w:val="24"/>
                <w:vertAlign w:val="subscript"/>
              </w:rPr>
              <w:t>50</w:t>
            </w:r>
            <w:r>
              <w:rPr>
                <w:rFonts w:hint="eastAsia" w:eastAsia="宋体"/>
                <w:sz w:val="24"/>
              </w:rPr>
              <w:t>）</w:t>
            </w:r>
          </w:p>
        </w:tc>
        <w:tc>
          <w:tcPr>
            <w:tcW w:w="5110" w:type="dxa"/>
            <w:vAlign w:val="center"/>
          </w:tcPr>
          <w:p>
            <w:pPr>
              <w:pStyle w:val="2"/>
              <w:spacing w:line="240" w:lineRule="auto"/>
              <w:ind w:firstLine="0" w:firstLineChars="0"/>
              <w:jc w:val="center"/>
              <w:rPr>
                <w:rFonts w:eastAsia="宋体"/>
                <w:sz w:val="24"/>
              </w:rPr>
            </w:pPr>
            <w:r>
              <w:rPr>
                <w:rFonts w:hint="eastAsia"/>
              </w:rPr>
              <w:t xml:space="preserve">≤ </w:t>
            </w:r>
            <w:r>
              <w:rPr>
                <w:rFonts w:eastAsia="宋体"/>
                <w:sz w:val="24"/>
              </w:rPr>
              <w:t>1.0</w:t>
            </w:r>
          </w:p>
        </w:tc>
      </w:tr>
    </w:tbl>
    <w:p>
      <w:pPr>
        <w:pStyle w:val="2"/>
        <w:ind w:firstLine="400"/>
        <w:rPr>
          <w:rFonts w:eastAsia="宋体" w:cstheme="minorBidi"/>
          <w:color w:val="auto"/>
          <w:sz w:val="20"/>
          <w:szCs w:val="21"/>
        </w:rPr>
      </w:pPr>
      <w:r>
        <w:rPr>
          <w:rFonts w:hint="eastAsia" w:eastAsia="宋体" w:cstheme="minorBidi"/>
          <w:color w:val="auto"/>
          <w:sz w:val="20"/>
          <w:szCs w:val="21"/>
        </w:rPr>
        <w:t>注：1. 换气次数 N50指建筑室内外压差50Pa时的换气次数；</w:t>
      </w:r>
    </w:p>
    <w:p>
      <w:pPr>
        <w:pStyle w:val="2"/>
        <w:ind w:firstLine="400"/>
        <w:rPr>
          <w:rFonts w:eastAsia="宋体" w:cstheme="minorBidi"/>
          <w:color w:val="auto"/>
          <w:sz w:val="20"/>
          <w:szCs w:val="21"/>
        </w:rPr>
      </w:pPr>
      <w:r>
        <w:rPr>
          <w:rFonts w:hint="eastAsia" w:eastAsia="宋体" w:cstheme="minorBidi"/>
          <w:color w:val="auto"/>
          <w:sz w:val="20"/>
          <w:szCs w:val="21"/>
        </w:rPr>
        <w:t>2. 建筑能耗综合值指采用</w:t>
      </w:r>
      <w:r>
        <w:rPr>
          <w:rFonts w:hint="eastAsia" w:eastAsia="宋体" w:cstheme="minorBidi"/>
          <w:color w:val="auto"/>
          <w:sz w:val="20"/>
          <w:szCs w:val="21"/>
          <w:lang w:val="en" w:eastAsia="zh-CN"/>
        </w:rPr>
        <w:t>本标准</w:t>
      </w:r>
      <w:r>
        <w:rPr>
          <w:rFonts w:hint="eastAsia" w:eastAsia="宋体" w:cstheme="minorBidi"/>
          <w:color w:val="auto"/>
          <w:sz w:val="20"/>
          <w:szCs w:val="21"/>
        </w:rPr>
        <w:t>表A.1.11所列能源换算系数计算得出一次能源消耗量。</w:t>
      </w:r>
    </w:p>
    <w:p>
      <w:pPr>
        <w:ind w:firstLine="0" w:firstLineChars="0"/>
        <w:jc w:val="center"/>
      </w:pPr>
      <w:r>
        <w:rPr>
          <w:rFonts w:hint="eastAsia"/>
        </w:rPr>
        <w:t xml:space="preserve">表 </w:t>
      </w:r>
      <w:r>
        <w:t>5.0.1</w:t>
      </w:r>
      <w:r>
        <w:rPr>
          <w:rFonts w:hint="eastAsia"/>
        </w:rPr>
        <w:t>-2 超低能耗居住建筑供冷年耗冷量</w:t>
      </w:r>
    </w:p>
    <w:tbl>
      <w:tblPr>
        <w:tblStyle w:val="45"/>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tcBorders>
              <w:tl2br w:val="single" w:color="auto" w:sz="4" w:space="0"/>
            </w:tcBorders>
            <w:vAlign w:val="center"/>
          </w:tcPr>
          <w:p>
            <w:pPr>
              <w:ind w:firstLine="0" w:firstLineChars="0"/>
              <w:jc w:val="right"/>
            </w:pPr>
            <w:r>
              <w:rPr>
                <w:rFonts w:hint="eastAsia"/>
              </w:rPr>
              <w:t>指标内容</w:t>
            </w:r>
          </w:p>
          <w:p>
            <w:pPr>
              <w:ind w:firstLine="0" w:firstLineChars="0"/>
              <w:jc w:val="left"/>
            </w:pPr>
            <w:r>
              <w:rPr>
                <w:rFonts w:hint="eastAsia"/>
              </w:rPr>
              <w:t>城市</w:t>
            </w:r>
          </w:p>
        </w:tc>
        <w:tc>
          <w:tcPr>
            <w:tcW w:w="4961" w:type="dxa"/>
            <w:vAlign w:val="center"/>
          </w:tcPr>
          <w:p>
            <w:pPr>
              <w:ind w:firstLine="0" w:firstLineChars="0"/>
              <w:jc w:val="center"/>
            </w:pPr>
            <w:r>
              <w:rPr>
                <w:rFonts w:hint="eastAsia"/>
              </w:rPr>
              <w:t xml:space="preserve">供冷年耗冷量指标 </w:t>
            </w:r>
            <w:r>
              <w:t>kWh/(m²•a)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海口市</w:t>
            </w:r>
          </w:p>
        </w:tc>
        <w:tc>
          <w:tcPr>
            <w:tcW w:w="4961" w:type="dxa"/>
            <w:vAlign w:val="center"/>
          </w:tcPr>
          <w:p>
            <w:pPr>
              <w:ind w:firstLine="0" w:firstLineChars="0"/>
              <w:jc w:val="center"/>
            </w:pPr>
            <w:r>
              <w:rPr>
                <w:rFonts w:hint="eastAsia"/>
                <w:color w:val="000000"/>
                <w:sz w:val="22"/>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三亚</w:t>
            </w:r>
          </w:p>
        </w:tc>
        <w:tc>
          <w:tcPr>
            <w:tcW w:w="4961" w:type="dxa"/>
            <w:vAlign w:val="center"/>
          </w:tcPr>
          <w:p>
            <w:pPr>
              <w:ind w:firstLine="0" w:firstLineChars="0"/>
              <w:jc w:val="center"/>
            </w:pPr>
            <w:r>
              <w:rPr>
                <w:rFonts w:hint="eastAsia"/>
                <w:color w:val="000000"/>
                <w:sz w:val="22"/>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儋州市</w:t>
            </w:r>
          </w:p>
        </w:tc>
        <w:tc>
          <w:tcPr>
            <w:tcW w:w="4961" w:type="dxa"/>
            <w:vAlign w:val="center"/>
          </w:tcPr>
          <w:p>
            <w:pPr>
              <w:ind w:firstLine="0" w:firstLineChars="0"/>
              <w:jc w:val="center"/>
            </w:pPr>
            <w:r>
              <w:rPr>
                <w:rFonts w:hint="eastAsia"/>
                <w:color w:val="000000"/>
                <w:sz w:val="22"/>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五指山市</w:t>
            </w:r>
          </w:p>
        </w:tc>
        <w:tc>
          <w:tcPr>
            <w:tcW w:w="4961" w:type="dxa"/>
            <w:vAlign w:val="center"/>
          </w:tcPr>
          <w:p>
            <w:pPr>
              <w:ind w:firstLine="0" w:firstLineChars="0"/>
              <w:jc w:val="center"/>
            </w:pPr>
            <w:r>
              <w:rPr>
                <w:rFonts w:hint="eastAsia"/>
                <w:color w:val="000000"/>
                <w:sz w:val="22"/>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文昌市</w:t>
            </w:r>
          </w:p>
        </w:tc>
        <w:tc>
          <w:tcPr>
            <w:tcW w:w="4961" w:type="dxa"/>
            <w:vAlign w:val="center"/>
          </w:tcPr>
          <w:p>
            <w:pPr>
              <w:ind w:firstLine="0" w:firstLineChars="0"/>
              <w:jc w:val="center"/>
            </w:pPr>
            <w:r>
              <w:rPr>
                <w:rFonts w:hint="eastAsia"/>
                <w:color w:val="000000"/>
                <w:sz w:val="22"/>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琼海市</w:t>
            </w:r>
          </w:p>
        </w:tc>
        <w:tc>
          <w:tcPr>
            <w:tcW w:w="4961" w:type="dxa"/>
            <w:vAlign w:val="center"/>
          </w:tcPr>
          <w:p>
            <w:pPr>
              <w:ind w:firstLine="0" w:firstLineChars="0"/>
              <w:jc w:val="center"/>
            </w:pPr>
            <w:r>
              <w:rPr>
                <w:rFonts w:hint="eastAsia"/>
                <w:color w:val="000000"/>
                <w:sz w:val="22"/>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万宁市</w:t>
            </w:r>
          </w:p>
        </w:tc>
        <w:tc>
          <w:tcPr>
            <w:tcW w:w="4961" w:type="dxa"/>
            <w:vAlign w:val="center"/>
          </w:tcPr>
          <w:p>
            <w:pPr>
              <w:ind w:firstLine="0" w:firstLineChars="0"/>
              <w:jc w:val="center"/>
            </w:pPr>
            <w:r>
              <w:rPr>
                <w:rFonts w:hint="eastAsia"/>
                <w:color w:val="000000"/>
                <w:sz w:val="2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定安县</w:t>
            </w:r>
          </w:p>
        </w:tc>
        <w:tc>
          <w:tcPr>
            <w:tcW w:w="4961" w:type="dxa"/>
            <w:vAlign w:val="center"/>
          </w:tcPr>
          <w:p>
            <w:pPr>
              <w:ind w:firstLine="0" w:firstLineChars="0"/>
              <w:jc w:val="center"/>
            </w:pPr>
            <w:r>
              <w:rPr>
                <w:rFonts w:hint="eastAsia"/>
                <w:color w:val="000000"/>
                <w:sz w:val="22"/>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屯昌县</w:t>
            </w:r>
          </w:p>
        </w:tc>
        <w:tc>
          <w:tcPr>
            <w:tcW w:w="4961" w:type="dxa"/>
            <w:vAlign w:val="center"/>
          </w:tcPr>
          <w:p>
            <w:pPr>
              <w:ind w:firstLine="0" w:firstLineChars="0"/>
              <w:jc w:val="center"/>
            </w:pPr>
            <w:r>
              <w:rPr>
                <w:rFonts w:hint="eastAsia"/>
                <w:color w:val="000000"/>
                <w:sz w:val="22"/>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澄迈县</w:t>
            </w:r>
          </w:p>
        </w:tc>
        <w:tc>
          <w:tcPr>
            <w:tcW w:w="4961" w:type="dxa"/>
            <w:vAlign w:val="center"/>
          </w:tcPr>
          <w:p>
            <w:pPr>
              <w:ind w:firstLine="0" w:firstLineChars="0"/>
              <w:jc w:val="center"/>
            </w:pPr>
            <w:r>
              <w:rPr>
                <w:rFonts w:hint="eastAsia"/>
                <w:color w:val="000000"/>
                <w:sz w:val="22"/>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临高县</w:t>
            </w:r>
          </w:p>
        </w:tc>
        <w:tc>
          <w:tcPr>
            <w:tcW w:w="4961" w:type="dxa"/>
            <w:vAlign w:val="center"/>
          </w:tcPr>
          <w:p>
            <w:pPr>
              <w:ind w:firstLine="0" w:firstLineChars="0"/>
              <w:jc w:val="center"/>
            </w:pPr>
            <w:r>
              <w:rPr>
                <w:rFonts w:hint="eastAsia"/>
                <w:color w:val="000000"/>
                <w:sz w:val="22"/>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东方市</w:t>
            </w:r>
          </w:p>
        </w:tc>
        <w:tc>
          <w:tcPr>
            <w:tcW w:w="4961" w:type="dxa"/>
            <w:vAlign w:val="center"/>
          </w:tcPr>
          <w:p>
            <w:pPr>
              <w:ind w:firstLine="0" w:firstLineChars="0"/>
              <w:jc w:val="center"/>
            </w:pPr>
            <w:r>
              <w:rPr>
                <w:rFonts w:hint="eastAsia"/>
                <w:color w:val="000000"/>
                <w:sz w:val="22"/>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pPr>
            <w:r>
              <w:rPr>
                <w:rFonts w:hint="eastAsia"/>
                <w:color w:val="000000"/>
                <w:sz w:val="22"/>
              </w:rPr>
              <w:t>乐东县</w:t>
            </w:r>
          </w:p>
        </w:tc>
        <w:tc>
          <w:tcPr>
            <w:tcW w:w="4961" w:type="dxa"/>
            <w:vAlign w:val="center"/>
          </w:tcPr>
          <w:p>
            <w:pPr>
              <w:ind w:firstLine="0" w:firstLineChars="0"/>
              <w:jc w:val="center"/>
            </w:pPr>
            <w:r>
              <w:rPr>
                <w:rFonts w:hint="eastAsia"/>
                <w:color w:val="000000"/>
                <w:sz w:val="22"/>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琼中县</w:t>
            </w:r>
          </w:p>
        </w:tc>
        <w:tc>
          <w:tcPr>
            <w:tcW w:w="4961" w:type="dxa"/>
            <w:vAlign w:val="center"/>
          </w:tcPr>
          <w:p>
            <w:pPr>
              <w:ind w:firstLine="0" w:firstLineChars="0"/>
              <w:jc w:val="center"/>
            </w:pPr>
            <w:r>
              <w:rPr>
                <w:rFonts w:hint="eastAsia"/>
                <w:color w:val="000000"/>
                <w:sz w:val="22"/>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保亭县</w:t>
            </w:r>
          </w:p>
        </w:tc>
        <w:tc>
          <w:tcPr>
            <w:tcW w:w="4961" w:type="dxa"/>
            <w:vAlign w:val="center"/>
          </w:tcPr>
          <w:p>
            <w:pPr>
              <w:ind w:firstLine="0" w:firstLineChars="0"/>
              <w:jc w:val="center"/>
            </w:pPr>
            <w:r>
              <w:rPr>
                <w:rFonts w:hint="eastAsia"/>
                <w:color w:val="000000"/>
                <w:sz w:val="22"/>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陵水县</w:t>
            </w:r>
          </w:p>
        </w:tc>
        <w:tc>
          <w:tcPr>
            <w:tcW w:w="4961" w:type="dxa"/>
            <w:vAlign w:val="center"/>
          </w:tcPr>
          <w:p>
            <w:pPr>
              <w:ind w:firstLine="0" w:firstLineChars="0"/>
              <w:jc w:val="center"/>
            </w:pPr>
            <w:r>
              <w:rPr>
                <w:rFonts w:hint="eastAsia"/>
                <w:color w:val="000000"/>
                <w:sz w:val="22"/>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白沙县</w:t>
            </w:r>
          </w:p>
        </w:tc>
        <w:tc>
          <w:tcPr>
            <w:tcW w:w="4961" w:type="dxa"/>
            <w:vAlign w:val="center"/>
          </w:tcPr>
          <w:p>
            <w:pPr>
              <w:ind w:firstLine="0" w:firstLineChars="0"/>
              <w:jc w:val="center"/>
            </w:pPr>
            <w:r>
              <w:rPr>
                <w:rFonts w:hint="eastAsia"/>
                <w:color w:val="000000"/>
                <w:sz w:val="22"/>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昌江县</w:t>
            </w:r>
          </w:p>
        </w:tc>
        <w:tc>
          <w:tcPr>
            <w:tcW w:w="4961" w:type="dxa"/>
            <w:vAlign w:val="center"/>
          </w:tcPr>
          <w:p>
            <w:pPr>
              <w:ind w:firstLine="0" w:firstLineChars="0"/>
              <w:jc w:val="center"/>
            </w:pPr>
            <w:r>
              <w:rPr>
                <w:rFonts w:hint="eastAsia"/>
                <w:color w:val="000000"/>
                <w:sz w:val="22"/>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西沙</w:t>
            </w:r>
          </w:p>
        </w:tc>
        <w:tc>
          <w:tcPr>
            <w:tcW w:w="4961" w:type="dxa"/>
            <w:vAlign w:val="center"/>
          </w:tcPr>
          <w:p>
            <w:pPr>
              <w:ind w:firstLine="0" w:firstLineChars="0"/>
              <w:jc w:val="center"/>
            </w:pPr>
            <w:r>
              <w:rPr>
                <w:rFonts w:hint="eastAsia"/>
                <w:color w:val="000000"/>
                <w:sz w:val="22"/>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南沙</w:t>
            </w:r>
          </w:p>
        </w:tc>
        <w:tc>
          <w:tcPr>
            <w:tcW w:w="4961" w:type="dxa"/>
            <w:vAlign w:val="center"/>
          </w:tcPr>
          <w:p>
            <w:pPr>
              <w:ind w:firstLine="0" w:firstLineChars="0"/>
              <w:jc w:val="center"/>
            </w:pPr>
            <w:r>
              <w:rPr>
                <w:rFonts w:hint="eastAsia"/>
                <w:color w:val="000000"/>
                <w:sz w:val="22"/>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东沙</w:t>
            </w:r>
          </w:p>
        </w:tc>
        <w:tc>
          <w:tcPr>
            <w:tcW w:w="4961" w:type="dxa"/>
            <w:vAlign w:val="center"/>
          </w:tcPr>
          <w:p>
            <w:pPr>
              <w:ind w:firstLine="0" w:firstLineChars="0"/>
              <w:jc w:val="center"/>
            </w:pPr>
            <w:r>
              <w:rPr>
                <w:rFonts w:hint="eastAsia"/>
                <w:color w:val="000000"/>
                <w:sz w:val="22"/>
              </w:rPr>
              <w:t>78</w:t>
            </w:r>
          </w:p>
        </w:tc>
      </w:tr>
    </w:tbl>
    <w:p>
      <w:pPr>
        <w:pStyle w:val="2"/>
        <w:ind w:firstLine="400"/>
        <w:rPr>
          <w:rFonts w:eastAsia="宋体" w:cstheme="minorBidi"/>
          <w:color w:val="auto"/>
          <w:sz w:val="20"/>
          <w:szCs w:val="21"/>
        </w:rPr>
      </w:pPr>
      <w:r>
        <w:rPr>
          <w:rFonts w:hint="eastAsia" w:eastAsia="宋体" w:cstheme="minorBidi"/>
          <w:color w:val="auto"/>
          <w:sz w:val="20"/>
          <w:szCs w:val="21"/>
        </w:rPr>
        <w:t>注：1. 供冷年耗冷量指建筑全年累计冷负荷。</w:t>
      </w:r>
    </w:p>
    <w:p>
      <w:pPr>
        <w:pStyle w:val="41"/>
        <w:jc w:val="both"/>
        <w:rPr>
          <w:b w:val="0"/>
        </w:rPr>
      </w:pPr>
      <w:bookmarkStart w:id="37" w:name="_Toc16433"/>
      <w:bookmarkStart w:id="38" w:name="_Toc193023020"/>
      <w:bookmarkStart w:id="39" w:name="_Toc198125354"/>
      <w:r>
        <w:rPr>
          <w:b w:val="0"/>
        </w:rPr>
        <w:t>5.0.2</w:t>
      </w:r>
      <w:r>
        <w:rPr>
          <w:rFonts w:hint="eastAsia"/>
          <w:b w:val="0"/>
        </w:rPr>
        <w:t>近零能耗居住建筑的能效指标应采用绝对值指标控制，设计建筑能耗综合值、建筑碳排放强、建筑气密性指标不应高于表5.0.2-1的规定，供冷年耗冷量不应高于表5.0.2-2的规定。</w:t>
      </w:r>
      <w:bookmarkEnd w:id="37"/>
      <w:bookmarkEnd w:id="38"/>
      <w:bookmarkEnd w:id="39"/>
    </w:p>
    <w:p>
      <w:pPr>
        <w:ind w:firstLine="0" w:firstLineChars="0"/>
        <w:jc w:val="center"/>
      </w:pPr>
      <w:r>
        <w:rPr>
          <w:rFonts w:hint="eastAsia"/>
        </w:rPr>
        <w:t xml:space="preserve">表 </w:t>
      </w:r>
      <w:r>
        <w:t>5.0.2</w:t>
      </w:r>
      <w:r>
        <w:rPr>
          <w:rFonts w:hint="eastAsia"/>
        </w:rPr>
        <w:t>-1 近零能耗居住建筑能耗、碳排放控制指标</w:t>
      </w:r>
    </w:p>
    <w:tbl>
      <w:tblPr>
        <w:tblStyle w:val="45"/>
        <w:tblW w:w="8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6"/>
        <w:gridCol w:w="5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976" w:type="dxa"/>
            <w:vAlign w:val="center"/>
          </w:tcPr>
          <w:p>
            <w:pPr>
              <w:pStyle w:val="2"/>
              <w:spacing w:line="240" w:lineRule="auto"/>
              <w:ind w:firstLine="0" w:firstLineChars="0"/>
              <w:jc w:val="center"/>
              <w:rPr>
                <w:rFonts w:eastAsia="宋体"/>
                <w:sz w:val="24"/>
              </w:rPr>
            </w:pPr>
            <w:r>
              <w:rPr>
                <w:rFonts w:hint="eastAsia" w:eastAsia="宋体"/>
                <w:sz w:val="24"/>
              </w:rPr>
              <w:t>建筑能耗综合值</w:t>
            </w:r>
          </w:p>
        </w:tc>
        <w:tc>
          <w:tcPr>
            <w:tcW w:w="5110" w:type="dxa"/>
            <w:vAlign w:val="center"/>
          </w:tcPr>
          <w:p>
            <w:pPr>
              <w:pStyle w:val="2"/>
              <w:spacing w:line="240" w:lineRule="auto"/>
              <w:ind w:firstLine="0" w:firstLineChars="0"/>
              <w:jc w:val="center"/>
              <w:rPr>
                <w:rFonts w:eastAsia="宋体"/>
                <w:sz w:val="24"/>
              </w:rPr>
            </w:pPr>
            <w:r>
              <w:rPr>
                <w:rFonts w:hint="eastAsia" w:eastAsia="宋体"/>
                <w:sz w:val="24"/>
              </w:rPr>
              <w:t>≤55（kWh /（m</w:t>
            </w:r>
            <w:r>
              <w:rPr>
                <w:rFonts w:hint="eastAsia" w:eastAsia="宋体"/>
                <w:sz w:val="24"/>
                <w:vertAlign w:val="superscript"/>
              </w:rPr>
              <w:t>2</w:t>
            </w:r>
            <w:r>
              <w:rPr>
                <w:rFonts w:hint="eastAsia" w:eastAsia="宋体"/>
                <w:sz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976" w:type="dxa"/>
            <w:vAlign w:val="center"/>
          </w:tcPr>
          <w:p>
            <w:pPr>
              <w:pStyle w:val="2"/>
              <w:spacing w:line="240" w:lineRule="auto"/>
              <w:ind w:firstLine="0" w:firstLineChars="0"/>
              <w:jc w:val="center"/>
              <w:rPr>
                <w:rFonts w:eastAsia="宋体"/>
                <w:sz w:val="24"/>
              </w:rPr>
            </w:pPr>
            <w:r>
              <w:rPr>
                <w:rFonts w:hint="eastAsia" w:eastAsia="宋体"/>
                <w:sz w:val="24"/>
              </w:rPr>
              <w:t>建筑碳排放强度</w:t>
            </w:r>
          </w:p>
        </w:tc>
        <w:tc>
          <w:tcPr>
            <w:tcW w:w="5110" w:type="dxa"/>
            <w:vAlign w:val="center"/>
          </w:tcPr>
          <w:p>
            <w:pPr>
              <w:pStyle w:val="2"/>
              <w:spacing w:line="240" w:lineRule="auto"/>
              <w:ind w:firstLine="0" w:firstLineChars="0"/>
              <w:jc w:val="center"/>
              <w:rPr>
                <w:rFonts w:eastAsia="宋体"/>
                <w:sz w:val="24"/>
              </w:rPr>
            </w:pPr>
            <w:r>
              <w:rPr>
                <w:rFonts w:hint="eastAsia"/>
              </w:rPr>
              <w:t>≤</w:t>
            </w:r>
            <w:r>
              <w:rPr>
                <w:rFonts w:hint="eastAsia" w:eastAsia="宋体"/>
                <w:sz w:val="24"/>
              </w:rPr>
              <w:t>10</w:t>
            </w:r>
            <w:r>
              <w:t xml:space="preserve"> </w:t>
            </w:r>
            <w:r>
              <w:rPr>
                <w:rFonts w:hint="eastAsia"/>
              </w:rPr>
              <w:t>（</w:t>
            </w:r>
            <w:r>
              <w:t>k</w:t>
            </w:r>
            <w:r>
              <w:rPr>
                <w:rFonts w:hint="eastAsia"/>
              </w:rPr>
              <w:t>g</w:t>
            </w:r>
            <w:r>
              <w:t xml:space="preserve"> CO</w:t>
            </w:r>
            <w:r>
              <w:rPr>
                <w:vertAlign w:val="subscript"/>
              </w:rPr>
              <w:t>2</w:t>
            </w:r>
            <w:r>
              <w:rPr>
                <w:rFonts w:hint="eastAsia"/>
                <w:vertAlign w:val="subscript"/>
              </w:rPr>
              <w:t xml:space="preserve"> </w:t>
            </w:r>
            <w:r>
              <w:t>/</w:t>
            </w:r>
            <w:r>
              <w:rPr>
                <w:rFonts w:hint="eastAsia"/>
              </w:rPr>
              <w:t>（</w:t>
            </w:r>
            <w:r>
              <w:t>m²</w:t>
            </w:r>
            <w:r>
              <w:rPr>
                <w:rFonts w:hint="eastAsia" w:eastAsia="宋体"/>
                <w:sz w:val="24"/>
              </w:rPr>
              <w:t>·</w:t>
            </w:r>
            <w:r>
              <w:t>a</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976" w:type="dxa"/>
            <w:vAlign w:val="center"/>
          </w:tcPr>
          <w:p>
            <w:pPr>
              <w:pStyle w:val="2"/>
              <w:spacing w:line="240" w:lineRule="auto"/>
              <w:ind w:firstLine="0" w:firstLineChars="0"/>
              <w:jc w:val="center"/>
              <w:rPr>
                <w:rFonts w:eastAsia="宋体"/>
                <w:sz w:val="24"/>
              </w:rPr>
            </w:pPr>
            <w:r>
              <w:rPr>
                <w:rFonts w:hint="eastAsia" w:eastAsia="宋体"/>
                <w:sz w:val="24"/>
              </w:rPr>
              <w:t>建筑气密性</w:t>
            </w:r>
          </w:p>
          <w:p>
            <w:pPr>
              <w:pStyle w:val="2"/>
              <w:spacing w:line="240" w:lineRule="auto"/>
              <w:ind w:firstLine="0" w:firstLineChars="0"/>
              <w:jc w:val="center"/>
              <w:rPr>
                <w:rFonts w:eastAsia="宋体"/>
                <w:sz w:val="24"/>
              </w:rPr>
            </w:pPr>
            <w:r>
              <w:rPr>
                <w:rFonts w:hint="eastAsia" w:eastAsia="宋体"/>
                <w:sz w:val="24"/>
              </w:rPr>
              <w:t>（换气次数</w:t>
            </w:r>
            <w:r>
              <w:rPr>
                <w:rFonts w:hint="eastAsia" w:eastAsia="宋体"/>
                <w:i/>
                <w:iCs/>
                <w:sz w:val="24"/>
              </w:rPr>
              <w:t>N</w:t>
            </w:r>
            <w:r>
              <w:rPr>
                <w:rFonts w:hint="eastAsia" w:eastAsia="宋体"/>
                <w:i/>
                <w:iCs/>
                <w:sz w:val="24"/>
                <w:vertAlign w:val="subscript"/>
              </w:rPr>
              <w:t>50</w:t>
            </w:r>
            <w:r>
              <w:rPr>
                <w:rFonts w:hint="eastAsia" w:eastAsia="宋体"/>
                <w:sz w:val="24"/>
              </w:rPr>
              <w:t>）</w:t>
            </w:r>
          </w:p>
        </w:tc>
        <w:tc>
          <w:tcPr>
            <w:tcW w:w="5110" w:type="dxa"/>
            <w:vAlign w:val="center"/>
          </w:tcPr>
          <w:p>
            <w:pPr>
              <w:pStyle w:val="2"/>
              <w:spacing w:line="240" w:lineRule="auto"/>
              <w:ind w:firstLine="0" w:firstLineChars="0"/>
              <w:jc w:val="center"/>
              <w:rPr>
                <w:rFonts w:eastAsia="宋体"/>
                <w:sz w:val="24"/>
              </w:rPr>
            </w:pPr>
            <w:r>
              <w:rPr>
                <w:rFonts w:hint="eastAsia"/>
              </w:rPr>
              <w:t xml:space="preserve">≤ </w:t>
            </w:r>
            <w:r>
              <w:t>1.0</w:t>
            </w:r>
          </w:p>
        </w:tc>
      </w:tr>
    </w:tbl>
    <w:p>
      <w:pPr>
        <w:pStyle w:val="2"/>
        <w:ind w:firstLine="400"/>
        <w:rPr>
          <w:rFonts w:eastAsia="宋体" w:cstheme="minorBidi"/>
          <w:color w:val="auto"/>
          <w:sz w:val="20"/>
          <w:szCs w:val="21"/>
        </w:rPr>
      </w:pPr>
      <w:r>
        <w:rPr>
          <w:rFonts w:hint="eastAsia" w:eastAsia="宋体" w:cstheme="minorBidi"/>
          <w:color w:val="auto"/>
          <w:sz w:val="20"/>
          <w:szCs w:val="21"/>
        </w:rPr>
        <w:t>注：1. 换气次数 N50指建筑室内外压差50Pa时的换气次数；</w:t>
      </w:r>
    </w:p>
    <w:p>
      <w:pPr>
        <w:pStyle w:val="2"/>
        <w:ind w:firstLine="400"/>
        <w:rPr>
          <w:rFonts w:eastAsia="宋体" w:cstheme="minorBidi"/>
          <w:color w:val="auto"/>
          <w:sz w:val="20"/>
          <w:szCs w:val="21"/>
        </w:rPr>
      </w:pPr>
      <w:r>
        <w:rPr>
          <w:rFonts w:hint="eastAsia" w:eastAsia="宋体" w:cstheme="minorBidi"/>
          <w:color w:val="auto"/>
          <w:sz w:val="20"/>
          <w:szCs w:val="21"/>
        </w:rPr>
        <w:t>2. 建筑能耗综合值指采用</w:t>
      </w:r>
      <w:r>
        <w:rPr>
          <w:rFonts w:hint="eastAsia" w:eastAsia="宋体" w:cstheme="minorBidi"/>
          <w:color w:val="auto"/>
          <w:sz w:val="20"/>
          <w:szCs w:val="21"/>
          <w:lang w:val="en" w:eastAsia="zh-CN"/>
        </w:rPr>
        <w:t>本标准</w:t>
      </w:r>
      <w:r>
        <w:rPr>
          <w:rFonts w:hint="eastAsia" w:eastAsia="宋体" w:cstheme="minorBidi"/>
          <w:color w:val="auto"/>
          <w:sz w:val="20"/>
          <w:szCs w:val="21"/>
        </w:rPr>
        <w:t>表A.1.11所列能源换算系数计算得出一次能源消耗量。</w:t>
      </w:r>
    </w:p>
    <w:p>
      <w:pPr>
        <w:ind w:firstLine="0" w:firstLineChars="0"/>
        <w:jc w:val="center"/>
      </w:pPr>
      <w:r>
        <w:rPr>
          <w:rFonts w:hint="eastAsia"/>
        </w:rPr>
        <w:t xml:space="preserve">表 </w:t>
      </w:r>
      <w:r>
        <w:t>5.0.</w:t>
      </w:r>
      <w:r>
        <w:rPr>
          <w:rFonts w:hint="eastAsia"/>
        </w:rPr>
        <w:t>2-2 近零能耗居住建筑供冷年耗冷量</w:t>
      </w:r>
    </w:p>
    <w:tbl>
      <w:tblPr>
        <w:tblStyle w:val="45"/>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tcBorders>
              <w:tl2br w:val="single" w:color="auto" w:sz="4" w:space="0"/>
            </w:tcBorders>
            <w:vAlign w:val="center"/>
          </w:tcPr>
          <w:p>
            <w:pPr>
              <w:ind w:firstLine="0" w:firstLineChars="0"/>
              <w:jc w:val="right"/>
            </w:pPr>
            <w:r>
              <w:rPr>
                <w:rFonts w:hint="eastAsia"/>
              </w:rPr>
              <w:t>指标内容</w:t>
            </w:r>
          </w:p>
          <w:p>
            <w:pPr>
              <w:ind w:firstLine="0" w:firstLineChars="0"/>
              <w:jc w:val="left"/>
            </w:pPr>
            <w:r>
              <w:rPr>
                <w:rFonts w:hint="eastAsia"/>
              </w:rPr>
              <w:t>城市</w:t>
            </w:r>
          </w:p>
        </w:tc>
        <w:tc>
          <w:tcPr>
            <w:tcW w:w="4961" w:type="dxa"/>
            <w:vAlign w:val="center"/>
          </w:tcPr>
          <w:p>
            <w:pPr>
              <w:ind w:firstLine="0" w:firstLineChars="0"/>
              <w:jc w:val="center"/>
            </w:pPr>
            <w:r>
              <w:rPr>
                <w:rFonts w:hint="eastAsia"/>
              </w:rPr>
              <w:t xml:space="preserve">供冷年耗冷量指标 </w:t>
            </w:r>
            <w:r>
              <w:t>kWh/(m²•a)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海口市</w:t>
            </w:r>
          </w:p>
        </w:tc>
        <w:tc>
          <w:tcPr>
            <w:tcW w:w="4961" w:type="dxa"/>
            <w:vAlign w:val="center"/>
          </w:tcPr>
          <w:p>
            <w:pPr>
              <w:ind w:firstLine="0" w:firstLineChars="0"/>
              <w:jc w:val="center"/>
            </w:pPr>
            <w:r>
              <w:rPr>
                <w:rFonts w:hint="eastAsia"/>
                <w:color w:val="000000"/>
                <w:sz w:val="22"/>
              </w:rPr>
              <w:t xml:space="preserve">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三亚</w:t>
            </w:r>
          </w:p>
        </w:tc>
        <w:tc>
          <w:tcPr>
            <w:tcW w:w="4961" w:type="dxa"/>
            <w:vAlign w:val="center"/>
          </w:tcPr>
          <w:p>
            <w:pPr>
              <w:ind w:firstLine="0" w:firstLineChars="0"/>
              <w:jc w:val="center"/>
            </w:pPr>
            <w:r>
              <w:rPr>
                <w:rFonts w:hint="eastAsia"/>
                <w:color w:val="000000"/>
                <w:sz w:val="22"/>
              </w:rPr>
              <w:t xml:space="preserve">64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儋州市</w:t>
            </w:r>
          </w:p>
        </w:tc>
        <w:tc>
          <w:tcPr>
            <w:tcW w:w="4961" w:type="dxa"/>
            <w:vAlign w:val="center"/>
          </w:tcPr>
          <w:p>
            <w:pPr>
              <w:ind w:firstLine="0" w:firstLineChars="0"/>
              <w:jc w:val="center"/>
            </w:pPr>
            <w:r>
              <w:rPr>
                <w:rFonts w:hint="eastAsia"/>
                <w:color w:val="000000"/>
                <w:sz w:val="22"/>
              </w:rPr>
              <w:t xml:space="preserve">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五指山市</w:t>
            </w:r>
          </w:p>
        </w:tc>
        <w:tc>
          <w:tcPr>
            <w:tcW w:w="4961" w:type="dxa"/>
            <w:vAlign w:val="center"/>
          </w:tcPr>
          <w:p>
            <w:pPr>
              <w:ind w:firstLine="0" w:firstLineChars="0"/>
              <w:jc w:val="center"/>
            </w:pPr>
            <w:r>
              <w:rPr>
                <w:rFonts w:hint="eastAsia"/>
                <w:color w:val="000000"/>
                <w:sz w:val="22"/>
              </w:rPr>
              <w:t xml:space="preserve">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文昌市</w:t>
            </w:r>
          </w:p>
        </w:tc>
        <w:tc>
          <w:tcPr>
            <w:tcW w:w="4961" w:type="dxa"/>
            <w:vAlign w:val="center"/>
          </w:tcPr>
          <w:p>
            <w:pPr>
              <w:ind w:firstLine="0" w:firstLineChars="0"/>
              <w:jc w:val="center"/>
            </w:pPr>
            <w:r>
              <w:rPr>
                <w:rFonts w:hint="eastAsia"/>
                <w:color w:val="000000"/>
                <w:sz w:val="22"/>
              </w:rPr>
              <w:t xml:space="preserve">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琼海市</w:t>
            </w:r>
          </w:p>
        </w:tc>
        <w:tc>
          <w:tcPr>
            <w:tcW w:w="4961" w:type="dxa"/>
            <w:vAlign w:val="center"/>
          </w:tcPr>
          <w:p>
            <w:pPr>
              <w:ind w:firstLine="0" w:firstLineChars="0"/>
              <w:jc w:val="center"/>
            </w:pPr>
            <w:r>
              <w:rPr>
                <w:rFonts w:hint="eastAsia"/>
                <w:color w:val="000000"/>
                <w:sz w:val="22"/>
              </w:rPr>
              <w:t xml:space="preserve">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万宁市</w:t>
            </w:r>
          </w:p>
        </w:tc>
        <w:tc>
          <w:tcPr>
            <w:tcW w:w="4961" w:type="dxa"/>
            <w:vAlign w:val="center"/>
          </w:tcPr>
          <w:p>
            <w:pPr>
              <w:ind w:firstLine="0" w:firstLineChars="0"/>
              <w:jc w:val="center"/>
            </w:pPr>
            <w:r>
              <w:rPr>
                <w:rFonts w:hint="eastAsia"/>
                <w:color w:val="000000"/>
                <w:sz w:val="22"/>
              </w:rPr>
              <w:t xml:space="preserve">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定安县</w:t>
            </w:r>
          </w:p>
        </w:tc>
        <w:tc>
          <w:tcPr>
            <w:tcW w:w="4961" w:type="dxa"/>
            <w:vAlign w:val="center"/>
          </w:tcPr>
          <w:p>
            <w:pPr>
              <w:ind w:firstLine="0" w:firstLineChars="0"/>
              <w:jc w:val="center"/>
            </w:pPr>
            <w:r>
              <w:rPr>
                <w:rFonts w:hint="eastAsia"/>
                <w:color w:val="000000"/>
                <w:sz w:val="22"/>
              </w:rPr>
              <w:t xml:space="preserve">57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屯昌县</w:t>
            </w:r>
          </w:p>
        </w:tc>
        <w:tc>
          <w:tcPr>
            <w:tcW w:w="4961" w:type="dxa"/>
            <w:vAlign w:val="center"/>
          </w:tcPr>
          <w:p>
            <w:pPr>
              <w:ind w:firstLine="0" w:firstLineChars="0"/>
              <w:jc w:val="center"/>
            </w:pPr>
            <w:r>
              <w:rPr>
                <w:rFonts w:hint="eastAsia"/>
                <w:color w:val="000000"/>
                <w:sz w:val="22"/>
              </w:rPr>
              <w:t xml:space="preserve">51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澄迈县</w:t>
            </w:r>
          </w:p>
        </w:tc>
        <w:tc>
          <w:tcPr>
            <w:tcW w:w="4961" w:type="dxa"/>
            <w:vAlign w:val="center"/>
          </w:tcPr>
          <w:p>
            <w:pPr>
              <w:ind w:firstLine="0" w:firstLineChars="0"/>
              <w:jc w:val="center"/>
            </w:pPr>
            <w:r>
              <w:rPr>
                <w:rFonts w:hint="eastAsia"/>
                <w:color w:val="000000"/>
                <w:sz w:val="22"/>
              </w:rPr>
              <w:t xml:space="preserve">62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临高县</w:t>
            </w:r>
          </w:p>
        </w:tc>
        <w:tc>
          <w:tcPr>
            <w:tcW w:w="4961" w:type="dxa"/>
            <w:vAlign w:val="center"/>
          </w:tcPr>
          <w:p>
            <w:pPr>
              <w:ind w:firstLine="0" w:firstLineChars="0"/>
              <w:jc w:val="center"/>
            </w:pPr>
            <w:r>
              <w:rPr>
                <w:rFonts w:hint="eastAsia"/>
                <w:color w:val="000000"/>
                <w:sz w:val="22"/>
              </w:rPr>
              <w:t xml:space="preserve">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东方市</w:t>
            </w:r>
          </w:p>
        </w:tc>
        <w:tc>
          <w:tcPr>
            <w:tcW w:w="4961" w:type="dxa"/>
            <w:vAlign w:val="center"/>
          </w:tcPr>
          <w:p>
            <w:pPr>
              <w:ind w:firstLine="0" w:firstLineChars="0"/>
              <w:jc w:val="center"/>
            </w:pPr>
            <w:r>
              <w:rPr>
                <w:rFonts w:hint="eastAsia"/>
                <w:color w:val="000000"/>
                <w:sz w:val="22"/>
              </w:rPr>
              <w:t xml:space="preserve">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pPr>
            <w:r>
              <w:rPr>
                <w:rFonts w:hint="eastAsia"/>
                <w:color w:val="000000"/>
                <w:sz w:val="22"/>
              </w:rPr>
              <w:t>乐东县</w:t>
            </w:r>
          </w:p>
        </w:tc>
        <w:tc>
          <w:tcPr>
            <w:tcW w:w="4961" w:type="dxa"/>
            <w:vAlign w:val="center"/>
          </w:tcPr>
          <w:p>
            <w:pPr>
              <w:ind w:firstLine="0" w:firstLineChars="0"/>
              <w:jc w:val="center"/>
            </w:pPr>
            <w:r>
              <w:rPr>
                <w:rFonts w:hint="eastAsia"/>
                <w:color w:val="000000"/>
                <w:sz w:val="22"/>
              </w:rPr>
              <w:t xml:space="preserve">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琼中县</w:t>
            </w:r>
          </w:p>
        </w:tc>
        <w:tc>
          <w:tcPr>
            <w:tcW w:w="4961" w:type="dxa"/>
            <w:vAlign w:val="center"/>
          </w:tcPr>
          <w:p>
            <w:pPr>
              <w:ind w:firstLine="0" w:firstLineChars="0"/>
              <w:jc w:val="center"/>
            </w:pPr>
            <w:r>
              <w:rPr>
                <w:rFonts w:hint="eastAsia"/>
                <w:color w:val="000000"/>
                <w:sz w:val="22"/>
              </w:rPr>
              <w:t xml:space="preserve">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保亭县</w:t>
            </w:r>
          </w:p>
        </w:tc>
        <w:tc>
          <w:tcPr>
            <w:tcW w:w="4961" w:type="dxa"/>
            <w:vAlign w:val="center"/>
          </w:tcPr>
          <w:p>
            <w:pPr>
              <w:ind w:firstLine="0" w:firstLineChars="0"/>
              <w:jc w:val="center"/>
            </w:pPr>
            <w:r>
              <w:rPr>
                <w:rFonts w:hint="eastAsia"/>
                <w:color w:val="000000"/>
                <w:sz w:val="22"/>
              </w:rPr>
              <w:t xml:space="preserve">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陵水县</w:t>
            </w:r>
          </w:p>
        </w:tc>
        <w:tc>
          <w:tcPr>
            <w:tcW w:w="4961" w:type="dxa"/>
            <w:vAlign w:val="center"/>
          </w:tcPr>
          <w:p>
            <w:pPr>
              <w:ind w:firstLine="0" w:firstLineChars="0"/>
              <w:jc w:val="center"/>
            </w:pPr>
            <w:r>
              <w:rPr>
                <w:rFonts w:hint="eastAsia"/>
                <w:color w:val="000000"/>
                <w:sz w:val="22"/>
              </w:rPr>
              <w:t xml:space="preserve">64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白沙县</w:t>
            </w:r>
          </w:p>
        </w:tc>
        <w:tc>
          <w:tcPr>
            <w:tcW w:w="4961" w:type="dxa"/>
            <w:vAlign w:val="center"/>
          </w:tcPr>
          <w:p>
            <w:pPr>
              <w:ind w:firstLine="0" w:firstLineChars="0"/>
              <w:jc w:val="center"/>
            </w:pPr>
            <w:r>
              <w:rPr>
                <w:rFonts w:hint="eastAsia"/>
                <w:color w:val="000000"/>
                <w:sz w:val="22"/>
              </w:rPr>
              <w:t xml:space="preserve">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昌江县</w:t>
            </w:r>
          </w:p>
        </w:tc>
        <w:tc>
          <w:tcPr>
            <w:tcW w:w="4961" w:type="dxa"/>
            <w:vAlign w:val="center"/>
          </w:tcPr>
          <w:p>
            <w:pPr>
              <w:ind w:firstLine="0" w:firstLineChars="0"/>
              <w:jc w:val="center"/>
            </w:pPr>
            <w:r>
              <w:rPr>
                <w:rFonts w:hint="eastAsia"/>
                <w:color w:val="000000"/>
                <w:sz w:val="22"/>
              </w:rPr>
              <w:t xml:space="preserve">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西沙</w:t>
            </w:r>
          </w:p>
        </w:tc>
        <w:tc>
          <w:tcPr>
            <w:tcW w:w="4961" w:type="dxa"/>
            <w:vAlign w:val="center"/>
          </w:tcPr>
          <w:p>
            <w:pPr>
              <w:ind w:firstLine="0" w:firstLineChars="0"/>
              <w:jc w:val="center"/>
            </w:pPr>
            <w:r>
              <w:rPr>
                <w:rFonts w:hint="eastAsia"/>
                <w:color w:val="000000"/>
                <w:sz w:val="22"/>
              </w:rPr>
              <w:t xml:space="preserve">72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南沙</w:t>
            </w:r>
          </w:p>
        </w:tc>
        <w:tc>
          <w:tcPr>
            <w:tcW w:w="4961" w:type="dxa"/>
            <w:vAlign w:val="center"/>
          </w:tcPr>
          <w:p>
            <w:pPr>
              <w:ind w:firstLine="0" w:firstLineChars="0"/>
              <w:jc w:val="center"/>
            </w:pPr>
            <w:r>
              <w:rPr>
                <w:rFonts w:hint="eastAsia"/>
                <w:color w:val="000000"/>
                <w:sz w:val="22"/>
              </w:rPr>
              <w:t xml:space="preserve">77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114" w:type="dxa"/>
            <w:vAlign w:val="center"/>
          </w:tcPr>
          <w:p>
            <w:pPr>
              <w:ind w:firstLine="0" w:firstLineChars="0"/>
              <w:jc w:val="center"/>
              <w:rPr>
                <w:color w:val="000000"/>
                <w:sz w:val="22"/>
              </w:rPr>
            </w:pPr>
            <w:r>
              <w:rPr>
                <w:rFonts w:hint="eastAsia"/>
                <w:color w:val="000000"/>
                <w:sz w:val="22"/>
              </w:rPr>
              <w:t>东沙</w:t>
            </w:r>
          </w:p>
        </w:tc>
        <w:tc>
          <w:tcPr>
            <w:tcW w:w="4961" w:type="dxa"/>
            <w:vAlign w:val="center"/>
          </w:tcPr>
          <w:p>
            <w:pPr>
              <w:ind w:firstLine="0" w:firstLineChars="0"/>
              <w:jc w:val="center"/>
            </w:pPr>
            <w:r>
              <w:rPr>
                <w:rFonts w:hint="eastAsia"/>
                <w:color w:val="000000"/>
                <w:sz w:val="22"/>
              </w:rPr>
              <w:t xml:space="preserve">61 </w:t>
            </w:r>
          </w:p>
        </w:tc>
      </w:tr>
    </w:tbl>
    <w:p>
      <w:pPr>
        <w:pStyle w:val="2"/>
        <w:ind w:firstLine="400"/>
        <w:rPr>
          <w:rFonts w:eastAsia="宋体" w:cstheme="minorBidi"/>
          <w:color w:val="auto"/>
          <w:sz w:val="20"/>
          <w:szCs w:val="21"/>
        </w:rPr>
      </w:pPr>
      <w:r>
        <w:rPr>
          <w:rFonts w:hint="eastAsia" w:eastAsia="宋体" w:cstheme="minorBidi"/>
          <w:color w:val="auto"/>
          <w:sz w:val="20"/>
          <w:szCs w:val="21"/>
        </w:rPr>
        <w:t>注：1. 供冷年耗冷量指建筑全年累计冷负荷。</w:t>
      </w:r>
    </w:p>
    <w:p>
      <w:pPr>
        <w:pStyle w:val="41"/>
        <w:jc w:val="both"/>
        <w:rPr>
          <w:b w:val="0"/>
        </w:rPr>
      </w:pPr>
      <w:bookmarkStart w:id="40" w:name="_Toc198125355"/>
      <w:r>
        <w:rPr>
          <w:b w:val="0"/>
        </w:rPr>
        <w:t>5.0.3</w:t>
      </w:r>
      <w:r>
        <w:rPr>
          <w:rFonts w:hint="eastAsia"/>
          <w:b w:val="0"/>
        </w:rPr>
        <w:t>零能耗居住建筑的能效指标应符合下列规定：</w:t>
      </w:r>
      <w:bookmarkEnd w:id="40"/>
    </w:p>
    <w:p>
      <w:pPr>
        <w:ind w:firstLine="420"/>
      </w:pPr>
      <w:r>
        <w:rPr>
          <w:rFonts w:hint="eastAsia"/>
        </w:rPr>
        <w:t>1 建筑本体性能指标应符合</w:t>
      </w:r>
      <w:r>
        <w:rPr>
          <w:rFonts w:hint="eastAsia"/>
          <w:lang w:val="en" w:eastAsia="zh-CN"/>
        </w:rPr>
        <w:t>本标准</w:t>
      </w:r>
      <w:r>
        <w:rPr>
          <w:rFonts w:hint="eastAsia"/>
        </w:rPr>
        <w:t>5.0.2条的规定；</w:t>
      </w:r>
    </w:p>
    <w:p>
      <w:pPr>
        <w:ind w:firstLine="420"/>
      </w:pPr>
      <w:r>
        <w:rPr>
          <w:rFonts w:hint="eastAsia"/>
        </w:rPr>
        <w:t>2 建筑本体和周边可再生能源产能量不应小于建筑年终端能源消耗量。</w:t>
      </w:r>
    </w:p>
    <w:p>
      <w:pPr>
        <w:numPr>
          <w:ilvl w:val="255"/>
          <w:numId w:val="0"/>
        </w:numPr>
        <w:ind w:firstLine="800" w:firstLineChars="400"/>
        <w:rPr>
          <w:sz w:val="20"/>
          <w:szCs w:val="21"/>
        </w:rPr>
      </w:pPr>
    </w:p>
    <w:p>
      <w:pPr>
        <w:ind w:firstLine="0" w:firstLineChars="0"/>
      </w:pPr>
      <w:r>
        <w:t>【条文说明】</w:t>
      </w:r>
    </w:p>
    <w:p>
      <w:pPr>
        <w:ind w:firstLine="420"/>
      </w:pPr>
      <w:r>
        <w:rPr>
          <w:rFonts w:hint="eastAsia"/>
        </w:rPr>
        <w:t>5</w:t>
      </w:r>
      <w:r>
        <w:t>.0.1</w:t>
      </w:r>
      <w:r>
        <w:rPr>
          <w:rFonts w:hint="eastAsia"/>
        </w:rPr>
        <w:t>~5.0.</w:t>
      </w:r>
      <w:r>
        <w:t xml:space="preserve">3 </w:t>
      </w:r>
      <w:r>
        <w:rPr>
          <w:rFonts w:hint="eastAsia"/>
        </w:rPr>
        <w:t>居住建筑中包含住宅、宿舍、公寓等，</w:t>
      </w:r>
      <w:r>
        <w:rPr>
          <w:rFonts w:hint="eastAsia"/>
          <w:lang w:val="en" w:eastAsia="zh-CN"/>
        </w:rPr>
        <w:t>本标准</w:t>
      </w:r>
      <w:r>
        <w:rPr>
          <w:rFonts w:hint="eastAsia"/>
        </w:rPr>
        <w:t>中居住建筑的能效指标适用于住宅类建筑，居住建筑中的非住宅类建筑的能效指标参照公共建筑，这种划分方式也和国际上主流划分方法一致。居住建筑一级能效指标包括建筑能耗综合值、建筑碳排放强度及建筑气密性，全省各市县采用统一值进行约束，且满足国家标准对于夏热冬暖地区居住建筑一级能效指标的要求。</w:t>
      </w:r>
    </w:p>
    <w:p>
      <w:pPr>
        <w:ind w:firstLine="420"/>
      </w:pPr>
      <w:r>
        <w:rPr>
          <w:rFonts w:hint="eastAsia"/>
        </w:rPr>
        <w:t>对于居住建筑，最大限度利用被动式技术降低建筑能量需求，是实现近零能耗建筑目标的最有效途径。对于海南地区，以供冷年耗冷量指标为约束，保证建筑本体性能。由于供冷年耗冷量与室外气象参数相关度较高，且海南省内各市县气象参数存在显著差异，因此分别给出不同市县的供冷年耗冷量作为二级能效指标。居住建筑能耗计算具体参数选择与计算方法见附录A。</w:t>
      </w:r>
    </w:p>
    <w:p>
      <w:pPr>
        <w:numPr>
          <w:ilvl w:val="255"/>
          <w:numId w:val="0"/>
        </w:numPr>
        <w:ind w:firstLine="800" w:firstLineChars="400"/>
        <w:rPr>
          <w:sz w:val="20"/>
          <w:szCs w:val="21"/>
        </w:rPr>
      </w:pPr>
    </w:p>
    <w:p>
      <w:pPr>
        <w:pStyle w:val="41"/>
        <w:jc w:val="both"/>
        <w:rPr>
          <w:b w:val="0"/>
        </w:rPr>
      </w:pPr>
      <w:bookmarkStart w:id="41" w:name="_Toc198125356"/>
      <w:r>
        <w:rPr>
          <w:b w:val="0"/>
        </w:rPr>
        <w:t>5.0.4</w:t>
      </w:r>
      <w:r>
        <w:rPr>
          <w:rFonts w:hint="eastAsia"/>
          <w:b w:val="0"/>
        </w:rPr>
        <w:t>超低能耗公共建筑的能效指标应采用相对值指标控制，建筑本体节能率、建筑综合节能率、建筑综合减碳率应符合表5</w:t>
      </w:r>
      <w:r>
        <w:rPr>
          <w:b w:val="0"/>
        </w:rPr>
        <w:t>.0.4</w:t>
      </w:r>
      <w:r>
        <w:rPr>
          <w:rFonts w:hint="eastAsia"/>
          <w:b w:val="0"/>
        </w:rPr>
        <w:t>的规定。</w:t>
      </w:r>
      <w:bookmarkEnd w:id="41"/>
    </w:p>
    <w:p>
      <w:pPr>
        <w:ind w:firstLine="0" w:firstLineChars="0"/>
        <w:jc w:val="center"/>
      </w:pPr>
      <w:r>
        <w:rPr>
          <w:rFonts w:hint="eastAsia"/>
        </w:rPr>
        <w:t xml:space="preserve">表 </w:t>
      </w:r>
      <w:r>
        <w:t>5.0.4</w:t>
      </w:r>
      <w:r>
        <w:rPr>
          <w:rFonts w:hint="eastAsia"/>
        </w:rPr>
        <w:t xml:space="preserve"> 超低能耗公共建筑能耗、碳排放控制指标</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28"/>
        <w:gridCol w:w="1587"/>
        <w:gridCol w:w="3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pPr>
              <w:ind w:firstLine="0" w:firstLineChars="0"/>
              <w:jc w:val="center"/>
            </w:pPr>
            <w:r>
              <w:rPr>
                <w:rFonts w:hint="eastAsia"/>
              </w:rPr>
              <w:t>指标内容</w:t>
            </w:r>
          </w:p>
        </w:tc>
        <w:tc>
          <w:tcPr>
            <w:tcW w:w="1528" w:type="dxa"/>
            <w:vAlign w:val="center"/>
          </w:tcPr>
          <w:p>
            <w:pPr>
              <w:ind w:firstLine="0" w:firstLineChars="0"/>
              <w:jc w:val="center"/>
            </w:pPr>
            <w:r>
              <w:rPr>
                <w:rFonts w:hint="eastAsia"/>
              </w:rPr>
              <w:t>单位</w:t>
            </w:r>
          </w:p>
        </w:tc>
        <w:tc>
          <w:tcPr>
            <w:tcW w:w="1587" w:type="dxa"/>
            <w:vAlign w:val="center"/>
          </w:tcPr>
          <w:p>
            <w:pPr>
              <w:ind w:firstLine="0" w:firstLineChars="0"/>
              <w:jc w:val="center"/>
            </w:pPr>
            <w:r>
              <w:rPr>
                <w:rFonts w:hint="eastAsia"/>
              </w:rPr>
              <w:t>指标</w:t>
            </w:r>
          </w:p>
        </w:tc>
        <w:tc>
          <w:tcPr>
            <w:tcW w:w="3107" w:type="dxa"/>
            <w:vAlign w:val="center"/>
          </w:tcPr>
          <w:p>
            <w:pPr>
              <w:ind w:firstLine="0" w:firstLineChars="0"/>
              <w:jc w:val="center"/>
            </w:pPr>
            <w:r>
              <w:rPr>
                <w:rFonts w:hint="eastAsia"/>
              </w:rPr>
              <w:t>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pPr>
              <w:ind w:firstLine="0" w:firstLineChars="0"/>
              <w:jc w:val="center"/>
            </w:pPr>
            <w:r>
              <w:rPr>
                <w:rFonts w:hint="eastAsia"/>
              </w:rPr>
              <w:t>建筑本体节能率</w:t>
            </w:r>
          </w:p>
        </w:tc>
        <w:tc>
          <w:tcPr>
            <w:tcW w:w="1528" w:type="dxa"/>
            <w:vAlign w:val="center"/>
          </w:tcPr>
          <w:p>
            <w:pPr>
              <w:ind w:firstLine="0" w:firstLineChars="0"/>
              <w:jc w:val="center"/>
            </w:pPr>
            <w:r>
              <w:t>%</w:t>
            </w:r>
          </w:p>
        </w:tc>
        <w:tc>
          <w:tcPr>
            <w:tcW w:w="1587" w:type="dxa"/>
            <w:vAlign w:val="center"/>
          </w:tcPr>
          <w:p>
            <w:pPr>
              <w:ind w:firstLine="0" w:firstLineChars="0"/>
              <w:jc w:val="center"/>
            </w:pPr>
            <w:r>
              <w:rPr>
                <w:rFonts w:hint="eastAsia"/>
              </w:rPr>
              <w:t>≥10</w:t>
            </w:r>
          </w:p>
        </w:tc>
        <w:tc>
          <w:tcPr>
            <w:tcW w:w="3107" w:type="dxa"/>
            <w:vMerge w:val="restart"/>
            <w:vAlign w:val="center"/>
          </w:tcPr>
          <w:p>
            <w:pPr>
              <w:ind w:firstLine="0" w:firstLineChars="0"/>
              <w:jc w:val="center"/>
            </w:pPr>
            <w:r>
              <w:rPr>
                <w:rFonts w:hint="eastAsia"/>
              </w:rPr>
              <w:t>《建筑节能与可再生能源利用通用规范》GB5</w:t>
            </w:r>
            <w:r>
              <w:t>5015</w:t>
            </w:r>
            <w:r>
              <w:rPr>
                <w:rFonts w:hint="eastAsia"/>
              </w:rPr>
              <w:t>-20</w:t>
            </w:r>
            <w: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pPr>
              <w:ind w:firstLine="0" w:firstLineChars="0"/>
              <w:jc w:val="center"/>
            </w:pPr>
            <w:r>
              <w:rPr>
                <w:rFonts w:hint="eastAsia"/>
              </w:rPr>
              <w:t>建筑综合节能率</w:t>
            </w:r>
          </w:p>
        </w:tc>
        <w:tc>
          <w:tcPr>
            <w:tcW w:w="1528" w:type="dxa"/>
            <w:vAlign w:val="center"/>
          </w:tcPr>
          <w:p>
            <w:pPr>
              <w:ind w:firstLine="0" w:firstLineChars="0"/>
              <w:jc w:val="center"/>
            </w:pPr>
            <w:r>
              <w:t>%</w:t>
            </w:r>
          </w:p>
        </w:tc>
        <w:tc>
          <w:tcPr>
            <w:tcW w:w="1587" w:type="dxa"/>
            <w:vAlign w:val="center"/>
          </w:tcPr>
          <w:p>
            <w:pPr>
              <w:ind w:firstLine="0" w:firstLineChars="0"/>
              <w:jc w:val="center"/>
            </w:pPr>
            <w:r>
              <w:rPr>
                <w:rFonts w:hint="eastAsia"/>
              </w:rPr>
              <w:t>≥40</w:t>
            </w:r>
          </w:p>
        </w:tc>
        <w:tc>
          <w:tcPr>
            <w:tcW w:w="3107" w:type="dxa"/>
            <w:vMerge w:val="continue"/>
            <w:vAlign w:val="center"/>
          </w:tcPr>
          <w:p>
            <w:pPr>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pPr>
              <w:ind w:firstLine="0" w:firstLineChars="0"/>
              <w:jc w:val="center"/>
            </w:pPr>
            <w:r>
              <w:rPr>
                <w:rFonts w:hint="eastAsia"/>
              </w:rPr>
              <w:t>建筑综合减碳率</w:t>
            </w:r>
          </w:p>
        </w:tc>
        <w:tc>
          <w:tcPr>
            <w:tcW w:w="1528" w:type="dxa"/>
            <w:vAlign w:val="center"/>
          </w:tcPr>
          <w:p>
            <w:pPr>
              <w:ind w:firstLine="0" w:firstLineChars="0"/>
              <w:jc w:val="center"/>
            </w:pPr>
            <w:r>
              <w:t>%</w:t>
            </w:r>
          </w:p>
        </w:tc>
        <w:tc>
          <w:tcPr>
            <w:tcW w:w="1587" w:type="dxa"/>
            <w:vAlign w:val="center"/>
          </w:tcPr>
          <w:p>
            <w:pPr>
              <w:ind w:firstLine="0" w:firstLineChars="0"/>
              <w:jc w:val="center"/>
            </w:pPr>
            <w:r>
              <w:rPr>
                <w:rFonts w:hint="eastAsia"/>
              </w:rPr>
              <w:t>≥40</w:t>
            </w:r>
          </w:p>
        </w:tc>
        <w:tc>
          <w:tcPr>
            <w:tcW w:w="3107" w:type="dxa"/>
            <w:vMerge w:val="continue"/>
            <w:vAlign w:val="center"/>
          </w:tcPr>
          <w:p>
            <w:pPr>
              <w:ind w:firstLine="0" w:firstLineChars="0"/>
              <w:jc w:val="center"/>
            </w:pPr>
          </w:p>
        </w:tc>
      </w:tr>
    </w:tbl>
    <w:p>
      <w:pPr>
        <w:pStyle w:val="41"/>
        <w:jc w:val="both"/>
        <w:rPr>
          <w:b w:val="0"/>
        </w:rPr>
      </w:pPr>
      <w:bookmarkStart w:id="42" w:name="_Toc198125357"/>
      <w:bookmarkStart w:id="43" w:name="_Toc193023021"/>
      <w:bookmarkStart w:id="44" w:name="_Toc27247"/>
      <w:r>
        <w:rPr>
          <w:b w:val="0"/>
        </w:rPr>
        <w:t>5.0.5</w:t>
      </w:r>
      <w:r>
        <w:rPr>
          <w:rFonts w:hint="eastAsia"/>
          <w:b w:val="0"/>
        </w:rPr>
        <w:t>近零能耗公共建筑的能效指标应采用相对值指标控制，建筑本体节能率、建筑综合节能率、建筑综合减碳率应符合表5</w:t>
      </w:r>
      <w:r>
        <w:rPr>
          <w:b w:val="0"/>
        </w:rPr>
        <w:t>.0.5</w:t>
      </w:r>
      <w:r>
        <w:rPr>
          <w:rFonts w:hint="eastAsia"/>
          <w:b w:val="0"/>
        </w:rPr>
        <w:t>的规定。</w:t>
      </w:r>
      <w:bookmarkEnd w:id="42"/>
      <w:bookmarkEnd w:id="43"/>
      <w:bookmarkEnd w:id="44"/>
    </w:p>
    <w:p>
      <w:pPr>
        <w:ind w:firstLine="0" w:firstLineChars="0"/>
        <w:jc w:val="center"/>
      </w:pPr>
      <w:r>
        <w:rPr>
          <w:rFonts w:hint="eastAsia"/>
        </w:rPr>
        <w:t xml:space="preserve">表 </w:t>
      </w:r>
      <w:r>
        <w:t>5.0.5</w:t>
      </w:r>
      <w:r>
        <w:rPr>
          <w:rFonts w:hint="eastAsia"/>
        </w:rPr>
        <w:t xml:space="preserve"> 近零能耗公共建筑能耗、碳排放控制指标</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28"/>
        <w:gridCol w:w="1587"/>
        <w:gridCol w:w="3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74" w:type="dxa"/>
            <w:vAlign w:val="center"/>
          </w:tcPr>
          <w:p>
            <w:pPr>
              <w:ind w:firstLine="0" w:firstLineChars="0"/>
              <w:jc w:val="center"/>
            </w:pPr>
            <w:r>
              <w:rPr>
                <w:rFonts w:hint="eastAsia"/>
              </w:rPr>
              <w:t>指标内容</w:t>
            </w:r>
          </w:p>
        </w:tc>
        <w:tc>
          <w:tcPr>
            <w:tcW w:w="1528" w:type="dxa"/>
            <w:vAlign w:val="center"/>
          </w:tcPr>
          <w:p>
            <w:pPr>
              <w:ind w:firstLine="0" w:firstLineChars="0"/>
              <w:jc w:val="center"/>
            </w:pPr>
            <w:r>
              <w:rPr>
                <w:rFonts w:hint="eastAsia"/>
              </w:rPr>
              <w:t>单位</w:t>
            </w:r>
          </w:p>
        </w:tc>
        <w:tc>
          <w:tcPr>
            <w:tcW w:w="1587" w:type="dxa"/>
            <w:vAlign w:val="center"/>
          </w:tcPr>
          <w:p>
            <w:pPr>
              <w:ind w:firstLine="0" w:firstLineChars="0"/>
              <w:jc w:val="center"/>
            </w:pPr>
            <w:r>
              <w:rPr>
                <w:rFonts w:hint="eastAsia"/>
              </w:rPr>
              <w:t>指标</w:t>
            </w:r>
          </w:p>
        </w:tc>
        <w:tc>
          <w:tcPr>
            <w:tcW w:w="3107" w:type="dxa"/>
            <w:vAlign w:val="center"/>
          </w:tcPr>
          <w:p>
            <w:pPr>
              <w:ind w:firstLine="0" w:firstLineChars="0"/>
              <w:jc w:val="center"/>
            </w:pPr>
            <w:r>
              <w:rPr>
                <w:rFonts w:hint="eastAsia"/>
              </w:rPr>
              <w:t>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74" w:type="dxa"/>
            <w:vAlign w:val="center"/>
          </w:tcPr>
          <w:p>
            <w:pPr>
              <w:ind w:firstLine="0" w:firstLineChars="0"/>
              <w:jc w:val="center"/>
            </w:pPr>
            <w:r>
              <w:rPr>
                <w:rFonts w:hint="eastAsia"/>
              </w:rPr>
              <w:t>建筑本体节能率</w:t>
            </w:r>
          </w:p>
        </w:tc>
        <w:tc>
          <w:tcPr>
            <w:tcW w:w="1528" w:type="dxa"/>
            <w:vAlign w:val="center"/>
          </w:tcPr>
          <w:p>
            <w:pPr>
              <w:ind w:firstLine="0" w:firstLineChars="0"/>
              <w:jc w:val="center"/>
            </w:pPr>
            <w:r>
              <w:t>%</w:t>
            </w:r>
          </w:p>
        </w:tc>
        <w:tc>
          <w:tcPr>
            <w:tcW w:w="1587" w:type="dxa"/>
            <w:vAlign w:val="center"/>
          </w:tcPr>
          <w:p>
            <w:pPr>
              <w:ind w:firstLine="0" w:firstLineChars="0"/>
              <w:jc w:val="center"/>
            </w:pPr>
            <w:r>
              <w:rPr>
                <w:rFonts w:hint="eastAsia"/>
              </w:rPr>
              <w:t>≥10</w:t>
            </w:r>
          </w:p>
        </w:tc>
        <w:tc>
          <w:tcPr>
            <w:tcW w:w="3107" w:type="dxa"/>
            <w:vMerge w:val="restart"/>
            <w:vAlign w:val="center"/>
          </w:tcPr>
          <w:p>
            <w:pPr>
              <w:ind w:firstLine="0" w:firstLineChars="0"/>
              <w:jc w:val="center"/>
            </w:pPr>
            <w:r>
              <w:rPr>
                <w:rFonts w:hint="eastAsia"/>
              </w:rPr>
              <w:t>《建筑节能与可再生能源利用通用规范》GB5</w:t>
            </w:r>
            <w:r>
              <w:t>5015</w:t>
            </w:r>
            <w:r>
              <w:rPr>
                <w:rFonts w:hint="eastAsia"/>
              </w:rPr>
              <w:t>-20</w:t>
            </w:r>
            <w: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74" w:type="dxa"/>
            <w:vAlign w:val="center"/>
          </w:tcPr>
          <w:p>
            <w:pPr>
              <w:ind w:firstLine="0" w:firstLineChars="0"/>
              <w:jc w:val="center"/>
            </w:pPr>
            <w:r>
              <w:rPr>
                <w:rFonts w:hint="eastAsia"/>
              </w:rPr>
              <w:t>建筑综合节能率</w:t>
            </w:r>
          </w:p>
        </w:tc>
        <w:tc>
          <w:tcPr>
            <w:tcW w:w="1528" w:type="dxa"/>
            <w:vAlign w:val="center"/>
          </w:tcPr>
          <w:p>
            <w:pPr>
              <w:ind w:firstLine="0" w:firstLineChars="0"/>
              <w:jc w:val="center"/>
            </w:pPr>
            <w:r>
              <w:t>%</w:t>
            </w:r>
          </w:p>
        </w:tc>
        <w:tc>
          <w:tcPr>
            <w:tcW w:w="1587" w:type="dxa"/>
            <w:vAlign w:val="center"/>
          </w:tcPr>
          <w:p>
            <w:pPr>
              <w:ind w:firstLine="0" w:firstLineChars="0"/>
              <w:jc w:val="center"/>
            </w:pPr>
            <w:r>
              <w:rPr>
                <w:rFonts w:hint="eastAsia"/>
              </w:rPr>
              <w:t>≥50</w:t>
            </w:r>
          </w:p>
        </w:tc>
        <w:tc>
          <w:tcPr>
            <w:tcW w:w="3107" w:type="dxa"/>
            <w:vMerge w:val="continue"/>
            <w:vAlign w:val="center"/>
          </w:tcPr>
          <w:p>
            <w:pPr>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74" w:type="dxa"/>
            <w:vAlign w:val="center"/>
          </w:tcPr>
          <w:p>
            <w:pPr>
              <w:ind w:firstLine="0" w:firstLineChars="0"/>
              <w:jc w:val="center"/>
            </w:pPr>
            <w:r>
              <w:rPr>
                <w:rFonts w:hint="eastAsia"/>
              </w:rPr>
              <w:t>建筑综合减碳率</w:t>
            </w:r>
          </w:p>
        </w:tc>
        <w:tc>
          <w:tcPr>
            <w:tcW w:w="1528" w:type="dxa"/>
            <w:vAlign w:val="center"/>
          </w:tcPr>
          <w:p>
            <w:pPr>
              <w:ind w:firstLine="0" w:firstLineChars="0"/>
              <w:jc w:val="center"/>
            </w:pPr>
            <w:r>
              <w:t>%</w:t>
            </w:r>
          </w:p>
        </w:tc>
        <w:tc>
          <w:tcPr>
            <w:tcW w:w="1587" w:type="dxa"/>
            <w:vAlign w:val="center"/>
          </w:tcPr>
          <w:p>
            <w:pPr>
              <w:ind w:firstLine="0" w:firstLineChars="0"/>
              <w:jc w:val="center"/>
            </w:pPr>
            <w:r>
              <w:rPr>
                <w:rFonts w:hint="eastAsia"/>
              </w:rPr>
              <w:t>≥50</w:t>
            </w:r>
          </w:p>
        </w:tc>
        <w:tc>
          <w:tcPr>
            <w:tcW w:w="3107" w:type="dxa"/>
            <w:vMerge w:val="continue"/>
            <w:vAlign w:val="center"/>
          </w:tcPr>
          <w:p>
            <w:pPr>
              <w:ind w:firstLine="0" w:firstLineChars="0"/>
              <w:jc w:val="center"/>
            </w:pPr>
          </w:p>
        </w:tc>
      </w:tr>
    </w:tbl>
    <w:p>
      <w:pPr>
        <w:ind w:firstLine="0" w:firstLineChars="0"/>
        <w:rPr>
          <w:szCs w:val="21"/>
        </w:rPr>
      </w:pPr>
    </w:p>
    <w:p>
      <w:pPr>
        <w:pStyle w:val="41"/>
        <w:jc w:val="both"/>
        <w:rPr>
          <w:b w:val="0"/>
        </w:rPr>
      </w:pPr>
      <w:bookmarkStart w:id="45" w:name="_Toc198125358"/>
      <w:r>
        <w:rPr>
          <w:b w:val="0"/>
        </w:rPr>
        <w:t>5.0.6</w:t>
      </w:r>
      <w:r>
        <w:rPr>
          <w:rFonts w:hint="eastAsia"/>
          <w:b w:val="0"/>
        </w:rPr>
        <w:t>零能耗公共建筑的能效指标应符合下列规定：</w:t>
      </w:r>
      <w:bookmarkEnd w:id="45"/>
    </w:p>
    <w:p>
      <w:pPr>
        <w:ind w:firstLine="420"/>
      </w:pPr>
      <w:r>
        <w:rPr>
          <w:rFonts w:hint="eastAsia"/>
        </w:rPr>
        <w:t>1 建筑本体性能指标应符合</w:t>
      </w:r>
      <w:r>
        <w:rPr>
          <w:rFonts w:hint="eastAsia"/>
          <w:lang w:val="en" w:eastAsia="zh-CN"/>
        </w:rPr>
        <w:t>本标准</w:t>
      </w:r>
      <w:r>
        <w:rPr>
          <w:rFonts w:hint="eastAsia"/>
        </w:rPr>
        <w:t>表5.0.</w:t>
      </w:r>
      <w:r>
        <w:t>5</w:t>
      </w:r>
      <w:r>
        <w:rPr>
          <w:rFonts w:hint="eastAsia"/>
        </w:rPr>
        <w:t>的规定；</w:t>
      </w:r>
    </w:p>
    <w:p>
      <w:pPr>
        <w:ind w:firstLine="420"/>
      </w:pPr>
      <w:r>
        <w:t xml:space="preserve">2 </w:t>
      </w:r>
      <w:r>
        <w:rPr>
          <w:rFonts w:hint="eastAsia"/>
        </w:rPr>
        <w:t>建筑本体和周边可再生能源产能量不应小于建筑年终端能源消耗量。</w:t>
      </w:r>
    </w:p>
    <w:p>
      <w:pPr>
        <w:ind w:firstLine="0" w:firstLineChars="0"/>
        <w:rPr>
          <w:szCs w:val="21"/>
        </w:rPr>
      </w:pPr>
    </w:p>
    <w:p>
      <w:pPr>
        <w:ind w:firstLine="0" w:firstLineChars="0"/>
      </w:pPr>
      <w:r>
        <w:t>【条文说明】</w:t>
      </w:r>
    </w:p>
    <w:p>
      <w:pPr>
        <w:ind w:firstLine="420"/>
      </w:pPr>
      <w:r>
        <w:rPr>
          <w:rFonts w:hint="eastAsia"/>
        </w:rPr>
        <w:t>5</w:t>
      </w:r>
      <w:r>
        <w:t>.0.4</w:t>
      </w:r>
      <w:r>
        <w:rPr>
          <w:rFonts w:hint="eastAsia"/>
        </w:rPr>
        <w:t>~5.0.</w:t>
      </w:r>
      <w:r>
        <w:t xml:space="preserve">6 </w:t>
      </w:r>
      <w:r>
        <w:rPr>
          <w:rFonts w:hint="eastAsia"/>
        </w:rPr>
        <w:t>海南省位于中国最南端，年平均空气温度为22.4至25.5℃，高温高湿的气候环境使得海南与夏热冬暖气候分区下其他省市的建筑能耗结构存在一定差别，建筑供冷需求在建筑能耗组成中的比重更加显著。特别是海岛远离大陆，全年气候潮湿炎热，太阳能、浅层地能和生物质能源丰富，但常规能源匮乏，进入夏季的空调使用高峰时期，用电情况更为紧张。因此，被动式降温供冷技术与主动式高效制冷技术的应用是海南降低建筑用能需求的主攻方向，同时将建筑暖通空调、照明、生活热水、电梯能耗进行限值把控。为响应住房和城乡建设部《城乡建设领域碳达峰实施方案》[建标【2022】53号]、《海南省碳达峰实施方案》[琼府【2022】27号]，同时引入提出碳排放约束指标，推动海南省建筑领域节能减排发展。由于炊事与插座能耗与用户使用习惯相关度较大，表5.0.</w:t>
      </w:r>
      <w:r>
        <w:t>4</w:t>
      </w:r>
      <w:r>
        <w:rPr>
          <w:rFonts w:hint="eastAsia"/>
        </w:rPr>
        <w:t>与表5.0.</w:t>
      </w:r>
      <w:r>
        <w:t>5</w:t>
      </w:r>
      <w:r>
        <w:rPr>
          <w:rFonts w:hint="eastAsia"/>
        </w:rPr>
        <w:t>中建筑能耗与碳排放计算范围均未包含插座和炊事，该部分控制指标参考相关国家标准。国家标准《建筑节能与可再生能源利用通用规范》 GB55015-2021相对于按《公共建筑节能设计标准》GB/T50189-2015设计建造的建筑，其能耗降低约20%~30%左右，</w:t>
      </w:r>
      <w:r>
        <w:rPr>
          <w:rFonts w:hint="eastAsia"/>
          <w:lang w:val="en" w:eastAsia="zh-CN"/>
        </w:rPr>
        <w:t>本标准</w:t>
      </w:r>
      <w:r>
        <w:rPr>
          <w:rFonts w:hint="eastAsia"/>
        </w:rPr>
        <w:t>中近零能耗公共建筑相对于按《公共建筑节能设计标准》GB/T50189-2015设计建造的建筑，能耗降低60%以上，超低能耗建筑能耗降低</w:t>
      </w:r>
      <w:r>
        <w:t>5</w:t>
      </w:r>
      <w:r>
        <w:rPr>
          <w:rFonts w:hint="eastAsia"/>
        </w:rPr>
        <w:t>0%以上。</w:t>
      </w:r>
    </w:p>
    <w:p>
      <w:pPr>
        <w:ind w:firstLine="420"/>
      </w:pPr>
      <w:r>
        <w:rPr>
          <w:rFonts w:hint="eastAsia"/>
        </w:rPr>
        <w:t>对于公共建筑，由于建筑功能复杂、用能特征差异较大，不同类型建筑终端用能比例存在差别，分建筑类型约束绝对能耗强度在执行过程中缺乏可操作性，也不便于近零能耗建筑的推广。因此，引入相对节能率指标，将按照</w:t>
      </w:r>
      <w:bookmarkStart w:id="46" w:name="_Hlk197508352"/>
      <w:r>
        <w:rPr>
          <w:rFonts w:hint="eastAsia"/>
        </w:rPr>
        <w:t>《建筑节能与可再生能源利用通用规范》GB55015-2021</w:t>
      </w:r>
      <w:bookmarkEnd w:id="46"/>
      <w:r>
        <w:rPr>
          <w:rFonts w:hint="eastAsia"/>
        </w:rPr>
        <w:t>设计建造的建筑设定为基准建筑，以建筑本体节能率保证建筑本体性能，以综合节能率约束建筑一次能源消耗。公共建筑能耗计算具体参数选择与计算方法见附录A。</w:t>
      </w:r>
    </w:p>
    <w:p>
      <w:pPr>
        <w:ind w:firstLine="420"/>
      </w:pPr>
    </w:p>
    <w:p>
      <w:pPr>
        <w:ind w:firstLine="420"/>
        <w:sectPr>
          <w:footerReference r:id="rId19" w:type="default"/>
          <w:pgSz w:w="11906" w:h="16838"/>
          <w:pgMar w:top="1440" w:right="1800" w:bottom="1440" w:left="1800" w:header="851" w:footer="992" w:gutter="0"/>
          <w:cols w:space="425" w:num="1"/>
          <w:docGrid w:type="lines" w:linePitch="312" w:charSpace="0"/>
        </w:sectPr>
      </w:pPr>
    </w:p>
    <w:p>
      <w:pPr>
        <w:pStyle w:val="57"/>
        <w:numPr>
          <w:ilvl w:val="0"/>
          <w:numId w:val="13"/>
        </w:numPr>
        <w:tabs>
          <w:tab w:val="left" w:pos="0"/>
        </w:tabs>
        <w:snapToGrid w:val="0"/>
        <w:spacing w:before="156" w:beforeLines="50" w:after="156" w:afterLines="50" w:line="276" w:lineRule="auto"/>
        <w:rPr>
          <w:rFonts w:ascii="Times New Roman" w:hAnsi="Times New Roman"/>
          <w:b w:val="0"/>
          <w:color w:val="auto"/>
          <w:sz w:val="32"/>
          <w:lang w:eastAsia="zh-CN"/>
        </w:rPr>
      </w:pPr>
      <w:bookmarkStart w:id="47" w:name="_Toc198125359"/>
      <w:r>
        <w:rPr>
          <w:rFonts w:hint="eastAsia" w:ascii="Times New Roman" w:hAnsi="Times New Roman"/>
          <w:b w:val="0"/>
          <w:color w:val="auto"/>
          <w:sz w:val="32"/>
          <w:lang w:eastAsia="zh-CN"/>
        </w:rPr>
        <w:t>技术参数</w:t>
      </w:r>
      <w:bookmarkEnd w:id="47"/>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48" w:name="_Toc198125360"/>
      <w:r>
        <w:rPr>
          <w:rFonts w:hint="eastAsia" w:eastAsia="黑体" w:cs="Times New Roman"/>
          <w:kern w:val="44"/>
          <w:sz w:val="32"/>
          <w:szCs w:val="36"/>
        </w:rPr>
        <w:t xml:space="preserve">6.1 </w:t>
      </w:r>
      <w:bookmarkEnd w:id="48"/>
      <w:r>
        <w:rPr>
          <w:rFonts w:hint="eastAsia" w:eastAsia="黑体" w:cs="Times New Roman"/>
          <w:kern w:val="44"/>
          <w:sz w:val="32"/>
          <w:szCs w:val="36"/>
        </w:rPr>
        <w:t>围护结构</w:t>
      </w:r>
    </w:p>
    <w:p>
      <w:pPr>
        <w:pStyle w:val="41"/>
        <w:jc w:val="both"/>
        <w:rPr>
          <w:b w:val="0"/>
        </w:rPr>
      </w:pPr>
      <w:r>
        <w:rPr>
          <w:b w:val="0"/>
        </w:rPr>
        <w:t>6.1.</w:t>
      </w:r>
      <w:r>
        <w:rPr>
          <w:rFonts w:hint="eastAsia"/>
          <w:b w:val="0"/>
        </w:rPr>
        <w:t>1</w:t>
      </w:r>
      <w:r>
        <w:rPr>
          <w:b w:val="0"/>
        </w:rPr>
        <w:t xml:space="preserve"> </w:t>
      </w:r>
      <w:r>
        <w:rPr>
          <w:rFonts w:hint="eastAsia"/>
          <w:b w:val="0"/>
        </w:rPr>
        <w:t>居住建筑非透光围护结构平均传热系数应符合表6.1.1的规定。</w:t>
      </w:r>
    </w:p>
    <w:p>
      <w:pPr>
        <w:ind w:firstLine="0" w:firstLineChars="0"/>
        <w:jc w:val="center"/>
        <w:rPr>
          <w:szCs w:val="21"/>
        </w:rPr>
      </w:pPr>
      <w:r>
        <w:rPr>
          <w:rFonts w:hint="eastAsia"/>
          <w:szCs w:val="21"/>
        </w:rPr>
        <w:t>表6.1.1居住建筑非透光围护结构平均传热系数表</w:t>
      </w:r>
    </w:p>
    <w:tbl>
      <w:tblPr>
        <w:tblStyle w:val="44"/>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18"/>
        <w:gridCol w:w="55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71" w:type="pct"/>
          </w:tcPr>
          <w:p>
            <w:pPr>
              <w:ind w:firstLine="0" w:firstLineChars="0"/>
              <w:jc w:val="center"/>
              <w:rPr>
                <w:kern w:val="0"/>
                <w:szCs w:val="21"/>
              </w:rPr>
            </w:pPr>
            <w:r>
              <w:rPr>
                <w:kern w:val="0"/>
                <w:szCs w:val="21"/>
              </w:rPr>
              <w:t>围护结构部位</w:t>
            </w:r>
          </w:p>
        </w:tc>
        <w:tc>
          <w:tcPr>
            <w:tcW w:w="3228" w:type="pct"/>
          </w:tcPr>
          <w:p>
            <w:pPr>
              <w:ind w:firstLine="0" w:firstLineChars="0"/>
              <w:jc w:val="center"/>
              <w:rPr>
                <w:kern w:val="0"/>
                <w:szCs w:val="21"/>
              </w:rPr>
            </w:pPr>
            <w:r>
              <w:rPr>
                <w:kern w:val="0"/>
                <w:szCs w:val="21"/>
              </w:rPr>
              <w:t>传热系数</w:t>
            </w:r>
            <w:r>
              <w:rPr>
                <w:i/>
                <w:iCs/>
                <w:kern w:val="0"/>
                <w:szCs w:val="21"/>
              </w:rPr>
              <w:t>K</w:t>
            </w:r>
            <w:r>
              <w:rPr>
                <w:rFonts w:hint="eastAsia"/>
                <w:i/>
                <w:iCs/>
                <w:kern w:val="0"/>
                <w:szCs w:val="21"/>
              </w:rPr>
              <w:t xml:space="preserve"> </w:t>
            </w:r>
            <w:r>
              <w:rPr>
                <w:kern w:val="0"/>
                <w:szCs w:val="21"/>
              </w:rPr>
              <w:t>[</w:t>
            </w:r>
            <w:r>
              <w:rPr>
                <w:rFonts w:hint="eastAsia"/>
                <w:kern w:val="0"/>
                <w:szCs w:val="21"/>
              </w:rPr>
              <w:t>（</w:t>
            </w:r>
            <w:r>
              <w:rPr>
                <w:kern w:val="0"/>
                <w:szCs w:val="21"/>
              </w:rPr>
              <w:t>W/</w:t>
            </w:r>
            <w:r>
              <w:rPr>
                <w:rFonts w:hint="eastAsia" w:cs="Times New Roman"/>
                <w:kern w:val="0"/>
                <w:szCs w:val="21"/>
              </w:rPr>
              <w:t>m</w:t>
            </w:r>
            <w:r>
              <w:rPr>
                <w:rFonts w:cs="Times New Roman"/>
                <w:kern w:val="0"/>
                <w:szCs w:val="21"/>
                <w:vertAlign w:val="superscript"/>
              </w:rPr>
              <w:t>2</w:t>
            </w:r>
            <w:r>
              <w:rPr>
                <w:rFonts w:hint="eastAsia"/>
                <w:kern w:val="0"/>
                <w:szCs w:val="21"/>
              </w:rPr>
              <w:t>·</w:t>
            </w:r>
            <w:r>
              <w:rPr>
                <w:kern w:val="0"/>
                <w:szCs w:val="21"/>
              </w:rPr>
              <w:t>K</w:t>
            </w:r>
            <w:r>
              <w:rPr>
                <w:rFonts w:hint="eastAsia"/>
                <w:kern w:val="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71" w:type="pct"/>
          </w:tcPr>
          <w:p>
            <w:pPr>
              <w:ind w:firstLine="0" w:firstLineChars="0"/>
              <w:jc w:val="center"/>
              <w:rPr>
                <w:kern w:val="0"/>
                <w:szCs w:val="21"/>
              </w:rPr>
            </w:pPr>
            <w:r>
              <w:rPr>
                <w:kern w:val="0"/>
                <w:szCs w:val="21"/>
              </w:rPr>
              <w:t>屋面</w:t>
            </w:r>
          </w:p>
        </w:tc>
        <w:tc>
          <w:tcPr>
            <w:tcW w:w="3228" w:type="pct"/>
          </w:tcPr>
          <w:p>
            <w:pPr>
              <w:ind w:firstLine="0" w:firstLineChars="0"/>
              <w:jc w:val="center"/>
              <w:rPr>
                <w:kern w:val="0"/>
                <w:szCs w:val="21"/>
              </w:rPr>
            </w:pPr>
            <w:r>
              <w:rPr>
                <w:rFonts w:hint="eastAsia"/>
                <w:szCs w:val="21"/>
              </w:rPr>
              <w:t>0.25~0.40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71" w:type="pct"/>
          </w:tcPr>
          <w:p>
            <w:pPr>
              <w:ind w:firstLine="0" w:firstLineChars="0"/>
              <w:jc w:val="center"/>
              <w:rPr>
                <w:kern w:val="0"/>
                <w:szCs w:val="21"/>
              </w:rPr>
            </w:pPr>
            <w:r>
              <w:rPr>
                <w:kern w:val="0"/>
                <w:szCs w:val="21"/>
              </w:rPr>
              <w:t>外墙</w:t>
            </w:r>
          </w:p>
        </w:tc>
        <w:tc>
          <w:tcPr>
            <w:tcW w:w="3228" w:type="pct"/>
          </w:tcPr>
          <w:p>
            <w:pPr>
              <w:ind w:firstLine="0" w:firstLineChars="0"/>
              <w:jc w:val="center"/>
              <w:rPr>
                <w:kern w:val="0"/>
                <w:szCs w:val="21"/>
              </w:rPr>
            </w:pPr>
            <w:r>
              <w:rPr>
                <w:rFonts w:hint="eastAsia"/>
                <w:kern w:val="0"/>
                <w:szCs w:val="21"/>
              </w:rPr>
              <w:t>0.30~0.80</w:t>
            </w:r>
          </w:p>
        </w:tc>
      </w:tr>
    </w:tbl>
    <w:p>
      <w:pPr>
        <w:ind w:firstLine="0" w:firstLineChars="0"/>
      </w:pPr>
      <w:r>
        <w:rPr>
          <w:rFonts w:hint="eastAsia"/>
        </w:rPr>
        <w:t>【条文说明】</w:t>
      </w:r>
    </w:p>
    <w:p>
      <w:pPr>
        <w:ind w:firstLine="420"/>
      </w:pPr>
      <w:r>
        <w:t>6.1.</w:t>
      </w:r>
      <w:r>
        <w:rPr>
          <w:rFonts w:hint="eastAsia"/>
        </w:rPr>
        <w:t>1近零能耗建筑节能设计以能效指标为能耗约束目标，因此根据不同场地条件和不同建筑的具体情况，非透光围护结构的传热系数限值不应该是唯一的，可以通过结合其它部位的节能设计要求进行调整，因此表6.1.1是在大量的相应典型居住建筑模拟和示范工程应用调研的情况下给出来的推荐参考值范围，这些推荐值不等同于节能设计规定限值，对于不同的建筑节能设计条件，该推荐值范围是可以被突破选用的。</w:t>
      </w:r>
    </w:p>
    <w:p>
      <w:pPr>
        <w:pStyle w:val="41"/>
        <w:jc w:val="both"/>
        <w:rPr>
          <w:b w:val="0"/>
        </w:rPr>
      </w:pPr>
      <w:r>
        <w:rPr>
          <w:b w:val="0"/>
        </w:rPr>
        <w:t>6.1.</w:t>
      </w:r>
      <w:r>
        <w:rPr>
          <w:rFonts w:hint="eastAsia"/>
          <w:b w:val="0"/>
        </w:rPr>
        <w:t>2公共建筑非透光围护结构平均传热系数可按表6.1.2选取。</w:t>
      </w:r>
    </w:p>
    <w:p>
      <w:pPr>
        <w:ind w:firstLine="0" w:firstLineChars="0"/>
        <w:jc w:val="center"/>
        <w:rPr>
          <w:szCs w:val="21"/>
        </w:rPr>
      </w:pPr>
      <w:r>
        <w:rPr>
          <w:rFonts w:hint="eastAsia"/>
          <w:szCs w:val="21"/>
        </w:rPr>
        <w:t>表6.1.2公共建筑非透光围护结构平均传热系数表</w:t>
      </w:r>
    </w:p>
    <w:tbl>
      <w:tblPr>
        <w:tblStyle w:val="44"/>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18"/>
        <w:gridCol w:w="55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771" w:type="pct"/>
            <w:vAlign w:val="center"/>
          </w:tcPr>
          <w:p>
            <w:pPr>
              <w:ind w:firstLine="0" w:firstLineChars="0"/>
              <w:jc w:val="center"/>
              <w:rPr>
                <w:kern w:val="0"/>
                <w:szCs w:val="21"/>
              </w:rPr>
            </w:pPr>
            <w:r>
              <w:rPr>
                <w:kern w:val="0"/>
                <w:szCs w:val="21"/>
              </w:rPr>
              <w:t>围护结构部位</w:t>
            </w:r>
          </w:p>
        </w:tc>
        <w:tc>
          <w:tcPr>
            <w:tcW w:w="3228" w:type="pct"/>
          </w:tcPr>
          <w:p>
            <w:pPr>
              <w:ind w:firstLine="0" w:firstLineChars="0"/>
              <w:jc w:val="center"/>
              <w:rPr>
                <w:kern w:val="0"/>
                <w:szCs w:val="21"/>
              </w:rPr>
            </w:pPr>
            <w:r>
              <w:rPr>
                <w:kern w:val="0"/>
                <w:szCs w:val="21"/>
              </w:rPr>
              <w:t>传热系数</w:t>
            </w:r>
            <w:r>
              <w:rPr>
                <w:i/>
                <w:iCs/>
                <w:kern w:val="0"/>
                <w:szCs w:val="21"/>
              </w:rPr>
              <w:t>K</w:t>
            </w:r>
            <w:r>
              <w:rPr>
                <w:rFonts w:hint="eastAsia"/>
                <w:i/>
                <w:iCs/>
                <w:kern w:val="0"/>
                <w:szCs w:val="21"/>
              </w:rPr>
              <w:t xml:space="preserve"> </w:t>
            </w:r>
            <w:r>
              <w:rPr>
                <w:rFonts w:hint="eastAsia"/>
                <w:kern w:val="0"/>
                <w:szCs w:val="21"/>
              </w:rPr>
              <w:t>[（</w:t>
            </w:r>
            <w:r>
              <w:rPr>
                <w:kern w:val="0"/>
                <w:szCs w:val="21"/>
              </w:rPr>
              <w:t>W/</w:t>
            </w:r>
            <w:r>
              <w:rPr>
                <w:rFonts w:hint="eastAsia" w:cs="Times New Roman"/>
                <w:kern w:val="0"/>
                <w:szCs w:val="21"/>
              </w:rPr>
              <w:t xml:space="preserve"> m</w:t>
            </w:r>
            <w:r>
              <w:rPr>
                <w:rFonts w:cs="Times New Roman"/>
                <w:kern w:val="0"/>
                <w:szCs w:val="21"/>
                <w:vertAlign w:val="superscript"/>
              </w:rPr>
              <w:t>2</w:t>
            </w:r>
            <w:r>
              <w:rPr>
                <w:rFonts w:hint="eastAsia"/>
                <w:kern w:val="0"/>
                <w:szCs w:val="21"/>
              </w:rPr>
              <w:t>·</w:t>
            </w:r>
            <w:r>
              <w:rPr>
                <w:kern w:val="0"/>
                <w:szCs w:val="21"/>
              </w:rPr>
              <w:t>K</w:t>
            </w:r>
            <w:r>
              <w:rPr>
                <w:rFonts w:hint="eastAsia"/>
                <w:kern w:val="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771" w:type="pct"/>
            <w:vAlign w:val="center"/>
          </w:tcPr>
          <w:p>
            <w:pPr>
              <w:ind w:firstLine="0" w:firstLineChars="0"/>
              <w:jc w:val="center"/>
              <w:rPr>
                <w:kern w:val="0"/>
                <w:szCs w:val="21"/>
              </w:rPr>
            </w:pPr>
            <w:r>
              <w:rPr>
                <w:kern w:val="0"/>
                <w:szCs w:val="21"/>
              </w:rPr>
              <w:t>屋面</w:t>
            </w:r>
          </w:p>
        </w:tc>
        <w:tc>
          <w:tcPr>
            <w:tcW w:w="3228" w:type="pct"/>
            <w:vAlign w:val="center"/>
          </w:tcPr>
          <w:p>
            <w:pPr>
              <w:ind w:firstLine="0" w:firstLineChars="0"/>
              <w:jc w:val="center"/>
              <w:rPr>
                <w:kern w:val="0"/>
                <w:szCs w:val="21"/>
                <w:highlight w:val="yellow"/>
              </w:rPr>
            </w:pPr>
            <w:r>
              <w:rPr>
                <w:rFonts w:hint="eastAsia"/>
                <w:szCs w:val="21"/>
              </w:rPr>
              <w:t>0.30~0.</w:t>
            </w:r>
            <w:r>
              <w:rPr>
                <w:szCs w:val="21"/>
              </w:rPr>
              <w:t>4</w:t>
            </w:r>
            <w:r>
              <w:rPr>
                <w:rFonts w:hint="eastAsia"/>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771" w:type="pct"/>
            <w:vAlign w:val="center"/>
          </w:tcPr>
          <w:p>
            <w:pPr>
              <w:ind w:firstLine="0" w:firstLineChars="0"/>
              <w:jc w:val="center"/>
              <w:rPr>
                <w:kern w:val="0"/>
                <w:szCs w:val="21"/>
              </w:rPr>
            </w:pPr>
            <w:r>
              <w:rPr>
                <w:kern w:val="0"/>
                <w:szCs w:val="21"/>
              </w:rPr>
              <w:t>外墙</w:t>
            </w:r>
          </w:p>
        </w:tc>
        <w:tc>
          <w:tcPr>
            <w:tcW w:w="3228" w:type="pct"/>
            <w:vAlign w:val="center"/>
          </w:tcPr>
          <w:p>
            <w:pPr>
              <w:ind w:firstLine="0" w:firstLineChars="0"/>
              <w:jc w:val="center"/>
              <w:rPr>
                <w:kern w:val="0"/>
                <w:szCs w:val="21"/>
                <w:highlight w:val="yellow"/>
              </w:rPr>
            </w:pPr>
            <w:r>
              <w:rPr>
                <w:rFonts w:hint="eastAsia"/>
                <w:kern w:val="0"/>
                <w:szCs w:val="21"/>
              </w:rPr>
              <w:t>0.30~0.80</w:t>
            </w:r>
          </w:p>
        </w:tc>
      </w:tr>
    </w:tbl>
    <w:p>
      <w:pPr>
        <w:ind w:firstLine="0" w:firstLineChars="0"/>
      </w:pPr>
      <w:r>
        <w:rPr>
          <w:rFonts w:hint="eastAsia"/>
        </w:rPr>
        <w:t>【条文说明】</w:t>
      </w:r>
    </w:p>
    <w:p>
      <w:pPr>
        <w:ind w:firstLine="420"/>
      </w:pPr>
      <w:r>
        <w:t>6.1.</w:t>
      </w:r>
      <w:r>
        <w:rPr>
          <w:rFonts w:hint="eastAsia"/>
        </w:rPr>
        <w:t>2由于公共建筑的类型繁多，使用功能相对复杂，因此对于公共建筑来说，给出相对统一的非透光围护结构平均传热系数是比较困难的。因此表6.1.2是在大量的相应典型公共建筑模拟和示范工程应用调研的情况下给出推荐参考值范围，此推荐范围对于2万平米以下的公共建筑的参考意义更大，而对于2万平米以上公共建筑其参考意义相对变弱，应根据具体建筑以建筑能耗值为约束目标进行整体节能设计。</w:t>
      </w:r>
    </w:p>
    <w:p>
      <w:pPr>
        <w:pStyle w:val="41"/>
        <w:jc w:val="both"/>
        <w:rPr>
          <w:b w:val="0"/>
        </w:rPr>
      </w:pPr>
      <w:r>
        <w:rPr>
          <w:b w:val="0"/>
        </w:rPr>
        <w:t>6.1.</w:t>
      </w:r>
      <w:r>
        <w:rPr>
          <w:rFonts w:hint="eastAsia"/>
          <w:b w:val="0"/>
        </w:rPr>
        <w:t>3</w:t>
      </w:r>
      <w:r>
        <w:rPr>
          <w:b w:val="0"/>
        </w:rPr>
        <w:t xml:space="preserve"> </w:t>
      </w:r>
      <w:r>
        <w:rPr>
          <w:rFonts w:hint="eastAsia"/>
          <w:b w:val="0"/>
        </w:rPr>
        <w:t>建筑外门窗气密性应符合下列规定：</w:t>
      </w:r>
    </w:p>
    <w:p>
      <w:pPr>
        <w:ind w:firstLine="420"/>
      </w:pPr>
      <w:r>
        <w:t>1</w:t>
      </w:r>
      <w:r>
        <w:rPr>
          <w:rFonts w:hint="eastAsia"/>
        </w:rPr>
        <w:t xml:space="preserve"> 居住建筑门窗的气密性不应低于现行国家标准《建筑幕墙、门窗通用技术条件》GB/T 31433的6级(1.0＜</w:t>
      </w:r>
      <w:r>
        <w:rPr>
          <w:rFonts w:hint="eastAsia"/>
          <w:i/>
          <w:iCs/>
        </w:rPr>
        <w:t>q</w:t>
      </w:r>
      <w:r>
        <w:rPr>
          <w:vertAlign w:val="subscript"/>
        </w:rPr>
        <w:t>1</w:t>
      </w:r>
      <w:r>
        <w:rPr>
          <w:rFonts w:hint="eastAsia"/>
        </w:rPr>
        <w:t>≤1.5，3.0＜</w:t>
      </w:r>
      <w:r>
        <w:rPr>
          <w:rFonts w:hint="eastAsia"/>
          <w:i/>
          <w:iCs/>
        </w:rPr>
        <w:t>q</w:t>
      </w:r>
      <w:r>
        <w:rPr>
          <w:vertAlign w:val="subscript"/>
        </w:rPr>
        <w:t>2</w:t>
      </w:r>
      <w:r>
        <w:rPr>
          <w:rFonts w:hint="eastAsia"/>
        </w:rPr>
        <w:t>≤4.5)要；</w:t>
      </w:r>
    </w:p>
    <w:p>
      <w:pPr>
        <w:ind w:firstLine="420"/>
      </w:pPr>
      <w:r>
        <w:rPr>
          <w:rFonts w:hint="eastAsia"/>
        </w:rPr>
        <w:t>2 公共建筑10层及以上门窗的气密性不应低于现行国家标准《建筑幕墙、门窗通用技术条件》GB/T 31433的7级(0.5＜</w:t>
      </w:r>
      <w:r>
        <w:rPr>
          <w:rFonts w:hint="eastAsia"/>
          <w:i/>
          <w:iCs/>
        </w:rPr>
        <w:t>q</w:t>
      </w:r>
      <w:r>
        <w:rPr>
          <w:vertAlign w:val="subscript"/>
        </w:rPr>
        <w:t>1</w:t>
      </w:r>
      <w:r>
        <w:rPr>
          <w:rFonts w:hint="eastAsia"/>
        </w:rPr>
        <w:t>≤1.0，1.5＜</w:t>
      </w:r>
      <w:r>
        <w:rPr>
          <w:rFonts w:hint="eastAsia"/>
          <w:i/>
          <w:iCs/>
        </w:rPr>
        <w:t>q</w:t>
      </w:r>
      <w:r>
        <w:rPr>
          <w:vertAlign w:val="subscript"/>
        </w:rPr>
        <w:t>2</w:t>
      </w:r>
      <w:r>
        <w:rPr>
          <w:rFonts w:hint="eastAsia"/>
        </w:rPr>
        <w:t>≤</w:t>
      </w:r>
      <w:r>
        <w:t>3.0</w:t>
      </w:r>
      <w:r>
        <w:rPr>
          <w:rFonts w:hint="eastAsia"/>
        </w:rPr>
        <w:t>)要求；10层以下门窗的气密性不应低于</w:t>
      </w:r>
      <w:r>
        <w:t>6</w:t>
      </w:r>
      <w:r>
        <w:rPr>
          <w:rFonts w:hint="eastAsia"/>
        </w:rPr>
        <w:t>级</w:t>
      </w:r>
      <w:r>
        <w:t>(</w:t>
      </w:r>
      <w:r>
        <w:rPr>
          <w:rFonts w:hint="eastAsia"/>
        </w:rPr>
        <w:t>1.0＜</w:t>
      </w:r>
      <w:r>
        <w:rPr>
          <w:rFonts w:hint="eastAsia"/>
          <w:i/>
          <w:iCs/>
        </w:rPr>
        <w:t>q</w:t>
      </w:r>
      <w:r>
        <w:rPr>
          <w:vertAlign w:val="subscript"/>
        </w:rPr>
        <w:t>1</w:t>
      </w:r>
      <w:r>
        <w:rPr>
          <w:rFonts w:hint="eastAsia"/>
        </w:rPr>
        <w:t>≤1.5，3.0＜</w:t>
      </w:r>
      <w:r>
        <w:rPr>
          <w:rFonts w:hint="eastAsia"/>
          <w:i/>
          <w:iCs/>
        </w:rPr>
        <w:t>q</w:t>
      </w:r>
      <w:r>
        <w:rPr>
          <w:vertAlign w:val="subscript"/>
        </w:rPr>
        <w:t>2</w:t>
      </w:r>
      <w:r>
        <w:rPr>
          <w:rFonts w:hint="eastAsia"/>
        </w:rPr>
        <w:t>≤4.5</w:t>
      </w:r>
      <w:r>
        <w:t>)</w:t>
      </w:r>
      <w:r>
        <w:rPr>
          <w:rFonts w:hint="eastAsia"/>
        </w:rPr>
        <w:t>要求；</w:t>
      </w:r>
    </w:p>
    <w:p>
      <w:pPr>
        <w:ind w:firstLine="420"/>
      </w:pPr>
      <w:r>
        <w:rPr>
          <w:rFonts w:hint="eastAsia"/>
        </w:rPr>
        <w:t>3 地弹平开门和其他无下框的外门可不作气密性能要求。</w:t>
      </w:r>
    </w:p>
    <w:p>
      <w:pPr>
        <w:ind w:firstLine="0" w:firstLineChars="0"/>
      </w:pPr>
      <w:r>
        <w:rPr>
          <w:rFonts w:hint="eastAsia"/>
        </w:rPr>
        <w:t>【条文说明】</w:t>
      </w:r>
    </w:p>
    <w:p>
      <w:pPr>
        <w:ind w:firstLine="420"/>
      </w:pPr>
      <w:r>
        <w:t>6.1.</w:t>
      </w:r>
      <w:r>
        <w:rPr>
          <w:rFonts w:hint="eastAsia"/>
        </w:rPr>
        <w:t>3近零能耗建筑对气密性有较高要求，综合考虑我国建筑外门窗产品的性能水平，并分别测算了外窗、外门对建筑气密性的影响，确定了气密性能指标。抗风压性能和水密性能与建筑外门窗使用地区、建筑高度等密切相关，与节能性能无直接相关性，故符合相应标准规定即可。</w:t>
      </w:r>
    </w:p>
    <w:p>
      <w:pPr>
        <w:pStyle w:val="41"/>
        <w:jc w:val="both"/>
        <w:rPr>
          <w:b w:val="0"/>
        </w:rPr>
      </w:pPr>
      <w:r>
        <w:rPr>
          <w:b w:val="0"/>
        </w:rPr>
        <w:t>6.1.</w:t>
      </w:r>
      <w:r>
        <w:rPr>
          <w:rFonts w:hint="eastAsia"/>
          <w:b w:val="0"/>
        </w:rPr>
        <w:t>4建筑门窗洞口标志尺寸应根据天然采光设计要求和建筑节能要求的窗墙面积比等综合因素合理确定，应符合现行国家标准《建筑门窗洞口尺寸系列》GB/T</w:t>
      </w:r>
      <w:r>
        <w:rPr>
          <w:b w:val="0"/>
        </w:rPr>
        <w:t xml:space="preserve"> 5824</w:t>
      </w:r>
      <w:r>
        <w:rPr>
          <w:rFonts w:hint="eastAsia"/>
          <w:b w:val="0"/>
        </w:rPr>
        <w:t>的规定，并应优先选用现行国家标准《建筑门窗洞口尺寸协调要求》GB/T</w:t>
      </w:r>
      <w:r>
        <w:rPr>
          <w:b w:val="0"/>
        </w:rPr>
        <w:t xml:space="preserve"> </w:t>
      </w:r>
      <w:r>
        <w:rPr>
          <w:rFonts w:hint="eastAsia"/>
          <w:b w:val="0"/>
        </w:rPr>
        <w:t>30591规定的常用标准规格的门窗洞口标志尺寸。</w:t>
      </w:r>
    </w:p>
    <w:p>
      <w:pPr>
        <w:ind w:firstLine="0" w:firstLineChars="0"/>
      </w:pPr>
      <w:r>
        <w:rPr>
          <w:rFonts w:hint="eastAsia"/>
        </w:rPr>
        <w:t>【条文说明】</w:t>
      </w:r>
    </w:p>
    <w:p>
      <w:pPr>
        <w:ind w:firstLine="420"/>
      </w:pPr>
      <w:r>
        <w:t>6.1.</w:t>
      </w:r>
      <w:r>
        <w:rPr>
          <w:rFonts w:hint="eastAsia"/>
        </w:rPr>
        <w:t>4门窗洞口尺寸的非标准化是阻碍我国建筑门窗工业化发展的重要瓶颈。近年来标准化窗已引起了行业的高度重视，也制订了相应的国家标准。近零能耗建筑作为我国建筑节能发展的重要方向，在建筑门窗标准化方面也应做出示范引导。</w:t>
      </w:r>
    </w:p>
    <w:p>
      <w:pPr>
        <w:pStyle w:val="41"/>
        <w:jc w:val="both"/>
        <w:rPr>
          <w:b w:val="0"/>
        </w:rPr>
      </w:pPr>
      <w:r>
        <w:rPr>
          <w:b w:val="0"/>
        </w:rPr>
        <w:t>6.1.5</w:t>
      </w:r>
      <w:r>
        <w:rPr>
          <w:rFonts w:hint="eastAsia"/>
          <w:b w:val="0"/>
        </w:rPr>
        <w:t xml:space="preserve"> 建筑外窗（包括透光幕墙）热工性能参数应符合表6.1.</w:t>
      </w:r>
      <w:r>
        <w:rPr>
          <w:b w:val="0"/>
        </w:rPr>
        <w:t>5</w:t>
      </w:r>
      <w:r>
        <w:rPr>
          <w:rFonts w:hint="eastAsia"/>
          <w:b w:val="0"/>
          <w:szCs w:val="21"/>
        </w:rPr>
        <w:t>-1、</w:t>
      </w:r>
      <w:r>
        <w:rPr>
          <w:rFonts w:hint="eastAsia"/>
          <w:b w:val="0"/>
        </w:rPr>
        <w:t>6.1.</w:t>
      </w:r>
      <w:r>
        <w:rPr>
          <w:b w:val="0"/>
        </w:rPr>
        <w:t>5</w:t>
      </w:r>
      <w:r>
        <w:rPr>
          <w:rFonts w:hint="eastAsia"/>
          <w:b w:val="0"/>
          <w:szCs w:val="21"/>
        </w:rPr>
        <w:t>-2</w:t>
      </w:r>
      <w:r>
        <w:rPr>
          <w:rFonts w:hint="eastAsia"/>
          <w:b w:val="0"/>
        </w:rPr>
        <w:t>的规定。</w:t>
      </w:r>
    </w:p>
    <w:p>
      <w:pPr>
        <w:ind w:firstLine="0" w:firstLineChars="0"/>
        <w:jc w:val="center"/>
        <w:rPr>
          <w:szCs w:val="21"/>
        </w:rPr>
      </w:pPr>
      <w:r>
        <w:rPr>
          <w:rFonts w:hint="eastAsia"/>
          <w:szCs w:val="21"/>
        </w:rPr>
        <w:t>表6.1.</w:t>
      </w:r>
      <w:r>
        <w:rPr>
          <w:szCs w:val="21"/>
        </w:rPr>
        <w:t>5</w:t>
      </w:r>
      <w:r>
        <w:rPr>
          <w:rFonts w:hint="eastAsia"/>
          <w:szCs w:val="21"/>
        </w:rPr>
        <w:t>-1</w:t>
      </w:r>
      <w:r>
        <w:rPr>
          <w:szCs w:val="21"/>
        </w:rPr>
        <w:t xml:space="preserve"> </w:t>
      </w:r>
      <w:r>
        <w:rPr>
          <w:rFonts w:hint="eastAsia"/>
          <w:szCs w:val="21"/>
        </w:rPr>
        <w:t>居住建筑外窗（包括透光幕墙）传热系数（</w:t>
      </w:r>
      <w:r>
        <w:rPr>
          <w:i/>
          <w:iCs/>
          <w:szCs w:val="21"/>
        </w:rPr>
        <w:t>K</w:t>
      </w:r>
      <w:r>
        <w:rPr>
          <w:rFonts w:hint="eastAsia"/>
          <w:szCs w:val="21"/>
        </w:rPr>
        <w:t>）和太阳得热系数（</w:t>
      </w:r>
      <w:r>
        <w:rPr>
          <w:i/>
          <w:iCs/>
          <w:szCs w:val="21"/>
        </w:rPr>
        <w:t>SHGC</w:t>
      </w:r>
      <w:r>
        <w:rPr>
          <w:rFonts w:hint="eastAsia"/>
          <w:szCs w:val="21"/>
        </w:rPr>
        <w:t>）值</w:t>
      </w:r>
    </w:p>
    <w:tbl>
      <w:tblPr>
        <w:tblStyle w:val="4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2"/>
        <w:gridCol w:w="2657"/>
        <w:gridCol w:w="820"/>
        <w:gridCol w:w="1486"/>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trPr>
        <w:tc>
          <w:tcPr>
            <w:tcW w:w="1603" w:type="pct"/>
            <w:vMerge w:val="restart"/>
            <w:vAlign w:val="center"/>
          </w:tcPr>
          <w:p>
            <w:pPr>
              <w:spacing w:line="240" w:lineRule="auto"/>
              <w:ind w:firstLine="0" w:firstLineChars="0"/>
              <w:jc w:val="center"/>
              <w:rPr>
                <w:szCs w:val="21"/>
              </w:rPr>
            </w:pPr>
            <w:r>
              <w:rPr>
                <w:rFonts w:hint="eastAsia"/>
                <w:szCs w:val="21"/>
              </w:rPr>
              <w:t>外窗</w:t>
            </w:r>
          </w:p>
        </w:tc>
        <w:tc>
          <w:tcPr>
            <w:tcW w:w="1559" w:type="pct"/>
            <w:vMerge w:val="restart"/>
            <w:vAlign w:val="center"/>
          </w:tcPr>
          <w:p>
            <w:pPr>
              <w:spacing w:line="240" w:lineRule="auto"/>
              <w:ind w:firstLine="0" w:firstLineChars="0"/>
              <w:jc w:val="center"/>
              <w:rPr>
                <w:szCs w:val="21"/>
              </w:rPr>
            </w:pPr>
            <w:r>
              <w:rPr>
                <w:rFonts w:hint="eastAsia"/>
                <w:szCs w:val="21"/>
              </w:rPr>
              <w:t>传热系数</w:t>
            </w:r>
            <w:r>
              <w:rPr>
                <w:i/>
                <w:iCs/>
                <w:kern w:val="0"/>
                <w:szCs w:val="21"/>
              </w:rPr>
              <w:t>K</w:t>
            </w:r>
            <w:r>
              <w:rPr>
                <w:rFonts w:hint="eastAsia"/>
                <w:i/>
                <w:iCs/>
                <w:kern w:val="0"/>
                <w:szCs w:val="21"/>
              </w:rPr>
              <w:t xml:space="preserve"> </w:t>
            </w:r>
            <w:r>
              <w:rPr>
                <w:rFonts w:hint="eastAsia"/>
                <w:kern w:val="0"/>
                <w:szCs w:val="21"/>
              </w:rPr>
              <w:t>[（</w:t>
            </w:r>
            <w:r>
              <w:rPr>
                <w:kern w:val="0"/>
                <w:szCs w:val="21"/>
              </w:rPr>
              <w:t>W/</w:t>
            </w:r>
            <w:r>
              <w:rPr>
                <w:rFonts w:hint="eastAsia"/>
                <w:kern w:val="0"/>
                <w:szCs w:val="21"/>
              </w:rPr>
              <w:t>㎡·</w:t>
            </w:r>
            <w:r>
              <w:rPr>
                <w:kern w:val="0"/>
                <w:szCs w:val="21"/>
              </w:rPr>
              <w:t>K</w:t>
            </w:r>
            <w:r>
              <w:rPr>
                <w:rFonts w:hint="eastAsia"/>
                <w:kern w:val="0"/>
                <w:szCs w:val="21"/>
              </w:rPr>
              <w:t>）]</w:t>
            </w:r>
          </w:p>
        </w:tc>
        <w:tc>
          <w:tcPr>
            <w:tcW w:w="1836" w:type="pct"/>
            <w:gridSpan w:val="3"/>
            <w:vAlign w:val="center"/>
          </w:tcPr>
          <w:p>
            <w:pPr>
              <w:spacing w:line="240" w:lineRule="auto"/>
              <w:ind w:firstLine="0" w:firstLineChars="0"/>
              <w:jc w:val="center"/>
              <w:rPr>
                <w:szCs w:val="21"/>
              </w:rPr>
            </w:pPr>
            <w:r>
              <w:rPr>
                <w:rFonts w:hint="eastAsia"/>
                <w:szCs w:val="21"/>
              </w:rPr>
              <w:t>太阳得热系数</w:t>
            </w:r>
            <w:r>
              <w:rPr>
                <w:i/>
                <w:szCs w:val="21"/>
              </w:rPr>
              <w:t>SHGC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trPr>
        <w:tc>
          <w:tcPr>
            <w:tcW w:w="1603" w:type="pct"/>
            <w:vMerge w:val="continue"/>
            <w:vAlign w:val="center"/>
          </w:tcPr>
          <w:p>
            <w:pPr>
              <w:spacing w:line="240" w:lineRule="auto"/>
              <w:ind w:firstLine="0" w:firstLineChars="0"/>
              <w:jc w:val="center"/>
              <w:rPr>
                <w:szCs w:val="21"/>
              </w:rPr>
            </w:pPr>
          </w:p>
        </w:tc>
        <w:tc>
          <w:tcPr>
            <w:tcW w:w="1559" w:type="pct"/>
            <w:vMerge w:val="continue"/>
            <w:vAlign w:val="center"/>
          </w:tcPr>
          <w:p>
            <w:pPr>
              <w:spacing w:line="240" w:lineRule="auto"/>
              <w:ind w:firstLine="0" w:firstLineChars="0"/>
              <w:jc w:val="center"/>
              <w:rPr>
                <w:szCs w:val="21"/>
              </w:rPr>
            </w:pPr>
          </w:p>
        </w:tc>
        <w:tc>
          <w:tcPr>
            <w:tcW w:w="481" w:type="pct"/>
            <w:vAlign w:val="center"/>
          </w:tcPr>
          <w:p>
            <w:pPr>
              <w:spacing w:line="240" w:lineRule="auto"/>
              <w:ind w:firstLine="0" w:firstLineChars="0"/>
              <w:jc w:val="center"/>
              <w:rPr>
                <w:szCs w:val="21"/>
              </w:rPr>
            </w:pPr>
            <w:r>
              <w:rPr>
                <w:rFonts w:hint="eastAsia"/>
                <w:szCs w:val="21"/>
              </w:rPr>
              <w:t>西向</w:t>
            </w:r>
          </w:p>
        </w:tc>
        <w:tc>
          <w:tcPr>
            <w:tcW w:w="872" w:type="pct"/>
            <w:vAlign w:val="center"/>
          </w:tcPr>
          <w:p>
            <w:pPr>
              <w:spacing w:line="240" w:lineRule="auto"/>
              <w:ind w:firstLine="0" w:firstLineChars="0"/>
              <w:jc w:val="center"/>
              <w:rPr>
                <w:szCs w:val="21"/>
              </w:rPr>
            </w:pPr>
            <w:r>
              <w:rPr>
                <w:rFonts w:hint="eastAsia"/>
                <w:szCs w:val="21"/>
              </w:rPr>
              <w:t>东向、南向</w:t>
            </w:r>
          </w:p>
        </w:tc>
        <w:tc>
          <w:tcPr>
            <w:tcW w:w="481" w:type="pct"/>
            <w:vAlign w:val="center"/>
          </w:tcPr>
          <w:p>
            <w:pPr>
              <w:spacing w:line="240" w:lineRule="auto"/>
              <w:ind w:firstLine="0" w:firstLineChars="0"/>
              <w:jc w:val="center"/>
              <w:rPr>
                <w:szCs w:val="21"/>
              </w:rPr>
            </w:pPr>
            <w:r>
              <w:rPr>
                <w:rFonts w:hint="eastAsia"/>
                <w:szCs w:val="21"/>
              </w:rPr>
              <w:t>北向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03" w:type="pct"/>
            <w:vAlign w:val="center"/>
          </w:tcPr>
          <w:p>
            <w:pPr>
              <w:spacing w:line="240" w:lineRule="auto"/>
              <w:ind w:firstLine="0" w:firstLineChars="0"/>
              <w:jc w:val="center"/>
              <w:rPr>
                <w:szCs w:val="21"/>
              </w:rPr>
            </w:pPr>
            <w:r>
              <w:rPr>
                <w:rFonts w:hint="eastAsia"/>
                <w:szCs w:val="21"/>
              </w:rPr>
              <w:t>窗墙面积比≤</w:t>
            </w:r>
            <w:r>
              <w:rPr>
                <w:szCs w:val="21"/>
              </w:rPr>
              <w:t>0.25</w:t>
            </w:r>
          </w:p>
        </w:tc>
        <w:tc>
          <w:tcPr>
            <w:tcW w:w="1559" w:type="pct"/>
            <w:vAlign w:val="center"/>
          </w:tcPr>
          <w:p>
            <w:pPr>
              <w:spacing w:line="240" w:lineRule="auto"/>
              <w:ind w:firstLine="0" w:firstLineChars="0"/>
              <w:jc w:val="center"/>
              <w:rPr>
                <w:szCs w:val="21"/>
              </w:rPr>
            </w:pPr>
            <w:r>
              <w:rPr>
                <w:rFonts w:hint="eastAsia"/>
                <w:szCs w:val="21"/>
              </w:rPr>
              <w:t>≤</w:t>
            </w:r>
            <w:r>
              <w:rPr>
                <w:szCs w:val="21"/>
              </w:rPr>
              <w:t>3.50</w:t>
            </w:r>
          </w:p>
        </w:tc>
        <w:tc>
          <w:tcPr>
            <w:tcW w:w="481" w:type="pct"/>
          </w:tcPr>
          <w:p>
            <w:pPr>
              <w:widowControl/>
              <w:spacing w:line="240" w:lineRule="auto"/>
              <w:ind w:firstLine="0" w:firstLineChars="0"/>
              <w:jc w:val="center"/>
              <w:rPr>
                <w:szCs w:val="21"/>
              </w:rPr>
            </w:pPr>
            <w:r>
              <w:rPr>
                <w:rFonts w:hint="eastAsia"/>
                <w:szCs w:val="21"/>
              </w:rPr>
              <w:t>≤</w:t>
            </w:r>
            <w:r>
              <w:rPr>
                <w:szCs w:val="21"/>
                <w:lang w:bidi="ar"/>
              </w:rPr>
              <w:t>0.30</w:t>
            </w:r>
          </w:p>
        </w:tc>
        <w:tc>
          <w:tcPr>
            <w:tcW w:w="872" w:type="pct"/>
            <w:vAlign w:val="bottom"/>
          </w:tcPr>
          <w:p>
            <w:pPr>
              <w:widowControl/>
              <w:spacing w:line="240" w:lineRule="auto"/>
              <w:ind w:firstLine="0" w:firstLineChars="0"/>
              <w:jc w:val="center"/>
              <w:rPr>
                <w:szCs w:val="21"/>
              </w:rPr>
            </w:pPr>
            <w:r>
              <w:rPr>
                <w:rFonts w:hint="eastAsia"/>
                <w:szCs w:val="21"/>
              </w:rPr>
              <w:t>≤</w:t>
            </w:r>
            <w:r>
              <w:rPr>
                <w:szCs w:val="21"/>
                <w:lang w:bidi="ar"/>
              </w:rPr>
              <w:t>0.35</w:t>
            </w:r>
          </w:p>
        </w:tc>
        <w:tc>
          <w:tcPr>
            <w:tcW w:w="481" w:type="pct"/>
            <w:vAlign w:val="bottom"/>
          </w:tcPr>
          <w:p>
            <w:pPr>
              <w:widowControl/>
              <w:spacing w:line="240" w:lineRule="auto"/>
              <w:ind w:firstLine="0" w:firstLineChars="0"/>
              <w:jc w:val="center"/>
              <w:rPr>
                <w:szCs w:val="21"/>
              </w:rPr>
            </w:pPr>
            <w:r>
              <w:rPr>
                <w:rFonts w:hint="eastAsia"/>
                <w:szCs w:val="21"/>
              </w:rPr>
              <w:t>≤</w:t>
            </w:r>
            <w:r>
              <w:rPr>
                <w:szCs w:val="21"/>
                <w:lang w:bidi="ar"/>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03" w:type="pct"/>
            <w:vAlign w:val="center"/>
          </w:tcPr>
          <w:p>
            <w:pPr>
              <w:spacing w:line="240" w:lineRule="auto"/>
              <w:ind w:firstLine="0" w:firstLineChars="0"/>
              <w:jc w:val="center"/>
              <w:rPr>
                <w:szCs w:val="21"/>
              </w:rPr>
            </w:pPr>
            <w:r>
              <w:rPr>
                <w:rFonts w:hint="eastAsia"/>
                <w:szCs w:val="21"/>
              </w:rPr>
              <w:t>0.25＜窗墙面积比≤</w:t>
            </w:r>
            <w:r>
              <w:rPr>
                <w:szCs w:val="21"/>
              </w:rPr>
              <w:t>0.35</w:t>
            </w:r>
          </w:p>
        </w:tc>
        <w:tc>
          <w:tcPr>
            <w:tcW w:w="1559" w:type="pct"/>
            <w:vAlign w:val="center"/>
          </w:tcPr>
          <w:p>
            <w:pPr>
              <w:spacing w:line="240" w:lineRule="auto"/>
              <w:ind w:firstLine="0" w:firstLineChars="0"/>
              <w:jc w:val="center"/>
              <w:rPr>
                <w:szCs w:val="21"/>
              </w:rPr>
            </w:pPr>
            <w:r>
              <w:rPr>
                <w:rFonts w:hint="eastAsia"/>
                <w:szCs w:val="21"/>
              </w:rPr>
              <w:t>≤</w:t>
            </w:r>
            <w:r>
              <w:rPr>
                <w:szCs w:val="21"/>
              </w:rPr>
              <w:t>3.50</w:t>
            </w:r>
          </w:p>
        </w:tc>
        <w:tc>
          <w:tcPr>
            <w:tcW w:w="481" w:type="pct"/>
          </w:tcPr>
          <w:p>
            <w:pPr>
              <w:widowControl/>
              <w:spacing w:line="240" w:lineRule="auto"/>
              <w:ind w:firstLine="0" w:firstLineChars="0"/>
              <w:jc w:val="center"/>
              <w:rPr>
                <w:szCs w:val="21"/>
              </w:rPr>
            </w:pPr>
            <w:r>
              <w:rPr>
                <w:rFonts w:hint="eastAsia"/>
                <w:szCs w:val="21"/>
              </w:rPr>
              <w:t>≤</w:t>
            </w:r>
            <w:r>
              <w:rPr>
                <w:szCs w:val="21"/>
                <w:lang w:bidi="ar"/>
              </w:rPr>
              <w:t>0.25</w:t>
            </w:r>
          </w:p>
        </w:tc>
        <w:tc>
          <w:tcPr>
            <w:tcW w:w="872" w:type="pct"/>
            <w:vAlign w:val="bottom"/>
          </w:tcPr>
          <w:p>
            <w:pPr>
              <w:widowControl/>
              <w:spacing w:line="240" w:lineRule="auto"/>
              <w:ind w:firstLine="0" w:firstLineChars="0"/>
              <w:jc w:val="center"/>
              <w:rPr>
                <w:szCs w:val="21"/>
              </w:rPr>
            </w:pPr>
            <w:r>
              <w:rPr>
                <w:rFonts w:hint="eastAsia"/>
                <w:szCs w:val="21"/>
              </w:rPr>
              <w:t>≤</w:t>
            </w:r>
            <w:r>
              <w:rPr>
                <w:szCs w:val="21"/>
                <w:lang w:bidi="ar"/>
              </w:rPr>
              <w:t>0.30</w:t>
            </w:r>
          </w:p>
        </w:tc>
        <w:tc>
          <w:tcPr>
            <w:tcW w:w="481" w:type="pct"/>
            <w:vAlign w:val="bottom"/>
          </w:tcPr>
          <w:p>
            <w:pPr>
              <w:widowControl/>
              <w:spacing w:line="240" w:lineRule="auto"/>
              <w:ind w:firstLine="0" w:firstLineChars="0"/>
              <w:jc w:val="center"/>
              <w:rPr>
                <w:szCs w:val="21"/>
              </w:rPr>
            </w:pPr>
            <w:r>
              <w:rPr>
                <w:rFonts w:hint="eastAsia"/>
                <w:szCs w:val="21"/>
              </w:rPr>
              <w:t>≤</w:t>
            </w:r>
            <w:r>
              <w:rPr>
                <w:szCs w:val="21"/>
                <w:lang w:bidi="ar"/>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1603" w:type="pct"/>
            <w:vAlign w:val="center"/>
          </w:tcPr>
          <w:p>
            <w:pPr>
              <w:spacing w:line="240" w:lineRule="auto"/>
              <w:ind w:firstLine="0" w:firstLineChars="0"/>
              <w:jc w:val="center"/>
              <w:rPr>
                <w:szCs w:val="21"/>
              </w:rPr>
            </w:pPr>
            <w:r>
              <w:rPr>
                <w:rFonts w:hint="eastAsia"/>
                <w:szCs w:val="21"/>
              </w:rPr>
              <w:t>0.35＜窗墙面积比≤</w:t>
            </w:r>
            <w:r>
              <w:rPr>
                <w:szCs w:val="21"/>
              </w:rPr>
              <w:t>0.40</w:t>
            </w:r>
          </w:p>
        </w:tc>
        <w:tc>
          <w:tcPr>
            <w:tcW w:w="1559" w:type="pct"/>
            <w:vAlign w:val="center"/>
          </w:tcPr>
          <w:p>
            <w:pPr>
              <w:spacing w:line="240" w:lineRule="auto"/>
              <w:ind w:firstLine="0" w:firstLineChars="0"/>
              <w:jc w:val="center"/>
              <w:rPr>
                <w:szCs w:val="21"/>
              </w:rPr>
            </w:pPr>
            <w:r>
              <w:rPr>
                <w:rFonts w:hint="eastAsia"/>
                <w:szCs w:val="21"/>
              </w:rPr>
              <w:t>≤</w:t>
            </w:r>
            <w:r>
              <w:rPr>
                <w:szCs w:val="21"/>
              </w:rPr>
              <w:t>3.00</w:t>
            </w:r>
          </w:p>
        </w:tc>
        <w:tc>
          <w:tcPr>
            <w:tcW w:w="481" w:type="pct"/>
          </w:tcPr>
          <w:p>
            <w:pPr>
              <w:widowControl/>
              <w:spacing w:line="240" w:lineRule="auto"/>
              <w:ind w:firstLine="0" w:firstLineChars="0"/>
              <w:jc w:val="center"/>
              <w:rPr>
                <w:szCs w:val="21"/>
              </w:rPr>
            </w:pPr>
            <w:r>
              <w:rPr>
                <w:rFonts w:hint="eastAsia"/>
                <w:szCs w:val="21"/>
              </w:rPr>
              <w:t>≤</w:t>
            </w:r>
            <w:r>
              <w:rPr>
                <w:szCs w:val="21"/>
                <w:lang w:bidi="ar"/>
              </w:rPr>
              <w:t>0.20</w:t>
            </w:r>
          </w:p>
        </w:tc>
        <w:tc>
          <w:tcPr>
            <w:tcW w:w="872" w:type="pct"/>
            <w:vAlign w:val="bottom"/>
          </w:tcPr>
          <w:p>
            <w:pPr>
              <w:widowControl/>
              <w:spacing w:line="240" w:lineRule="auto"/>
              <w:ind w:firstLine="0" w:firstLineChars="0"/>
              <w:jc w:val="center"/>
              <w:rPr>
                <w:szCs w:val="21"/>
              </w:rPr>
            </w:pPr>
            <w:r>
              <w:rPr>
                <w:rFonts w:hint="eastAsia"/>
                <w:szCs w:val="21"/>
              </w:rPr>
              <w:t>≤</w:t>
            </w:r>
            <w:r>
              <w:rPr>
                <w:szCs w:val="21"/>
                <w:lang w:bidi="ar"/>
              </w:rPr>
              <w:t>0.30</w:t>
            </w:r>
          </w:p>
        </w:tc>
        <w:tc>
          <w:tcPr>
            <w:tcW w:w="481" w:type="pct"/>
            <w:vAlign w:val="bottom"/>
          </w:tcPr>
          <w:p>
            <w:pPr>
              <w:widowControl/>
              <w:spacing w:line="240" w:lineRule="auto"/>
              <w:ind w:firstLine="0" w:firstLineChars="0"/>
              <w:jc w:val="center"/>
              <w:rPr>
                <w:szCs w:val="21"/>
              </w:rPr>
            </w:pPr>
            <w:r>
              <w:rPr>
                <w:rFonts w:hint="eastAsia"/>
                <w:szCs w:val="21"/>
              </w:rPr>
              <w:t>≤</w:t>
            </w:r>
            <w:r>
              <w:rPr>
                <w:szCs w:val="21"/>
                <w:lang w:bidi="ar"/>
              </w:rPr>
              <w:t>0.30</w:t>
            </w:r>
          </w:p>
        </w:tc>
      </w:tr>
    </w:tbl>
    <w:p>
      <w:pPr>
        <w:ind w:firstLine="0" w:firstLineChars="0"/>
        <w:jc w:val="center"/>
        <w:rPr>
          <w:szCs w:val="21"/>
        </w:rPr>
      </w:pPr>
      <w:r>
        <w:rPr>
          <w:rFonts w:hint="eastAsia"/>
          <w:szCs w:val="21"/>
        </w:rPr>
        <w:t>表6.1.</w:t>
      </w:r>
      <w:r>
        <w:rPr>
          <w:szCs w:val="21"/>
        </w:rPr>
        <w:t>5</w:t>
      </w:r>
      <w:r>
        <w:rPr>
          <w:rFonts w:hint="eastAsia"/>
          <w:szCs w:val="21"/>
        </w:rPr>
        <w:t>-2</w:t>
      </w:r>
      <w:r>
        <w:rPr>
          <w:szCs w:val="21"/>
        </w:rPr>
        <w:t xml:space="preserve"> </w:t>
      </w:r>
      <w:r>
        <w:rPr>
          <w:rFonts w:hint="eastAsia"/>
          <w:szCs w:val="21"/>
        </w:rPr>
        <w:t>公共建筑外窗（包括透光幕墙）传热系数（</w:t>
      </w:r>
      <w:r>
        <w:rPr>
          <w:i/>
          <w:iCs/>
          <w:szCs w:val="21"/>
        </w:rPr>
        <w:t>K</w:t>
      </w:r>
      <w:r>
        <w:rPr>
          <w:rFonts w:hint="eastAsia"/>
          <w:szCs w:val="21"/>
        </w:rPr>
        <w:t>）和太阳得热系数（</w:t>
      </w:r>
      <w:r>
        <w:rPr>
          <w:i/>
          <w:iCs/>
          <w:szCs w:val="21"/>
        </w:rPr>
        <w:t>SHGC</w:t>
      </w:r>
      <w:r>
        <w:rPr>
          <w:rFonts w:hint="eastAsia"/>
          <w:szCs w:val="21"/>
        </w:rPr>
        <w:t>）值</w:t>
      </w:r>
    </w:p>
    <w:p>
      <w:pPr>
        <w:spacing w:line="400" w:lineRule="exact"/>
        <w:ind w:firstLine="420"/>
        <w:jc w:val="center"/>
        <w:rPr>
          <w:rFonts w:ascii="宋体" w:hAnsi="宋体" w:cs="宋体"/>
          <w:szCs w:val="21"/>
          <w:lang w:bidi="zh-TW"/>
        </w:rPr>
      </w:pPr>
      <w:r>
        <w:rPr>
          <w:rFonts w:hint="eastAsia" w:ascii="宋体" w:hAnsi="宋体" w:cs="宋体"/>
          <w:szCs w:val="21"/>
          <w:lang w:bidi="zh-TW"/>
        </w:rPr>
        <w:t>甲类公共建筑单一立面外窗热工性能推荐值</w:t>
      </w:r>
    </w:p>
    <w:tbl>
      <w:tblPr>
        <w:tblStyle w:val="4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0"/>
        <w:gridCol w:w="2978"/>
        <w:gridCol w:w="2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jc w:val="center"/>
        </w:trPr>
        <w:tc>
          <w:tcPr>
            <w:tcW w:w="1537" w:type="pct"/>
            <w:vAlign w:val="center"/>
          </w:tcPr>
          <w:p>
            <w:pPr>
              <w:spacing w:line="240" w:lineRule="auto"/>
              <w:ind w:firstLine="0" w:firstLineChars="0"/>
              <w:jc w:val="center"/>
              <w:rPr>
                <w:szCs w:val="21"/>
              </w:rPr>
            </w:pPr>
            <w:r>
              <w:rPr>
                <w:rFonts w:hint="eastAsia"/>
                <w:szCs w:val="21"/>
              </w:rPr>
              <w:t>外窗</w:t>
            </w:r>
          </w:p>
        </w:tc>
        <w:tc>
          <w:tcPr>
            <w:tcW w:w="1747" w:type="pct"/>
            <w:vAlign w:val="center"/>
          </w:tcPr>
          <w:p>
            <w:pPr>
              <w:spacing w:line="240" w:lineRule="auto"/>
              <w:ind w:firstLine="0" w:firstLineChars="0"/>
              <w:jc w:val="center"/>
              <w:rPr>
                <w:szCs w:val="21"/>
              </w:rPr>
            </w:pPr>
            <w:r>
              <w:rPr>
                <w:rFonts w:hint="eastAsia"/>
                <w:szCs w:val="21"/>
              </w:rPr>
              <w:t>传热系数</w:t>
            </w:r>
            <w:r>
              <w:rPr>
                <w:i/>
                <w:iCs/>
                <w:kern w:val="0"/>
                <w:szCs w:val="21"/>
              </w:rPr>
              <w:t>K</w:t>
            </w:r>
            <w:r>
              <w:rPr>
                <w:rFonts w:hint="eastAsia"/>
                <w:i/>
                <w:iCs/>
                <w:kern w:val="0"/>
                <w:szCs w:val="21"/>
              </w:rPr>
              <w:t xml:space="preserve"> </w:t>
            </w:r>
            <w:r>
              <w:rPr>
                <w:rFonts w:hint="eastAsia"/>
                <w:kern w:val="0"/>
                <w:szCs w:val="21"/>
              </w:rPr>
              <w:t>[（</w:t>
            </w:r>
            <w:r>
              <w:rPr>
                <w:kern w:val="0"/>
                <w:szCs w:val="21"/>
              </w:rPr>
              <w:t>W/</w:t>
            </w:r>
            <w:r>
              <w:rPr>
                <w:rFonts w:hint="eastAsia"/>
                <w:kern w:val="0"/>
                <w:szCs w:val="21"/>
              </w:rPr>
              <w:t>㎡·</w:t>
            </w:r>
            <w:r>
              <w:rPr>
                <w:kern w:val="0"/>
                <w:szCs w:val="21"/>
              </w:rPr>
              <w:t>K</w:t>
            </w:r>
            <w:r>
              <w:rPr>
                <w:rFonts w:hint="eastAsia"/>
                <w:kern w:val="0"/>
                <w:szCs w:val="21"/>
              </w:rPr>
              <w:t>）]</w:t>
            </w:r>
          </w:p>
        </w:tc>
        <w:tc>
          <w:tcPr>
            <w:tcW w:w="1715" w:type="pct"/>
            <w:vAlign w:val="center"/>
          </w:tcPr>
          <w:p>
            <w:pPr>
              <w:spacing w:line="240" w:lineRule="auto"/>
              <w:ind w:firstLine="0" w:firstLineChars="0"/>
              <w:jc w:val="center"/>
              <w:rPr>
                <w:szCs w:val="21"/>
              </w:rPr>
            </w:pPr>
            <w:r>
              <w:rPr>
                <w:rFonts w:hint="eastAsia"/>
                <w:szCs w:val="21"/>
              </w:rPr>
              <w:t>综合太阳得热系数</w:t>
            </w:r>
            <w:r>
              <w:rPr>
                <w:i/>
                <w:szCs w:val="21"/>
              </w:rPr>
              <w:t>SHGC</w:t>
            </w:r>
          </w:p>
          <w:p>
            <w:pPr>
              <w:spacing w:after="120" w:line="240" w:lineRule="auto"/>
              <w:ind w:firstLine="0" w:firstLineChars="0"/>
              <w:jc w:val="center"/>
              <w:rPr>
                <w:szCs w:val="21"/>
              </w:rPr>
            </w:pPr>
            <w:r>
              <w:rPr>
                <w:rFonts w:hint="eastAsia"/>
                <w:szCs w:val="21"/>
              </w:rPr>
              <w:t>（东、南、西向/北向）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1537" w:type="pct"/>
            <w:vAlign w:val="center"/>
          </w:tcPr>
          <w:p>
            <w:pPr>
              <w:spacing w:line="240" w:lineRule="auto"/>
              <w:ind w:firstLine="0" w:firstLineChars="0"/>
              <w:jc w:val="center"/>
              <w:rPr>
                <w:szCs w:val="21"/>
              </w:rPr>
            </w:pPr>
            <w:r>
              <w:rPr>
                <w:rFonts w:hint="eastAsia"/>
                <w:szCs w:val="21"/>
              </w:rPr>
              <w:t>窗墙面积比≤</w:t>
            </w:r>
            <w:r>
              <w:rPr>
                <w:szCs w:val="21"/>
              </w:rPr>
              <w:t>0.20</w:t>
            </w:r>
          </w:p>
        </w:tc>
        <w:tc>
          <w:tcPr>
            <w:tcW w:w="1747" w:type="pct"/>
            <w:vAlign w:val="center"/>
          </w:tcPr>
          <w:p>
            <w:pPr>
              <w:spacing w:line="240" w:lineRule="auto"/>
              <w:ind w:firstLine="0" w:firstLineChars="0"/>
              <w:jc w:val="center"/>
              <w:rPr>
                <w:szCs w:val="21"/>
              </w:rPr>
            </w:pPr>
            <w:r>
              <w:rPr>
                <w:rFonts w:hint="eastAsia"/>
                <w:szCs w:val="21"/>
              </w:rPr>
              <w:t>≤4</w:t>
            </w:r>
            <w:r>
              <w:rPr>
                <w:szCs w:val="21"/>
              </w:rPr>
              <w:t>.</w:t>
            </w:r>
            <w:r>
              <w:rPr>
                <w:rFonts w:hint="eastAsia"/>
                <w:szCs w:val="21"/>
              </w:rPr>
              <w:t>0</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1537" w:type="pct"/>
            <w:vAlign w:val="center"/>
          </w:tcPr>
          <w:p>
            <w:pPr>
              <w:spacing w:line="240" w:lineRule="auto"/>
              <w:ind w:firstLine="0" w:firstLineChars="0"/>
              <w:jc w:val="center"/>
              <w:rPr>
                <w:szCs w:val="21"/>
              </w:rPr>
            </w:pPr>
            <w:r>
              <w:rPr>
                <w:rFonts w:hint="eastAsia"/>
                <w:szCs w:val="21"/>
              </w:rPr>
              <w:t>0.20＜窗墙面积比≤</w:t>
            </w:r>
            <w:r>
              <w:rPr>
                <w:szCs w:val="21"/>
              </w:rPr>
              <w:t>0.30</w:t>
            </w:r>
          </w:p>
        </w:tc>
        <w:tc>
          <w:tcPr>
            <w:tcW w:w="1747" w:type="pct"/>
            <w:vAlign w:val="center"/>
          </w:tcPr>
          <w:p>
            <w:pPr>
              <w:spacing w:line="240" w:lineRule="auto"/>
              <w:ind w:firstLine="0" w:firstLineChars="0"/>
              <w:jc w:val="center"/>
              <w:rPr>
                <w:szCs w:val="21"/>
              </w:rPr>
            </w:pPr>
            <w:r>
              <w:rPr>
                <w:rFonts w:hint="eastAsia"/>
                <w:szCs w:val="21"/>
              </w:rPr>
              <w:t>≤3</w:t>
            </w:r>
            <w:r>
              <w:rPr>
                <w:szCs w:val="21"/>
              </w:rPr>
              <w:t>.</w:t>
            </w:r>
            <w:r>
              <w:rPr>
                <w:rFonts w:hint="eastAsia"/>
                <w:szCs w:val="21"/>
              </w:rPr>
              <w:t>00</w:t>
            </w:r>
          </w:p>
        </w:tc>
        <w:tc>
          <w:tcPr>
            <w:tcW w:w="1715" w:type="pct"/>
            <w:vAlign w:val="center"/>
          </w:tcPr>
          <w:p>
            <w:pPr>
              <w:spacing w:line="240" w:lineRule="auto"/>
              <w:ind w:firstLine="0" w:firstLineChars="0"/>
              <w:jc w:val="center"/>
              <w:rPr>
                <w:szCs w:val="21"/>
              </w:rPr>
            </w:pPr>
            <w:r>
              <w:rPr>
                <w:rFonts w:hint="eastAsia"/>
                <w:szCs w:val="21"/>
              </w:rPr>
              <w:t>≤</w:t>
            </w:r>
            <w:r>
              <w:rPr>
                <w:szCs w:val="21"/>
              </w:rPr>
              <w:t>0.35/0.40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1537" w:type="pct"/>
            <w:vAlign w:val="center"/>
          </w:tcPr>
          <w:p>
            <w:pPr>
              <w:spacing w:line="240" w:lineRule="auto"/>
              <w:ind w:firstLine="0" w:firstLineChars="0"/>
              <w:jc w:val="center"/>
              <w:rPr>
                <w:szCs w:val="21"/>
              </w:rPr>
            </w:pPr>
            <w:r>
              <w:rPr>
                <w:rFonts w:hint="eastAsia"/>
                <w:szCs w:val="21"/>
              </w:rPr>
              <w:t>0.30＜窗墙面积比≤</w:t>
            </w:r>
            <w:r>
              <w:rPr>
                <w:szCs w:val="21"/>
              </w:rPr>
              <w:t>0.</w:t>
            </w:r>
            <w:r>
              <w:rPr>
                <w:rFonts w:hint="eastAsia"/>
                <w:szCs w:val="21"/>
              </w:rPr>
              <w:t>4</w:t>
            </w:r>
            <w:r>
              <w:rPr>
                <w:szCs w:val="21"/>
              </w:rPr>
              <w:t>0</w:t>
            </w:r>
          </w:p>
        </w:tc>
        <w:tc>
          <w:tcPr>
            <w:tcW w:w="1747" w:type="pct"/>
            <w:vAlign w:val="center"/>
          </w:tcPr>
          <w:p>
            <w:pPr>
              <w:spacing w:line="240" w:lineRule="auto"/>
              <w:ind w:firstLine="0" w:firstLineChars="0"/>
              <w:jc w:val="center"/>
              <w:rPr>
                <w:szCs w:val="21"/>
              </w:rPr>
            </w:pPr>
            <w:r>
              <w:rPr>
                <w:rFonts w:hint="eastAsia"/>
                <w:szCs w:val="21"/>
              </w:rPr>
              <w:t>≤</w:t>
            </w:r>
            <w:r>
              <w:rPr>
                <w:szCs w:val="21"/>
              </w:rPr>
              <w:t>2.</w:t>
            </w:r>
            <w:r>
              <w:rPr>
                <w:rFonts w:hint="eastAsia"/>
                <w:szCs w:val="21"/>
              </w:rPr>
              <w:t>5</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30</w:t>
            </w:r>
            <w:r>
              <w:rPr>
                <w:szCs w:val="21"/>
              </w:rPr>
              <w:t>/0.3</w:t>
            </w:r>
            <w:r>
              <w:rPr>
                <w:rFonts w:hint="eastAsia"/>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1537" w:type="pct"/>
            <w:vAlign w:val="center"/>
          </w:tcPr>
          <w:p>
            <w:pPr>
              <w:spacing w:line="240" w:lineRule="auto"/>
              <w:ind w:firstLine="0" w:firstLineChars="0"/>
              <w:jc w:val="center"/>
              <w:rPr>
                <w:szCs w:val="21"/>
              </w:rPr>
            </w:pPr>
            <w:r>
              <w:rPr>
                <w:rFonts w:hint="eastAsia"/>
                <w:szCs w:val="21"/>
              </w:rPr>
              <w:t>0.40＜窗墙面积比≤</w:t>
            </w:r>
            <w:r>
              <w:rPr>
                <w:szCs w:val="21"/>
              </w:rPr>
              <w:t>0.</w:t>
            </w:r>
            <w:r>
              <w:rPr>
                <w:rFonts w:hint="eastAsia"/>
                <w:szCs w:val="21"/>
              </w:rPr>
              <w:t>5</w:t>
            </w:r>
            <w:r>
              <w:rPr>
                <w:szCs w:val="21"/>
              </w:rPr>
              <w:t>0</w:t>
            </w:r>
          </w:p>
        </w:tc>
        <w:tc>
          <w:tcPr>
            <w:tcW w:w="1747" w:type="pct"/>
            <w:vAlign w:val="center"/>
          </w:tcPr>
          <w:p>
            <w:pPr>
              <w:spacing w:line="240" w:lineRule="auto"/>
              <w:ind w:firstLine="0" w:firstLineChars="0"/>
              <w:jc w:val="center"/>
              <w:rPr>
                <w:szCs w:val="21"/>
              </w:rPr>
            </w:pPr>
            <w:r>
              <w:rPr>
                <w:rFonts w:hint="eastAsia"/>
                <w:szCs w:val="21"/>
              </w:rPr>
              <w:t>≤</w:t>
            </w:r>
            <w:r>
              <w:rPr>
                <w:szCs w:val="21"/>
              </w:rPr>
              <w:t>2.</w:t>
            </w:r>
            <w:r>
              <w:rPr>
                <w:rFonts w:hint="eastAsia"/>
                <w:szCs w:val="21"/>
              </w:rPr>
              <w:t>5</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25</w:t>
            </w:r>
            <w:r>
              <w:rPr>
                <w:szCs w:val="21"/>
              </w:rPr>
              <w:t>/0.</w:t>
            </w:r>
            <w:r>
              <w:rPr>
                <w:rFonts w:hint="eastAsia"/>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1537" w:type="pct"/>
            <w:vAlign w:val="center"/>
          </w:tcPr>
          <w:p>
            <w:pPr>
              <w:spacing w:line="240" w:lineRule="auto"/>
              <w:ind w:firstLine="0" w:firstLineChars="0"/>
              <w:jc w:val="center"/>
              <w:rPr>
                <w:szCs w:val="21"/>
              </w:rPr>
            </w:pPr>
            <w:r>
              <w:rPr>
                <w:rFonts w:hint="eastAsia"/>
                <w:szCs w:val="21"/>
              </w:rPr>
              <w:t>0.50＜窗墙面积比≤</w:t>
            </w:r>
            <w:r>
              <w:rPr>
                <w:szCs w:val="21"/>
              </w:rPr>
              <w:t>0.</w:t>
            </w:r>
            <w:r>
              <w:rPr>
                <w:rFonts w:hint="eastAsia"/>
                <w:szCs w:val="21"/>
              </w:rPr>
              <w:t>6</w:t>
            </w:r>
            <w:r>
              <w:rPr>
                <w:szCs w:val="21"/>
              </w:rPr>
              <w:t>0</w:t>
            </w:r>
          </w:p>
        </w:tc>
        <w:tc>
          <w:tcPr>
            <w:tcW w:w="1747" w:type="pct"/>
            <w:vAlign w:val="center"/>
          </w:tcPr>
          <w:p>
            <w:pPr>
              <w:spacing w:line="240" w:lineRule="auto"/>
              <w:ind w:firstLine="0" w:firstLineChars="0"/>
              <w:jc w:val="center"/>
              <w:rPr>
                <w:szCs w:val="21"/>
              </w:rPr>
            </w:pPr>
            <w:r>
              <w:rPr>
                <w:rFonts w:hint="eastAsia"/>
                <w:szCs w:val="21"/>
              </w:rPr>
              <w:t>≤</w:t>
            </w:r>
            <w:r>
              <w:rPr>
                <w:szCs w:val="21"/>
              </w:rPr>
              <w:t>2.</w:t>
            </w:r>
            <w:r>
              <w:rPr>
                <w:rFonts w:hint="eastAsia"/>
                <w:szCs w:val="21"/>
              </w:rPr>
              <w:t>4</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20</w:t>
            </w:r>
            <w:r>
              <w:rPr>
                <w:szCs w:val="21"/>
              </w:rPr>
              <w:t>/0.</w:t>
            </w:r>
            <w:r>
              <w:rPr>
                <w:rFonts w:hint="eastAsia"/>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1537" w:type="pct"/>
            <w:vAlign w:val="center"/>
          </w:tcPr>
          <w:p>
            <w:pPr>
              <w:spacing w:line="240" w:lineRule="auto"/>
              <w:ind w:firstLine="0" w:firstLineChars="0"/>
              <w:jc w:val="center"/>
              <w:rPr>
                <w:szCs w:val="21"/>
              </w:rPr>
            </w:pPr>
            <w:r>
              <w:rPr>
                <w:rFonts w:hint="eastAsia"/>
                <w:szCs w:val="21"/>
              </w:rPr>
              <w:t>0.60＜窗墙面积比≤</w:t>
            </w:r>
            <w:r>
              <w:rPr>
                <w:szCs w:val="21"/>
              </w:rPr>
              <w:t>0.</w:t>
            </w:r>
            <w:r>
              <w:rPr>
                <w:rFonts w:hint="eastAsia"/>
                <w:szCs w:val="21"/>
              </w:rPr>
              <w:t>7</w:t>
            </w:r>
            <w:r>
              <w:rPr>
                <w:szCs w:val="21"/>
              </w:rPr>
              <w:t>0</w:t>
            </w:r>
          </w:p>
        </w:tc>
        <w:tc>
          <w:tcPr>
            <w:tcW w:w="1747" w:type="pct"/>
            <w:vAlign w:val="center"/>
          </w:tcPr>
          <w:p>
            <w:pPr>
              <w:spacing w:line="240" w:lineRule="auto"/>
              <w:ind w:firstLine="0" w:firstLineChars="0"/>
              <w:jc w:val="center"/>
              <w:rPr>
                <w:szCs w:val="21"/>
              </w:rPr>
            </w:pPr>
            <w:r>
              <w:rPr>
                <w:rFonts w:hint="eastAsia"/>
                <w:szCs w:val="21"/>
              </w:rPr>
              <w:t>≤</w:t>
            </w:r>
            <w:r>
              <w:rPr>
                <w:szCs w:val="21"/>
              </w:rPr>
              <w:t>2.</w:t>
            </w:r>
            <w:r>
              <w:rPr>
                <w:rFonts w:hint="eastAsia"/>
                <w:szCs w:val="21"/>
              </w:rPr>
              <w:t>4</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20</w:t>
            </w:r>
            <w:r>
              <w:rPr>
                <w:szCs w:val="21"/>
              </w:rPr>
              <w:t>/0.</w:t>
            </w:r>
            <w:r>
              <w:rPr>
                <w:rFonts w:hint="eastAsia"/>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1537" w:type="pct"/>
            <w:vAlign w:val="center"/>
          </w:tcPr>
          <w:p>
            <w:pPr>
              <w:spacing w:line="240" w:lineRule="auto"/>
              <w:ind w:firstLine="0" w:firstLineChars="0"/>
              <w:jc w:val="center"/>
              <w:rPr>
                <w:szCs w:val="21"/>
              </w:rPr>
            </w:pPr>
            <w:r>
              <w:rPr>
                <w:rFonts w:hint="eastAsia"/>
                <w:szCs w:val="21"/>
              </w:rPr>
              <w:t>0.70＜窗墙面积比≤</w:t>
            </w:r>
            <w:r>
              <w:rPr>
                <w:szCs w:val="21"/>
              </w:rPr>
              <w:t>0.</w:t>
            </w:r>
            <w:r>
              <w:rPr>
                <w:rFonts w:hint="eastAsia"/>
                <w:szCs w:val="21"/>
              </w:rPr>
              <w:t>8</w:t>
            </w:r>
            <w:r>
              <w:rPr>
                <w:szCs w:val="21"/>
              </w:rPr>
              <w:t>0</w:t>
            </w:r>
          </w:p>
        </w:tc>
        <w:tc>
          <w:tcPr>
            <w:tcW w:w="1747" w:type="pct"/>
            <w:vAlign w:val="center"/>
          </w:tcPr>
          <w:p>
            <w:pPr>
              <w:spacing w:line="240" w:lineRule="auto"/>
              <w:ind w:firstLine="0" w:firstLineChars="0"/>
              <w:jc w:val="center"/>
              <w:rPr>
                <w:szCs w:val="21"/>
              </w:rPr>
            </w:pPr>
            <w:r>
              <w:rPr>
                <w:rFonts w:hint="eastAsia"/>
                <w:szCs w:val="21"/>
              </w:rPr>
              <w:t>≤</w:t>
            </w:r>
            <w:r>
              <w:rPr>
                <w:szCs w:val="21"/>
              </w:rPr>
              <w:t>2.</w:t>
            </w:r>
            <w:r>
              <w:rPr>
                <w:rFonts w:hint="eastAsia"/>
                <w:szCs w:val="21"/>
              </w:rPr>
              <w:t>4</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18</w:t>
            </w:r>
            <w:r>
              <w:rPr>
                <w:szCs w:val="21"/>
              </w:rPr>
              <w:t>/0.</w:t>
            </w:r>
            <w:r>
              <w:rPr>
                <w:rFonts w:hint="eastAsia"/>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1537" w:type="pct"/>
            <w:vAlign w:val="center"/>
          </w:tcPr>
          <w:p>
            <w:pPr>
              <w:spacing w:line="240" w:lineRule="auto"/>
              <w:ind w:firstLine="0" w:firstLineChars="0"/>
              <w:jc w:val="center"/>
              <w:rPr>
                <w:szCs w:val="21"/>
              </w:rPr>
            </w:pPr>
            <w:r>
              <w:rPr>
                <w:rFonts w:hint="eastAsia"/>
                <w:szCs w:val="21"/>
              </w:rPr>
              <w:t>窗墙面积比＞</w:t>
            </w:r>
            <w:r>
              <w:rPr>
                <w:szCs w:val="21"/>
              </w:rPr>
              <w:t>0.80</w:t>
            </w:r>
          </w:p>
        </w:tc>
        <w:tc>
          <w:tcPr>
            <w:tcW w:w="1747" w:type="pct"/>
            <w:vAlign w:val="center"/>
          </w:tcPr>
          <w:p>
            <w:pPr>
              <w:spacing w:line="240" w:lineRule="auto"/>
              <w:ind w:firstLine="0" w:firstLineChars="0"/>
              <w:jc w:val="center"/>
              <w:rPr>
                <w:szCs w:val="21"/>
              </w:rPr>
            </w:pPr>
            <w:r>
              <w:rPr>
                <w:rFonts w:hint="eastAsia"/>
                <w:szCs w:val="21"/>
              </w:rPr>
              <w:t>≤</w:t>
            </w:r>
            <w:r>
              <w:rPr>
                <w:szCs w:val="21"/>
              </w:rPr>
              <w:t>2.</w:t>
            </w:r>
            <w:r>
              <w:rPr>
                <w:rFonts w:hint="eastAsia"/>
                <w:szCs w:val="21"/>
              </w:rPr>
              <w:t>0</w:t>
            </w:r>
            <w:r>
              <w:rPr>
                <w:szCs w:val="21"/>
              </w:rPr>
              <w:t>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18</w:t>
            </w:r>
          </w:p>
        </w:tc>
      </w:tr>
    </w:tbl>
    <w:p>
      <w:pPr>
        <w:spacing w:line="400" w:lineRule="exact"/>
        <w:ind w:firstLine="420"/>
        <w:jc w:val="center"/>
        <w:rPr>
          <w:rFonts w:ascii="宋体" w:hAnsi="宋体" w:cs="宋体"/>
          <w:szCs w:val="21"/>
          <w:lang w:bidi="zh-TW"/>
        </w:rPr>
      </w:pPr>
      <w:r>
        <w:rPr>
          <w:rFonts w:hint="eastAsia" w:ascii="宋体" w:hAnsi="宋体" w:cs="宋体"/>
          <w:szCs w:val="21"/>
          <w:lang w:bidi="zh-TW"/>
        </w:rPr>
        <w:t>乙类公共建筑单一立面外窗热工性能限值</w:t>
      </w:r>
    </w:p>
    <w:tbl>
      <w:tblPr>
        <w:tblStyle w:val="45"/>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8"/>
        <w:gridCol w:w="2976"/>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38" w:type="pct"/>
            <w:vAlign w:val="center"/>
          </w:tcPr>
          <w:p>
            <w:pPr>
              <w:spacing w:line="240" w:lineRule="auto"/>
              <w:ind w:firstLine="0" w:firstLineChars="0"/>
              <w:jc w:val="center"/>
              <w:rPr>
                <w:szCs w:val="21"/>
              </w:rPr>
            </w:pPr>
            <w:r>
              <w:rPr>
                <w:rFonts w:hint="eastAsia"/>
                <w:szCs w:val="21"/>
              </w:rPr>
              <w:t>外窗</w:t>
            </w:r>
          </w:p>
        </w:tc>
        <w:tc>
          <w:tcPr>
            <w:tcW w:w="1748" w:type="pct"/>
            <w:vAlign w:val="center"/>
          </w:tcPr>
          <w:p>
            <w:pPr>
              <w:spacing w:line="240" w:lineRule="auto"/>
              <w:ind w:firstLine="0" w:firstLineChars="0"/>
              <w:jc w:val="center"/>
              <w:rPr>
                <w:szCs w:val="21"/>
              </w:rPr>
            </w:pPr>
            <w:r>
              <w:rPr>
                <w:rFonts w:hint="eastAsia"/>
                <w:szCs w:val="21"/>
              </w:rPr>
              <w:t>传热系数</w:t>
            </w:r>
            <w:r>
              <w:rPr>
                <w:i/>
                <w:iCs/>
                <w:kern w:val="0"/>
                <w:szCs w:val="21"/>
              </w:rPr>
              <w:t>K</w:t>
            </w:r>
            <w:r>
              <w:rPr>
                <w:rFonts w:hint="eastAsia"/>
                <w:i/>
                <w:iCs/>
                <w:kern w:val="0"/>
                <w:szCs w:val="21"/>
              </w:rPr>
              <w:t xml:space="preserve"> </w:t>
            </w:r>
            <w:r>
              <w:rPr>
                <w:rFonts w:hint="eastAsia"/>
                <w:kern w:val="0"/>
                <w:szCs w:val="21"/>
              </w:rPr>
              <w:t>[（</w:t>
            </w:r>
            <w:r>
              <w:rPr>
                <w:kern w:val="0"/>
                <w:szCs w:val="21"/>
              </w:rPr>
              <w:t>W/</w:t>
            </w:r>
            <w:r>
              <w:rPr>
                <w:rFonts w:hint="eastAsia"/>
                <w:kern w:val="0"/>
                <w:szCs w:val="21"/>
              </w:rPr>
              <w:t>㎡·</w:t>
            </w:r>
            <w:r>
              <w:rPr>
                <w:kern w:val="0"/>
                <w:szCs w:val="21"/>
              </w:rPr>
              <w:t>K</w:t>
            </w:r>
            <w:r>
              <w:rPr>
                <w:rFonts w:hint="eastAsia"/>
                <w:kern w:val="0"/>
                <w:szCs w:val="21"/>
              </w:rPr>
              <w:t>）]</w:t>
            </w:r>
          </w:p>
        </w:tc>
        <w:tc>
          <w:tcPr>
            <w:tcW w:w="1715" w:type="pct"/>
            <w:vAlign w:val="center"/>
          </w:tcPr>
          <w:p>
            <w:pPr>
              <w:spacing w:line="240" w:lineRule="auto"/>
              <w:ind w:firstLine="0" w:firstLineChars="0"/>
              <w:jc w:val="center"/>
              <w:rPr>
                <w:szCs w:val="21"/>
              </w:rPr>
            </w:pPr>
            <w:r>
              <w:rPr>
                <w:rFonts w:hint="eastAsia"/>
                <w:szCs w:val="21"/>
              </w:rPr>
              <w:t>综合太阳得热系数</w:t>
            </w:r>
            <w:r>
              <w:rPr>
                <w:i/>
                <w:szCs w:val="21"/>
              </w:rPr>
              <w:t>SHGC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38" w:type="pct"/>
            <w:vAlign w:val="center"/>
          </w:tcPr>
          <w:p>
            <w:pPr>
              <w:spacing w:line="240" w:lineRule="auto"/>
              <w:ind w:firstLine="0" w:firstLineChars="0"/>
              <w:jc w:val="center"/>
              <w:rPr>
                <w:szCs w:val="21"/>
              </w:rPr>
            </w:pPr>
            <w:r>
              <w:rPr>
                <w:rFonts w:hint="eastAsia"/>
                <w:szCs w:val="21"/>
              </w:rPr>
              <w:t>单一立面外窗</w:t>
            </w:r>
          </w:p>
        </w:tc>
        <w:tc>
          <w:tcPr>
            <w:tcW w:w="1748" w:type="pct"/>
            <w:vAlign w:val="center"/>
          </w:tcPr>
          <w:p>
            <w:pPr>
              <w:spacing w:line="240" w:lineRule="auto"/>
              <w:ind w:firstLine="0" w:firstLineChars="0"/>
              <w:jc w:val="center"/>
              <w:rPr>
                <w:szCs w:val="21"/>
              </w:rPr>
            </w:pPr>
            <w:r>
              <w:rPr>
                <w:rFonts w:hint="eastAsia"/>
                <w:szCs w:val="21"/>
              </w:rPr>
              <w:t>≤</w:t>
            </w:r>
            <w:r>
              <w:rPr>
                <w:szCs w:val="21"/>
              </w:rPr>
              <w:t>4.00</w:t>
            </w:r>
          </w:p>
        </w:tc>
        <w:tc>
          <w:tcPr>
            <w:tcW w:w="1715" w:type="pct"/>
            <w:vAlign w:val="center"/>
          </w:tcPr>
          <w:p>
            <w:pPr>
              <w:spacing w:line="240" w:lineRule="auto"/>
              <w:ind w:firstLine="0" w:firstLineChars="0"/>
              <w:jc w:val="center"/>
              <w:rPr>
                <w:szCs w:val="21"/>
              </w:rPr>
            </w:pPr>
            <w:r>
              <w:rPr>
                <w:rFonts w:hint="eastAsia"/>
                <w:szCs w:val="21"/>
              </w:rPr>
              <w:t>≤</w:t>
            </w:r>
            <w:r>
              <w:rPr>
                <w:szCs w:val="21"/>
              </w:rPr>
              <w:t>0.</w:t>
            </w:r>
            <w:r>
              <w:rPr>
                <w:rFonts w:hint="eastAsia"/>
                <w:szCs w:val="21"/>
              </w:rPr>
              <w:t>40</w:t>
            </w:r>
          </w:p>
        </w:tc>
      </w:tr>
    </w:tbl>
    <w:p>
      <w:pPr>
        <w:ind w:firstLine="0" w:firstLineChars="0"/>
        <w:rPr>
          <w:sz w:val="18"/>
          <w:szCs w:val="18"/>
        </w:rPr>
      </w:pPr>
      <w:r>
        <w:rPr>
          <w:rFonts w:hint="eastAsia"/>
          <w:sz w:val="18"/>
          <w:szCs w:val="18"/>
        </w:rPr>
        <w:t>注：太阳得热系数为包括遮阳(不含内遮阳)的综合太阳得热系数。</w:t>
      </w:r>
    </w:p>
    <w:p>
      <w:pPr>
        <w:ind w:firstLine="0" w:firstLineChars="0"/>
      </w:pPr>
      <w:r>
        <w:rPr>
          <w:rFonts w:hint="eastAsia"/>
        </w:rPr>
        <w:t>【条文说明】</w:t>
      </w:r>
    </w:p>
    <w:p>
      <w:pPr>
        <w:ind w:firstLine="420"/>
      </w:pPr>
      <w:r>
        <w:t>6.1.5</w:t>
      </w:r>
      <w:r>
        <w:rPr>
          <w:rFonts w:hint="eastAsia"/>
        </w:rPr>
        <w:t>近零能耗建筑外窗（包括透光幕墙）热工性能要求应区分居住建筑和公共建筑，一般来说居住建筑以外窗为主，窗墙面积比较小；而公共建筑以透光幕墙（主要是玻璃幕墙）为主，窗墙面积比较大。外窗（透光幕墙）的传热系数应按《民用建筑热工设计规范》GB</w:t>
      </w:r>
      <w:r>
        <w:t xml:space="preserve"> </w:t>
      </w:r>
      <w:r>
        <w:rPr>
          <w:rFonts w:hint="eastAsia"/>
        </w:rPr>
        <w:t>50176的规定，并综合考虑建筑外窗（包括透光幕墙）的技术水平确定，即在室内空气温湿度条件下外窗大部分区域（玻璃边缘除外）不结露，并适当提高内表面平均辐射温度以提高室内热舒适度。太阳得热系数是从节能角度考虑，冬季太阳辐射有利于建筑节能，应提高建筑外窗（包括透光幕墙）的太阳得热系数，夏季太阳辐射成为空调制冷的负荷，应降低太阳得热系数。在海南地区东西向不宜设置透光幕墙。</w:t>
      </w:r>
    </w:p>
    <w:p>
      <w:pPr>
        <w:pStyle w:val="41"/>
        <w:jc w:val="both"/>
        <w:rPr>
          <w:b w:val="0"/>
        </w:rPr>
      </w:pPr>
      <w:r>
        <w:rPr>
          <w:b w:val="0"/>
        </w:rPr>
        <w:t xml:space="preserve">6.1.6 </w:t>
      </w:r>
      <w:r>
        <w:rPr>
          <w:rFonts w:hint="eastAsia"/>
          <w:b w:val="0"/>
        </w:rPr>
        <w:t>外窗性能和遮阳装置的选择应综合考虑夏季遮阳以及自然采光的需求。</w:t>
      </w:r>
    </w:p>
    <w:p>
      <w:pPr>
        <w:ind w:firstLine="0" w:firstLineChars="0"/>
      </w:pPr>
      <w:r>
        <w:rPr>
          <w:rFonts w:hint="eastAsia"/>
        </w:rPr>
        <w:t>【条文说明】</w:t>
      </w:r>
    </w:p>
    <w:p>
      <w:pPr>
        <w:ind w:firstLine="420"/>
      </w:pPr>
      <w:r>
        <w:t>6.1.6</w:t>
      </w:r>
      <w:r>
        <w:rPr>
          <w:rFonts w:hint="eastAsia"/>
        </w:rPr>
        <w:t>外窗和遮阳主要解决保温、隔热、采光等问题，海南属于典型的夏热冬暖气候特征，因此应综合考虑夏季遮阳和自然采光的需求综合选用。</w:t>
      </w:r>
    </w:p>
    <w:p>
      <w:pPr>
        <w:widowControl/>
        <w:spacing w:line="240" w:lineRule="auto"/>
        <w:ind w:firstLine="0" w:firstLineChars="0"/>
        <w:jc w:val="left"/>
        <w:rPr>
          <w:rFonts w:eastAsia="黑体" w:cs="Times New Roman"/>
          <w:kern w:val="0"/>
          <w:sz w:val="32"/>
          <w:szCs w:val="20"/>
        </w:rPr>
      </w:pPr>
      <w:r>
        <w:rPr>
          <w:sz w:val="32"/>
        </w:rPr>
        <w:br w:type="page"/>
      </w:r>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49" w:name="_Toc198125361"/>
      <w:r>
        <w:rPr>
          <w:rFonts w:hint="eastAsia" w:eastAsia="黑体" w:cs="Times New Roman"/>
          <w:kern w:val="44"/>
          <w:sz w:val="32"/>
          <w:szCs w:val="36"/>
        </w:rPr>
        <w:t>6.2 高效制冷除湿</w:t>
      </w:r>
      <w:bookmarkEnd w:id="49"/>
    </w:p>
    <w:p>
      <w:pPr>
        <w:pStyle w:val="291"/>
        <w:spacing w:line="240" w:lineRule="auto"/>
        <w:rPr>
          <w:b w:val="0"/>
          <w:szCs w:val="21"/>
        </w:rPr>
      </w:pPr>
      <w:r>
        <w:rPr>
          <w:b w:val="0"/>
          <w:szCs w:val="21"/>
        </w:rPr>
        <w:t>6.2.1 采用分散式房间空调器作为冷热源时，其全年能源消耗效率（APF）、制冷季节能源消耗效率(SEER)可按表6.2.1-1、6.2.1-2选用。</w:t>
      </w:r>
    </w:p>
    <w:p>
      <w:pPr>
        <w:pStyle w:val="291"/>
        <w:spacing w:line="240" w:lineRule="auto"/>
        <w:jc w:val="center"/>
        <w:rPr>
          <w:b w:val="0"/>
          <w:szCs w:val="21"/>
        </w:rPr>
      </w:pPr>
      <w:r>
        <w:rPr>
          <w:b w:val="0"/>
          <w:szCs w:val="21"/>
        </w:rPr>
        <w:t>表6.2.1-1  热泵型房间空气调节器全年能源消耗效率（APF）</w:t>
      </w:r>
    </w:p>
    <w:tbl>
      <w:tblPr>
        <w:tblStyle w:val="4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6"/>
        <w:gridCol w:w="4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8" w:hRule="atLeast"/>
        </w:trPr>
        <w:tc>
          <w:tcPr>
            <w:tcW w:w="2110" w:type="pct"/>
          </w:tcPr>
          <w:p>
            <w:pPr>
              <w:pStyle w:val="291"/>
              <w:spacing w:line="240" w:lineRule="auto"/>
              <w:jc w:val="center"/>
              <w:rPr>
                <w:b w:val="0"/>
                <w:szCs w:val="21"/>
              </w:rPr>
            </w:pPr>
            <w:r>
              <w:rPr>
                <w:b w:val="0"/>
                <w:szCs w:val="21"/>
              </w:rPr>
              <w:t>额定制冷量（CC）</w:t>
            </w:r>
          </w:p>
          <w:p>
            <w:pPr>
              <w:pStyle w:val="291"/>
              <w:spacing w:line="240" w:lineRule="auto"/>
              <w:jc w:val="center"/>
              <w:rPr>
                <w:b w:val="0"/>
                <w:szCs w:val="21"/>
              </w:rPr>
            </w:pPr>
            <w:r>
              <w:rPr>
                <w:b w:val="0"/>
                <w:szCs w:val="21"/>
              </w:rPr>
              <w:t>W</w:t>
            </w:r>
          </w:p>
        </w:tc>
        <w:tc>
          <w:tcPr>
            <w:tcW w:w="2889" w:type="pct"/>
          </w:tcPr>
          <w:p>
            <w:pPr>
              <w:pStyle w:val="291"/>
              <w:spacing w:line="240" w:lineRule="auto"/>
              <w:jc w:val="center"/>
              <w:rPr>
                <w:b w:val="0"/>
                <w:szCs w:val="21"/>
              </w:rPr>
            </w:pPr>
            <w:r>
              <w:rPr>
                <w:b w:val="0"/>
                <w:szCs w:val="21"/>
              </w:rPr>
              <w:t>全年能源消耗效率（APF）</w:t>
            </w:r>
          </w:p>
          <w:p>
            <w:pPr>
              <w:pStyle w:val="291"/>
              <w:spacing w:line="240" w:lineRule="auto"/>
              <w:rPr>
                <w:b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0" w:type="pct"/>
          </w:tcPr>
          <w:p>
            <w:pPr>
              <w:pStyle w:val="291"/>
              <w:spacing w:line="240" w:lineRule="auto"/>
              <w:jc w:val="center"/>
              <w:rPr>
                <w:b w:val="0"/>
                <w:szCs w:val="21"/>
              </w:rPr>
            </w:pPr>
            <w:r>
              <w:rPr>
                <w:b w:val="0"/>
                <w:szCs w:val="21"/>
              </w:rPr>
              <w:t>CC≤4 500</w:t>
            </w:r>
          </w:p>
        </w:tc>
        <w:tc>
          <w:tcPr>
            <w:tcW w:w="2889" w:type="pct"/>
          </w:tcPr>
          <w:p>
            <w:pPr>
              <w:pStyle w:val="291"/>
              <w:spacing w:line="240" w:lineRule="auto"/>
              <w:jc w:val="center"/>
              <w:rPr>
                <w:b w:val="0"/>
                <w:szCs w:val="21"/>
              </w:rPr>
            </w:pPr>
            <w:r>
              <w:rPr>
                <w:b w:val="0"/>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0" w:type="pct"/>
          </w:tcPr>
          <w:p>
            <w:pPr>
              <w:pStyle w:val="291"/>
              <w:spacing w:line="240" w:lineRule="auto"/>
              <w:jc w:val="center"/>
              <w:rPr>
                <w:b w:val="0"/>
                <w:szCs w:val="21"/>
              </w:rPr>
            </w:pPr>
            <w:r>
              <w:rPr>
                <w:b w:val="0"/>
                <w:szCs w:val="21"/>
              </w:rPr>
              <w:t>4 500＜CC≤7 100</w:t>
            </w:r>
          </w:p>
        </w:tc>
        <w:tc>
          <w:tcPr>
            <w:tcW w:w="2889" w:type="pct"/>
          </w:tcPr>
          <w:p>
            <w:pPr>
              <w:pStyle w:val="291"/>
              <w:spacing w:line="240" w:lineRule="auto"/>
              <w:jc w:val="center"/>
              <w:rPr>
                <w:b w:val="0"/>
                <w:szCs w:val="21"/>
              </w:rPr>
            </w:pPr>
            <w:r>
              <w:rPr>
                <w:b w:val="0"/>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0" w:type="pct"/>
          </w:tcPr>
          <w:p>
            <w:pPr>
              <w:pStyle w:val="291"/>
              <w:spacing w:line="240" w:lineRule="auto"/>
              <w:jc w:val="center"/>
              <w:rPr>
                <w:b w:val="0"/>
                <w:szCs w:val="21"/>
              </w:rPr>
            </w:pPr>
            <w:r>
              <w:rPr>
                <w:b w:val="0"/>
                <w:szCs w:val="21"/>
              </w:rPr>
              <w:t>7 100＜CC≤14 000</w:t>
            </w:r>
          </w:p>
        </w:tc>
        <w:tc>
          <w:tcPr>
            <w:tcW w:w="2889" w:type="pct"/>
          </w:tcPr>
          <w:p>
            <w:pPr>
              <w:pStyle w:val="291"/>
              <w:spacing w:line="240" w:lineRule="auto"/>
              <w:jc w:val="center"/>
              <w:rPr>
                <w:b w:val="0"/>
                <w:szCs w:val="21"/>
              </w:rPr>
            </w:pPr>
            <w:r>
              <w:rPr>
                <w:b w:val="0"/>
                <w:szCs w:val="21"/>
              </w:rPr>
              <w:t>4.20</w:t>
            </w:r>
          </w:p>
        </w:tc>
      </w:tr>
    </w:tbl>
    <w:p>
      <w:pPr>
        <w:pStyle w:val="291"/>
        <w:spacing w:line="240" w:lineRule="auto"/>
        <w:jc w:val="center"/>
        <w:rPr>
          <w:b w:val="0"/>
          <w:szCs w:val="21"/>
        </w:rPr>
      </w:pPr>
      <w:r>
        <w:rPr>
          <w:b w:val="0"/>
          <w:szCs w:val="21"/>
        </w:rPr>
        <w:t>表6.2.1-2  单冷式房间空气调节器制冷季节能源消耗效率(SEER)</w:t>
      </w:r>
    </w:p>
    <w:tbl>
      <w:tblPr>
        <w:tblStyle w:val="4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6"/>
        <w:gridCol w:w="4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2110" w:type="pct"/>
          </w:tcPr>
          <w:p>
            <w:pPr>
              <w:pStyle w:val="291"/>
              <w:spacing w:line="240" w:lineRule="auto"/>
              <w:jc w:val="center"/>
              <w:rPr>
                <w:b w:val="0"/>
                <w:szCs w:val="21"/>
              </w:rPr>
            </w:pPr>
            <w:r>
              <w:rPr>
                <w:b w:val="0"/>
                <w:szCs w:val="21"/>
              </w:rPr>
              <w:t>额定制冷量（CC）</w:t>
            </w:r>
          </w:p>
          <w:p>
            <w:pPr>
              <w:pStyle w:val="291"/>
              <w:spacing w:line="240" w:lineRule="auto"/>
              <w:jc w:val="center"/>
              <w:rPr>
                <w:b w:val="0"/>
                <w:szCs w:val="21"/>
              </w:rPr>
            </w:pPr>
            <w:r>
              <w:rPr>
                <w:b w:val="0"/>
                <w:szCs w:val="21"/>
              </w:rPr>
              <w:t>W</w:t>
            </w:r>
          </w:p>
        </w:tc>
        <w:tc>
          <w:tcPr>
            <w:tcW w:w="2889" w:type="pct"/>
          </w:tcPr>
          <w:p>
            <w:pPr>
              <w:pStyle w:val="291"/>
              <w:spacing w:line="240" w:lineRule="auto"/>
              <w:jc w:val="center"/>
              <w:rPr>
                <w:b w:val="0"/>
                <w:szCs w:val="21"/>
              </w:rPr>
            </w:pPr>
            <w:r>
              <w:rPr>
                <w:b w:val="0"/>
                <w:szCs w:val="21"/>
              </w:rPr>
              <w:t>制冷季节能源消耗效率（SEER）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0" w:type="pct"/>
          </w:tcPr>
          <w:p>
            <w:pPr>
              <w:pStyle w:val="291"/>
              <w:spacing w:line="240" w:lineRule="auto"/>
              <w:jc w:val="center"/>
              <w:rPr>
                <w:b w:val="0"/>
                <w:szCs w:val="21"/>
              </w:rPr>
            </w:pPr>
            <w:r>
              <w:rPr>
                <w:b w:val="0"/>
                <w:szCs w:val="21"/>
              </w:rPr>
              <w:t>CC≤4 500</w:t>
            </w:r>
          </w:p>
        </w:tc>
        <w:tc>
          <w:tcPr>
            <w:tcW w:w="2889" w:type="pct"/>
          </w:tcPr>
          <w:p>
            <w:pPr>
              <w:pStyle w:val="291"/>
              <w:spacing w:line="240" w:lineRule="auto"/>
              <w:jc w:val="center"/>
              <w:rPr>
                <w:b w:val="0"/>
                <w:szCs w:val="21"/>
              </w:rPr>
            </w:pPr>
            <w:r>
              <w:rPr>
                <w:b w:val="0"/>
                <w:szCs w:val="21"/>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0" w:type="pct"/>
          </w:tcPr>
          <w:p>
            <w:pPr>
              <w:pStyle w:val="291"/>
              <w:spacing w:line="240" w:lineRule="auto"/>
              <w:jc w:val="center"/>
              <w:rPr>
                <w:b w:val="0"/>
                <w:szCs w:val="21"/>
              </w:rPr>
            </w:pPr>
            <w:r>
              <w:rPr>
                <w:b w:val="0"/>
                <w:szCs w:val="21"/>
              </w:rPr>
              <w:t>4 500＜CC≤7 100</w:t>
            </w:r>
          </w:p>
        </w:tc>
        <w:tc>
          <w:tcPr>
            <w:tcW w:w="2889" w:type="pct"/>
          </w:tcPr>
          <w:p>
            <w:pPr>
              <w:pStyle w:val="291"/>
              <w:spacing w:line="240" w:lineRule="auto"/>
              <w:jc w:val="center"/>
              <w:rPr>
                <w:b w:val="0"/>
                <w:szCs w:val="21"/>
              </w:rPr>
            </w:pPr>
            <w:r>
              <w:rPr>
                <w:b w:val="0"/>
                <w:szCs w:val="21"/>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0" w:type="pct"/>
          </w:tcPr>
          <w:p>
            <w:pPr>
              <w:pStyle w:val="291"/>
              <w:spacing w:line="240" w:lineRule="auto"/>
              <w:jc w:val="center"/>
              <w:rPr>
                <w:b w:val="0"/>
                <w:szCs w:val="21"/>
              </w:rPr>
            </w:pPr>
            <w:r>
              <w:rPr>
                <w:b w:val="0"/>
                <w:szCs w:val="21"/>
              </w:rPr>
              <w:t>7 100＜CC≤14 000</w:t>
            </w:r>
          </w:p>
        </w:tc>
        <w:tc>
          <w:tcPr>
            <w:tcW w:w="2889" w:type="pct"/>
          </w:tcPr>
          <w:p>
            <w:pPr>
              <w:pStyle w:val="291"/>
              <w:spacing w:line="240" w:lineRule="auto"/>
              <w:jc w:val="center"/>
              <w:rPr>
                <w:b w:val="0"/>
                <w:szCs w:val="21"/>
              </w:rPr>
            </w:pPr>
            <w:r>
              <w:rPr>
                <w:b w:val="0"/>
                <w:szCs w:val="21"/>
              </w:rPr>
              <w:t>5.20</w:t>
            </w:r>
          </w:p>
        </w:tc>
      </w:tr>
    </w:tbl>
    <w:p>
      <w:pPr>
        <w:spacing w:line="240" w:lineRule="auto"/>
        <w:ind w:firstLine="0" w:firstLineChars="0"/>
        <w:jc w:val="center"/>
        <w:rPr>
          <w:rFonts w:cs="Times New Roman"/>
          <w:szCs w:val="21"/>
        </w:rPr>
      </w:pPr>
    </w:p>
    <w:p>
      <w:pPr>
        <w:ind w:firstLine="0" w:firstLineChars="0"/>
        <w:rPr>
          <w:rFonts w:cs="Times New Roman"/>
          <w:bCs/>
          <w:szCs w:val="21"/>
        </w:rPr>
      </w:pPr>
      <w:r>
        <w:rPr>
          <w:rFonts w:cs="Times New Roman"/>
          <w:bCs/>
          <w:szCs w:val="21"/>
        </w:rPr>
        <w:t>【条文说明】</w:t>
      </w:r>
    </w:p>
    <w:p>
      <w:pPr>
        <w:ind w:firstLine="0" w:firstLineChars="0"/>
        <w:rPr>
          <w:rFonts w:cs="Times New Roman"/>
          <w:bCs/>
          <w:szCs w:val="21"/>
        </w:rPr>
      </w:pPr>
      <w:r>
        <w:rPr>
          <w:rFonts w:cs="Times New Roman"/>
          <w:bCs/>
          <w:szCs w:val="21"/>
        </w:rPr>
        <w:t>6.2.1 当采用分散式房间空气调节器作为冷热源时，宜采用转速可控型产品，其能效等级应参考国家标准《房间空气调节器能效限定值及能效等级》GB 21455-2019中能效等级的一级要求。</w:t>
      </w:r>
    </w:p>
    <w:p>
      <w:pPr>
        <w:pStyle w:val="291"/>
        <w:jc w:val="left"/>
        <w:rPr>
          <w:b w:val="0"/>
          <w:szCs w:val="21"/>
        </w:rPr>
      </w:pPr>
      <w:r>
        <w:rPr>
          <w:b w:val="0"/>
          <w:szCs w:val="21"/>
        </w:rPr>
        <w:t>6.2.2 采用多联式空调(热泵)机组时，在规定工况条件下制冷和制热运行时,其实测全年性能系数(APF)、制冷季节能效比(SEER)、制冷综合部分负荷性能系数[IPLV(C)]或制冷能效比(EER)的最小允许值，可按表6.2.2-1、6.2.2-2、6.2.2-3选用。</w:t>
      </w:r>
    </w:p>
    <w:p>
      <w:pPr>
        <w:pStyle w:val="291"/>
        <w:jc w:val="center"/>
        <w:rPr>
          <w:b w:val="0"/>
          <w:szCs w:val="21"/>
        </w:rPr>
      </w:pPr>
      <w:r>
        <w:rPr>
          <w:b w:val="0"/>
          <w:szCs w:val="21"/>
        </w:rPr>
        <w:t>表6.2.2-1 风冷式单冷型多联机制冷能效比(EER)的最小允许值、制冷季节能效比(SEER)</w:t>
      </w:r>
    </w:p>
    <w:tbl>
      <w:tblPr>
        <w:tblStyle w:val="4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29"/>
        <w:gridCol w:w="1808"/>
        <w:gridCol w:w="2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4" w:hRule="atLeast"/>
        </w:trPr>
        <w:tc>
          <w:tcPr>
            <w:tcW w:w="2305" w:type="pct"/>
          </w:tcPr>
          <w:p>
            <w:pPr>
              <w:pStyle w:val="291"/>
              <w:spacing w:line="240" w:lineRule="auto"/>
              <w:jc w:val="center"/>
              <w:rPr>
                <w:b w:val="0"/>
                <w:szCs w:val="21"/>
              </w:rPr>
            </w:pPr>
            <w:r>
              <w:rPr>
                <w:b w:val="0"/>
                <w:szCs w:val="21"/>
              </w:rPr>
              <w:t>名义制冷量（CC）</w:t>
            </w:r>
          </w:p>
          <w:p>
            <w:pPr>
              <w:pStyle w:val="291"/>
              <w:spacing w:line="240" w:lineRule="auto"/>
              <w:jc w:val="center"/>
              <w:rPr>
                <w:b w:val="0"/>
                <w:szCs w:val="21"/>
              </w:rPr>
            </w:pPr>
            <w:r>
              <w:rPr>
                <w:b w:val="0"/>
                <w:szCs w:val="21"/>
              </w:rPr>
              <w:t>W</w:t>
            </w:r>
          </w:p>
        </w:tc>
        <w:tc>
          <w:tcPr>
            <w:tcW w:w="1061" w:type="pct"/>
          </w:tcPr>
          <w:p>
            <w:pPr>
              <w:pStyle w:val="291"/>
              <w:spacing w:line="240" w:lineRule="auto"/>
              <w:jc w:val="center"/>
              <w:rPr>
                <w:b w:val="0"/>
                <w:szCs w:val="21"/>
              </w:rPr>
            </w:pPr>
            <w:r>
              <w:rPr>
                <w:b w:val="0"/>
                <w:szCs w:val="21"/>
              </w:rPr>
              <w:t>EERmin</w:t>
            </w:r>
          </w:p>
          <w:p>
            <w:pPr>
              <w:pStyle w:val="291"/>
              <w:spacing w:line="240" w:lineRule="auto"/>
              <w:jc w:val="center"/>
              <w:rPr>
                <w:b w:val="0"/>
                <w:szCs w:val="21"/>
              </w:rPr>
            </w:pPr>
            <w:r>
              <w:rPr>
                <w:b w:val="0"/>
                <w:szCs w:val="21"/>
              </w:rPr>
              <w:t>W/W</w:t>
            </w:r>
          </w:p>
        </w:tc>
        <w:tc>
          <w:tcPr>
            <w:tcW w:w="1632" w:type="pct"/>
          </w:tcPr>
          <w:p>
            <w:pPr>
              <w:pStyle w:val="291"/>
              <w:spacing w:line="240" w:lineRule="auto"/>
              <w:jc w:val="center"/>
              <w:rPr>
                <w:b w:val="0"/>
                <w:szCs w:val="21"/>
              </w:rPr>
            </w:pPr>
            <w:r>
              <w:rPr>
                <w:b w:val="0"/>
                <w:szCs w:val="21"/>
              </w:rPr>
              <w:t>SEER</w:t>
            </w:r>
          </w:p>
          <w:p>
            <w:pPr>
              <w:pStyle w:val="291"/>
              <w:spacing w:line="240" w:lineRule="auto"/>
              <w:jc w:val="center"/>
              <w:rPr>
                <w:b w:val="0"/>
                <w:szCs w:val="21"/>
              </w:rPr>
            </w:pPr>
            <w:r>
              <w:rPr>
                <w:b w:val="0"/>
                <w:szCs w:val="21"/>
              </w:rPr>
              <w:t>(W•h)/（W•h)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5" w:type="pct"/>
          </w:tcPr>
          <w:p>
            <w:pPr>
              <w:pStyle w:val="291"/>
              <w:spacing w:line="240" w:lineRule="auto"/>
              <w:jc w:val="center"/>
              <w:rPr>
                <w:b w:val="0"/>
                <w:szCs w:val="21"/>
              </w:rPr>
            </w:pPr>
            <w:r>
              <w:rPr>
                <w:b w:val="0"/>
                <w:szCs w:val="21"/>
              </w:rPr>
              <w:t>CC≤14 000</w:t>
            </w:r>
          </w:p>
        </w:tc>
        <w:tc>
          <w:tcPr>
            <w:tcW w:w="1061" w:type="pct"/>
          </w:tcPr>
          <w:p>
            <w:pPr>
              <w:pStyle w:val="291"/>
              <w:spacing w:line="240" w:lineRule="auto"/>
              <w:jc w:val="center"/>
              <w:rPr>
                <w:b w:val="0"/>
                <w:szCs w:val="21"/>
              </w:rPr>
            </w:pPr>
            <w:r>
              <w:rPr>
                <w:b w:val="0"/>
                <w:szCs w:val="21"/>
              </w:rPr>
              <w:t>3.60</w:t>
            </w:r>
          </w:p>
        </w:tc>
        <w:tc>
          <w:tcPr>
            <w:tcW w:w="1632" w:type="pct"/>
          </w:tcPr>
          <w:p>
            <w:pPr>
              <w:pStyle w:val="291"/>
              <w:spacing w:line="240" w:lineRule="auto"/>
              <w:jc w:val="center"/>
              <w:rPr>
                <w:b w:val="0"/>
                <w:szCs w:val="21"/>
              </w:rPr>
            </w:pPr>
            <w:r>
              <w:rPr>
                <w:b w:val="0"/>
                <w:szCs w:val="21"/>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5" w:type="pct"/>
          </w:tcPr>
          <w:p>
            <w:pPr>
              <w:pStyle w:val="291"/>
              <w:spacing w:line="240" w:lineRule="auto"/>
              <w:jc w:val="center"/>
              <w:rPr>
                <w:b w:val="0"/>
                <w:szCs w:val="21"/>
              </w:rPr>
            </w:pPr>
            <w:r>
              <w:rPr>
                <w:b w:val="0"/>
                <w:szCs w:val="21"/>
              </w:rPr>
              <w:t>14 000＜CC≤28 000</w:t>
            </w:r>
          </w:p>
        </w:tc>
        <w:tc>
          <w:tcPr>
            <w:tcW w:w="1061" w:type="pct"/>
          </w:tcPr>
          <w:p>
            <w:pPr>
              <w:pStyle w:val="291"/>
              <w:spacing w:line="240" w:lineRule="auto"/>
              <w:jc w:val="center"/>
              <w:rPr>
                <w:b w:val="0"/>
                <w:szCs w:val="21"/>
              </w:rPr>
            </w:pPr>
            <w:r>
              <w:rPr>
                <w:rFonts w:hint="eastAsia"/>
                <w:b w:val="0"/>
                <w:szCs w:val="21"/>
              </w:rPr>
              <w:t>—</w:t>
            </w:r>
          </w:p>
        </w:tc>
        <w:tc>
          <w:tcPr>
            <w:tcW w:w="1632" w:type="pct"/>
          </w:tcPr>
          <w:p>
            <w:pPr>
              <w:pStyle w:val="291"/>
              <w:spacing w:line="240" w:lineRule="auto"/>
              <w:jc w:val="center"/>
              <w:rPr>
                <w:b w:val="0"/>
                <w:szCs w:val="21"/>
              </w:rPr>
            </w:pPr>
            <w:r>
              <w:rPr>
                <w:b w:val="0"/>
                <w:szCs w:val="21"/>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05" w:type="pct"/>
          </w:tcPr>
          <w:p>
            <w:pPr>
              <w:pStyle w:val="291"/>
              <w:spacing w:line="240" w:lineRule="auto"/>
              <w:jc w:val="center"/>
              <w:rPr>
                <w:b w:val="0"/>
                <w:szCs w:val="21"/>
              </w:rPr>
            </w:pPr>
            <w:r>
              <w:rPr>
                <w:b w:val="0"/>
                <w:szCs w:val="21"/>
              </w:rPr>
              <w:t>28 000＜CC≤50 000</w:t>
            </w:r>
          </w:p>
        </w:tc>
        <w:tc>
          <w:tcPr>
            <w:tcW w:w="1061" w:type="pct"/>
          </w:tcPr>
          <w:p>
            <w:pPr>
              <w:pStyle w:val="291"/>
              <w:spacing w:line="240" w:lineRule="auto"/>
              <w:jc w:val="center"/>
              <w:rPr>
                <w:b w:val="0"/>
                <w:szCs w:val="21"/>
              </w:rPr>
            </w:pPr>
            <w:r>
              <w:rPr>
                <w:rFonts w:hint="eastAsia"/>
                <w:b w:val="0"/>
                <w:szCs w:val="21"/>
              </w:rPr>
              <w:t>—</w:t>
            </w:r>
          </w:p>
        </w:tc>
        <w:tc>
          <w:tcPr>
            <w:tcW w:w="1632" w:type="pct"/>
          </w:tcPr>
          <w:p>
            <w:pPr>
              <w:pStyle w:val="291"/>
              <w:spacing w:line="240" w:lineRule="auto"/>
              <w:jc w:val="center"/>
              <w:rPr>
                <w:b w:val="0"/>
                <w:szCs w:val="21"/>
              </w:rPr>
            </w:pPr>
            <w:r>
              <w:rPr>
                <w:b w:val="0"/>
                <w:szCs w:val="21"/>
              </w:rPr>
              <w:t>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7" w:hRule="atLeast"/>
        </w:trPr>
        <w:tc>
          <w:tcPr>
            <w:tcW w:w="2305" w:type="pct"/>
          </w:tcPr>
          <w:p>
            <w:pPr>
              <w:pStyle w:val="291"/>
              <w:spacing w:line="240" w:lineRule="auto"/>
              <w:jc w:val="center"/>
              <w:rPr>
                <w:b w:val="0"/>
                <w:szCs w:val="21"/>
              </w:rPr>
            </w:pPr>
            <w:r>
              <w:rPr>
                <w:b w:val="0"/>
                <w:szCs w:val="21"/>
              </w:rPr>
              <w:t>50 000＜CC≤68 000</w:t>
            </w:r>
          </w:p>
        </w:tc>
        <w:tc>
          <w:tcPr>
            <w:tcW w:w="1061" w:type="pct"/>
          </w:tcPr>
          <w:p>
            <w:pPr>
              <w:pStyle w:val="291"/>
              <w:spacing w:line="240" w:lineRule="auto"/>
              <w:jc w:val="center"/>
              <w:rPr>
                <w:b w:val="0"/>
                <w:szCs w:val="21"/>
              </w:rPr>
            </w:pPr>
            <w:r>
              <w:rPr>
                <w:rFonts w:hint="eastAsia"/>
                <w:b w:val="0"/>
                <w:szCs w:val="21"/>
              </w:rPr>
              <w:t>—</w:t>
            </w:r>
          </w:p>
        </w:tc>
        <w:tc>
          <w:tcPr>
            <w:tcW w:w="1632" w:type="pct"/>
          </w:tcPr>
          <w:p>
            <w:pPr>
              <w:pStyle w:val="291"/>
              <w:spacing w:line="240" w:lineRule="auto"/>
              <w:jc w:val="center"/>
              <w:rPr>
                <w:b w:val="0"/>
                <w:szCs w:val="21"/>
              </w:rPr>
            </w:pPr>
            <w:r>
              <w:rPr>
                <w:b w:val="0"/>
                <w:szCs w:val="21"/>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05" w:type="pct"/>
          </w:tcPr>
          <w:p>
            <w:pPr>
              <w:pStyle w:val="291"/>
              <w:spacing w:line="240" w:lineRule="auto"/>
              <w:jc w:val="center"/>
              <w:rPr>
                <w:b w:val="0"/>
                <w:szCs w:val="21"/>
              </w:rPr>
            </w:pPr>
            <w:r>
              <w:rPr>
                <w:b w:val="0"/>
                <w:szCs w:val="21"/>
              </w:rPr>
              <w:t>CC≥68 000</w:t>
            </w:r>
          </w:p>
        </w:tc>
        <w:tc>
          <w:tcPr>
            <w:tcW w:w="1061" w:type="pct"/>
          </w:tcPr>
          <w:p>
            <w:pPr>
              <w:pStyle w:val="291"/>
              <w:spacing w:line="240" w:lineRule="auto"/>
              <w:jc w:val="center"/>
              <w:rPr>
                <w:b w:val="0"/>
                <w:szCs w:val="21"/>
              </w:rPr>
            </w:pPr>
            <w:r>
              <w:rPr>
                <w:rFonts w:hint="eastAsia"/>
                <w:b w:val="0"/>
                <w:szCs w:val="21"/>
              </w:rPr>
              <w:t>—</w:t>
            </w:r>
          </w:p>
        </w:tc>
        <w:tc>
          <w:tcPr>
            <w:tcW w:w="1632" w:type="pct"/>
          </w:tcPr>
          <w:p>
            <w:pPr>
              <w:pStyle w:val="291"/>
              <w:spacing w:line="240" w:lineRule="auto"/>
              <w:jc w:val="center"/>
              <w:rPr>
                <w:b w:val="0"/>
                <w:szCs w:val="21"/>
              </w:rPr>
            </w:pPr>
            <w:r>
              <w:rPr>
                <w:b w:val="0"/>
                <w:szCs w:val="21"/>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5000" w:type="pct"/>
            <w:gridSpan w:val="3"/>
          </w:tcPr>
          <w:p>
            <w:pPr>
              <w:pStyle w:val="291"/>
              <w:spacing w:before="0" w:line="240" w:lineRule="auto"/>
              <w:jc w:val="left"/>
              <w:rPr>
                <w:b w:val="0"/>
                <w:szCs w:val="21"/>
              </w:rPr>
            </w:pPr>
            <w:r>
              <w:rPr>
                <w:b w:val="0"/>
                <w:szCs w:val="21"/>
              </w:rPr>
              <w:t>注：</w:t>
            </w:r>
            <w:r>
              <w:rPr>
                <w:rFonts w:hint="eastAsia"/>
                <w:b w:val="0"/>
                <w:szCs w:val="21"/>
              </w:rPr>
              <w:t>1.</w:t>
            </w:r>
            <w:r>
              <w:rPr>
                <w:b w:val="0"/>
                <w:szCs w:val="21"/>
              </w:rPr>
              <w:t>不同静压机组的能源效率应进行修正，按照GB/T 18837-2015,GB/T 18836-2017规定的方法进行。</w:t>
            </w:r>
          </w:p>
          <w:p>
            <w:pPr>
              <w:pStyle w:val="291"/>
              <w:spacing w:before="0" w:line="240" w:lineRule="auto"/>
              <w:jc w:val="left"/>
              <w:rPr>
                <w:b w:val="0"/>
                <w:szCs w:val="21"/>
              </w:rPr>
            </w:pPr>
            <w:r>
              <w:rPr>
                <w:rFonts w:hint="eastAsia"/>
                <w:b w:val="0"/>
                <w:szCs w:val="21"/>
              </w:rPr>
              <w:t>2.</w:t>
            </w:r>
            <w:r>
              <w:rPr>
                <w:b w:val="0"/>
                <w:szCs w:val="21"/>
              </w:rPr>
              <w:t>对于名义制冷量14 000W及以下的风冷式单冷型多联机，SEER,EERmin均应满足要求。</w:t>
            </w:r>
          </w:p>
          <w:p>
            <w:pPr>
              <w:pStyle w:val="291"/>
              <w:spacing w:before="0" w:line="240" w:lineRule="auto"/>
              <w:jc w:val="left"/>
              <w:rPr>
                <w:b w:val="0"/>
                <w:szCs w:val="21"/>
              </w:rPr>
            </w:pPr>
            <w:r>
              <w:rPr>
                <w:rFonts w:hint="eastAsia"/>
                <w:b w:val="0"/>
                <w:szCs w:val="21"/>
              </w:rPr>
              <w:t>3.</w:t>
            </w:r>
            <w:r>
              <w:rPr>
                <w:b w:val="0"/>
                <w:szCs w:val="21"/>
              </w:rPr>
              <w:t>“--”为不作指标要求。</w:t>
            </w:r>
          </w:p>
        </w:tc>
      </w:tr>
    </w:tbl>
    <w:p>
      <w:pPr>
        <w:pStyle w:val="291"/>
        <w:jc w:val="center"/>
        <w:rPr>
          <w:b w:val="0"/>
          <w:szCs w:val="21"/>
        </w:rPr>
      </w:pPr>
      <w:r>
        <w:rPr>
          <w:b w:val="0"/>
          <w:szCs w:val="21"/>
        </w:rPr>
        <w:t>6.2.2-2  风冷式热泵型多联机制冷能效比(EER)的最小允许值、全年性能系数(APF)</w:t>
      </w:r>
    </w:p>
    <w:tbl>
      <w:tblPr>
        <w:tblStyle w:val="4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28"/>
        <w:gridCol w:w="1807"/>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2305" w:type="pct"/>
          </w:tcPr>
          <w:p>
            <w:pPr>
              <w:pStyle w:val="291"/>
              <w:spacing w:line="240" w:lineRule="auto"/>
              <w:jc w:val="center"/>
              <w:rPr>
                <w:b w:val="0"/>
                <w:szCs w:val="21"/>
              </w:rPr>
            </w:pPr>
            <w:r>
              <w:rPr>
                <w:b w:val="0"/>
                <w:szCs w:val="21"/>
              </w:rPr>
              <w:t>名义制冷量（CC）</w:t>
            </w:r>
          </w:p>
          <w:p>
            <w:pPr>
              <w:pStyle w:val="291"/>
              <w:spacing w:line="240" w:lineRule="auto"/>
              <w:jc w:val="center"/>
              <w:rPr>
                <w:b w:val="0"/>
                <w:szCs w:val="21"/>
              </w:rPr>
            </w:pPr>
            <w:r>
              <w:rPr>
                <w:b w:val="0"/>
                <w:szCs w:val="21"/>
              </w:rPr>
              <w:t>W</w:t>
            </w:r>
          </w:p>
        </w:tc>
        <w:tc>
          <w:tcPr>
            <w:tcW w:w="1060" w:type="pct"/>
          </w:tcPr>
          <w:p>
            <w:pPr>
              <w:pStyle w:val="291"/>
              <w:spacing w:line="240" w:lineRule="auto"/>
              <w:jc w:val="center"/>
              <w:rPr>
                <w:b w:val="0"/>
                <w:szCs w:val="21"/>
              </w:rPr>
            </w:pPr>
            <w:r>
              <w:rPr>
                <w:b w:val="0"/>
                <w:szCs w:val="21"/>
              </w:rPr>
              <w:t>EERmin</w:t>
            </w:r>
          </w:p>
          <w:p>
            <w:pPr>
              <w:pStyle w:val="291"/>
              <w:spacing w:line="240" w:lineRule="auto"/>
              <w:jc w:val="center"/>
              <w:rPr>
                <w:b w:val="0"/>
                <w:szCs w:val="21"/>
              </w:rPr>
            </w:pPr>
            <w:r>
              <w:rPr>
                <w:b w:val="0"/>
                <w:szCs w:val="21"/>
              </w:rPr>
              <w:t>W/W</w:t>
            </w:r>
          </w:p>
        </w:tc>
        <w:tc>
          <w:tcPr>
            <w:tcW w:w="1634" w:type="pct"/>
          </w:tcPr>
          <w:p>
            <w:pPr>
              <w:pStyle w:val="291"/>
              <w:spacing w:line="240" w:lineRule="auto"/>
              <w:jc w:val="center"/>
              <w:rPr>
                <w:b w:val="0"/>
                <w:szCs w:val="21"/>
              </w:rPr>
            </w:pPr>
            <w:r>
              <w:rPr>
                <w:b w:val="0"/>
                <w:szCs w:val="21"/>
              </w:rPr>
              <w:t>APF</w:t>
            </w:r>
          </w:p>
          <w:p>
            <w:pPr>
              <w:pStyle w:val="291"/>
              <w:spacing w:line="240" w:lineRule="auto"/>
              <w:jc w:val="center"/>
              <w:rPr>
                <w:b w:val="0"/>
                <w:szCs w:val="21"/>
              </w:rPr>
            </w:pPr>
            <w:r>
              <w:rPr>
                <w:b w:val="0"/>
                <w:szCs w:val="21"/>
              </w:rPr>
              <w:t>(W•h)/（W•h)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pct"/>
          </w:tcPr>
          <w:p>
            <w:pPr>
              <w:pStyle w:val="291"/>
              <w:spacing w:line="240" w:lineRule="auto"/>
              <w:jc w:val="center"/>
              <w:rPr>
                <w:b w:val="0"/>
                <w:szCs w:val="21"/>
              </w:rPr>
            </w:pPr>
            <w:r>
              <w:rPr>
                <w:b w:val="0"/>
                <w:szCs w:val="21"/>
              </w:rPr>
              <w:t>CC≤14 000</w:t>
            </w:r>
          </w:p>
        </w:tc>
        <w:tc>
          <w:tcPr>
            <w:tcW w:w="1060" w:type="pct"/>
          </w:tcPr>
          <w:p>
            <w:pPr>
              <w:pStyle w:val="291"/>
              <w:spacing w:line="240" w:lineRule="auto"/>
              <w:jc w:val="center"/>
              <w:rPr>
                <w:b w:val="0"/>
                <w:szCs w:val="21"/>
              </w:rPr>
            </w:pPr>
            <w:r>
              <w:rPr>
                <w:b w:val="0"/>
                <w:szCs w:val="21"/>
              </w:rPr>
              <w:t>3.50</w:t>
            </w:r>
          </w:p>
        </w:tc>
        <w:tc>
          <w:tcPr>
            <w:tcW w:w="1634" w:type="pct"/>
          </w:tcPr>
          <w:p>
            <w:pPr>
              <w:pStyle w:val="291"/>
              <w:spacing w:line="240" w:lineRule="auto"/>
              <w:jc w:val="center"/>
              <w:rPr>
                <w:b w:val="0"/>
                <w:szCs w:val="21"/>
              </w:rPr>
            </w:pPr>
            <w:r>
              <w:rPr>
                <w:b w:val="0"/>
                <w:szCs w:val="21"/>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05" w:type="pct"/>
          </w:tcPr>
          <w:p>
            <w:pPr>
              <w:pStyle w:val="291"/>
              <w:spacing w:line="240" w:lineRule="auto"/>
              <w:jc w:val="center"/>
              <w:rPr>
                <w:b w:val="0"/>
                <w:szCs w:val="21"/>
              </w:rPr>
            </w:pPr>
            <w:r>
              <w:rPr>
                <w:b w:val="0"/>
                <w:szCs w:val="21"/>
              </w:rPr>
              <w:t>14 000＜CC≤28 000</w:t>
            </w:r>
          </w:p>
        </w:tc>
        <w:tc>
          <w:tcPr>
            <w:tcW w:w="1060" w:type="pct"/>
          </w:tcPr>
          <w:p>
            <w:pPr>
              <w:pStyle w:val="291"/>
              <w:spacing w:line="240" w:lineRule="auto"/>
              <w:jc w:val="center"/>
              <w:rPr>
                <w:b w:val="0"/>
                <w:szCs w:val="21"/>
              </w:rPr>
            </w:pPr>
            <w:r>
              <w:rPr>
                <w:rFonts w:hint="eastAsia"/>
                <w:b w:val="0"/>
                <w:szCs w:val="21"/>
              </w:rPr>
              <w:t>—</w:t>
            </w:r>
          </w:p>
        </w:tc>
        <w:tc>
          <w:tcPr>
            <w:tcW w:w="1634" w:type="pct"/>
          </w:tcPr>
          <w:p>
            <w:pPr>
              <w:pStyle w:val="291"/>
              <w:spacing w:line="240" w:lineRule="auto"/>
              <w:jc w:val="center"/>
              <w:rPr>
                <w:b w:val="0"/>
                <w:szCs w:val="21"/>
              </w:rPr>
            </w:pPr>
            <w:r>
              <w:rPr>
                <w:b w:val="0"/>
                <w:szCs w:val="21"/>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05" w:type="pct"/>
          </w:tcPr>
          <w:p>
            <w:pPr>
              <w:pStyle w:val="291"/>
              <w:spacing w:line="240" w:lineRule="auto"/>
              <w:jc w:val="center"/>
              <w:rPr>
                <w:b w:val="0"/>
                <w:szCs w:val="21"/>
              </w:rPr>
            </w:pPr>
            <w:r>
              <w:rPr>
                <w:b w:val="0"/>
                <w:szCs w:val="21"/>
              </w:rPr>
              <w:t>28 000＜CC≤50 000</w:t>
            </w:r>
          </w:p>
        </w:tc>
        <w:tc>
          <w:tcPr>
            <w:tcW w:w="1060" w:type="pct"/>
          </w:tcPr>
          <w:p>
            <w:pPr>
              <w:pStyle w:val="291"/>
              <w:spacing w:line="240" w:lineRule="auto"/>
              <w:jc w:val="center"/>
              <w:rPr>
                <w:b w:val="0"/>
                <w:szCs w:val="21"/>
              </w:rPr>
            </w:pPr>
            <w:r>
              <w:rPr>
                <w:rFonts w:hint="eastAsia"/>
                <w:b w:val="0"/>
                <w:szCs w:val="21"/>
              </w:rPr>
              <w:t>—</w:t>
            </w:r>
          </w:p>
        </w:tc>
        <w:tc>
          <w:tcPr>
            <w:tcW w:w="1634" w:type="pct"/>
          </w:tcPr>
          <w:p>
            <w:pPr>
              <w:pStyle w:val="291"/>
              <w:spacing w:line="240" w:lineRule="auto"/>
              <w:jc w:val="center"/>
              <w:rPr>
                <w:b w:val="0"/>
                <w:szCs w:val="21"/>
              </w:rPr>
            </w:pPr>
            <w:r>
              <w:rPr>
                <w:b w:val="0"/>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05" w:type="pct"/>
          </w:tcPr>
          <w:p>
            <w:pPr>
              <w:pStyle w:val="291"/>
              <w:spacing w:line="240" w:lineRule="auto"/>
              <w:jc w:val="center"/>
              <w:rPr>
                <w:b w:val="0"/>
                <w:szCs w:val="21"/>
              </w:rPr>
            </w:pPr>
            <w:r>
              <w:rPr>
                <w:b w:val="0"/>
                <w:szCs w:val="21"/>
              </w:rPr>
              <w:t>50 000＜CC≤68 000</w:t>
            </w:r>
          </w:p>
        </w:tc>
        <w:tc>
          <w:tcPr>
            <w:tcW w:w="1060" w:type="pct"/>
          </w:tcPr>
          <w:p>
            <w:pPr>
              <w:pStyle w:val="291"/>
              <w:spacing w:line="240" w:lineRule="auto"/>
              <w:jc w:val="center"/>
              <w:rPr>
                <w:b w:val="0"/>
                <w:szCs w:val="21"/>
              </w:rPr>
            </w:pPr>
            <w:r>
              <w:rPr>
                <w:rFonts w:hint="eastAsia"/>
                <w:b w:val="0"/>
                <w:szCs w:val="21"/>
              </w:rPr>
              <w:t>—</w:t>
            </w:r>
          </w:p>
        </w:tc>
        <w:tc>
          <w:tcPr>
            <w:tcW w:w="1634" w:type="pct"/>
          </w:tcPr>
          <w:p>
            <w:pPr>
              <w:pStyle w:val="291"/>
              <w:spacing w:line="240" w:lineRule="auto"/>
              <w:jc w:val="center"/>
              <w:rPr>
                <w:b w:val="0"/>
                <w:szCs w:val="21"/>
              </w:rPr>
            </w:pPr>
            <w:r>
              <w:rPr>
                <w:b w:val="0"/>
                <w:szCs w:val="21"/>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05" w:type="pct"/>
          </w:tcPr>
          <w:p>
            <w:pPr>
              <w:pStyle w:val="291"/>
              <w:spacing w:line="240" w:lineRule="auto"/>
              <w:jc w:val="center"/>
              <w:rPr>
                <w:b w:val="0"/>
                <w:szCs w:val="21"/>
              </w:rPr>
            </w:pPr>
            <w:r>
              <w:rPr>
                <w:b w:val="0"/>
                <w:szCs w:val="21"/>
              </w:rPr>
              <w:t>CC≥68 000</w:t>
            </w:r>
          </w:p>
        </w:tc>
        <w:tc>
          <w:tcPr>
            <w:tcW w:w="1060" w:type="pct"/>
          </w:tcPr>
          <w:p>
            <w:pPr>
              <w:pStyle w:val="291"/>
              <w:spacing w:line="240" w:lineRule="auto"/>
              <w:jc w:val="center"/>
              <w:rPr>
                <w:b w:val="0"/>
                <w:szCs w:val="21"/>
              </w:rPr>
            </w:pPr>
            <w:r>
              <w:rPr>
                <w:rFonts w:hint="eastAsia"/>
                <w:b w:val="0"/>
                <w:szCs w:val="21"/>
              </w:rPr>
              <w:t>—</w:t>
            </w:r>
          </w:p>
        </w:tc>
        <w:tc>
          <w:tcPr>
            <w:tcW w:w="1634" w:type="pct"/>
          </w:tcPr>
          <w:p>
            <w:pPr>
              <w:pStyle w:val="291"/>
              <w:spacing w:line="240" w:lineRule="auto"/>
              <w:jc w:val="center"/>
              <w:rPr>
                <w:b w:val="0"/>
                <w:szCs w:val="21"/>
              </w:rPr>
            </w:pPr>
            <w:r>
              <w:rPr>
                <w:b w:val="0"/>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000" w:type="pct"/>
            <w:gridSpan w:val="3"/>
          </w:tcPr>
          <w:p>
            <w:pPr>
              <w:pStyle w:val="291"/>
              <w:spacing w:before="0" w:line="240" w:lineRule="auto"/>
              <w:jc w:val="left"/>
              <w:rPr>
                <w:b w:val="0"/>
                <w:szCs w:val="21"/>
              </w:rPr>
            </w:pPr>
            <w:r>
              <w:rPr>
                <w:b w:val="0"/>
                <w:szCs w:val="21"/>
              </w:rPr>
              <w:t>注：</w:t>
            </w:r>
            <w:r>
              <w:rPr>
                <w:rFonts w:hint="eastAsia"/>
                <w:b w:val="0"/>
                <w:szCs w:val="21"/>
              </w:rPr>
              <w:t>1.</w:t>
            </w:r>
            <w:r>
              <w:rPr>
                <w:b w:val="0"/>
                <w:szCs w:val="21"/>
              </w:rPr>
              <w:t>不同静压机组的能源效率应进行修正，按照GB/T 18837-2015,GB/T 18836-2017规定的方法进行。</w:t>
            </w:r>
          </w:p>
          <w:p>
            <w:pPr>
              <w:pStyle w:val="291"/>
              <w:spacing w:before="0" w:line="240" w:lineRule="auto"/>
              <w:jc w:val="left"/>
              <w:rPr>
                <w:b w:val="0"/>
                <w:szCs w:val="21"/>
              </w:rPr>
            </w:pPr>
            <w:r>
              <w:rPr>
                <w:rFonts w:hint="eastAsia"/>
                <w:b w:val="0"/>
                <w:szCs w:val="21"/>
              </w:rPr>
              <w:t>2.</w:t>
            </w:r>
            <w:r>
              <w:rPr>
                <w:b w:val="0"/>
                <w:szCs w:val="21"/>
              </w:rPr>
              <w:t>对于名义制冷量14 000W及以下的风冷式热泵型多联式空调（热泵）机组，APF,EERmin均应满足要求。</w:t>
            </w:r>
          </w:p>
          <w:p>
            <w:pPr>
              <w:pStyle w:val="291"/>
              <w:spacing w:before="0" w:line="240" w:lineRule="auto"/>
              <w:rPr>
                <w:b w:val="0"/>
                <w:szCs w:val="21"/>
              </w:rPr>
            </w:pPr>
            <w:r>
              <w:rPr>
                <w:rFonts w:hint="eastAsia"/>
                <w:b w:val="0"/>
                <w:szCs w:val="21"/>
              </w:rPr>
              <w:t>3.</w:t>
            </w:r>
            <w:r>
              <w:rPr>
                <w:b w:val="0"/>
                <w:szCs w:val="21"/>
              </w:rPr>
              <w:t>“--”为不作指标要求。</w:t>
            </w:r>
          </w:p>
        </w:tc>
      </w:tr>
    </w:tbl>
    <w:p>
      <w:pPr>
        <w:pStyle w:val="291"/>
        <w:jc w:val="center"/>
        <w:rPr>
          <w:b w:val="0"/>
          <w:color w:val="333333"/>
          <w:szCs w:val="21"/>
          <w:shd w:val="clear" w:color="auto" w:fill="FFFFFF"/>
        </w:rPr>
      </w:pPr>
      <w:r>
        <w:rPr>
          <w:b w:val="0"/>
          <w:szCs w:val="21"/>
        </w:rPr>
        <w:t>表6.2.2-3  水冷式多联机制冷制冷综合部分负荷性能系数[IPLV(C)]、</w:t>
      </w:r>
      <w:r>
        <w:rPr>
          <w:b w:val="0"/>
          <w:color w:val="333333"/>
          <w:szCs w:val="21"/>
          <w:shd w:val="clear" w:color="auto" w:fill="FFFFFF"/>
        </w:rPr>
        <w:t>制冷能效比(EER)</w:t>
      </w:r>
    </w:p>
    <w:tbl>
      <w:tblPr>
        <w:tblStyle w:val="44"/>
        <w:tblW w:w="3588" w:type="pct"/>
        <w:jc w:val="center"/>
        <w:tblLayout w:type="autofit"/>
        <w:tblCellMar>
          <w:top w:w="0" w:type="dxa"/>
          <w:left w:w="108" w:type="dxa"/>
          <w:bottom w:w="0" w:type="dxa"/>
          <w:right w:w="108" w:type="dxa"/>
        </w:tblCellMar>
      </w:tblPr>
      <w:tblGrid>
        <w:gridCol w:w="1202"/>
        <w:gridCol w:w="1973"/>
        <w:gridCol w:w="1640"/>
        <w:gridCol w:w="1300"/>
      </w:tblGrid>
      <w:tr>
        <w:trPr>
          <w:trHeight w:val="1374" w:hRule="atLeast"/>
          <w:jc w:val="center"/>
        </w:trPr>
        <w:tc>
          <w:tcPr>
            <w:tcW w:w="9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类型</w:t>
            </w:r>
          </w:p>
        </w:tc>
        <w:tc>
          <w:tcPr>
            <w:tcW w:w="1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名义制冷量CC)</w:t>
            </w:r>
            <w:r>
              <w:rPr>
                <w:b w:val="0"/>
                <w:szCs w:val="21"/>
              </w:rPr>
              <w:br w:type="textWrapping"/>
            </w:r>
            <w:r>
              <w:rPr>
                <w:b w:val="0"/>
                <w:szCs w:val="21"/>
              </w:rPr>
              <w:t>W</w:t>
            </w:r>
          </w:p>
        </w:tc>
        <w:tc>
          <w:tcPr>
            <w:tcW w:w="1341"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IPLV(C)/(W/W)</w:t>
            </w:r>
          </w:p>
        </w:tc>
        <w:tc>
          <w:tcPr>
            <w:tcW w:w="106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EER/(W/W)</w:t>
            </w:r>
          </w:p>
        </w:tc>
      </w:tr>
      <w:tr>
        <w:trPr>
          <w:trHeight w:val="280" w:hRule="atLeast"/>
          <w:jc w:val="center"/>
        </w:trPr>
        <w:tc>
          <w:tcPr>
            <w:tcW w:w="98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水环式</w:t>
            </w:r>
          </w:p>
        </w:tc>
        <w:tc>
          <w:tcPr>
            <w:tcW w:w="1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CC≤28 000</w:t>
            </w:r>
          </w:p>
        </w:tc>
        <w:tc>
          <w:tcPr>
            <w:tcW w:w="1341"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7.00</w:t>
            </w:r>
          </w:p>
        </w:tc>
        <w:tc>
          <w:tcPr>
            <w:tcW w:w="106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rPr>
          <w:trHeight w:val="290" w:hRule="atLeast"/>
          <w:jc w:val="center"/>
        </w:trPr>
        <w:tc>
          <w:tcPr>
            <w:tcW w:w="98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CC&gt;28 000</w:t>
            </w:r>
          </w:p>
        </w:tc>
        <w:tc>
          <w:tcPr>
            <w:tcW w:w="1341"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6.80</w:t>
            </w:r>
          </w:p>
        </w:tc>
        <w:tc>
          <w:tcPr>
            <w:tcW w:w="106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rPr>
          <w:trHeight w:val="290" w:hRule="atLeast"/>
          <w:jc w:val="center"/>
        </w:trPr>
        <w:tc>
          <w:tcPr>
            <w:tcW w:w="9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地埋管式</w:t>
            </w:r>
          </w:p>
        </w:tc>
        <w:tc>
          <w:tcPr>
            <w:tcW w:w="1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c>
          <w:tcPr>
            <w:tcW w:w="1341"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c>
          <w:tcPr>
            <w:tcW w:w="106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4.60</w:t>
            </w:r>
          </w:p>
        </w:tc>
      </w:tr>
      <w:tr>
        <w:trPr>
          <w:trHeight w:val="290" w:hRule="atLeast"/>
          <w:jc w:val="center"/>
        </w:trPr>
        <w:tc>
          <w:tcPr>
            <w:tcW w:w="9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地下水式</w:t>
            </w:r>
          </w:p>
        </w:tc>
        <w:tc>
          <w:tcPr>
            <w:tcW w:w="1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c>
          <w:tcPr>
            <w:tcW w:w="1341"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c>
          <w:tcPr>
            <w:tcW w:w="106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5.00</w:t>
            </w:r>
          </w:p>
        </w:tc>
      </w:tr>
    </w:tbl>
    <w:p>
      <w:pPr>
        <w:pStyle w:val="291"/>
        <w:jc w:val="left"/>
        <w:rPr>
          <w:bCs w:val="0"/>
          <w:szCs w:val="21"/>
        </w:rPr>
      </w:pPr>
      <w:r>
        <w:rPr>
          <w:b w:val="0"/>
          <w:szCs w:val="21"/>
        </w:rPr>
        <w:t>6.2.3 当采用燃气锅炉时，在其名义工况和规定条件下，锅炉热效率应符合表6.2.3的规定。</w:t>
      </w:r>
    </w:p>
    <w:p>
      <w:pPr>
        <w:spacing w:line="240" w:lineRule="auto"/>
        <w:ind w:firstLine="0" w:firstLineChars="0"/>
        <w:jc w:val="center"/>
        <w:rPr>
          <w:rFonts w:cs="Times New Roman"/>
          <w:bCs/>
          <w:szCs w:val="21"/>
        </w:rPr>
      </w:pPr>
      <w:r>
        <w:rPr>
          <w:rFonts w:cs="Times New Roman"/>
          <w:bCs/>
          <w:szCs w:val="21"/>
        </w:rPr>
        <w:t>表6.2.3 燃气锅炉的热效率</w:t>
      </w:r>
    </w:p>
    <w:tbl>
      <w:tblPr>
        <w:tblStyle w:val="44"/>
        <w:tblW w:w="4999" w:type="pct"/>
        <w:jc w:val="center"/>
        <w:tblLayout w:type="autofit"/>
        <w:tblCellMar>
          <w:top w:w="0" w:type="dxa"/>
          <w:left w:w="108" w:type="dxa"/>
          <w:bottom w:w="0" w:type="dxa"/>
          <w:right w:w="108" w:type="dxa"/>
        </w:tblCellMar>
      </w:tblPr>
      <w:tblGrid>
        <w:gridCol w:w="2244"/>
        <w:gridCol w:w="3361"/>
        <w:gridCol w:w="2915"/>
      </w:tblGrid>
      <w:tr>
        <w:trPr>
          <w:trHeight w:val="525" w:hRule="atLeast"/>
          <w:jc w:val="center"/>
        </w:trPr>
        <w:tc>
          <w:tcPr>
            <w:tcW w:w="1317" w:type="pct"/>
            <w:vMerge w:val="restart"/>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性能参数</w:t>
            </w:r>
          </w:p>
        </w:tc>
        <w:tc>
          <w:tcPr>
            <w:tcW w:w="3682" w:type="pct"/>
            <w:gridSpan w:val="2"/>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锅炉额定蒸发量D(t/h)/额定热功率Q(MW)</w:t>
            </w:r>
          </w:p>
        </w:tc>
      </w:tr>
      <w:tr>
        <w:trPr>
          <w:trHeight w:val="540" w:hRule="atLeast"/>
          <w:jc w:val="center"/>
        </w:trPr>
        <w:tc>
          <w:tcPr>
            <w:tcW w:w="1317" w:type="pct"/>
            <w:vMerge w:val="continue"/>
            <w:tcBorders>
              <w:top w:val="single" w:color="000000" w:sz="4" w:space="0"/>
              <w:left w:val="single" w:color="000000" w:sz="4" w:space="0"/>
              <w:bottom w:val="single" w:color="000000" w:sz="4" w:space="0"/>
              <w:right w:val="single" w:color="000000" w:sz="4" w:space="0"/>
            </w:tcBorders>
            <w:vAlign w:val="center"/>
          </w:tcPr>
          <w:p>
            <w:pPr>
              <w:ind w:firstLine="420"/>
              <w:jc w:val="center"/>
              <w:rPr>
                <w:rFonts w:cs="Times New Roman"/>
                <w:bCs/>
                <w:color w:val="000000"/>
                <w:szCs w:val="21"/>
              </w:rPr>
            </w:pPr>
          </w:p>
        </w:tc>
        <w:tc>
          <w:tcPr>
            <w:tcW w:w="1972" w:type="pct"/>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D≤2.0/Q≤1.4</w:t>
            </w:r>
          </w:p>
        </w:tc>
        <w:tc>
          <w:tcPr>
            <w:tcW w:w="1709" w:type="pct"/>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D&gt;2.0/Q&gt;1.4</w:t>
            </w:r>
          </w:p>
        </w:tc>
      </w:tr>
      <w:tr>
        <w:trPr>
          <w:trHeight w:val="535" w:hRule="atLeast"/>
          <w:jc w:val="center"/>
        </w:trPr>
        <w:tc>
          <w:tcPr>
            <w:tcW w:w="1317" w:type="pct"/>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锅炉的热效率</w:t>
            </w:r>
          </w:p>
        </w:tc>
        <w:tc>
          <w:tcPr>
            <w:tcW w:w="1972" w:type="pct"/>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≥92%</w:t>
            </w:r>
          </w:p>
        </w:tc>
        <w:tc>
          <w:tcPr>
            <w:tcW w:w="1709" w:type="pct"/>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cs="Times New Roman"/>
                <w:bCs/>
                <w:color w:val="000000"/>
                <w:szCs w:val="21"/>
              </w:rPr>
            </w:pPr>
            <w:r>
              <w:rPr>
                <w:rStyle w:val="298"/>
                <w:rFonts w:ascii="Times New Roman" w:hAnsi="Times New Roman" w:cs="Times New Roman"/>
                <w:bCs/>
                <w:szCs w:val="21"/>
                <w:lang w:bidi="ar"/>
              </w:rPr>
              <w:t>≥94%</w:t>
            </w:r>
          </w:p>
        </w:tc>
      </w:tr>
    </w:tbl>
    <w:p>
      <w:pPr>
        <w:spacing w:line="240" w:lineRule="auto"/>
        <w:ind w:firstLine="0" w:firstLineChars="0"/>
        <w:jc w:val="center"/>
        <w:rPr>
          <w:rFonts w:cs="Times New Roman"/>
          <w:szCs w:val="21"/>
        </w:rPr>
      </w:pPr>
    </w:p>
    <w:p>
      <w:pPr>
        <w:ind w:firstLine="0" w:firstLineChars="0"/>
        <w:rPr>
          <w:rFonts w:cs="Times New Roman"/>
          <w:szCs w:val="21"/>
        </w:rPr>
      </w:pPr>
      <w:r>
        <w:rPr>
          <w:rFonts w:cs="Times New Roman"/>
          <w:szCs w:val="21"/>
        </w:rPr>
        <w:t>【条文说明】</w:t>
      </w:r>
    </w:p>
    <w:p>
      <w:pPr>
        <w:ind w:firstLine="0" w:firstLineChars="0"/>
        <w:rPr>
          <w:rFonts w:cs="Times New Roman"/>
          <w:bCs/>
          <w:szCs w:val="21"/>
        </w:rPr>
      </w:pPr>
      <w:r>
        <w:rPr>
          <w:rFonts w:cs="Times New Roman"/>
          <w:bCs/>
          <w:szCs w:val="21"/>
        </w:rPr>
        <w:t>6.2.3  近年来，我国锅炉设计制造水平有了很大的提高，锅炉房的设备配置也发生了很大的变化，已经为运行单位管理水平的提高提供了基本条件，只有选择设计效率较高的锅炉，合理组织锅炉的运行，才能保证运行效率满足要求。</w:t>
      </w:r>
    </w:p>
    <w:p>
      <w:pPr>
        <w:pStyle w:val="2"/>
        <w:ind w:firstLine="0" w:firstLineChars="0"/>
        <w:rPr>
          <w:rFonts w:eastAsia="宋体"/>
          <w:bCs/>
          <w:color w:val="auto"/>
          <w:szCs w:val="21"/>
        </w:rPr>
      </w:pPr>
    </w:p>
    <w:p>
      <w:pPr>
        <w:pStyle w:val="291"/>
        <w:jc w:val="left"/>
        <w:rPr>
          <w:b w:val="0"/>
          <w:bCs w:val="0"/>
          <w:szCs w:val="21"/>
        </w:rPr>
      </w:pPr>
      <w:r>
        <w:rPr>
          <w:b w:val="0"/>
          <w:szCs w:val="21"/>
        </w:rPr>
        <w:t>6.2.4</w:t>
      </w:r>
      <w:r>
        <w:rPr>
          <w:rFonts w:hint="eastAsia"/>
          <w:b w:val="0"/>
          <w:bCs w:val="0"/>
          <w:szCs w:val="21"/>
        </w:rPr>
        <w:t>选用蒸气压缩循环冷水(热泵)机组时，应满足下列条件之一：</w:t>
      </w:r>
    </w:p>
    <w:p>
      <w:pPr>
        <w:pStyle w:val="166"/>
        <w:spacing w:line="360" w:lineRule="auto"/>
        <w:ind w:firstLine="420" w:firstLineChars="200"/>
        <w:rPr>
          <w:bCs/>
          <w:sz w:val="21"/>
        </w:rPr>
      </w:pPr>
      <w:r>
        <w:rPr>
          <w:rFonts w:hint="eastAsia"/>
          <w:bCs/>
          <w:sz w:val="21"/>
        </w:rPr>
        <w:t>1</w:t>
      </w:r>
      <w:r>
        <w:rPr>
          <w:bCs/>
          <w:sz w:val="21"/>
        </w:rPr>
        <w:t xml:space="preserve">. </w:t>
      </w:r>
      <w:r>
        <w:rPr>
          <w:rFonts w:hint="eastAsia"/>
          <w:bCs/>
          <w:sz w:val="21"/>
        </w:rPr>
        <w:t>水冷式舒适型、蒸发冷却式舒适型机组</w:t>
      </w:r>
      <w:r>
        <w:rPr>
          <w:rFonts w:hint="eastAsia"/>
          <w:sz w:val="21"/>
        </w:rPr>
        <w:t>综合部分负荷性能系数</w:t>
      </w:r>
      <w:r>
        <w:rPr>
          <w:rFonts w:hint="eastAsia"/>
          <w:bCs/>
          <w:sz w:val="21"/>
        </w:rPr>
        <w:t>（IPLV）、风冷式舒适型机组</w:t>
      </w:r>
      <w:r>
        <w:rPr>
          <w:rFonts w:hint="eastAsia"/>
          <w:sz w:val="21"/>
        </w:rPr>
        <w:t>制冷季节性能系数</w:t>
      </w:r>
      <w:r>
        <w:rPr>
          <w:rFonts w:hint="eastAsia"/>
          <w:bCs/>
          <w:sz w:val="21"/>
        </w:rPr>
        <w:t>（</w:t>
      </w:r>
      <w:r>
        <w:rPr>
          <w:sz w:val="21"/>
        </w:rPr>
        <w:t>CSPF</w:t>
      </w:r>
      <w:r>
        <w:rPr>
          <w:rFonts w:hint="eastAsia"/>
          <w:bCs/>
          <w:sz w:val="21"/>
        </w:rPr>
        <w:t>）、数据中心专用型机组全年综合制冷性能系数（</w:t>
      </w:r>
      <w:r>
        <w:rPr>
          <w:bCs/>
          <w:sz w:val="21"/>
        </w:rPr>
        <w:t>ACCOP</w:t>
      </w:r>
      <w:r>
        <w:rPr>
          <w:rFonts w:hint="eastAsia"/>
          <w:bCs/>
          <w:sz w:val="21"/>
        </w:rPr>
        <w:t>）</w:t>
      </w:r>
      <w:r>
        <w:rPr>
          <w:rFonts w:hint="eastAsia"/>
          <w:sz w:val="21"/>
        </w:rPr>
        <w:t>应符合表6.2.4-1的规定</w:t>
      </w:r>
      <w:r>
        <w:rPr>
          <w:rFonts w:hint="eastAsia"/>
          <w:bCs/>
          <w:sz w:val="21"/>
        </w:rPr>
        <w:t>；</w:t>
      </w:r>
    </w:p>
    <w:p>
      <w:pPr>
        <w:pStyle w:val="166"/>
        <w:spacing w:line="360" w:lineRule="auto"/>
        <w:ind w:firstLine="420" w:firstLineChars="200"/>
        <w:rPr>
          <w:b/>
          <w:bCs/>
          <w:sz w:val="21"/>
        </w:rPr>
      </w:pPr>
      <w:r>
        <w:rPr>
          <w:rFonts w:hint="eastAsia"/>
          <w:sz w:val="21"/>
        </w:rPr>
        <w:t>2</w:t>
      </w:r>
      <w:r>
        <w:rPr>
          <w:sz w:val="21"/>
        </w:rPr>
        <w:t xml:space="preserve">. </w:t>
      </w:r>
      <w:r>
        <w:rPr>
          <w:rFonts w:hint="eastAsia"/>
          <w:sz w:val="21"/>
        </w:rPr>
        <w:t>性能系数应符合表6.2.4-2的规定。</w:t>
      </w:r>
    </w:p>
    <w:p>
      <w:pPr>
        <w:pStyle w:val="291"/>
        <w:jc w:val="center"/>
        <w:outlineLvl w:val="9"/>
        <w:rPr>
          <w:b w:val="0"/>
          <w:szCs w:val="21"/>
        </w:rPr>
      </w:pPr>
      <w:r>
        <w:rPr>
          <w:b w:val="0"/>
          <w:szCs w:val="21"/>
        </w:rPr>
        <w:t>表6.2.4-1 蒸气压缩循环冷水(热泵)机组</w:t>
      </w:r>
      <w:r>
        <w:rPr>
          <w:rFonts w:hint="eastAsia"/>
          <w:b w:val="0"/>
          <w:szCs w:val="21"/>
        </w:rPr>
        <w:t>综合部分负荷性能系数、制冷季节性能系数、全年综合制冷性能系数指标</w:t>
      </w:r>
    </w:p>
    <w:tbl>
      <w:tblPr>
        <w:tblStyle w:val="44"/>
        <w:tblW w:w="5000" w:type="pct"/>
        <w:jc w:val="center"/>
        <w:tblLayout w:type="autofit"/>
        <w:tblCellMar>
          <w:top w:w="0" w:type="dxa"/>
          <w:left w:w="108" w:type="dxa"/>
          <w:bottom w:w="0" w:type="dxa"/>
          <w:right w:w="108" w:type="dxa"/>
        </w:tblCellMar>
      </w:tblPr>
      <w:tblGrid>
        <w:gridCol w:w="1386"/>
        <w:gridCol w:w="1590"/>
        <w:gridCol w:w="2974"/>
        <w:gridCol w:w="2572"/>
      </w:tblGrid>
      <w:tr>
        <w:tblPrEx>
          <w:tblCellMar>
            <w:top w:w="0" w:type="dxa"/>
            <w:left w:w="108" w:type="dxa"/>
            <w:bottom w:w="0" w:type="dxa"/>
            <w:right w:w="108" w:type="dxa"/>
          </w:tblCellMar>
        </w:tblPrEx>
        <w:trPr>
          <w:trHeight w:val="1234" w:hRule="atLeast"/>
          <w:jc w:val="center"/>
        </w:trPr>
        <w:tc>
          <w:tcPr>
            <w:tcW w:w="1746" w:type="pct"/>
            <w:gridSpan w:val="2"/>
            <w:tcBorders>
              <w:top w:val="single" w:color="000000" w:sz="4" w:space="0"/>
              <w:left w:val="single" w:color="000000" w:sz="4" w:space="0"/>
              <w:right w:val="single" w:color="000000" w:sz="4" w:space="0"/>
            </w:tcBorders>
            <w:vAlign w:val="center"/>
          </w:tcPr>
          <w:p>
            <w:pPr>
              <w:pStyle w:val="291"/>
              <w:spacing w:line="240" w:lineRule="auto"/>
              <w:jc w:val="center"/>
              <w:rPr>
                <w:b w:val="0"/>
                <w:szCs w:val="21"/>
              </w:rPr>
            </w:pPr>
            <w:r>
              <w:rPr>
                <w:b w:val="0"/>
                <w:szCs w:val="21"/>
              </w:rPr>
              <w:t>机组型式</w:t>
            </w: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名义制冷量(CC)</w:t>
            </w:r>
            <w:r>
              <w:rPr>
                <w:b w:val="0"/>
                <w:szCs w:val="21"/>
              </w:rPr>
              <w:br w:type="textWrapping"/>
            </w:r>
            <w:r>
              <w:rPr>
                <w:b w:val="0"/>
                <w:szCs w:val="21"/>
              </w:rPr>
              <w:t>kW</w:t>
            </w:r>
          </w:p>
        </w:tc>
        <w:tc>
          <w:tcPr>
            <w:tcW w:w="1509" w:type="pct"/>
            <w:tcBorders>
              <w:top w:val="single" w:color="000000" w:sz="4" w:space="0"/>
              <w:left w:val="single" w:color="000000" w:sz="4" w:space="0"/>
              <w:right w:val="single" w:color="000000" w:sz="4" w:space="0"/>
            </w:tcBorders>
            <w:vAlign w:val="center"/>
          </w:tcPr>
          <w:p>
            <w:pPr>
              <w:pStyle w:val="291"/>
              <w:spacing w:line="240" w:lineRule="auto"/>
              <w:jc w:val="center"/>
              <w:rPr>
                <w:b w:val="0"/>
                <w:szCs w:val="21"/>
              </w:rPr>
            </w:pPr>
            <w:r>
              <w:rPr>
                <w:b w:val="0"/>
                <w:szCs w:val="21"/>
              </w:rPr>
              <w:t>CSPF/IPLV/ACCOP</w:t>
            </w:r>
          </w:p>
        </w:tc>
      </w:tr>
      <w:tr>
        <w:tblPrEx>
          <w:tblCellMar>
            <w:top w:w="0" w:type="dxa"/>
            <w:left w:w="108" w:type="dxa"/>
            <w:bottom w:w="0" w:type="dxa"/>
            <w:right w:w="108" w:type="dxa"/>
          </w:tblCellMar>
        </w:tblPrEx>
        <w:trPr>
          <w:trHeight w:val="240" w:hRule="atLeast"/>
          <w:jc w:val="center"/>
        </w:trPr>
        <w:tc>
          <w:tcPr>
            <w:tcW w:w="81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舒适型</w:t>
            </w:r>
          </w:p>
        </w:tc>
        <w:tc>
          <w:tcPr>
            <w:tcW w:w="93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水冷式</w:t>
            </w: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CC≤300</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6.00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300＜CC≤528</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7.80</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528＜CC≤1 163</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8.10 </w:t>
            </w:r>
          </w:p>
        </w:tc>
      </w:tr>
      <w:tr>
        <w:tblPrEx>
          <w:tblCellMar>
            <w:top w:w="0" w:type="dxa"/>
            <w:left w:w="108" w:type="dxa"/>
            <w:bottom w:w="0" w:type="dxa"/>
            <w:right w:w="108" w:type="dxa"/>
          </w:tblCellMar>
        </w:tblPrEx>
        <w:trPr>
          <w:trHeight w:val="25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CC＞1 163</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8.50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风冷式</w:t>
            </w: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CC≤50</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4.50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CC＞50</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4.30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蒸发冷却式</w:t>
            </w: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CC≤300</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5.40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CC＞300</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5.80 </w:t>
            </w:r>
          </w:p>
        </w:tc>
      </w:tr>
      <w:tr>
        <w:tblPrEx>
          <w:tblCellMar>
            <w:top w:w="0" w:type="dxa"/>
            <w:left w:w="108" w:type="dxa"/>
            <w:bottom w:w="0" w:type="dxa"/>
            <w:right w:w="108" w:type="dxa"/>
          </w:tblCellMar>
        </w:tblPrEx>
        <w:trPr>
          <w:trHeight w:val="250" w:hRule="atLeast"/>
          <w:jc w:val="center"/>
        </w:trPr>
        <w:tc>
          <w:tcPr>
            <w:tcW w:w="81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数据中心专用型</w:t>
            </w:r>
          </w:p>
        </w:tc>
        <w:tc>
          <w:tcPr>
            <w:tcW w:w="93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水冷式</w:t>
            </w: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CC≤528</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8.20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528＜CC≤1 163</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10.00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CC＞1 163</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12.00 </w:t>
            </w:r>
          </w:p>
        </w:tc>
      </w:tr>
      <w:tr>
        <w:tblPrEx>
          <w:tblCellMar>
            <w:top w:w="0" w:type="dxa"/>
            <w:left w:w="108" w:type="dxa"/>
            <w:bottom w:w="0" w:type="dxa"/>
            <w:right w:w="108" w:type="dxa"/>
          </w:tblCellMar>
        </w:tblPrEx>
        <w:trPr>
          <w:trHeight w:val="240" w:hRule="atLeast"/>
          <w:jc w:val="center"/>
        </w:trPr>
        <w:tc>
          <w:tcPr>
            <w:tcW w:w="8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93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风冷式</w:t>
            </w:r>
          </w:p>
        </w:tc>
        <w:tc>
          <w:tcPr>
            <w:tcW w:w="174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一</w:t>
            </w:r>
          </w:p>
        </w:tc>
        <w:tc>
          <w:tcPr>
            <w:tcW w:w="150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6.80 </w:t>
            </w:r>
          </w:p>
        </w:tc>
      </w:tr>
    </w:tbl>
    <w:p>
      <w:pPr>
        <w:pStyle w:val="291"/>
        <w:jc w:val="center"/>
        <w:outlineLvl w:val="9"/>
        <w:rPr>
          <w:b w:val="0"/>
          <w:szCs w:val="21"/>
        </w:rPr>
      </w:pPr>
      <w:r>
        <w:rPr>
          <w:b w:val="0"/>
          <w:szCs w:val="21"/>
        </w:rPr>
        <w:t>表6.2.4-2 蒸气压缩循环冷水(热泵)机组性能系数</w:t>
      </w:r>
      <w:r>
        <w:rPr>
          <w:rFonts w:hint="eastAsia"/>
          <w:b w:val="0"/>
          <w:szCs w:val="21"/>
        </w:rPr>
        <w:t>指标</w:t>
      </w:r>
    </w:p>
    <w:tbl>
      <w:tblPr>
        <w:tblStyle w:val="44"/>
        <w:tblW w:w="5000" w:type="pct"/>
        <w:tblInd w:w="0" w:type="dxa"/>
        <w:tblLayout w:type="autofit"/>
        <w:tblCellMar>
          <w:top w:w="0" w:type="dxa"/>
          <w:left w:w="108" w:type="dxa"/>
          <w:bottom w:w="0" w:type="dxa"/>
          <w:right w:w="108" w:type="dxa"/>
        </w:tblCellMar>
      </w:tblPr>
      <w:tblGrid>
        <w:gridCol w:w="1589"/>
        <w:gridCol w:w="1394"/>
        <w:gridCol w:w="3693"/>
        <w:gridCol w:w="1846"/>
      </w:tblGrid>
      <w:tr>
        <w:tblPrEx>
          <w:tblCellMar>
            <w:top w:w="0" w:type="dxa"/>
            <w:left w:w="108" w:type="dxa"/>
            <w:bottom w:w="0" w:type="dxa"/>
            <w:right w:w="108" w:type="dxa"/>
          </w:tblCellMar>
        </w:tblPrEx>
        <w:trPr>
          <w:trHeight w:val="372" w:hRule="atLeast"/>
        </w:trPr>
        <w:tc>
          <w:tcPr>
            <w:tcW w:w="1750" w:type="pct"/>
            <w:gridSpan w:val="2"/>
            <w:vMerge w:val="restart"/>
            <w:tcBorders>
              <w:top w:val="single" w:color="000000" w:sz="4" w:space="0"/>
              <w:left w:val="single" w:color="000000" w:sz="4" w:space="0"/>
              <w:right w:val="single" w:color="000000" w:sz="4" w:space="0"/>
            </w:tcBorders>
            <w:vAlign w:val="center"/>
          </w:tcPr>
          <w:p>
            <w:pPr>
              <w:pStyle w:val="291"/>
              <w:spacing w:line="240" w:lineRule="auto"/>
              <w:jc w:val="center"/>
              <w:rPr>
                <w:b w:val="0"/>
                <w:szCs w:val="21"/>
              </w:rPr>
            </w:pPr>
            <w:r>
              <w:rPr>
                <w:b w:val="0"/>
                <w:szCs w:val="21"/>
              </w:rPr>
              <w:t>机组型式</w:t>
            </w:r>
          </w:p>
        </w:tc>
        <w:tc>
          <w:tcPr>
            <w:tcW w:w="2167"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名义制冷量(CC)</w:t>
            </w:r>
            <w:r>
              <w:rPr>
                <w:b w:val="0"/>
                <w:szCs w:val="21"/>
              </w:rPr>
              <w:br w:type="textWrapping"/>
            </w:r>
            <w:r>
              <w:rPr>
                <w:b w:val="0"/>
                <w:szCs w:val="21"/>
              </w:rPr>
              <w:t>kW</w:t>
            </w:r>
          </w:p>
        </w:tc>
        <w:tc>
          <w:tcPr>
            <w:tcW w:w="1083" w:type="pct"/>
            <w:vMerge w:val="restart"/>
            <w:tcBorders>
              <w:top w:val="single" w:color="000000" w:sz="4" w:space="0"/>
              <w:left w:val="single" w:color="000000" w:sz="4" w:space="0"/>
              <w:right w:val="single" w:color="000000" w:sz="4" w:space="0"/>
            </w:tcBorders>
            <w:vAlign w:val="center"/>
          </w:tcPr>
          <w:p>
            <w:pPr>
              <w:pStyle w:val="291"/>
              <w:spacing w:line="240" w:lineRule="auto"/>
              <w:jc w:val="center"/>
              <w:rPr>
                <w:b w:val="0"/>
                <w:szCs w:val="21"/>
              </w:rPr>
            </w:pPr>
            <w:r>
              <w:rPr>
                <w:b w:val="0"/>
                <w:szCs w:val="21"/>
              </w:rPr>
              <w:t>COPc</w:t>
            </w:r>
          </w:p>
        </w:tc>
      </w:tr>
      <w:tr>
        <w:tblPrEx>
          <w:tblCellMar>
            <w:top w:w="0" w:type="dxa"/>
            <w:left w:w="108" w:type="dxa"/>
            <w:bottom w:w="0" w:type="dxa"/>
            <w:right w:w="108" w:type="dxa"/>
          </w:tblCellMar>
        </w:tblPrEx>
        <w:trPr>
          <w:trHeight w:val="612" w:hRule="atLeast"/>
        </w:trPr>
        <w:tc>
          <w:tcPr>
            <w:tcW w:w="1750" w:type="pct"/>
            <w:gridSpan w:val="2"/>
            <w:vMerge w:val="continue"/>
            <w:tcBorders>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216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083" w:type="pct"/>
            <w:vMerge w:val="continue"/>
            <w:tcBorders>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r>
      <w:tr>
        <w:tblPrEx>
          <w:tblCellMar>
            <w:top w:w="0" w:type="dxa"/>
            <w:left w:w="108" w:type="dxa"/>
            <w:bottom w:w="0" w:type="dxa"/>
            <w:right w:w="108" w:type="dxa"/>
          </w:tblCellMar>
        </w:tblPrEx>
        <w:trPr>
          <w:trHeight w:val="240" w:hRule="atLeast"/>
        </w:trPr>
        <w:tc>
          <w:tcPr>
            <w:tcW w:w="932"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舒适型</w:t>
            </w:r>
          </w:p>
        </w:tc>
        <w:tc>
          <w:tcPr>
            <w:tcW w:w="818"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水冷式</w:t>
            </w:r>
          </w:p>
        </w:tc>
        <w:tc>
          <w:tcPr>
            <w:tcW w:w="216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CC≤300</w:t>
            </w:r>
          </w:p>
        </w:tc>
        <w:tc>
          <w:tcPr>
            <w:tcW w:w="10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5.30 </w:t>
            </w:r>
          </w:p>
        </w:tc>
      </w:tr>
      <w:tr>
        <w:tblPrEx>
          <w:tblCellMar>
            <w:top w:w="0" w:type="dxa"/>
            <w:left w:w="108" w:type="dxa"/>
            <w:bottom w:w="0" w:type="dxa"/>
            <w:right w:w="108" w:type="dxa"/>
          </w:tblCellMar>
        </w:tblPrEx>
        <w:trPr>
          <w:trHeight w:val="240" w:hRule="atLeast"/>
        </w:trPr>
        <w:tc>
          <w:tcPr>
            <w:tcW w:w="932"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8"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216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300＜CC≤528</w:t>
            </w:r>
          </w:p>
        </w:tc>
        <w:tc>
          <w:tcPr>
            <w:tcW w:w="10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5.80 </w:t>
            </w:r>
          </w:p>
        </w:tc>
      </w:tr>
      <w:tr>
        <w:tblPrEx>
          <w:tblCellMar>
            <w:top w:w="0" w:type="dxa"/>
            <w:left w:w="108" w:type="dxa"/>
            <w:bottom w:w="0" w:type="dxa"/>
            <w:right w:w="108" w:type="dxa"/>
          </w:tblCellMar>
        </w:tblPrEx>
        <w:trPr>
          <w:trHeight w:val="240" w:hRule="atLeast"/>
        </w:trPr>
        <w:tc>
          <w:tcPr>
            <w:tcW w:w="932"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8"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216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528＜CC≤1 163</w:t>
            </w:r>
          </w:p>
        </w:tc>
        <w:tc>
          <w:tcPr>
            <w:tcW w:w="10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6.20 </w:t>
            </w:r>
          </w:p>
        </w:tc>
      </w:tr>
      <w:tr>
        <w:tblPrEx>
          <w:tblCellMar>
            <w:top w:w="0" w:type="dxa"/>
            <w:left w:w="108" w:type="dxa"/>
            <w:bottom w:w="0" w:type="dxa"/>
            <w:right w:w="108" w:type="dxa"/>
          </w:tblCellMar>
        </w:tblPrEx>
        <w:trPr>
          <w:trHeight w:val="240" w:hRule="atLeast"/>
        </w:trPr>
        <w:tc>
          <w:tcPr>
            <w:tcW w:w="932"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8"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216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CC＞1 163</w:t>
            </w:r>
          </w:p>
        </w:tc>
        <w:tc>
          <w:tcPr>
            <w:tcW w:w="10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6.40 </w:t>
            </w:r>
          </w:p>
        </w:tc>
      </w:tr>
      <w:tr>
        <w:tblPrEx>
          <w:tblCellMar>
            <w:top w:w="0" w:type="dxa"/>
            <w:left w:w="108" w:type="dxa"/>
            <w:bottom w:w="0" w:type="dxa"/>
            <w:right w:w="108" w:type="dxa"/>
          </w:tblCellMar>
        </w:tblPrEx>
        <w:trPr>
          <w:trHeight w:val="240" w:hRule="atLeast"/>
        </w:trPr>
        <w:tc>
          <w:tcPr>
            <w:tcW w:w="932"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风冷式</w:t>
            </w:r>
          </w:p>
        </w:tc>
        <w:tc>
          <w:tcPr>
            <w:tcW w:w="216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CC＞50</w:t>
            </w:r>
          </w:p>
        </w:tc>
        <w:tc>
          <w:tcPr>
            <w:tcW w:w="108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3.40 </w:t>
            </w:r>
          </w:p>
        </w:tc>
      </w:tr>
    </w:tbl>
    <w:p>
      <w:pPr>
        <w:ind w:firstLine="0" w:firstLineChars="0"/>
        <w:rPr>
          <w:rFonts w:cs="Times New Roman"/>
          <w:szCs w:val="21"/>
        </w:rPr>
      </w:pPr>
      <w:r>
        <w:rPr>
          <w:rFonts w:cs="Times New Roman"/>
          <w:szCs w:val="21"/>
        </w:rPr>
        <w:t>【条文说明】</w:t>
      </w:r>
    </w:p>
    <w:p>
      <w:pPr>
        <w:pStyle w:val="2"/>
        <w:ind w:firstLine="420"/>
        <w:rPr>
          <w:rFonts w:eastAsia="宋体"/>
          <w:color w:val="auto"/>
          <w:szCs w:val="21"/>
        </w:rPr>
      </w:pPr>
      <w:r>
        <w:rPr>
          <w:rFonts w:hint="eastAsia" w:eastAsia="宋体"/>
          <w:color w:val="auto"/>
          <w:szCs w:val="21"/>
        </w:rPr>
        <w:t>6</w:t>
      </w:r>
      <w:r>
        <w:rPr>
          <w:rFonts w:eastAsia="宋体"/>
          <w:color w:val="auto"/>
          <w:szCs w:val="21"/>
        </w:rPr>
        <w:t xml:space="preserve">.2.4 </w:t>
      </w:r>
      <w:r>
        <w:rPr>
          <w:rFonts w:hint="eastAsia" w:eastAsia="宋体"/>
          <w:color w:val="auto"/>
          <w:szCs w:val="21"/>
        </w:rPr>
        <w:t>本条中蒸气压缩循环冷水(热泵)机组综合部分负荷性能系数、制冷季节性能系数、全年综合制冷性能系数、性能系数指标按照《热泵和冷水机组能效限定值及能效等级》GB 19577-2024 中1级能效确定。</w:t>
      </w:r>
    </w:p>
    <w:p>
      <w:pPr>
        <w:pStyle w:val="2"/>
        <w:ind w:firstLine="420"/>
        <w:rPr>
          <w:rFonts w:hint="eastAsia" w:eastAsia="宋体"/>
          <w:color w:val="auto"/>
          <w:szCs w:val="21"/>
        </w:rPr>
      </w:pPr>
    </w:p>
    <w:p>
      <w:pPr>
        <w:pStyle w:val="40"/>
        <w:spacing w:before="240" w:beforeAutospacing="0" w:after="60" w:afterAutospacing="0"/>
        <w:ind w:firstLine="0" w:firstLineChars="0"/>
        <w:jc w:val="both"/>
        <w:outlineLvl w:val="2"/>
        <w:rPr>
          <w:bCs/>
          <w:kern w:val="2"/>
          <w:sz w:val="21"/>
          <w:szCs w:val="21"/>
        </w:rPr>
      </w:pPr>
      <w:r>
        <w:rPr>
          <w:bCs/>
          <w:kern w:val="2"/>
          <w:sz w:val="21"/>
          <w:szCs w:val="21"/>
        </w:rPr>
        <w:t>6.2.5建筑面积大于10000平方米且设置集中空调系统的公共建筑，应进行高效空调机房专项能效、能耗目标性能化设计。高效机房的冷源系统全年能效比EERa不应低于5.5。</w:t>
      </w:r>
    </w:p>
    <w:p>
      <w:pPr>
        <w:widowControl/>
        <w:ind w:firstLine="0" w:firstLineChars="0"/>
        <w:textAlignment w:val="center"/>
        <w:rPr>
          <w:rFonts w:cs="Times New Roman"/>
          <w:bCs/>
          <w:szCs w:val="21"/>
        </w:rPr>
      </w:pPr>
      <w:r>
        <w:rPr>
          <w:rFonts w:cs="Times New Roman"/>
          <w:bCs/>
          <w:szCs w:val="21"/>
        </w:rPr>
        <w:t>【条文说明】</w:t>
      </w:r>
    </w:p>
    <w:p>
      <w:pPr>
        <w:widowControl/>
        <w:ind w:firstLine="420"/>
        <w:textAlignment w:val="center"/>
        <w:rPr>
          <w:rFonts w:cs="Times New Roman"/>
          <w:bCs/>
          <w:szCs w:val="21"/>
        </w:rPr>
      </w:pPr>
      <w:r>
        <w:rPr>
          <w:bCs/>
          <w:szCs w:val="21"/>
        </w:rPr>
        <w:t>6.2.5</w:t>
      </w:r>
      <w:r>
        <w:rPr>
          <w:rFonts w:cs="Times New Roman"/>
          <w:szCs w:val="21"/>
        </w:rPr>
        <w:t>海南省公共建筑的能耗中空调系统运行时间长、能耗占比大。对一定规模以上的集中空调系统，不仅要求其设备能效，更需要对系统能效和系统全年能耗进行进一步优化设计。我国集中空调系统的高效机房设计和运行近年来取得一定阶段性成果。高效机房的设计一般包括以下几个层面：一是高效的设备，主要包括冷水机组、水泵、冷却塔等空调机房主要的能耗设备；二是水路系统的节能深化设计，主要目标就是减少系统阻力降低输配系统能耗；三是智能控制系统和能耗能效评价系统，对于高效机房必须有完善、准确的监测和能耗能效评价系统，可以清晰的了解各设备及系统的能效情况，对比分析设计效率与实际运行效率的差异，利用智能控制系统不断优化运行策略，保证空调系统持续高效。高效机房的设计流程和技术措施可参考工程建设标准化协会标准《高效制冷机房技术规程》T/CECS 1012-2022。</w:t>
      </w:r>
    </w:p>
    <w:p>
      <w:pPr>
        <w:pStyle w:val="2"/>
        <w:ind w:firstLine="0" w:firstLineChars="0"/>
        <w:rPr>
          <w:rFonts w:eastAsia="宋体"/>
          <w:bCs/>
          <w:color w:val="auto"/>
          <w:szCs w:val="21"/>
        </w:rPr>
      </w:pPr>
    </w:p>
    <w:p>
      <w:pPr>
        <w:pStyle w:val="40"/>
        <w:spacing w:before="240" w:beforeAutospacing="0" w:after="60" w:afterAutospacing="0"/>
        <w:ind w:firstLine="0" w:firstLineChars="0"/>
        <w:jc w:val="both"/>
        <w:outlineLvl w:val="2"/>
        <w:rPr>
          <w:bCs/>
          <w:szCs w:val="21"/>
        </w:rPr>
      </w:pPr>
      <w:r>
        <w:rPr>
          <w:bCs/>
          <w:kern w:val="2"/>
          <w:sz w:val="21"/>
          <w:szCs w:val="21"/>
        </w:rPr>
        <w:t>6.2.6</w:t>
      </w:r>
      <w:r>
        <w:rPr>
          <w:bCs/>
          <w:szCs w:val="21"/>
        </w:rPr>
        <w:t>新风热回收装置换热性能应符合下列规定：</w:t>
      </w:r>
    </w:p>
    <w:p>
      <w:pPr>
        <w:ind w:firstLine="420"/>
        <w:rPr>
          <w:rFonts w:cs="Times New Roman"/>
          <w:bCs/>
          <w:szCs w:val="21"/>
        </w:rPr>
      </w:pPr>
      <w:r>
        <w:rPr>
          <w:rFonts w:cs="Times New Roman"/>
          <w:bCs/>
          <w:szCs w:val="21"/>
        </w:rPr>
        <w:t>1. 显热型显热交换效率不应低于75</w:t>
      </w:r>
      <w:r>
        <w:rPr>
          <w:rFonts w:hint="eastAsia" w:cs="Times New Roman"/>
          <w:bCs/>
          <w:szCs w:val="21"/>
        </w:rPr>
        <w:t>%</w:t>
      </w:r>
      <w:r>
        <w:rPr>
          <w:rFonts w:cs="Times New Roman"/>
          <w:bCs/>
          <w:szCs w:val="21"/>
        </w:rPr>
        <w:t>；</w:t>
      </w:r>
    </w:p>
    <w:p>
      <w:pPr>
        <w:ind w:firstLine="420"/>
        <w:rPr>
          <w:rFonts w:cs="Times New Roman"/>
          <w:bCs/>
          <w:szCs w:val="21"/>
        </w:rPr>
      </w:pPr>
      <w:r>
        <w:rPr>
          <w:rFonts w:cs="Times New Roman"/>
          <w:bCs/>
          <w:szCs w:val="21"/>
        </w:rPr>
        <w:t>2. 全热型全热交换效率不应低于70</w:t>
      </w:r>
      <w:r>
        <w:rPr>
          <w:rFonts w:hint="eastAsia" w:cs="Times New Roman"/>
          <w:bCs/>
          <w:szCs w:val="21"/>
        </w:rPr>
        <w:t>%</w:t>
      </w:r>
      <w:r>
        <w:rPr>
          <w:rFonts w:cs="Times New Roman"/>
          <w:bCs/>
          <w:szCs w:val="21"/>
        </w:rPr>
        <w:t>。</w:t>
      </w:r>
    </w:p>
    <w:p>
      <w:pPr>
        <w:ind w:firstLine="0" w:firstLineChars="0"/>
        <w:rPr>
          <w:rFonts w:cs="Times New Roman"/>
          <w:szCs w:val="21"/>
        </w:rPr>
      </w:pPr>
      <w:r>
        <w:rPr>
          <w:rFonts w:cs="Times New Roman"/>
          <w:szCs w:val="21"/>
        </w:rPr>
        <w:t>【条文说明】</w:t>
      </w:r>
    </w:p>
    <w:p>
      <w:pPr>
        <w:ind w:firstLine="420"/>
        <w:rPr>
          <w:rFonts w:cs="Times New Roman"/>
          <w:szCs w:val="21"/>
        </w:rPr>
      </w:pPr>
      <w:r>
        <w:rPr>
          <w:rFonts w:cs="Times New Roman"/>
          <w:szCs w:val="21"/>
        </w:rPr>
        <w:t>6.2.6 热回收效率是评价热回收装置换热性能的主要指标，结合工程实践经验和能效指标，提出新风热回收装置换热性能建议值。相关研究结果表明，制冷工况下的显热交换效率和全热交换效率均比制热工况下低大约5％，此处显热交换效率和全热交换效率均指制热工况。设计师可依据性能化设计原则和项目实际情况，选取新风热回收装置类型和性能参数。为保障有效新风量及热回收效果，新风热回收装置在压差100Pa时的内侧及外侧漏气率不大于5％。</w:t>
      </w:r>
    </w:p>
    <w:p>
      <w:pPr>
        <w:pStyle w:val="291"/>
        <w:rPr>
          <w:b w:val="0"/>
          <w:szCs w:val="21"/>
        </w:rPr>
      </w:pPr>
      <w:r>
        <w:rPr>
          <w:b w:val="0"/>
          <w:szCs w:val="21"/>
        </w:rPr>
        <w:t>6.2.7  居住建筑新风单位风量耗功率不应大于0.45W/（m</w:t>
      </w:r>
      <w:r>
        <w:rPr>
          <w:b w:val="0"/>
          <w:szCs w:val="21"/>
          <w:vertAlign w:val="superscript"/>
        </w:rPr>
        <w:t>3</w:t>
      </w:r>
      <w:r>
        <w:rPr>
          <w:b w:val="0"/>
          <w:szCs w:val="21"/>
        </w:rPr>
        <w:t>·h），公共建筑单位风量耗功率应符合现行国家标准《公共建筑节能设计标准》GB 50189的相关规定。</w:t>
      </w:r>
    </w:p>
    <w:p>
      <w:pPr>
        <w:ind w:firstLine="0" w:firstLineChars="0"/>
        <w:rPr>
          <w:rFonts w:cs="Times New Roman"/>
          <w:szCs w:val="21"/>
        </w:rPr>
      </w:pPr>
      <w:r>
        <w:rPr>
          <w:rFonts w:cs="Times New Roman"/>
          <w:szCs w:val="21"/>
        </w:rPr>
        <w:t>【条文说明】</w:t>
      </w:r>
    </w:p>
    <w:p>
      <w:pPr>
        <w:ind w:firstLine="420"/>
        <w:rPr>
          <w:rFonts w:cs="Times New Roman"/>
          <w:szCs w:val="21"/>
        </w:rPr>
      </w:pPr>
      <w:r>
        <w:rPr>
          <w:rFonts w:cs="Times New Roman"/>
          <w:szCs w:val="21"/>
        </w:rPr>
        <w:t>6.2.7  随着建筑供冷供暖需求的下降，通风能耗占比逐渐提高，单位风量耗功率是评价的主要参数。对居住建筑而言，户式热回收装置单位风量风机耗功率（功率与风量的比值）不应高于0.45W/（m</w:t>
      </w:r>
      <w:r>
        <w:rPr>
          <w:rFonts w:cs="Times New Roman"/>
          <w:szCs w:val="21"/>
          <w:vertAlign w:val="superscript"/>
        </w:rPr>
        <w:t>3</w:t>
      </w:r>
      <w:r>
        <w:rPr>
          <w:rFonts w:cs="Times New Roman"/>
          <w:szCs w:val="21"/>
        </w:rPr>
        <w:t>·h）。对于公共建筑而言，单位风量耗功率应满足现行公共建筑节能设计标准的相关要求。</w:t>
      </w:r>
    </w:p>
    <w:p>
      <w:pPr>
        <w:ind w:firstLine="420"/>
        <w:rPr>
          <w:rFonts w:cs="Times New Roman"/>
          <w:szCs w:val="21"/>
        </w:rPr>
      </w:pPr>
      <w:r>
        <w:rPr>
          <w:rFonts w:cs="Times New Roman"/>
          <w:szCs w:val="21"/>
        </w:rPr>
        <w:t>针对小型居住单元带热回收的送排风系统单位风量风机耗功率，国际能源署IEA ECBCS AIVC（Air Infiltration and Ventilation Centre）2009年给出的建议值为0.69W/（m3·h），且建议该值随着建筑节能规范的提高继续降低；德国被动房研究所给出的建议值不高于0.45W/（m3·h）。</w:t>
      </w:r>
      <w:r>
        <w:rPr>
          <w:rFonts w:hint="eastAsia" w:cs="Times New Roman"/>
          <w:szCs w:val="21"/>
          <w:lang w:val="en" w:eastAsia="zh-CN"/>
        </w:rPr>
        <w:t>本标准</w:t>
      </w:r>
      <w:r>
        <w:rPr>
          <w:rFonts w:cs="Times New Roman"/>
          <w:szCs w:val="21"/>
        </w:rPr>
        <w:t>基于典型户型、风机选型及运行时间测算，对应单位风量耗功率0.45W/（m3·h）指标下的风机能耗已占居住建筑能耗的12％～15％，因此应提高对近零能耗建筑风机单位风量风机耗功率的要求，不应高于0.45W/（m3·h）。</w:t>
      </w:r>
    </w:p>
    <w:p>
      <w:pPr>
        <w:pStyle w:val="291"/>
        <w:rPr>
          <w:b w:val="0"/>
          <w:szCs w:val="21"/>
        </w:rPr>
      </w:pPr>
      <w:r>
        <w:rPr>
          <w:b w:val="0"/>
          <w:szCs w:val="21"/>
        </w:rPr>
        <w:t>6.2.8 新风热回收系统空气净化装置对大于或等于0.5μm细颗粒物的一次通过计数效率宜高于80</w:t>
      </w:r>
      <w:r>
        <w:rPr>
          <w:rFonts w:hint="eastAsia"/>
          <w:b w:val="0"/>
          <w:szCs w:val="21"/>
        </w:rPr>
        <w:t>%</w:t>
      </w:r>
      <w:r>
        <w:rPr>
          <w:b w:val="0"/>
          <w:szCs w:val="21"/>
        </w:rPr>
        <w:t>，且不应低于60</w:t>
      </w:r>
      <w:r>
        <w:rPr>
          <w:rFonts w:hint="eastAsia"/>
          <w:b w:val="0"/>
          <w:szCs w:val="21"/>
        </w:rPr>
        <w:t>%</w:t>
      </w:r>
      <w:r>
        <w:rPr>
          <w:b w:val="0"/>
          <w:szCs w:val="21"/>
        </w:rPr>
        <w:t>。当PM2.5年平均浓度限值达到35μg/m³时，应设置空气净化装置。</w:t>
      </w:r>
    </w:p>
    <w:p>
      <w:pPr>
        <w:ind w:firstLine="0" w:firstLineChars="0"/>
        <w:rPr>
          <w:rFonts w:cs="Times New Roman"/>
          <w:szCs w:val="21"/>
        </w:rPr>
      </w:pPr>
      <w:r>
        <w:rPr>
          <w:rFonts w:cs="Times New Roman"/>
          <w:szCs w:val="21"/>
        </w:rPr>
        <w:t>【条文说明】</w:t>
      </w:r>
    </w:p>
    <w:p>
      <w:pPr>
        <w:ind w:firstLine="0" w:firstLineChars="0"/>
        <w:rPr>
          <w:rFonts w:cs="Times New Roman"/>
          <w:szCs w:val="21"/>
        </w:rPr>
      </w:pPr>
      <w:r>
        <w:rPr>
          <w:rFonts w:cs="Times New Roman"/>
          <w:szCs w:val="21"/>
        </w:rPr>
        <w:t>6.2.8 新风热回收系统应设置空气净化装置，其等级应满足《空气过滤器》GB/T 14295-2008的相关效率要求。在能量交换部件排风侧迎风面应布置过滤效率不低于C4的过滤装置，在新风侧迎风面应布置过滤效率不低于Z1的过滤装置，过滤装置应可以便捷地更换或清洗。</w:t>
      </w:r>
    </w:p>
    <w:p>
      <w:pPr>
        <w:pStyle w:val="2"/>
        <w:ind w:firstLine="420"/>
      </w:pPr>
    </w:p>
    <w:p>
      <w:pPr>
        <w:pStyle w:val="291"/>
        <w:spacing w:before="0" w:after="0"/>
        <w:rPr>
          <w:b w:val="0"/>
          <w:szCs w:val="21"/>
        </w:rPr>
      </w:pPr>
      <w:r>
        <w:rPr>
          <w:b w:val="0"/>
          <w:szCs w:val="21"/>
        </w:rPr>
        <w:t>6.2.9 应结合地区地质条件和水资源分布选择合适的水（地）源热泵作为基础冷热源，与太阳能、风能、光伏发电系统直接耦合。其能效指标可按表6.2.9选用。</w:t>
      </w:r>
    </w:p>
    <w:p>
      <w:pPr>
        <w:ind w:firstLine="0" w:firstLineChars="0"/>
        <w:jc w:val="center"/>
        <w:rPr>
          <w:b/>
        </w:rPr>
      </w:pPr>
      <w:r>
        <w:t>表6.2.9 水（地）源热泵机组能效指标</w:t>
      </w:r>
    </w:p>
    <w:tbl>
      <w:tblPr>
        <w:tblStyle w:val="44"/>
        <w:tblW w:w="4259" w:type="pct"/>
        <w:jc w:val="center"/>
        <w:tblLayout w:type="fixed"/>
        <w:tblCellMar>
          <w:top w:w="0" w:type="dxa"/>
          <w:left w:w="108" w:type="dxa"/>
          <w:bottom w:w="0" w:type="dxa"/>
          <w:right w:w="108" w:type="dxa"/>
        </w:tblCellMar>
      </w:tblPr>
      <w:tblGrid>
        <w:gridCol w:w="1095"/>
        <w:gridCol w:w="870"/>
        <w:gridCol w:w="1184"/>
        <w:gridCol w:w="1799"/>
        <w:gridCol w:w="2311"/>
      </w:tblGrid>
      <w:tr>
        <w:tblPrEx>
          <w:tblCellMar>
            <w:top w:w="0" w:type="dxa"/>
            <w:left w:w="108" w:type="dxa"/>
            <w:bottom w:w="0" w:type="dxa"/>
            <w:right w:w="108" w:type="dxa"/>
          </w:tblCellMar>
        </w:tblPrEx>
        <w:trPr>
          <w:trHeight w:val="1234" w:hRule="atLeast"/>
          <w:jc w:val="center"/>
        </w:trPr>
        <w:tc>
          <w:tcPr>
            <w:tcW w:w="2169" w:type="pct"/>
            <w:gridSpan w:val="3"/>
            <w:tcBorders>
              <w:top w:val="single" w:color="000000" w:sz="4" w:space="0"/>
              <w:left w:val="single" w:color="000000" w:sz="4" w:space="0"/>
              <w:right w:val="single" w:color="000000" w:sz="4" w:space="0"/>
            </w:tcBorders>
            <w:vAlign w:val="center"/>
          </w:tcPr>
          <w:p>
            <w:pPr>
              <w:pStyle w:val="291"/>
              <w:spacing w:line="240" w:lineRule="auto"/>
              <w:jc w:val="center"/>
              <w:rPr>
                <w:b w:val="0"/>
                <w:szCs w:val="21"/>
              </w:rPr>
            </w:pPr>
            <w:r>
              <w:rPr>
                <w:b w:val="0"/>
                <w:szCs w:val="21"/>
              </w:rPr>
              <w:t>机组型式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名义制冷(热)量</w:t>
            </w:r>
            <w:r>
              <w:rPr>
                <w:b w:val="0"/>
                <w:szCs w:val="21"/>
                <w:vertAlign w:val="superscript"/>
              </w:rPr>
              <w:t>a</w:t>
            </w:r>
            <w:r>
              <w:rPr>
                <w:b w:val="0"/>
                <w:szCs w:val="21"/>
              </w:rPr>
              <w:br w:type="textWrapping"/>
            </w:r>
            <w:r>
              <w:rPr>
                <w:b w:val="0"/>
                <w:szCs w:val="21"/>
              </w:rPr>
              <w:t>kW</w:t>
            </w:r>
          </w:p>
        </w:tc>
        <w:tc>
          <w:tcPr>
            <w:tcW w:w="1592" w:type="pct"/>
            <w:tcBorders>
              <w:top w:val="single" w:color="000000" w:sz="4" w:space="0"/>
              <w:left w:val="single" w:color="000000" w:sz="4" w:space="0"/>
              <w:right w:val="single" w:color="000000" w:sz="4" w:space="0"/>
            </w:tcBorders>
            <w:vAlign w:val="center"/>
          </w:tcPr>
          <w:p>
            <w:pPr>
              <w:pStyle w:val="291"/>
              <w:spacing w:line="240" w:lineRule="auto"/>
              <w:jc w:val="center"/>
              <w:rPr>
                <w:b w:val="0"/>
                <w:szCs w:val="21"/>
              </w:rPr>
            </w:pPr>
            <w:r>
              <w:rPr>
                <w:b w:val="0"/>
                <w:szCs w:val="21"/>
              </w:rPr>
              <w:t>COP/ACOP</w:t>
            </w:r>
            <w:r>
              <w:rPr>
                <w:b w:val="0"/>
                <w:szCs w:val="21"/>
                <w:vertAlign w:val="superscript"/>
              </w:rPr>
              <w:t>b</w:t>
            </w:r>
          </w:p>
        </w:tc>
      </w:tr>
      <w:tr>
        <w:tblPrEx>
          <w:tblCellMar>
            <w:top w:w="0" w:type="dxa"/>
            <w:left w:w="108" w:type="dxa"/>
            <w:bottom w:w="0" w:type="dxa"/>
            <w:right w:w="108" w:type="dxa"/>
          </w:tblCellMar>
        </w:tblPrEx>
        <w:trPr>
          <w:trHeight w:val="240" w:hRule="atLeast"/>
          <w:jc w:val="center"/>
        </w:trPr>
        <w:tc>
          <w:tcPr>
            <w:tcW w:w="754"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冷热风型</w:t>
            </w:r>
          </w:p>
        </w:tc>
        <w:tc>
          <w:tcPr>
            <w:tcW w:w="599"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热泵型</w:t>
            </w:r>
          </w:p>
        </w:tc>
        <w:tc>
          <w:tcPr>
            <w:tcW w:w="816"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水环式</w:t>
            </w:r>
          </w:p>
        </w:tc>
        <w:tc>
          <w:tcPr>
            <w:tcW w:w="1239"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4.60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地下水式</w:t>
            </w:r>
          </w:p>
        </w:tc>
        <w:tc>
          <w:tcPr>
            <w:tcW w:w="123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5.10 </w:t>
            </w:r>
          </w:p>
        </w:tc>
      </w:tr>
      <w:tr>
        <w:tblPrEx>
          <w:tblCellMar>
            <w:top w:w="0" w:type="dxa"/>
            <w:left w:w="108" w:type="dxa"/>
            <w:bottom w:w="0" w:type="dxa"/>
            <w:right w:w="108" w:type="dxa"/>
          </w:tblCellMar>
        </w:tblPrEx>
        <w:trPr>
          <w:trHeight w:val="49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地埋管式、</w:t>
            </w:r>
            <w:r>
              <w:rPr>
                <w:b w:val="0"/>
                <w:szCs w:val="21"/>
              </w:rPr>
              <w:br w:type="textWrapping"/>
            </w:r>
            <w:r>
              <w:rPr>
                <w:b w:val="0"/>
                <w:szCs w:val="21"/>
              </w:rPr>
              <w:t>地表水式</w:t>
            </w:r>
          </w:p>
        </w:tc>
        <w:tc>
          <w:tcPr>
            <w:tcW w:w="123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4.40 </w:t>
            </w:r>
          </w:p>
        </w:tc>
      </w:tr>
      <w:tr>
        <w:tblPrEx>
          <w:tblCellMar>
            <w:top w:w="0" w:type="dxa"/>
            <w:left w:w="108" w:type="dxa"/>
            <w:bottom w:w="0" w:type="dxa"/>
            <w:right w:w="108" w:type="dxa"/>
          </w:tblCellMar>
        </w:tblPrEx>
        <w:trPr>
          <w:trHeight w:val="240" w:hRule="atLeast"/>
          <w:jc w:val="center"/>
        </w:trPr>
        <w:tc>
          <w:tcPr>
            <w:tcW w:w="754"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冷热水型</w:t>
            </w:r>
          </w:p>
        </w:tc>
        <w:tc>
          <w:tcPr>
            <w:tcW w:w="599"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单热型</w:t>
            </w:r>
          </w:p>
        </w:tc>
        <w:tc>
          <w:tcPr>
            <w:tcW w:w="816"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水环式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5.60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5.80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地下水式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4.90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5.10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地埋管式、</w:t>
            </w:r>
            <w:r>
              <w:rPr>
                <w:b w:val="0"/>
                <w:szCs w:val="21"/>
              </w:rPr>
              <w:br w:type="textWrapping"/>
            </w:r>
            <w:r>
              <w:rPr>
                <w:b w:val="0"/>
                <w:szCs w:val="21"/>
              </w:rPr>
              <w:t>地表水式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4.70 </w:t>
            </w:r>
          </w:p>
        </w:tc>
      </w:tr>
      <w:tr>
        <w:tblPrEx>
          <w:tblCellMar>
            <w:top w:w="0" w:type="dxa"/>
            <w:left w:w="108" w:type="dxa"/>
            <w:bottom w:w="0" w:type="dxa"/>
            <w:right w:w="108" w:type="dxa"/>
          </w:tblCellMar>
        </w:tblPrEx>
        <w:trPr>
          <w:trHeight w:val="25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4.90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热泵型</w:t>
            </w:r>
          </w:p>
        </w:tc>
        <w:tc>
          <w:tcPr>
            <w:tcW w:w="816"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水环式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5.10 </w:t>
            </w:r>
          </w:p>
        </w:tc>
      </w:tr>
      <w:tr>
        <w:tblPrEx>
          <w:tblCellMar>
            <w:top w:w="0" w:type="dxa"/>
            <w:left w:w="108" w:type="dxa"/>
            <w:bottom w:w="0" w:type="dxa"/>
            <w:right w:w="108" w:type="dxa"/>
          </w:tblCellMar>
        </w:tblPrEx>
        <w:trPr>
          <w:trHeight w:val="23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39"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b w:val="0"/>
                <w:szCs w:val="21"/>
              </w:rPr>
              <w:t xml:space="preserve">5.80 </w:t>
            </w:r>
          </w:p>
        </w:tc>
      </w:tr>
      <w:tr>
        <w:tblPrEx>
          <w:tblCellMar>
            <w:top w:w="0" w:type="dxa"/>
            <w:left w:w="108" w:type="dxa"/>
            <w:bottom w:w="0" w:type="dxa"/>
            <w:right w:w="108" w:type="dxa"/>
          </w:tblCellMar>
        </w:tblPrEx>
        <w:trPr>
          <w:trHeight w:val="25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地下水式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5.70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6.20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地埋管式、</w:t>
            </w:r>
            <w:r>
              <w:rPr>
                <w:b w:val="0"/>
                <w:szCs w:val="21"/>
              </w:rPr>
              <w:br w:type="textWrapping"/>
            </w:r>
            <w:r>
              <w:rPr>
                <w:b w:val="0"/>
                <w:szCs w:val="21"/>
              </w:rPr>
              <w:t>地表水式</w:t>
            </w: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5.10 </w:t>
            </w:r>
          </w:p>
        </w:tc>
      </w:tr>
      <w:tr>
        <w:tblPrEx>
          <w:tblCellMar>
            <w:top w:w="0" w:type="dxa"/>
            <w:left w:w="108" w:type="dxa"/>
            <w:bottom w:w="0" w:type="dxa"/>
            <w:right w:w="108" w:type="dxa"/>
          </w:tblCellMar>
        </w:tblPrEx>
        <w:trPr>
          <w:trHeight w:val="240" w:hRule="atLeast"/>
          <w:jc w:val="center"/>
        </w:trPr>
        <w:tc>
          <w:tcPr>
            <w:tcW w:w="75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599"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816"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39"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＞260</w:t>
            </w:r>
          </w:p>
        </w:tc>
        <w:tc>
          <w:tcPr>
            <w:tcW w:w="159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5.60 </w:t>
            </w:r>
          </w:p>
        </w:tc>
      </w:tr>
      <w:tr>
        <w:tblPrEx>
          <w:tblCellMar>
            <w:top w:w="0" w:type="dxa"/>
            <w:left w:w="108" w:type="dxa"/>
            <w:bottom w:w="0" w:type="dxa"/>
            <w:right w:w="108" w:type="dxa"/>
          </w:tblCellMar>
        </w:tblPrEx>
        <w:trPr>
          <w:trHeight w:val="48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vAlign w:val="center"/>
          </w:tcPr>
          <w:p>
            <w:pPr>
              <w:pStyle w:val="291"/>
              <w:spacing w:line="240" w:lineRule="auto"/>
              <w:rPr>
                <w:b w:val="0"/>
                <w:szCs w:val="21"/>
                <w:vertAlign w:val="superscript"/>
              </w:rPr>
            </w:pPr>
            <w:r>
              <w:rPr>
                <w:b w:val="0"/>
                <w:szCs w:val="21"/>
                <w:vertAlign w:val="superscript"/>
              </w:rPr>
              <w:t>a</w:t>
            </w:r>
            <w:r>
              <w:rPr>
                <w:b w:val="0"/>
                <w:szCs w:val="21"/>
              </w:rPr>
              <w:t>单热型机组按名义制热量，热泵型机组按名义制冷量。</w:t>
            </w:r>
            <w:r>
              <w:rPr>
                <w:b w:val="0"/>
                <w:szCs w:val="21"/>
              </w:rPr>
              <w:br w:type="textWrapping"/>
            </w:r>
            <w:r>
              <w:rPr>
                <w:b w:val="0"/>
                <w:szCs w:val="21"/>
                <w:vertAlign w:val="superscript"/>
              </w:rPr>
              <w:t>b</w:t>
            </w:r>
            <w:r>
              <w:rPr>
                <w:b w:val="0"/>
                <w:szCs w:val="21"/>
              </w:rPr>
              <w:t>单热型机组的能效指标为COP,热泵型机组的能效指标为ACOP,</w:t>
            </w:r>
          </w:p>
        </w:tc>
      </w:tr>
    </w:tbl>
    <w:p>
      <w:pPr>
        <w:pStyle w:val="291"/>
        <w:rPr>
          <w:b w:val="0"/>
          <w:szCs w:val="21"/>
        </w:rPr>
      </w:pPr>
      <w:r>
        <w:rPr>
          <w:b w:val="0"/>
          <w:szCs w:val="21"/>
        </w:rPr>
        <w:t>6.2.10 近零能耗建筑应选取适宜的除湿技术措施。 应结合建筑特性、能耗需求及技术条件，设置温湿度独立控制系统。当采用集中冷热源的中央空调系统时，可采用溶液除湿、固体吸附式除湿、转轮除湿等方式。当采用多联式空调（热泵）机组时，可采用标准室内机搭配超低温除湿模块、三管制温湿双控室内机等方式。</w:t>
      </w:r>
    </w:p>
    <w:p>
      <w:pPr>
        <w:pStyle w:val="291"/>
        <w:rPr>
          <w:b w:val="0"/>
          <w:szCs w:val="21"/>
        </w:rPr>
      </w:pPr>
      <w:r>
        <w:rPr>
          <w:b w:val="0"/>
          <w:szCs w:val="21"/>
        </w:rPr>
        <w:t>6.2.11 当采用电动机驱动的蒸气压缩制冷循环进行除湿的除湿机时，应符合下列要求：</w:t>
      </w:r>
    </w:p>
    <w:p>
      <w:pPr>
        <w:widowControl/>
        <w:ind w:firstLine="420"/>
        <w:jc w:val="left"/>
        <w:rPr>
          <w:rFonts w:cs="Times New Roman"/>
          <w:bCs/>
          <w:szCs w:val="21"/>
        </w:rPr>
      </w:pPr>
      <w:r>
        <w:rPr>
          <w:rFonts w:cs="Times New Roman"/>
          <w:bCs/>
          <w:szCs w:val="21"/>
        </w:rPr>
        <w:t>1. 除湿机在表6.2.11-1所示的环境温度条件下应能正常工作。</w:t>
      </w:r>
    </w:p>
    <w:p>
      <w:pPr>
        <w:widowControl/>
        <w:ind w:firstLine="420"/>
        <w:jc w:val="center"/>
        <w:rPr>
          <w:rFonts w:cs="Times New Roman"/>
          <w:bCs/>
          <w:szCs w:val="21"/>
        </w:rPr>
      </w:pPr>
      <w:r>
        <w:rPr>
          <w:rFonts w:cs="Times New Roman"/>
          <w:bCs/>
          <w:szCs w:val="21"/>
        </w:rPr>
        <w:t>表6.2.11-1  正常工作环境温度条件</w:t>
      </w:r>
    </w:p>
    <w:tbl>
      <w:tblPr>
        <w:tblStyle w:val="44"/>
        <w:tblW w:w="4999" w:type="pct"/>
        <w:tblInd w:w="0" w:type="dxa"/>
        <w:tblLayout w:type="autofit"/>
        <w:tblCellMar>
          <w:top w:w="0" w:type="dxa"/>
          <w:left w:w="108" w:type="dxa"/>
          <w:bottom w:w="0" w:type="dxa"/>
          <w:right w:w="108" w:type="dxa"/>
        </w:tblCellMar>
      </w:tblPr>
      <w:tblGrid>
        <w:gridCol w:w="4239"/>
        <w:gridCol w:w="4281"/>
      </w:tblGrid>
      <w:tr>
        <w:tblPrEx>
          <w:tblCellMar>
            <w:top w:w="0" w:type="dxa"/>
            <w:left w:w="108" w:type="dxa"/>
            <w:bottom w:w="0" w:type="dxa"/>
            <w:right w:w="108" w:type="dxa"/>
          </w:tblCellMar>
        </w:tblPrEx>
        <w:trPr>
          <w:trHeight w:val="265" w:hRule="atLeast"/>
        </w:trPr>
        <w:tc>
          <w:tcPr>
            <w:tcW w:w="248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类型</w:t>
            </w:r>
          </w:p>
        </w:tc>
        <w:tc>
          <w:tcPr>
            <w:tcW w:w="251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回风温度/℃</w:t>
            </w:r>
          </w:p>
        </w:tc>
      </w:tr>
      <w:tr>
        <w:tblPrEx>
          <w:tblCellMar>
            <w:top w:w="0" w:type="dxa"/>
            <w:left w:w="108" w:type="dxa"/>
            <w:bottom w:w="0" w:type="dxa"/>
            <w:right w:w="108" w:type="dxa"/>
          </w:tblCellMar>
        </w:tblPrEx>
        <w:trPr>
          <w:trHeight w:val="260" w:hRule="atLeast"/>
        </w:trPr>
        <w:tc>
          <w:tcPr>
            <w:tcW w:w="248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A型</w:t>
            </w:r>
          </w:p>
        </w:tc>
        <w:tc>
          <w:tcPr>
            <w:tcW w:w="251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18～35</w:t>
            </w:r>
          </w:p>
        </w:tc>
      </w:tr>
      <w:tr>
        <w:tblPrEx>
          <w:tblCellMar>
            <w:top w:w="0" w:type="dxa"/>
            <w:left w:w="108" w:type="dxa"/>
            <w:bottom w:w="0" w:type="dxa"/>
            <w:right w:w="108" w:type="dxa"/>
          </w:tblCellMar>
        </w:tblPrEx>
        <w:trPr>
          <w:trHeight w:val="260" w:hRule="atLeast"/>
        </w:trPr>
        <w:tc>
          <w:tcPr>
            <w:tcW w:w="248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B型</w:t>
            </w:r>
          </w:p>
        </w:tc>
        <w:tc>
          <w:tcPr>
            <w:tcW w:w="251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5～35</w:t>
            </w:r>
          </w:p>
        </w:tc>
      </w:tr>
      <w:tr>
        <w:trPr>
          <w:trHeight w:val="285" w:hRule="atLeast"/>
        </w:trPr>
        <w:tc>
          <w:tcPr>
            <w:tcW w:w="248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C型</w:t>
            </w:r>
          </w:p>
        </w:tc>
        <w:tc>
          <w:tcPr>
            <w:tcW w:w="251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由制造商与用户的协议确定的其他温度</w:t>
            </w:r>
          </w:p>
        </w:tc>
      </w:tr>
    </w:tbl>
    <w:p>
      <w:pPr>
        <w:widowControl/>
        <w:ind w:firstLine="420"/>
        <w:jc w:val="left"/>
        <w:rPr>
          <w:rFonts w:cs="Times New Roman"/>
          <w:bCs/>
          <w:szCs w:val="21"/>
        </w:rPr>
      </w:pPr>
      <w:r>
        <w:rPr>
          <w:rFonts w:cs="Times New Roman"/>
          <w:bCs/>
          <w:szCs w:val="21"/>
        </w:rPr>
        <w:t>2.试验工况按表6.2.11-2的规定。工艺型除湿机中未被表6.2.11-2覆盖到的产品,其试验工况按制造商与用户的协议执行。</w:t>
      </w:r>
    </w:p>
    <w:p>
      <w:pPr>
        <w:widowControl/>
        <w:ind w:firstLine="420"/>
        <w:jc w:val="center"/>
        <w:rPr>
          <w:rFonts w:cs="Times New Roman"/>
          <w:bCs/>
          <w:szCs w:val="21"/>
        </w:rPr>
      </w:pPr>
      <w:r>
        <w:rPr>
          <w:rFonts w:cs="Times New Roman"/>
          <w:bCs/>
          <w:szCs w:val="21"/>
        </w:rPr>
        <w:t>表6.2.11-2  试验工况</w:t>
      </w:r>
    </w:p>
    <w:tbl>
      <w:tblPr>
        <w:tblStyle w:val="44"/>
        <w:tblW w:w="5195" w:type="pct"/>
        <w:tblInd w:w="0" w:type="dxa"/>
        <w:tblLayout w:type="autofit"/>
        <w:tblCellMar>
          <w:top w:w="0" w:type="dxa"/>
          <w:left w:w="108" w:type="dxa"/>
          <w:bottom w:w="0" w:type="dxa"/>
          <w:right w:w="108" w:type="dxa"/>
        </w:tblCellMar>
      </w:tblPr>
      <w:tblGrid>
        <w:gridCol w:w="490"/>
        <w:gridCol w:w="1080"/>
        <w:gridCol w:w="822"/>
        <w:gridCol w:w="1068"/>
        <w:gridCol w:w="1073"/>
        <w:gridCol w:w="1068"/>
        <w:gridCol w:w="1089"/>
        <w:gridCol w:w="1075"/>
        <w:gridCol w:w="1089"/>
      </w:tblGrid>
      <w:tr>
        <w:tblPrEx>
          <w:tblCellMar>
            <w:top w:w="0" w:type="dxa"/>
            <w:left w:w="108" w:type="dxa"/>
            <w:bottom w:w="0" w:type="dxa"/>
            <w:right w:w="108" w:type="dxa"/>
          </w:tblCellMar>
        </w:tblPrEx>
        <w:trPr>
          <w:trHeight w:val="255" w:hRule="atLeast"/>
        </w:trPr>
        <w:tc>
          <w:tcPr>
            <w:tcW w:w="277"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序号</w:t>
            </w:r>
          </w:p>
        </w:tc>
        <w:tc>
          <w:tcPr>
            <w:tcW w:w="610"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工况类型</w:t>
            </w:r>
          </w:p>
        </w:tc>
        <w:tc>
          <w:tcPr>
            <w:tcW w:w="464"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机组</w:t>
            </w:r>
          </w:p>
          <w:p>
            <w:pPr>
              <w:pStyle w:val="291"/>
              <w:spacing w:line="240" w:lineRule="auto"/>
              <w:jc w:val="center"/>
              <w:rPr>
                <w:b w:val="0"/>
                <w:szCs w:val="21"/>
              </w:rPr>
            </w:pPr>
            <w:r>
              <w:rPr>
                <w:b w:val="0"/>
                <w:szCs w:val="21"/>
              </w:rPr>
              <w:t>类型</w:t>
            </w:r>
          </w:p>
        </w:tc>
        <w:tc>
          <w:tcPr>
            <w:tcW w:w="1209"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室内侧</w:t>
            </w:r>
          </w:p>
        </w:tc>
        <w:tc>
          <w:tcPr>
            <w:tcW w:w="2438" w:type="pct"/>
            <w:gridSpan w:val="4"/>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室外侧</w:t>
            </w:r>
          </w:p>
        </w:tc>
      </w:tr>
      <w:tr>
        <w:trPr>
          <w:trHeight w:val="240" w:hRule="atLeast"/>
        </w:trPr>
        <w:tc>
          <w:tcPr>
            <w:tcW w:w="27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0"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46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09" w:type="pct"/>
            <w:gridSpan w:val="2"/>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218" w:type="pct"/>
            <w:gridSpan w:val="2"/>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风冷式</w:t>
            </w:r>
          </w:p>
        </w:tc>
        <w:tc>
          <w:tcPr>
            <w:tcW w:w="1220" w:type="pct"/>
            <w:gridSpan w:val="2"/>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水冷式</w:t>
            </w:r>
          </w:p>
        </w:tc>
      </w:tr>
      <w:tr>
        <w:tblPrEx>
          <w:tblCellMar>
            <w:top w:w="0" w:type="dxa"/>
            <w:left w:w="108" w:type="dxa"/>
            <w:bottom w:w="0" w:type="dxa"/>
            <w:right w:w="108" w:type="dxa"/>
          </w:tblCellMar>
        </w:tblPrEx>
        <w:trPr>
          <w:trHeight w:val="480" w:hRule="atLeast"/>
        </w:trPr>
        <w:tc>
          <w:tcPr>
            <w:tcW w:w="27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0"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46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干球温度</w:t>
            </w:r>
            <w:r>
              <w:rPr>
                <w:b w:val="0"/>
                <w:szCs w:val="21"/>
              </w:rPr>
              <w:br w:type="textWrapping"/>
            </w:r>
            <w:r>
              <w:rPr>
                <w:b w:val="0"/>
                <w:szCs w:val="21"/>
              </w:rPr>
              <w:t>℃</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湿球温度</w:t>
            </w:r>
            <w:r>
              <w:rPr>
                <w:b w:val="0"/>
                <w:szCs w:val="21"/>
              </w:rPr>
              <w:br w:type="textWrapping"/>
            </w:r>
            <w:r>
              <w:rPr>
                <w:b w:val="0"/>
                <w:szCs w:val="21"/>
              </w:rPr>
              <w:t>℃</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干球温度</w:t>
            </w:r>
            <w:r>
              <w:rPr>
                <w:b w:val="0"/>
                <w:szCs w:val="21"/>
              </w:rPr>
              <w:br w:type="textWrapping"/>
            </w:r>
            <w:r>
              <w:rPr>
                <w:b w:val="0"/>
                <w:szCs w:val="21"/>
              </w:rPr>
              <w:t>℃</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湿球温度</w:t>
            </w:r>
            <w:r>
              <w:rPr>
                <w:b w:val="0"/>
                <w:szCs w:val="21"/>
              </w:rPr>
              <w:br w:type="textWrapping"/>
            </w:r>
            <w:r>
              <w:rPr>
                <w:b w:val="0"/>
                <w:szCs w:val="21"/>
              </w:rPr>
              <w:t>℃</w:t>
            </w:r>
          </w:p>
        </w:tc>
        <w:tc>
          <w:tcPr>
            <w:tcW w:w="60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进水温度</w:t>
            </w:r>
            <w:r>
              <w:rPr>
                <w:b w:val="0"/>
                <w:szCs w:val="21"/>
              </w:rPr>
              <w:br w:type="textWrapping"/>
            </w:r>
            <w:r>
              <w:rPr>
                <w:b w:val="0"/>
                <w:szCs w:val="21"/>
              </w:rPr>
              <w:t>℃</w:t>
            </w:r>
          </w:p>
        </w:tc>
        <w:tc>
          <w:tcPr>
            <w:tcW w:w="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出水温度</w:t>
            </w:r>
            <w:r>
              <w:rPr>
                <w:b w:val="0"/>
                <w:szCs w:val="21"/>
              </w:rPr>
              <w:br w:type="textWrapping"/>
            </w:r>
            <w:r>
              <w:rPr>
                <w:b w:val="0"/>
                <w:szCs w:val="21"/>
              </w:rPr>
              <w:t>℃</w:t>
            </w:r>
          </w:p>
        </w:tc>
      </w:tr>
      <w:tr>
        <w:trPr>
          <w:trHeight w:val="260" w:hRule="atLeast"/>
        </w:trPr>
        <w:tc>
          <w:tcPr>
            <w:tcW w:w="27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 </w:t>
            </w:r>
          </w:p>
        </w:tc>
        <w:tc>
          <w:tcPr>
            <w:tcW w:w="610"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名义工况</w:t>
            </w: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 A、B</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21.2 </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35 </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24*</w:t>
            </w:r>
          </w:p>
        </w:tc>
        <w:tc>
          <w:tcPr>
            <w:tcW w:w="60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30 </w:t>
            </w:r>
          </w:p>
        </w:tc>
        <w:tc>
          <w:tcPr>
            <w:tcW w:w="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35 </w:t>
            </w:r>
          </w:p>
        </w:tc>
      </w:tr>
      <w:tr>
        <w:tblPrEx>
          <w:tblCellMar>
            <w:top w:w="0" w:type="dxa"/>
            <w:left w:w="108" w:type="dxa"/>
            <w:bottom w:w="0" w:type="dxa"/>
            <w:right w:w="108" w:type="dxa"/>
          </w:tblCellMar>
        </w:tblPrEx>
        <w:trPr>
          <w:trHeight w:val="270" w:hRule="atLeast"/>
        </w:trPr>
        <w:tc>
          <w:tcPr>
            <w:tcW w:w="27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 </w:t>
            </w:r>
          </w:p>
        </w:tc>
        <w:tc>
          <w:tcPr>
            <w:tcW w:w="610"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高温工况</w:t>
            </w:r>
          </w:p>
        </w:tc>
        <w:tc>
          <w:tcPr>
            <w:tcW w:w="464"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b w:val="0"/>
                <w:szCs w:val="21"/>
              </w:rPr>
              <w:drawing>
                <wp:anchor distT="0" distB="0" distL="114300" distR="114300" simplePos="0" relativeHeight="251664384" behindDoc="0" locked="0" layoutInCell="1" allowOverlap="1">
                  <wp:simplePos x="0" y="0"/>
                  <wp:positionH relativeFrom="column">
                    <wp:posOffset>19050</wp:posOffset>
                  </wp:positionH>
                  <wp:positionV relativeFrom="paragraph">
                    <wp:posOffset>57785</wp:posOffset>
                  </wp:positionV>
                  <wp:extent cx="114935" cy="95250"/>
                  <wp:effectExtent l="0" t="0" r="18415" b="0"/>
                  <wp:wrapNone/>
                  <wp:docPr id="4" name="image1"/>
                  <wp:cNvGraphicFramePr/>
                  <a:graphic xmlns:a="http://schemas.openxmlformats.org/drawingml/2006/main">
                    <a:graphicData uri="http://schemas.openxmlformats.org/drawingml/2006/picture">
                      <pic:pic xmlns:pic="http://schemas.openxmlformats.org/drawingml/2006/picture">
                        <pic:nvPicPr>
                          <pic:cNvPr id="4" name="image1"/>
                          <pic:cNvPicPr/>
                        </pic:nvPicPr>
                        <pic:blipFill>
                          <a:blip r:embed="rId21"/>
                          <a:stretch>
                            <a:fillRect/>
                          </a:stretch>
                        </pic:blipFill>
                        <pic:spPr>
                          <a:xfrm>
                            <a:off x="0" y="0"/>
                            <a:ext cx="114935" cy="95250"/>
                          </a:xfrm>
                          <a:prstGeom prst="rect">
                            <a:avLst/>
                          </a:prstGeom>
                          <a:noFill/>
                          <a:ln>
                            <a:noFill/>
                          </a:ln>
                        </pic:spPr>
                      </pic:pic>
                    </a:graphicData>
                  </a:graphic>
                </wp:anchor>
              </w:drawing>
            </w:r>
            <w:r>
              <w:rPr>
                <w:b w:val="0"/>
                <w:szCs w:val="21"/>
              </w:rPr>
              <w:t>A、B</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30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27.1 </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35 </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24*</w:t>
            </w:r>
          </w:p>
        </w:tc>
        <w:tc>
          <w:tcPr>
            <w:tcW w:w="60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30 </w:t>
            </w:r>
          </w:p>
        </w:tc>
        <w:tc>
          <w:tcPr>
            <w:tcW w:w="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rPr>
          <w:trHeight w:val="240" w:hRule="atLeast"/>
        </w:trPr>
        <w:tc>
          <w:tcPr>
            <w:tcW w:w="277"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 </w:t>
            </w:r>
          </w:p>
        </w:tc>
        <w:tc>
          <w:tcPr>
            <w:tcW w:w="610"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最大负荷运行</w:t>
            </w: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drawing>
                <wp:anchor distT="0" distB="0" distL="114300" distR="114300" simplePos="0" relativeHeight="251665408" behindDoc="0" locked="0" layoutInCell="1" allowOverlap="1">
                  <wp:simplePos x="0" y="0"/>
                  <wp:positionH relativeFrom="column">
                    <wp:posOffset>19050</wp:posOffset>
                  </wp:positionH>
                  <wp:positionV relativeFrom="paragraph">
                    <wp:posOffset>15875</wp:posOffset>
                  </wp:positionV>
                  <wp:extent cx="108585" cy="17145"/>
                  <wp:effectExtent l="0" t="0" r="0" b="0"/>
                  <wp:wrapNone/>
                  <wp:docPr id="3" name="image2"/>
                  <wp:cNvGraphicFramePr/>
                  <a:graphic xmlns:a="http://schemas.openxmlformats.org/drawingml/2006/main">
                    <a:graphicData uri="http://schemas.openxmlformats.org/drawingml/2006/picture">
                      <pic:pic xmlns:pic="http://schemas.openxmlformats.org/drawingml/2006/picture">
                        <pic:nvPicPr>
                          <pic:cNvPr id="3" name="image2"/>
                          <pic:cNvPicPr/>
                        </pic:nvPicPr>
                        <pic:blipFill>
                          <a:blip r:embed="rId22"/>
                          <a:stretch>
                            <a:fillRect/>
                          </a:stretch>
                        </pic:blipFill>
                        <pic:spPr>
                          <a:xfrm>
                            <a:off x="0" y="0"/>
                            <a:ext cx="108585" cy="17145"/>
                          </a:xfrm>
                          <a:prstGeom prst="rect">
                            <a:avLst/>
                          </a:prstGeom>
                          <a:noFill/>
                          <a:ln>
                            <a:noFill/>
                          </a:ln>
                        </pic:spPr>
                      </pic:pic>
                    </a:graphicData>
                  </a:graphic>
                </wp:anchor>
              </w:drawing>
            </w:r>
            <w:r>
              <w:rPr>
                <w:b w:val="0"/>
                <w:szCs w:val="21"/>
              </w:rPr>
              <w:t>AS、BS</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35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31.8 </w:t>
            </w:r>
          </w:p>
        </w:tc>
        <w:tc>
          <w:tcPr>
            <w:tcW w:w="60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43 </w:t>
            </w:r>
          </w:p>
        </w:tc>
        <w:tc>
          <w:tcPr>
            <w:tcW w:w="614"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26*</w:t>
            </w:r>
          </w:p>
        </w:tc>
        <w:tc>
          <w:tcPr>
            <w:tcW w:w="607"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34 </w:t>
            </w:r>
          </w:p>
        </w:tc>
        <w:tc>
          <w:tcPr>
            <w:tcW w:w="61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40" w:hRule="atLeast"/>
        </w:trPr>
        <w:tc>
          <w:tcPr>
            <w:tcW w:w="27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0"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AG、BG</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32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 </w:t>
            </w:r>
          </w:p>
        </w:tc>
        <w:tc>
          <w:tcPr>
            <w:tcW w:w="60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0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r>
      <w:tr>
        <w:trPr>
          <w:trHeight w:val="240" w:hRule="atLeast"/>
        </w:trPr>
        <w:tc>
          <w:tcPr>
            <w:tcW w:w="277"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4 </w:t>
            </w:r>
          </w:p>
        </w:tc>
        <w:tc>
          <w:tcPr>
            <w:tcW w:w="610"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低温除湿运行</w:t>
            </w: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A</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18.3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13.7 </w:t>
            </w:r>
          </w:p>
        </w:tc>
        <w:tc>
          <w:tcPr>
            <w:tcW w:w="60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 </w:t>
            </w:r>
          </w:p>
        </w:tc>
        <w:tc>
          <w:tcPr>
            <w:tcW w:w="614"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bookmarkStart w:id="50" w:name="OLE_LINK1"/>
            <w:r>
              <w:rPr>
                <w:rFonts w:hint="eastAsia"/>
                <w:b w:val="0"/>
                <w:szCs w:val="21"/>
              </w:rPr>
              <w:t>—</w:t>
            </w:r>
            <w:bookmarkEnd w:id="50"/>
          </w:p>
        </w:tc>
        <w:tc>
          <w:tcPr>
            <w:tcW w:w="607"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18 </w:t>
            </w:r>
          </w:p>
        </w:tc>
        <w:tc>
          <w:tcPr>
            <w:tcW w:w="613"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40" w:hRule="atLeast"/>
        </w:trPr>
        <w:tc>
          <w:tcPr>
            <w:tcW w:w="27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0"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B</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 </w:t>
            </w:r>
          </w:p>
        </w:tc>
        <w:tc>
          <w:tcPr>
            <w:tcW w:w="60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4"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07"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613"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r>
      <w:tr>
        <w:trPr>
          <w:trHeight w:val="260" w:hRule="atLeast"/>
        </w:trPr>
        <w:tc>
          <w:tcPr>
            <w:tcW w:w="27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5 </w:t>
            </w:r>
          </w:p>
        </w:tc>
        <w:tc>
          <w:tcPr>
            <w:tcW w:w="610"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凝露和凝结水排除</w:t>
            </w: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A、B</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25 </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25*</w:t>
            </w:r>
          </w:p>
        </w:tc>
        <w:tc>
          <w:tcPr>
            <w:tcW w:w="60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70" w:hRule="atLeast"/>
        </w:trPr>
        <w:tc>
          <w:tcPr>
            <w:tcW w:w="27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6 </w:t>
            </w:r>
          </w:p>
        </w:tc>
        <w:tc>
          <w:tcPr>
            <w:tcW w:w="610"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溢水绝缘性能</w:t>
            </w:r>
          </w:p>
        </w:tc>
        <w:tc>
          <w:tcPr>
            <w:tcW w:w="46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A、B</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05"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25 </w:t>
            </w:r>
          </w:p>
        </w:tc>
        <w:tc>
          <w:tcPr>
            <w:tcW w:w="60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25*</w:t>
            </w:r>
          </w:p>
        </w:tc>
        <w:tc>
          <w:tcPr>
            <w:tcW w:w="607"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27 </w:t>
            </w:r>
          </w:p>
        </w:tc>
        <w:tc>
          <w:tcPr>
            <w:tcW w:w="61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rPr>
          <w:trHeight w:val="840" w:hRule="atLeast"/>
        </w:trPr>
        <w:tc>
          <w:tcPr>
            <w:tcW w:w="5000" w:type="pct"/>
            <w:gridSpan w:val="9"/>
            <w:tcBorders>
              <w:top w:val="single" w:color="000000" w:sz="4" w:space="0"/>
              <w:left w:val="single" w:color="000000" w:sz="4" w:space="0"/>
              <w:bottom w:val="single" w:color="000000" w:sz="4" w:space="0"/>
              <w:right w:val="single" w:color="000000" w:sz="4" w:space="0"/>
            </w:tcBorders>
            <w:vAlign w:val="center"/>
          </w:tcPr>
          <w:p>
            <w:pPr>
              <w:pStyle w:val="291"/>
              <w:spacing w:line="240" w:lineRule="auto"/>
              <w:rPr>
                <w:b w:val="0"/>
                <w:szCs w:val="21"/>
              </w:rPr>
            </w:pPr>
            <w:r>
              <w:rPr>
                <w:b w:val="0"/>
                <w:szCs w:val="21"/>
              </w:rPr>
              <w:t>各类试验均应在除湿机标称的机外静压下进行</w:t>
            </w:r>
            <w:r>
              <w:rPr>
                <w:b w:val="0"/>
                <w:szCs w:val="21"/>
              </w:rPr>
              <w:br w:type="textWrapping"/>
            </w:r>
            <w:r>
              <w:rPr>
                <w:b w:val="0"/>
                <w:szCs w:val="21"/>
              </w:rPr>
              <w:t xml:space="preserve">  注1:整体式除湿机按室内侧工况进行测试。</w:t>
            </w:r>
            <w:r>
              <w:rPr>
                <w:b w:val="0"/>
                <w:szCs w:val="21"/>
              </w:rPr>
              <w:br w:type="textWrapping"/>
            </w:r>
            <w:r>
              <w:rPr>
                <w:b w:val="0"/>
                <w:szCs w:val="21"/>
              </w:rPr>
              <w:t xml:space="preserve">  注2:机组类型中未体现用途分类的(舒适型除湿机或工艺型除湿机)表示均适用。</w:t>
            </w:r>
            <w:r>
              <w:rPr>
                <w:b w:val="0"/>
                <w:szCs w:val="21"/>
              </w:rPr>
              <w:br w:type="textWrapping"/>
            </w:r>
            <w:r>
              <w:rPr>
                <w:b w:val="0"/>
                <w:szCs w:val="21"/>
              </w:rPr>
              <w:t xml:space="preserve">  注3:C型除湿机的试验工况按制造商与用户的协议执行。</w:t>
            </w:r>
          </w:p>
        </w:tc>
      </w:tr>
      <w:tr>
        <w:tblPrEx>
          <w:tblCellMar>
            <w:top w:w="0" w:type="dxa"/>
            <w:left w:w="108" w:type="dxa"/>
            <w:bottom w:w="0" w:type="dxa"/>
            <w:right w:w="108" w:type="dxa"/>
          </w:tblCellMar>
        </w:tblPrEx>
        <w:trPr>
          <w:trHeight w:val="485" w:hRule="atLeast"/>
        </w:trPr>
        <w:tc>
          <w:tcPr>
            <w:tcW w:w="5000" w:type="pct"/>
            <w:gridSpan w:val="9"/>
            <w:tcBorders>
              <w:top w:val="single" w:color="000000" w:sz="4" w:space="0"/>
              <w:left w:val="single" w:color="000000" w:sz="4" w:space="0"/>
              <w:bottom w:val="single" w:color="000000" w:sz="4" w:space="0"/>
              <w:right w:val="single" w:color="000000" w:sz="4" w:space="0"/>
            </w:tcBorders>
            <w:vAlign w:val="center"/>
          </w:tcPr>
          <w:p>
            <w:pPr>
              <w:pStyle w:val="291"/>
              <w:spacing w:line="240" w:lineRule="auto"/>
              <w:rPr>
                <w:b w:val="0"/>
                <w:szCs w:val="21"/>
              </w:rPr>
            </w:pPr>
            <w:r>
              <w:rPr>
                <w:b w:val="0"/>
                <w:szCs w:val="21"/>
              </w:rPr>
              <w:t>·适用于湿球温度影响室外侧换热的装置。</w:t>
            </w:r>
            <w:r>
              <w:rPr>
                <w:b w:val="0"/>
                <w:szCs w:val="21"/>
              </w:rPr>
              <w:br w:type="textWrapping"/>
            </w:r>
            <w:r>
              <w:rPr>
                <w:b w:val="0"/>
                <w:szCs w:val="21"/>
              </w:rPr>
              <w:t>·与名义工况除湿量试验时的水流量保持一致。</w:t>
            </w:r>
          </w:p>
        </w:tc>
      </w:tr>
    </w:tbl>
    <w:p>
      <w:pPr>
        <w:widowControl/>
        <w:numPr>
          <w:ilvl w:val="255"/>
          <w:numId w:val="0"/>
        </w:numPr>
        <w:ind w:firstLine="420" w:firstLineChars="200"/>
        <w:jc w:val="left"/>
        <w:rPr>
          <w:rFonts w:cs="Times New Roman"/>
          <w:bCs/>
          <w:szCs w:val="21"/>
        </w:rPr>
      </w:pPr>
      <w:r>
        <w:rPr>
          <w:rFonts w:cs="Times New Roman"/>
          <w:bCs/>
          <w:szCs w:val="21"/>
        </w:rPr>
        <w:t>3. 在表6.2.11-2 规定的名义工况下</w:t>
      </w:r>
      <w:r>
        <w:rPr>
          <w:rFonts w:hint="eastAsia" w:cs="Times New Roman"/>
          <w:bCs/>
          <w:szCs w:val="21"/>
        </w:rPr>
        <w:t>，</w:t>
      </w:r>
      <w:r>
        <w:rPr>
          <w:rFonts w:cs="Times New Roman"/>
          <w:bCs/>
          <w:szCs w:val="21"/>
        </w:rPr>
        <w:t>按</w:t>
      </w:r>
      <w:r>
        <w:rPr>
          <w:rFonts w:hint="eastAsia" w:cs="Times New Roman"/>
          <w:bCs/>
          <w:szCs w:val="21"/>
        </w:rPr>
        <w:t>现行国家标准</w:t>
      </w:r>
      <w:r>
        <w:rPr>
          <w:rFonts w:cs="Times New Roman"/>
          <w:bCs/>
          <w:szCs w:val="21"/>
        </w:rPr>
        <w:t>《除湿机》GB/T 19411</w:t>
      </w:r>
      <w:r>
        <w:rPr>
          <w:rFonts w:hint="eastAsia" w:cs="Times New Roman"/>
          <w:bCs/>
          <w:szCs w:val="21"/>
        </w:rPr>
        <w:t>中</w:t>
      </w:r>
      <w:r>
        <w:rPr>
          <w:rFonts w:cs="Times New Roman"/>
          <w:bCs/>
          <w:szCs w:val="21"/>
        </w:rPr>
        <w:t xml:space="preserve">附录 A 规定的方法进行试验,名义工况除湿性能满足以下要求: </w:t>
      </w:r>
    </w:p>
    <w:p>
      <w:pPr>
        <w:widowControl/>
        <w:numPr>
          <w:ilvl w:val="255"/>
          <w:numId w:val="0"/>
        </w:numPr>
        <w:ind w:firstLine="420" w:firstLineChars="200"/>
        <w:jc w:val="left"/>
        <w:rPr>
          <w:rFonts w:cs="Times New Roman"/>
          <w:bCs/>
          <w:szCs w:val="21"/>
        </w:rPr>
      </w:pPr>
      <w:r>
        <w:rPr>
          <w:rFonts w:cs="Times New Roman"/>
          <w:bCs/>
          <w:szCs w:val="21"/>
        </w:rPr>
        <w:t>a) 除湿机实测的名义除湿量不应小于明示值的95%；</w:t>
      </w:r>
    </w:p>
    <w:p>
      <w:pPr>
        <w:widowControl/>
        <w:numPr>
          <w:ilvl w:val="255"/>
          <w:numId w:val="0"/>
        </w:numPr>
        <w:ind w:firstLine="420" w:firstLineChars="200"/>
        <w:jc w:val="left"/>
        <w:rPr>
          <w:rFonts w:cs="Times New Roman"/>
          <w:bCs/>
          <w:szCs w:val="21"/>
        </w:rPr>
      </w:pPr>
      <w:r>
        <w:rPr>
          <w:rFonts w:cs="Times New Roman"/>
          <w:bCs/>
          <w:szCs w:val="21"/>
        </w:rPr>
        <w:t>b) 除湿机实测的名义除湿消耗功率不应大于明示值的110%；</w:t>
      </w:r>
    </w:p>
    <w:p>
      <w:pPr>
        <w:widowControl/>
        <w:numPr>
          <w:ilvl w:val="255"/>
          <w:numId w:val="0"/>
        </w:numPr>
        <w:ind w:firstLine="420" w:firstLineChars="200"/>
        <w:jc w:val="left"/>
        <w:rPr>
          <w:rFonts w:cs="Times New Roman"/>
          <w:bCs/>
          <w:szCs w:val="21"/>
        </w:rPr>
      </w:pPr>
      <w:r>
        <w:rPr>
          <w:rFonts w:cs="Times New Roman"/>
          <w:bCs/>
          <w:szCs w:val="21"/>
        </w:rPr>
        <w:t>c) 除湿机实测的单位消耗功率除湿量不应小于明示值的95%,且不小于表表6.2.11-3规定的限值。</w:t>
      </w:r>
    </w:p>
    <w:p>
      <w:pPr>
        <w:widowControl/>
        <w:ind w:firstLine="420"/>
        <w:jc w:val="center"/>
        <w:rPr>
          <w:rFonts w:cs="Times New Roman"/>
          <w:bCs/>
          <w:szCs w:val="21"/>
        </w:rPr>
      </w:pPr>
      <w:r>
        <w:rPr>
          <w:rFonts w:cs="Times New Roman"/>
          <w:bCs/>
          <w:szCs w:val="21"/>
        </w:rPr>
        <w:t>表6.2.11-3 单位消耗功率除湿量限值</w:t>
      </w:r>
    </w:p>
    <w:tbl>
      <w:tblPr>
        <w:tblStyle w:val="44"/>
        <w:tblW w:w="4998" w:type="pct"/>
        <w:tblInd w:w="0" w:type="dxa"/>
        <w:tblLayout w:type="autofit"/>
        <w:tblCellMar>
          <w:top w:w="0" w:type="dxa"/>
          <w:left w:w="108" w:type="dxa"/>
          <w:bottom w:w="0" w:type="dxa"/>
          <w:right w:w="108" w:type="dxa"/>
        </w:tblCellMar>
      </w:tblPr>
      <w:tblGrid>
        <w:gridCol w:w="2348"/>
        <w:gridCol w:w="2014"/>
        <w:gridCol w:w="2024"/>
        <w:gridCol w:w="2133"/>
      </w:tblGrid>
      <w:tr>
        <w:tblPrEx>
          <w:tblCellMar>
            <w:top w:w="0" w:type="dxa"/>
            <w:left w:w="108" w:type="dxa"/>
            <w:bottom w:w="0" w:type="dxa"/>
            <w:right w:w="108" w:type="dxa"/>
          </w:tblCellMar>
        </w:tblPrEx>
        <w:trPr>
          <w:trHeight w:val="255" w:hRule="atLeast"/>
        </w:trPr>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名义除湿量DC</w:t>
            </w:r>
            <w:r>
              <w:rPr>
                <w:b w:val="0"/>
                <w:szCs w:val="21"/>
                <w:vertAlign w:val="subscript"/>
              </w:rPr>
              <w:t>R</w:t>
            </w:r>
            <w:r>
              <w:rPr>
                <w:b w:val="0"/>
                <w:szCs w:val="21"/>
              </w:rPr>
              <w:br w:type="textWrapping"/>
            </w:r>
            <w:r>
              <w:rPr>
                <w:b w:val="0"/>
                <w:szCs w:val="21"/>
              </w:rPr>
              <w:t>kg/h</w:t>
            </w:r>
          </w:p>
        </w:tc>
        <w:tc>
          <w:tcPr>
            <w:tcW w:w="2369" w:type="pct"/>
            <w:gridSpan w:val="2"/>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风冷型</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水冷型</w:t>
            </w:r>
          </w:p>
        </w:tc>
      </w:tr>
      <w:tr>
        <w:tblPrEx>
          <w:tblCellMar>
            <w:top w:w="0" w:type="dxa"/>
            <w:left w:w="108" w:type="dxa"/>
            <w:bottom w:w="0" w:type="dxa"/>
            <w:right w:w="108" w:type="dxa"/>
          </w:tblCellMar>
        </w:tblPrEx>
        <w:trPr>
          <w:trHeight w:val="470" w:hRule="atLeast"/>
        </w:trPr>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升温型</w:t>
            </w:r>
            <w:r>
              <w:rPr>
                <w:b w:val="0"/>
                <w:szCs w:val="21"/>
              </w:rPr>
              <w:br w:type="textWrapping"/>
            </w:r>
            <w:r>
              <w:rPr>
                <w:b w:val="0"/>
                <w:szCs w:val="21"/>
              </w:rPr>
              <w:t>kg/(kW·h)</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降温型/调温型</w:t>
            </w:r>
            <w:r>
              <w:rPr>
                <w:b w:val="0"/>
                <w:szCs w:val="21"/>
              </w:rPr>
              <w:br w:type="textWrapping"/>
            </w:r>
            <w:r>
              <w:rPr>
                <w:b w:val="0"/>
                <w:szCs w:val="21"/>
              </w:rPr>
              <w:t>kg/(kW·h)</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降温型/调温型</w:t>
            </w:r>
            <w:r>
              <w:rPr>
                <w:b w:val="0"/>
                <w:szCs w:val="21"/>
              </w:rPr>
              <w:br w:type="textWrapping"/>
            </w:r>
            <w:r>
              <w:rPr>
                <w:b w:val="0"/>
                <w:szCs w:val="21"/>
              </w:rPr>
              <w:t>kg/(kW·h)</w:t>
            </w:r>
          </w:p>
        </w:tc>
      </w:tr>
      <w:tr>
        <w:tblPrEx>
          <w:tblCellMar>
            <w:top w:w="0" w:type="dxa"/>
            <w:left w:w="108" w:type="dxa"/>
            <w:bottom w:w="0" w:type="dxa"/>
            <w:right w:w="108" w:type="dxa"/>
          </w:tblCellMar>
        </w:tblPrEx>
        <w:trPr>
          <w:trHeight w:val="27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DC</w:t>
            </w:r>
            <w:r>
              <w:rPr>
                <w:b w:val="0"/>
                <w:szCs w:val="21"/>
                <w:vertAlign w:val="subscript"/>
              </w:rPr>
              <w:t>R</w:t>
            </w:r>
            <w:r>
              <w:rPr>
                <w:b w:val="0"/>
                <w:szCs w:val="21"/>
              </w:rPr>
              <w:t>≤0.25</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1.40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6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0.25＜DC</w:t>
            </w:r>
            <w:r>
              <w:rPr>
                <w:b w:val="0"/>
                <w:szCs w:val="21"/>
                <w:vertAlign w:val="subscript"/>
              </w:rPr>
              <w:t>R</w:t>
            </w:r>
            <w:r>
              <w:rPr>
                <w:b w:val="0"/>
                <w:szCs w:val="21"/>
              </w:rPr>
              <w:t>≤0.50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1.45 </w:t>
            </w:r>
          </w:p>
        </w:tc>
        <w:tc>
          <w:tcPr>
            <w:tcW w:w="1188"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c>
          <w:tcPr>
            <w:tcW w:w="1253"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6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0.50＜DC</w:t>
            </w:r>
            <w:r>
              <w:rPr>
                <w:b w:val="0"/>
                <w:szCs w:val="21"/>
                <w:vertAlign w:val="subscript"/>
              </w:rPr>
              <w:t>R</w:t>
            </w:r>
            <w:r>
              <w:rPr>
                <w:b w:val="0"/>
                <w:szCs w:val="21"/>
              </w:rPr>
              <w:t>≤1.00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1.60 </w:t>
            </w:r>
          </w:p>
        </w:tc>
        <w:tc>
          <w:tcPr>
            <w:tcW w:w="1188"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c>
          <w:tcPr>
            <w:tcW w:w="1253"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7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1.00＜DC</w:t>
            </w:r>
            <w:r>
              <w:rPr>
                <w:b w:val="0"/>
                <w:szCs w:val="21"/>
                <w:vertAlign w:val="subscript"/>
              </w:rPr>
              <w:t>R</w:t>
            </w:r>
            <w:r>
              <w:rPr>
                <w:b w:val="0"/>
                <w:szCs w:val="21"/>
              </w:rPr>
              <w:t>≤2.00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1.70 </w:t>
            </w:r>
          </w:p>
        </w:tc>
        <w:tc>
          <w:tcPr>
            <w:tcW w:w="1188"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c>
          <w:tcPr>
            <w:tcW w:w="1253"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6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2.00＜DC</w:t>
            </w:r>
            <w:r>
              <w:rPr>
                <w:b w:val="0"/>
                <w:szCs w:val="21"/>
                <w:vertAlign w:val="subscript"/>
              </w:rPr>
              <w:t>R</w:t>
            </w:r>
            <w:r>
              <w:rPr>
                <w:b w:val="0"/>
                <w:szCs w:val="21"/>
              </w:rPr>
              <w:t>≤2.50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1.90 </w:t>
            </w:r>
          </w:p>
        </w:tc>
        <w:tc>
          <w:tcPr>
            <w:tcW w:w="1188"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c>
          <w:tcPr>
            <w:tcW w:w="1253" w:type="pct"/>
            <w:tcBorders>
              <w:top w:val="single" w:color="000000" w:sz="4" w:space="0"/>
              <w:left w:val="single" w:color="000000" w:sz="4" w:space="0"/>
              <w:bottom w:val="single" w:color="000000" w:sz="4" w:space="0"/>
              <w:right w:val="single" w:color="000000" w:sz="4" w:space="0"/>
            </w:tcBorders>
          </w:tcPr>
          <w:p>
            <w:pPr>
              <w:pStyle w:val="291"/>
              <w:spacing w:line="240" w:lineRule="auto"/>
              <w:jc w:val="center"/>
              <w:rPr>
                <w:b w:val="0"/>
                <w:szCs w:val="21"/>
              </w:rPr>
            </w:pPr>
            <w:r>
              <w:rPr>
                <w:rFonts w:hint="eastAsia"/>
                <w:b w:val="0"/>
                <w:szCs w:val="21"/>
              </w:rPr>
              <w:t>—</w:t>
            </w:r>
          </w:p>
        </w:tc>
      </w:tr>
      <w:tr>
        <w:tblPrEx>
          <w:tblCellMar>
            <w:top w:w="0" w:type="dxa"/>
            <w:left w:w="108" w:type="dxa"/>
            <w:bottom w:w="0" w:type="dxa"/>
            <w:right w:w="108" w:type="dxa"/>
          </w:tblCellMar>
        </w:tblPrEx>
        <w:trPr>
          <w:trHeight w:val="26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2.50＜DC</w:t>
            </w:r>
            <w:r>
              <w:rPr>
                <w:b w:val="0"/>
                <w:szCs w:val="21"/>
                <w:vertAlign w:val="subscript"/>
              </w:rPr>
              <w:t>R</w:t>
            </w:r>
            <w:r>
              <w:rPr>
                <w:b w:val="0"/>
                <w:szCs w:val="21"/>
              </w:rPr>
              <w:t>≤5.0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2.10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2.00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2.20 </w:t>
            </w:r>
          </w:p>
        </w:tc>
      </w:tr>
      <w:tr>
        <w:tblPrEx>
          <w:tblCellMar>
            <w:top w:w="0" w:type="dxa"/>
            <w:left w:w="108" w:type="dxa"/>
            <w:bottom w:w="0" w:type="dxa"/>
            <w:right w:w="108" w:type="dxa"/>
          </w:tblCellMar>
        </w:tblPrEx>
        <w:trPr>
          <w:trHeight w:val="28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5.0＜DC</w:t>
            </w:r>
            <w:r>
              <w:rPr>
                <w:b w:val="0"/>
                <w:szCs w:val="21"/>
                <w:vertAlign w:val="subscript"/>
              </w:rPr>
              <w:t>R</w:t>
            </w:r>
            <w:r>
              <w:rPr>
                <w:b w:val="0"/>
                <w:szCs w:val="21"/>
              </w:rPr>
              <w:t>≤10.0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2.15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2.05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2.25 </w:t>
            </w:r>
          </w:p>
        </w:tc>
      </w:tr>
      <w:tr>
        <w:tblPrEx>
          <w:tblCellMar>
            <w:top w:w="0" w:type="dxa"/>
            <w:left w:w="108" w:type="dxa"/>
            <w:bottom w:w="0" w:type="dxa"/>
            <w:right w:w="108" w:type="dxa"/>
          </w:tblCellMar>
        </w:tblPrEx>
        <w:trPr>
          <w:trHeight w:val="265"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10.0＜DC</w:t>
            </w:r>
            <w:r>
              <w:rPr>
                <w:b w:val="0"/>
                <w:szCs w:val="21"/>
                <w:vertAlign w:val="subscript"/>
              </w:rPr>
              <w:t>R</w:t>
            </w:r>
            <w:r>
              <w:rPr>
                <w:b w:val="0"/>
                <w:szCs w:val="21"/>
              </w:rPr>
              <w:t>≤20.0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2.20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2.10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2.30 </w:t>
            </w:r>
          </w:p>
        </w:tc>
      </w:tr>
      <w:tr>
        <w:tblPrEx>
          <w:tblCellMar>
            <w:top w:w="0" w:type="dxa"/>
            <w:left w:w="108" w:type="dxa"/>
            <w:bottom w:w="0" w:type="dxa"/>
            <w:right w:w="108" w:type="dxa"/>
          </w:tblCellMar>
        </w:tblPrEx>
        <w:trPr>
          <w:trHeight w:val="265"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20.0＜DC</w:t>
            </w:r>
            <w:r>
              <w:rPr>
                <w:b w:val="0"/>
                <w:szCs w:val="21"/>
                <w:vertAlign w:val="subscript"/>
              </w:rPr>
              <w:t>R</w:t>
            </w:r>
            <w:r>
              <w:rPr>
                <w:b w:val="0"/>
                <w:szCs w:val="21"/>
              </w:rPr>
              <w:t>≤30.0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2.25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2.15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2.35 </w:t>
            </w:r>
          </w:p>
        </w:tc>
      </w:tr>
      <w:tr>
        <w:tblPrEx>
          <w:tblCellMar>
            <w:top w:w="0" w:type="dxa"/>
            <w:left w:w="108" w:type="dxa"/>
            <w:bottom w:w="0" w:type="dxa"/>
            <w:right w:w="108" w:type="dxa"/>
          </w:tblCellMar>
        </w:tblPrEx>
        <w:trPr>
          <w:trHeight w:val="28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30.0＜DC</w:t>
            </w:r>
            <w:r>
              <w:rPr>
                <w:b w:val="0"/>
                <w:szCs w:val="21"/>
                <w:vertAlign w:val="subscript"/>
              </w:rPr>
              <w:t>R</w:t>
            </w:r>
            <w:r>
              <w:rPr>
                <w:b w:val="0"/>
                <w:szCs w:val="21"/>
              </w:rPr>
              <w:t>≤40.0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2.30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2.20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2.40 </w:t>
            </w:r>
          </w:p>
        </w:tc>
      </w:tr>
      <w:tr>
        <w:tblPrEx>
          <w:tblCellMar>
            <w:top w:w="0" w:type="dxa"/>
            <w:left w:w="108" w:type="dxa"/>
            <w:bottom w:w="0" w:type="dxa"/>
            <w:right w:w="108" w:type="dxa"/>
          </w:tblCellMar>
        </w:tblPrEx>
        <w:trPr>
          <w:trHeight w:val="26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40.0＜DC</w:t>
            </w:r>
            <w:r>
              <w:rPr>
                <w:b w:val="0"/>
                <w:szCs w:val="21"/>
                <w:vertAlign w:val="subscript"/>
              </w:rPr>
              <w:t>R</w:t>
            </w:r>
            <w:r>
              <w:rPr>
                <w:b w:val="0"/>
                <w:szCs w:val="21"/>
              </w:rPr>
              <w:t>≤60.0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2.35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2.25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2.45 </w:t>
            </w:r>
          </w:p>
        </w:tc>
      </w:tr>
      <w:tr>
        <w:tblPrEx>
          <w:tblCellMar>
            <w:top w:w="0" w:type="dxa"/>
            <w:left w:w="108" w:type="dxa"/>
            <w:bottom w:w="0" w:type="dxa"/>
            <w:right w:w="108" w:type="dxa"/>
          </w:tblCellMar>
        </w:tblPrEx>
        <w:trPr>
          <w:trHeight w:val="270"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60.0＜DC</w:t>
            </w:r>
            <w:r>
              <w:rPr>
                <w:b w:val="0"/>
                <w:szCs w:val="21"/>
                <w:vertAlign w:val="subscript"/>
              </w:rPr>
              <w:t>R</w:t>
            </w:r>
            <w:r>
              <w:rPr>
                <w:b w:val="0"/>
                <w:szCs w:val="21"/>
              </w:rPr>
              <w:t>≤80.0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2.40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2.30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2.50 </w:t>
            </w:r>
          </w:p>
        </w:tc>
      </w:tr>
      <w:tr>
        <w:tblPrEx>
          <w:tblCellMar>
            <w:top w:w="0" w:type="dxa"/>
            <w:left w:w="108" w:type="dxa"/>
            <w:bottom w:w="0" w:type="dxa"/>
            <w:right w:w="108" w:type="dxa"/>
          </w:tblCellMar>
        </w:tblPrEx>
        <w:trPr>
          <w:trHeight w:val="265" w:hRule="atLeast"/>
        </w:trPr>
        <w:tc>
          <w:tcPr>
            <w:tcW w:w="137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DC＞80.0</w:t>
            </w:r>
          </w:p>
        </w:tc>
        <w:tc>
          <w:tcPr>
            <w:tcW w:w="1182"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2.45 </w:t>
            </w:r>
          </w:p>
        </w:tc>
        <w:tc>
          <w:tcPr>
            <w:tcW w:w="1188"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2.35 </w:t>
            </w:r>
          </w:p>
        </w:tc>
        <w:tc>
          <w:tcPr>
            <w:tcW w:w="1253" w:type="pct"/>
            <w:tcBorders>
              <w:top w:val="single" w:color="000000" w:sz="4" w:space="0"/>
              <w:left w:val="single" w:color="000000" w:sz="4" w:space="0"/>
              <w:bottom w:val="single" w:color="000000" w:sz="4" w:space="0"/>
              <w:right w:val="single" w:color="000000" w:sz="4" w:space="0"/>
            </w:tcBorders>
            <w:vAlign w:val="center"/>
          </w:tcPr>
          <w:p>
            <w:pPr>
              <w:pStyle w:val="291"/>
              <w:spacing w:line="240" w:lineRule="auto"/>
              <w:jc w:val="center"/>
              <w:rPr>
                <w:b w:val="0"/>
                <w:szCs w:val="21"/>
              </w:rPr>
            </w:pPr>
            <w:r>
              <w:rPr>
                <w:b w:val="0"/>
                <w:szCs w:val="21"/>
              </w:rPr>
              <w:t xml:space="preserve">2.60 </w:t>
            </w:r>
          </w:p>
        </w:tc>
      </w:tr>
    </w:tbl>
    <w:p>
      <w:pPr>
        <w:widowControl/>
        <w:ind w:firstLine="0" w:firstLineChars="0"/>
        <w:jc w:val="left"/>
        <w:rPr>
          <w:rFonts w:cs="Times New Roman"/>
          <w:bCs/>
          <w:szCs w:val="21"/>
        </w:rPr>
      </w:pPr>
      <w:r>
        <w:rPr>
          <w:rFonts w:cs="Times New Roman"/>
          <w:bCs/>
          <w:szCs w:val="21"/>
        </w:rPr>
        <w:t>6.2.12  高温工况除湿性能应符合下列要求：</w:t>
      </w:r>
    </w:p>
    <w:p>
      <w:pPr>
        <w:widowControl/>
        <w:ind w:firstLine="420"/>
        <w:jc w:val="left"/>
        <w:rPr>
          <w:rFonts w:cs="Times New Roman"/>
          <w:bCs/>
          <w:szCs w:val="21"/>
        </w:rPr>
      </w:pPr>
      <w:r>
        <w:rPr>
          <w:rFonts w:cs="Times New Roman"/>
          <w:bCs/>
          <w:szCs w:val="21"/>
        </w:rPr>
        <w:t>1. 除湿机高温工况实除湿机高温工况实测的高温除湿量不应小于明示值的95%。</w:t>
      </w:r>
    </w:p>
    <w:p>
      <w:pPr>
        <w:widowControl/>
        <w:ind w:firstLine="420"/>
        <w:jc w:val="left"/>
        <w:rPr>
          <w:rFonts w:cs="Times New Roman"/>
          <w:bCs/>
          <w:szCs w:val="21"/>
        </w:rPr>
      </w:pPr>
      <w:r>
        <w:rPr>
          <w:rFonts w:cs="Times New Roman"/>
          <w:bCs/>
          <w:szCs w:val="21"/>
        </w:rPr>
        <w:t>2. 除湿机高温工况实测的高温除湿消耗功率不应大于明示值的110%。</w:t>
      </w:r>
    </w:p>
    <w:p>
      <w:pPr>
        <w:ind w:firstLine="0" w:firstLineChars="0"/>
        <w:rPr>
          <w:rFonts w:cs="Times New Roman"/>
          <w:szCs w:val="21"/>
        </w:rPr>
      </w:pPr>
      <w:r>
        <w:rPr>
          <w:rFonts w:cs="Times New Roman"/>
          <w:szCs w:val="21"/>
        </w:rPr>
        <w:t>【条文说明】</w:t>
      </w:r>
    </w:p>
    <w:p>
      <w:pPr>
        <w:pStyle w:val="2"/>
        <w:ind w:firstLine="420"/>
        <w:rPr>
          <w:rFonts w:eastAsia="宋体"/>
          <w:bCs/>
          <w:color w:val="auto"/>
        </w:rPr>
      </w:pPr>
      <w:r>
        <w:rPr>
          <w:rFonts w:hint="eastAsia" w:eastAsia="宋体"/>
          <w:bCs/>
          <w:color w:val="auto"/>
        </w:rPr>
        <w:t>6</w:t>
      </w:r>
      <w:r>
        <w:rPr>
          <w:rFonts w:eastAsia="宋体"/>
          <w:bCs/>
          <w:color w:val="auto"/>
        </w:rPr>
        <w:t xml:space="preserve">.2.12 </w:t>
      </w:r>
      <w:r>
        <w:rPr>
          <w:rFonts w:hint="eastAsia" w:eastAsia="宋体"/>
          <w:bCs/>
          <w:color w:val="auto"/>
        </w:rPr>
        <w:t>在表6.2.11-2 规定的高温工况下，按《除湿机》GB/T 19411附录 A 规定的方法进行试验。</w:t>
      </w:r>
    </w:p>
    <w:p>
      <w:pPr>
        <w:pStyle w:val="2"/>
        <w:ind w:firstLine="420"/>
        <w:rPr>
          <w:rFonts w:eastAsia="宋体"/>
          <w:bCs/>
          <w:color w:val="auto"/>
        </w:rPr>
      </w:pPr>
    </w:p>
    <w:p>
      <w:pPr>
        <w:widowControl/>
        <w:ind w:firstLine="0" w:firstLineChars="0"/>
        <w:jc w:val="left"/>
        <w:rPr>
          <w:rFonts w:cs="Times New Roman"/>
          <w:bCs/>
          <w:szCs w:val="21"/>
        </w:rPr>
      </w:pPr>
      <w:r>
        <w:rPr>
          <w:rFonts w:cs="Times New Roman"/>
          <w:bCs/>
          <w:szCs w:val="21"/>
        </w:rPr>
        <w:t>6.2.13 当采用组合式转轮除湿机时应满足下列规定：</w:t>
      </w:r>
    </w:p>
    <w:p>
      <w:pPr>
        <w:widowControl/>
        <w:ind w:firstLine="420"/>
        <w:jc w:val="left"/>
        <w:rPr>
          <w:rFonts w:cs="Times New Roman"/>
          <w:bCs/>
          <w:szCs w:val="21"/>
        </w:rPr>
      </w:pPr>
      <w:r>
        <w:rPr>
          <w:rFonts w:cs="Times New Roman"/>
          <w:bCs/>
          <w:szCs w:val="21"/>
        </w:rPr>
        <w:t>1.在规定的试验工况下，风量实测值应不低于额定值的90%，不高于额定值的110%。</w:t>
      </w:r>
    </w:p>
    <w:p>
      <w:pPr>
        <w:widowControl/>
        <w:ind w:firstLine="420"/>
        <w:rPr>
          <w:rFonts w:cs="Times New Roman"/>
          <w:bCs/>
          <w:szCs w:val="21"/>
        </w:rPr>
      </w:pPr>
      <w:r>
        <w:rPr>
          <w:rFonts w:cs="Times New Roman"/>
          <w:bCs/>
          <w:szCs w:val="21"/>
        </w:rPr>
        <w:t>2.当机组额定风量在1000m³/h~6000m³/h，除湿机机外噪声声压级不超过70dB(A)。当机组额定风量在6000m³/h~10000m³/h，除湿机机外噪声声压级不超过75dB(A)。当机组额定风量在10000m³/h~20000m³/h，除湿机机外噪声声压级不超过85dB(A)。</w:t>
      </w:r>
    </w:p>
    <w:p>
      <w:pPr>
        <w:pStyle w:val="2"/>
        <w:ind w:firstLine="420"/>
        <w:rPr>
          <w:rFonts w:eastAsia="宋体"/>
          <w:bCs/>
          <w:color w:val="auto"/>
          <w:szCs w:val="21"/>
        </w:rPr>
      </w:pPr>
      <w:r>
        <w:rPr>
          <w:rFonts w:eastAsia="宋体"/>
          <w:bCs/>
          <w:color w:val="auto"/>
          <w:szCs w:val="21"/>
        </w:rPr>
        <w:t>3. 在正确使用条件下，平均寿命应不少于8年，转轮使用寿命不少于3年。</w:t>
      </w:r>
    </w:p>
    <w:p>
      <w:pPr>
        <w:ind w:firstLine="0" w:firstLineChars="0"/>
        <w:rPr>
          <w:rFonts w:cs="Times New Roman"/>
          <w:szCs w:val="21"/>
        </w:rPr>
      </w:pPr>
      <w:r>
        <w:rPr>
          <w:rFonts w:cs="Times New Roman"/>
          <w:szCs w:val="21"/>
        </w:rPr>
        <w:t>【条文说明】</w:t>
      </w:r>
    </w:p>
    <w:p>
      <w:pPr>
        <w:pStyle w:val="291"/>
        <w:spacing w:before="0"/>
        <w:ind w:firstLine="420" w:firstLineChars="200"/>
        <w:outlineLvl w:val="9"/>
        <w:rPr>
          <w:b w:val="0"/>
        </w:rPr>
      </w:pPr>
      <w:r>
        <w:rPr>
          <w:rFonts w:hint="eastAsia"/>
          <w:b w:val="0"/>
        </w:rPr>
        <w:t>6</w:t>
      </w:r>
      <w:r>
        <w:rPr>
          <w:b w:val="0"/>
        </w:rPr>
        <w:t xml:space="preserve">.2.13 </w:t>
      </w:r>
      <w:r>
        <w:rPr>
          <w:rFonts w:hint="eastAsia"/>
          <w:b w:val="0"/>
        </w:rPr>
        <w:t>当采用组合式转轮除湿机时，按《组合式转轮除湿机》QB/T 4109规定的方法进行试验。</w:t>
      </w:r>
    </w:p>
    <w:p>
      <w:pPr>
        <w:widowControl/>
        <w:spacing w:line="240" w:lineRule="auto"/>
        <w:ind w:firstLine="0" w:firstLineChars="0"/>
        <w:jc w:val="left"/>
        <w:rPr>
          <w:rFonts w:cs="Times New Roman"/>
          <w:bCs/>
          <w:szCs w:val="24"/>
        </w:rPr>
      </w:pPr>
      <w:r>
        <w:br w:type="page"/>
      </w:r>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51" w:name="_Toc198125362"/>
      <w:r>
        <w:rPr>
          <w:rFonts w:eastAsia="黑体" w:cs="Times New Roman"/>
          <w:kern w:val="44"/>
          <w:sz w:val="32"/>
          <w:szCs w:val="36"/>
        </w:rPr>
        <w:t xml:space="preserve">6.3 </w:t>
      </w:r>
      <w:r>
        <w:rPr>
          <w:rFonts w:hint="eastAsia" w:eastAsia="黑体" w:cs="Times New Roman"/>
          <w:kern w:val="44"/>
          <w:sz w:val="32"/>
          <w:szCs w:val="36"/>
        </w:rPr>
        <w:t>可再生能源利用</w:t>
      </w:r>
      <w:bookmarkEnd w:id="51"/>
    </w:p>
    <w:p>
      <w:pPr>
        <w:spacing w:before="156" w:beforeLines="50" w:after="156" w:afterLines="50"/>
        <w:ind w:firstLine="480"/>
        <w:jc w:val="center"/>
        <w:rPr>
          <w:rFonts w:ascii="仿宋" w:hAnsi="仿宋" w:eastAsia="仿宋" w:cs="仿宋"/>
          <w:sz w:val="24"/>
          <w:szCs w:val="24"/>
        </w:rPr>
      </w:pPr>
      <w:r>
        <w:rPr>
          <w:rFonts w:hint="eastAsia" w:ascii="仿宋" w:hAnsi="仿宋" w:eastAsia="仿宋" w:cs="仿宋"/>
          <w:sz w:val="24"/>
          <w:szCs w:val="24"/>
        </w:rPr>
        <w:t>Ⅰ 太阳能系统</w:t>
      </w:r>
    </w:p>
    <w:p>
      <w:pPr>
        <w:widowControl/>
        <w:ind w:firstLine="0" w:firstLineChars="0"/>
        <w:jc w:val="left"/>
        <w:outlineLvl w:val="2"/>
        <w:rPr>
          <w:rFonts w:cs="Times New Roman"/>
          <w:bCs/>
          <w:szCs w:val="24"/>
          <w:lang w:val="zh-CN" w:bidi="ar"/>
        </w:rPr>
      </w:pPr>
      <w:r>
        <w:rPr>
          <w:rFonts w:cs="Times New Roman"/>
          <w:bCs/>
          <w:szCs w:val="24"/>
          <w:lang w:val="zh-CN" w:bidi="ar"/>
        </w:rPr>
        <w:t xml:space="preserve">6.3.1 </w:t>
      </w:r>
      <w:r>
        <w:rPr>
          <w:rFonts w:hint="eastAsia" w:cs="Times New Roman"/>
          <w:bCs/>
          <w:szCs w:val="24"/>
          <w:lang w:val="zh-CN" w:bidi="ar"/>
        </w:rPr>
        <w:t>建筑集成光伏发电系统宜充分利用建筑及周边区域自身条件设置多种形式光伏组件，最大程度利用太阳能资源。屋顶光伏系统安装倾角不宜超过</w:t>
      </w:r>
      <w:r>
        <w:rPr>
          <w:rFonts w:cs="Times New Roman"/>
          <w:bCs/>
          <w:szCs w:val="24"/>
          <w:lang w:val="zh-CN" w:bidi="ar"/>
        </w:rPr>
        <w:t>30</w:t>
      </w:r>
      <w:r>
        <w:rPr>
          <w:rFonts w:hint="eastAsia" w:cs="Times New Roman"/>
          <w:bCs/>
          <w:szCs w:val="24"/>
          <w:lang w:val="zh-CN" w:bidi="ar"/>
        </w:rPr>
        <w:t>°。建筑立面安装光伏系统宜优先布置于东、西朝向且兼顾构造安全、用电安全及美观性。</w:t>
      </w:r>
    </w:p>
    <w:p>
      <w:pPr>
        <w:ind w:firstLine="0" w:firstLineChars="0"/>
      </w:pPr>
      <w:r>
        <w:rPr>
          <w:rFonts w:hint="eastAsia"/>
        </w:rPr>
        <w:t>【条文说明】</w:t>
      </w:r>
    </w:p>
    <w:p>
      <w:pPr>
        <w:ind w:firstLine="420"/>
      </w:pPr>
      <w:r>
        <w:rPr>
          <w:rFonts w:cs="Times New Roman"/>
          <w:bCs/>
          <w:szCs w:val="24"/>
          <w:lang w:val="zh-CN" w:bidi="ar"/>
        </w:rPr>
        <w:t>6.3.1</w:t>
      </w:r>
      <w:r>
        <w:rPr>
          <w:rFonts w:hint="eastAsia"/>
        </w:rPr>
        <w:t>在设计阶段，需要根据建筑位置、建筑特征等因素，充分挖掘建筑本体以及周边区域的可再生能源应用潜力。除建筑光伏一体化等常规技术措施以外，亦可以考虑结合场地规划，设置风光互补路灯、光伏车棚等设施。</w:t>
      </w:r>
    </w:p>
    <w:p>
      <w:pPr>
        <w:ind w:firstLine="420"/>
      </w:pPr>
      <w:r>
        <w:rPr>
          <w:rFonts w:hint="eastAsia"/>
        </w:rPr>
        <w:t>光伏系统安装倾角宜与当地纬度保持一致，布置倾角在最佳倾角</w:t>
      </w:r>
      <w:r>
        <w:t>10</w:t>
      </w:r>
      <w:r>
        <w:rPr>
          <w:rFonts w:hint="eastAsia"/>
        </w:rPr>
        <w:t>°以内发电量衰减较小，综合考虑海南省太阳能资源与地理位置，确定光伏系统安装倾角不宜超过</w:t>
      </w:r>
      <w:r>
        <w:t>30</w:t>
      </w:r>
      <w:r>
        <w:rPr>
          <w:rFonts w:hint="eastAsia"/>
        </w:rPr>
        <w:t>°。</w:t>
      </w:r>
    </w:p>
    <w:p>
      <w:pPr>
        <w:ind w:firstLine="420"/>
      </w:pPr>
      <w:r>
        <w:rPr>
          <w:rFonts w:hint="eastAsia"/>
        </w:rPr>
        <w:t>由于海南省处于我国最南端，终年太阳高度角较高，南向立面太阳辐射量相对较小，在早晚期间，建筑东西向立面太阳辐射量较多，从全年太阳辐射情况而言，东、西向立面太阳辐射量优于南立面太阳辐射量，所以在建筑立面上光伏系统应优先布置于东、西向立面，以便获得更高的太阳辐射量。</w:t>
      </w:r>
    </w:p>
    <w:p>
      <w:pPr>
        <w:widowControl/>
        <w:ind w:firstLine="0" w:firstLineChars="0"/>
        <w:jc w:val="left"/>
        <w:outlineLvl w:val="2"/>
        <w:rPr>
          <w:rFonts w:cs="Times New Roman"/>
          <w:bCs/>
          <w:szCs w:val="24"/>
          <w:lang w:val="zh-CN" w:bidi="ar"/>
        </w:rPr>
      </w:pPr>
      <w:r>
        <w:rPr>
          <w:rFonts w:cs="Times New Roman"/>
          <w:bCs/>
          <w:szCs w:val="24"/>
          <w:lang w:val="zh-CN" w:bidi="ar"/>
        </w:rPr>
        <w:t>6.3.2</w:t>
      </w:r>
      <w:r>
        <w:rPr>
          <w:rFonts w:hint="eastAsia" w:cs="Times New Roman"/>
          <w:bCs/>
          <w:szCs w:val="24"/>
          <w:lang w:bidi="ar"/>
        </w:rPr>
        <w:t xml:space="preserve"> </w:t>
      </w:r>
      <w:r>
        <w:rPr>
          <w:rFonts w:hint="eastAsia" w:cs="Times New Roman"/>
          <w:bCs/>
          <w:szCs w:val="24"/>
          <w:lang w:val="zh-CN" w:bidi="ar"/>
        </w:rPr>
        <w:t>太阳能光电系统光电转换效率应符合设计文件的规定，当设计文件无明确规定时应符合表6.3.2的规定。太阳能光伏系统采用彩色光伏组件时，系统光电转换效率应不低于低设计值的85%。</w:t>
      </w:r>
    </w:p>
    <w:p>
      <w:pPr>
        <w:ind w:firstLine="0" w:firstLineChars="0"/>
        <w:jc w:val="center"/>
      </w:pPr>
      <w:r>
        <w:rPr>
          <w:rFonts w:hint="eastAsia"/>
        </w:rPr>
        <w:t>表6.3.2不同类型太阳能光电系统光电转换效率</w:t>
      </w:r>
      <w:r>
        <w:rPr>
          <w:rFonts w:hint="eastAsia"/>
          <w:i/>
          <w:iCs/>
        </w:rPr>
        <w:t>ƞ</w:t>
      </w:r>
      <w:r>
        <w:rPr>
          <w:rFonts w:hint="eastAsia"/>
          <w:i/>
          <w:iCs/>
          <w:vertAlign w:val="subscript"/>
        </w:rPr>
        <w:t>d</w:t>
      </w:r>
      <w:r>
        <w:rPr>
          <w:rFonts w:hint="eastAsia"/>
        </w:rPr>
        <w:t>（%）</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ind w:firstLine="0" w:firstLineChars="0"/>
              <w:jc w:val="center"/>
              <w:rPr>
                <w:rFonts w:cs="Times New Roman"/>
                <w:bCs/>
                <w:szCs w:val="24"/>
                <w:lang w:val="zh-CN" w:bidi="ar"/>
              </w:rPr>
            </w:pPr>
            <w:r>
              <w:rPr>
                <w:rFonts w:hint="eastAsia"/>
              </w:rPr>
              <w:t>晶体硅系统</w:t>
            </w:r>
          </w:p>
        </w:tc>
        <w:tc>
          <w:tcPr>
            <w:tcW w:w="4261" w:type="dxa"/>
          </w:tcPr>
          <w:p>
            <w:pPr>
              <w:widowControl/>
              <w:ind w:firstLine="0" w:firstLineChars="0"/>
              <w:jc w:val="center"/>
              <w:rPr>
                <w:rFonts w:cs="Times New Roman"/>
                <w:bCs/>
                <w:szCs w:val="24"/>
                <w:lang w:val="zh-CN" w:bidi="ar"/>
              </w:rPr>
            </w:pPr>
            <w:r>
              <w:rPr>
                <w:rFonts w:hint="eastAsia"/>
              </w:rPr>
              <w:t>薄膜系统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ind w:firstLine="0" w:firstLineChars="0"/>
              <w:jc w:val="center"/>
              <w:rPr>
                <w:rFonts w:cs="Times New Roman"/>
                <w:bCs/>
                <w:szCs w:val="24"/>
                <w:lang w:val="zh-CN" w:bidi="ar"/>
              </w:rPr>
            </w:pPr>
            <w:r>
              <w:rPr>
                <w:rFonts w:hint="eastAsia"/>
                <w:i/>
                <w:iCs/>
              </w:rPr>
              <w:t>ƞ</w:t>
            </w:r>
            <w:r>
              <w:rPr>
                <w:rFonts w:hint="eastAsia"/>
                <w:i/>
                <w:iCs/>
                <w:vertAlign w:val="subscript"/>
              </w:rPr>
              <w:t>d</w:t>
            </w:r>
            <w:r>
              <w:rPr>
                <w:rFonts w:hint="eastAsia"/>
              </w:rPr>
              <w:t>≥14</w:t>
            </w:r>
          </w:p>
        </w:tc>
        <w:tc>
          <w:tcPr>
            <w:tcW w:w="4261" w:type="dxa"/>
          </w:tcPr>
          <w:p>
            <w:pPr>
              <w:widowControl/>
              <w:ind w:firstLine="0" w:firstLineChars="0"/>
              <w:jc w:val="center"/>
              <w:rPr>
                <w:rFonts w:cs="Times New Roman"/>
                <w:bCs/>
                <w:szCs w:val="24"/>
                <w:lang w:val="zh-CN" w:bidi="ar"/>
              </w:rPr>
            </w:pPr>
            <w:r>
              <w:rPr>
                <w:rFonts w:hint="eastAsia"/>
                <w:i/>
                <w:iCs/>
              </w:rPr>
              <w:t>ƞ</w:t>
            </w:r>
            <w:r>
              <w:rPr>
                <w:rFonts w:hint="eastAsia"/>
                <w:i/>
                <w:iCs/>
                <w:vertAlign w:val="subscript"/>
              </w:rPr>
              <w:t>d</w:t>
            </w:r>
            <w:r>
              <w:rPr>
                <w:rFonts w:hint="eastAsia"/>
              </w:rPr>
              <w:t>≥11</w:t>
            </w:r>
          </w:p>
        </w:tc>
      </w:tr>
    </w:tbl>
    <w:p>
      <w:pPr>
        <w:ind w:firstLine="0" w:firstLineChars="0"/>
        <w:jc w:val="left"/>
        <w:rPr>
          <w:rFonts w:cs="Times New Roman"/>
          <w:lang w:bidi="ar"/>
        </w:rPr>
      </w:pPr>
    </w:p>
    <w:p>
      <w:pPr>
        <w:ind w:firstLine="0" w:firstLineChars="0"/>
      </w:pPr>
      <w:r>
        <w:rPr>
          <w:rFonts w:hint="eastAsia"/>
        </w:rPr>
        <w:t>【条文说明】</w:t>
      </w:r>
    </w:p>
    <w:p>
      <w:pPr>
        <w:ind w:firstLine="420"/>
      </w:pPr>
      <w:r>
        <w:rPr>
          <w:rFonts w:cs="Times New Roman"/>
          <w:bCs/>
          <w:szCs w:val="24"/>
          <w:lang w:val="zh-CN" w:bidi="ar"/>
        </w:rPr>
        <w:t>6.3.2</w:t>
      </w:r>
      <w:r>
        <w:rPr>
          <w:rFonts w:hint="eastAsia"/>
        </w:rPr>
        <w:t>本条文依据现行国家标准《可再生能源建筑应用工程评价标准》GB/T 50801对太阳能光电系统的光电转换效率作出相应规定。</w:t>
      </w:r>
    </w:p>
    <w:p>
      <w:pPr>
        <w:widowControl/>
        <w:ind w:firstLine="0" w:firstLineChars="0"/>
        <w:jc w:val="left"/>
        <w:outlineLvl w:val="2"/>
        <w:rPr>
          <w:rFonts w:cs="Times New Roman"/>
          <w:bCs/>
          <w:szCs w:val="24"/>
          <w:lang w:val="zh-CN" w:bidi="ar"/>
        </w:rPr>
      </w:pPr>
      <w:r>
        <w:rPr>
          <w:rFonts w:hint="eastAsia" w:cs="Times New Roman"/>
          <w:bCs/>
          <w:szCs w:val="24"/>
          <w:lang w:bidi="ar"/>
        </w:rPr>
        <w:t>6</w:t>
      </w:r>
      <w:r>
        <w:rPr>
          <w:rFonts w:cs="Times New Roman"/>
          <w:bCs/>
          <w:szCs w:val="24"/>
          <w:lang w:val="zh-CN" w:bidi="ar"/>
        </w:rPr>
        <w:t>.</w:t>
      </w:r>
      <w:r>
        <w:rPr>
          <w:rFonts w:hint="eastAsia" w:cs="Times New Roman"/>
          <w:bCs/>
          <w:szCs w:val="24"/>
          <w:lang w:bidi="ar"/>
        </w:rPr>
        <w:t>3</w:t>
      </w:r>
      <w:r>
        <w:rPr>
          <w:rFonts w:cs="Times New Roman"/>
          <w:bCs/>
          <w:szCs w:val="24"/>
          <w:lang w:val="zh-CN" w:bidi="ar"/>
        </w:rPr>
        <w:t>.3 太阳能光伏发电系统应设置光伏监控系统，并与建筑能源管理系统对接，实现根据电力需求响应对太阳能光伏系统、储能系统和市政电力的出力进行优化配置的功能。</w:t>
      </w:r>
    </w:p>
    <w:p>
      <w:pPr>
        <w:ind w:firstLine="420"/>
        <w:rPr>
          <w:rFonts w:eastAsia="仿宋"/>
        </w:rPr>
      </w:pPr>
    </w:p>
    <w:p>
      <w:pPr>
        <w:widowControl/>
        <w:ind w:firstLine="0" w:firstLineChars="0"/>
        <w:jc w:val="left"/>
        <w:outlineLvl w:val="2"/>
        <w:rPr>
          <w:rFonts w:cs="Times New Roman"/>
          <w:bCs/>
          <w:szCs w:val="24"/>
          <w:lang w:val="zh-CN" w:bidi="ar"/>
        </w:rPr>
      </w:pPr>
      <w:r>
        <w:rPr>
          <w:rFonts w:cs="Times New Roman"/>
          <w:bCs/>
          <w:szCs w:val="24"/>
          <w:lang w:val="zh-CN" w:bidi="ar"/>
        </w:rPr>
        <w:t>6.3.</w:t>
      </w:r>
      <w:r>
        <w:rPr>
          <w:rFonts w:hint="eastAsia" w:cs="Times New Roman"/>
          <w:bCs/>
          <w:szCs w:val="24"/>
          <w:lang w:bidi="ar"/>
        </w:rPr>
        <w:t>4</w:t>
      </w:r>
      <w:r>
        <w:rPr>
          <w:rFonts w:cs="Times New Roman"/>
          <w:bCs/>
          <w:szCs w:val="24"/>
          <w:lang w:val="zh-CN" w:bidi="ar"/>
        </w:rPr>
        <w:t xml:space="preserve"> </w:t>
      </w:r>
      <w:r>
        <w:rPr>
          <w:rFonts w:hint="eastAsia" w:cs="Times New Roman"/>
          <w:bCs/>
          <w:szCs w:val="24"/>
          <w:lang w:val="zh-CN" w:bidi="ar"/>
        </w:rPr>
        <w:t>太阳能生活热水系统设计应与建筑设计同步完成，太阳能集热器的设置应避免受自身或建筑本体的遮挡，满足不少于</w:t>
      </w:r>
      <w:r>
        <w:rPr>
          <w:rFonts w:cs="Times New Roman"/>
          <w:bCs/>
          <w:szCs w:val="24"/>
          <w:lang w:val="zh-CN" w:bidi="ar"/>
        </w:rPr>
        <w:t>4h</w:t>
      </w:r>
      <w:r>
        <w:rPr>
          <w:rFonts w:hint="eastAsia" w:cs="Times New Roman"/>
          <w:bCs/>
          <w:szCs w:val="24"/>
          <w:lang w:val="zh-CN" w:bidi="ar"/>
        </w:rPr>
        <w:t>日照时数的要求使用。</w:t>
      </w:r>
    </w:p>
    <w:p>
      <w:pPr>
        <w:ind w:firstLine="0" w:firstLineChars="0"/>
      </w:pPr>
      <w:r>
        <w:rPr>
          <w:rFonts w:hint="eastAsia"/>
        </w:rPr>
        <w:t>【条文说明】</w:t>
      </w:r>
    </w:p>
    <w:p>
      <w:pPr>
        <w:ind w:firstLine="420"/>
      </w:pPr>
      <w:r>
        <w:rPr>
          <w:rFonts w:cs="Times New Roman"/>
          <w:bCs/>
          <w:szCs w:val="24"/>
          <w:lang w:val="zh-CN" w:bidi="ar"/>
        </w:rPr>
        <w:t>6.3.</w:t>
      </w:r>
      <w:r>
        <w:rPr>
          <w:rFonts w:hint="eastAsia" w:cs="Times New Roman"/>
          <w:bCs/>
          <w:szCs w:val="24"/>
          <w:lang w:bidi="ar"/>
        </w:rPr>
        <w:t>4</w:t>
      </w:r>
      <w:r>
        <w:rPr>
          <w:rFonts w:hint="eastAsia"/>
        </w:rPr>
        <w:t>应避免安装太阳能集热器时被建筑自身及周围设施的遮挡。在不影响建筑效果的前提下，提供尽量多的布置太阳集热器的场所。</w:t>
      </w:r>
    </w:p>
    <w:p>
      <w:pPr>
        <w:ind w:firstLine="420"/>
      </w:pPr>
      <w:r>
        <w:rPr>
          <w:rFonts w:hint="eastAsia"/>
        </w:rPr>
        <w:t>太阳能集热器安装在建筑屋面、阳台、墙面或其他部位，不应有任何障碍物遮挡阳光。太阳能集热器总面积根据热水用量、建筑上可能允许的安装面积、当地的气候条件、供水水温等因素确定。无论安装在何位置，要满足全天有不少于</w:t>
      </w:r>
      <w:r>
        <w:t>4h</w:t>
      </w:r>
      <w:r>
        <w:rPr>
          <w:rFonts w:hint="eastAsia"/>
        </w:rPr>
        <w:t>日照时数的要求。</w:t>
      </w:r>
    </w:p>
    <w:p>
      <w:pPr>
        <w:ind w:firstLine="420"/>
      </w:pPr>
      <w:r>
        <w:rPr>
          <w:rFonts w:hint="eastAsia"/>
        </w:rPr>
        <w:t>为争取更多的采光面积，建筑设计时平面往往凹凸不规则，容易造成建筑自身对阳光的遮挡，这点特别注意。除此以外，对于体形为</w:t>
      </w:r>
      <w:r>
        <w:t>L</w:t>
      </w:r>
      <w:r>
        <w:rPr>
          <w:rFonts w:hint="eastAsia"/>
        </w:rPr>
        <w:t>型的平面，也要注意自身的遮挡。</w:t>
      </w:r>
    </w:p>
    <w:p>
      <w:pPr>
        <w:widowControl/>
        <w:ind w:firstLine="0" w:firstLineChars="0"/>
        <w:jc w:val="left"/>
        <w:outlineLvl w:val="2"/>
        <w:rPr>
          <w:rFonts w:cs="Times New Roman"/>
          <w:bCs/>
          <w:szCs w:val="24"/>
          <w:lang w:val="zh-CN" w:bidi="ar"/>
        </w:rPr>
      </w:pPr>
      <w:r>
        <w:rPr>
          <w:rFonts w:cs="Times New Roman"/>
          <w:bCs/>
          <w:szCs w:val="24"/>
          <w:lang w:val="zh-CN" w:bidi="ar"/>
        </w:rPr>
        <w:t>6.3.</w:t>
      </w:r>
      <w:r>
        <w:rPr>
          <w:rFonts w:hint="eastAsia" w:cs="Times New Roman"/>
          <w:bCs/>
          <w:szCs w:val="24"/>
          <w:lang w:bidi="ar"/>
        </w:rPr>
        <w:t>5</w:t>
      </w:r>
      <w:r>
        <w:rPr>
          <w:rFonts w:cs="Times New Roman"/>
          <w:bCs/>
          <w:szCs w:val="24"/>
          <w:lang w:val="zh-CN" w:bidi="ar"/>
        </w:rPr>
        <w:t xml:space="preserve"> </w:t>
      </w:r>
      <w:r>
        <w:rPr>
          <w:rFonts w:hint="eastAsia" w:cs="Times New Roman"/>
          <w:bCs/>
          <w:szCs w:val="24"/>
          <w:lang w:val="zh-CN" w:bidi="ar"/>
        </w:rPr>
        <w:t>太阳能集热系统效率和太阳能热水系统的太阳能保证率应符合下列规定：</w:t>
      </w:r>
    </w:p>
    <w:p>
      <w:pPr>
        <w:ind w:firstLine="420"/>
      </w:pPr>
      <w:r>
        <w:rPr>
          <w:bCs/>
        </w:rPr>
        <w:t>1</w:t>
      </w:r>
      <w:r>
        <w:rPr>
          <w:rFonts w:hint="eastAsia"/>
        </w:rPr>
        <w:t xml:space="preserve"> 太阳能集热系统效率不应低于</w:t>
      </w:r>
      <w:r>
        <w:rPr>
          <w:bCs/>
        </w:rPr>
        <w:t>42</w:t>
      </w:r>
      <w:r>
        <w:rPr>
          <w:rFonts w:hint="eastAsia"/>
        </w:rPr>
        <w:t>%；</w:t>
      </w:r>
    </w:p>
    <w:p>
      <w:pPr>
        <w:ind w:firstLine="420"/>
      </w:pPr>
      <w:r>
        <w:rPr>
          <w:bCs/>
        </w:rPr>
        <w:t>2</w:t>
      </w:r>
      <w:r>
        <w:rPr>
          <w:rFonts w:hint="eastAsia"/>
        </w:rPr>
        <w:t xml:space="preserve"> 太阳能热水系统太阳能保证率不应低于</w:t>
      </w:r>
      <w:r>
        <w:rPr>
          <w:bCs/>
        </w:rPr>
        <w:t>50</w:t>
      </w:r>
      <w:r>
        <w:rPr>
          <w:rFonts w:hint="eastAsia"/>
        </w:rPr>
        <w:t>%。</w:t>
      </w:r>
    </w:p>
    <w:p>
      <w:pPr>
        <w:ind w:firstLine="0" w:firstLineChars="0"/>
      </w:pPr>
      <w:r>
        <w:rPr>
          <w:rFonts w:hint="eastAsia"/>
        </w:rPr>
        <w:t>【条文说明】</w:t>
      </w:r>
    </w:p>
    <w:p>
      <w:pPr>
        <w:ind w:firstLine="420"/>
      </w:pPr>
      <w:r>
        <w:rPr>
          <w:rFonts w:cs="Times New Roman"/>
          <w:bCs/>
          <w:szCs w:val="24"/>
          <w:lang w:val="zh-CN" w:bidi="ar"/>
        </w:rPr>
        <w:t>6.3.</w:t>
      </w:r>
      <w:r>
        <w:rPr>
          <w:rFonts w:hint="eastAsia" w:cs="Times New Roman"/>
          <w:bCs/>
          <w:szCs w:val="24"/>
          <w:lang w:bidi="ar"/>
        </w:rPr>
        <w:t>5</w:t>
      </w:r>
      <w:r>
        <w:rPr>
          <w:rFonts w:hint="eastAsia"/>
        </w:rPr>
        <w:t>太阳能集热系统效率、太阳能热水系统的太阳能保证率和供热水温度是保证太阳能热水工程质量和性能的关键参数，必须达到设计时的规定要求，或国家标准《民用建筑太阳能热水系统应用技术标准》</w:t>
      </w:r>
      <w:r>
        <w:t>GB</w:t>
      </w:r>
      <w:r>
        <w:rPr>
          <w:rFonts w:hint="eastAsia"/>
        </w:rPr>
        <w:t xml:space="preserve"> </w:t>
      </w:r>
      <w:r>
        <w:rPr>
          <w:bCs/>
        </w:rPr>
        <w:t>50364</w:t>
      </w:r>
      <w:r>
        <w:rPr>
          <w:rFonts w:hint="eastAsia"/>
        </w:rPr>
        <w:t>-</w:t>
      </w:r>
      <w:r>
        <w:rPr>
          <w:bCs/>
        </w:rPr>
        <w:t>2018</w:t>
      </w:r>
      <w:r>
        <w:rPr>
          <w:rFonts w:hint="eastAsia"/>
        </w:rPr>
        <w:t>和《可再生能源建筑应用工程评价标准》</w:t>
      </w:r>
      <w:r>
        <w:t xml:space="preserve">GB/T </w:t>
      </w:r>
      <w:r>
        <w:rPr>
          <w:bCs/>
        </w:rPr>
        <w:t>50801</w:t>
      </w:r>
      <w:r>
        <w:t>-</w:t>
      </w:r>
      <w:r>
        <w:rPr>
          <w:bCs/>
        </w:rPr>
        <w:t>2013</w:t>
      </w:r>
      <w:r>
        <w:rPr>
          <w:rFonts w:hint="eastAsia"/>
        </w:rPr>
        <w:t xml:space="preserve"> 规定的指标，才能真正实现太阳能热水工程的节能效益。</w:t>
      </w:r>
    </w:p>
    <w:p>
      <w:pPr>
        <w:spacing w:before="156" w:beforeLines="50" w:after="156" w:afterLines="50"/>
        <w:ind w:firstLine="480"/>
        <w:jc w:val="center"/>
        <w:rPr>
          <w:rFonts w:ascii="仿宋" w:hAnsi="仿宋" w:eastAsia="仿宋" w:cs="仿宋"/>
          <w:sz w:val="24"/>
          <w:szCs w:val="24"/>
        </w:rPr>
      </w:pPr>
      <w:r>
        <w:rPr>
          <w:rFonts w:hint="eastAsia" w:ascii="仿宋" w:hAnsi="仿宋" w:eastAsia="仿宋" w:cs="仿宋"/>
          <w:sz w:val="24"/>
          <w:szCs w:val="24"/>
        </w:rPr>
        <w:t>Ⅱ 地源热泵系统</w:t>
      </w:r>
    </w:p>
    <w:p>
      <w:pPr>
        <w:widowControl/>
        <w:ind w:firstLine="0" w:firstLineChars="0"/>
        <w:jc w:val="left"/>
        <w:outlineLvl w:val="2"/>
        <w:rPr>
          <w:rFonts w:cs="Times New Roman"/>
          <w:bCs/>
          <w:szCs w:val="24"/>
          <w:lang w:val="zh-CN" w:bidi="ar"/>
        </w:rPr>
      </w:pPr>
      <w:r>
        <w:rPr>
          <w:rFonts w:cs="Times New Roman"/>
          <w:bCs/>
          <w:szCs w:val="24"/>
          <w:lang w:val="zh-CN" w:bidi="ar"/>
        </w:rPr>
        <w:t>6.3.</w:t>
      </w:r>
      <w:r>
        <w:rPr>
          <w:rFonts w:hint="eastAsia" w:cs="Times New Roman"/>
          <w:bCs/>
          <w:szCs w:val="24"/>
          <w:lang w:bidi="ar"/>
        </w:rPr>
        <w:t>6</w:t>
      </w:r>
      <w:r>
        <w:rPr>
          <w:rFonts w:cs="Times New Roman"/>
          <w:bCs/>
          <w:szCs w:val="24"/>
          <w:lang w:val="zh-CN" w:bidi="ar"/>
        </w:rPr>
        <w:t xml:space="preserve"> </w:t>
      </w:r>
      <w:r>
        <w:rPr>
          <w:rFonts w:hint="eastAsia" w:cs="Times New Roman"/>
          <w:bCs/>
          <w:szCs w:val="24"/>
          <w:lang w:val="zh-CN" w:bidi="ar"/>
        </w:rPr>
        <w:t>地源热泵系统设计应进行全年动态冷热负荷、系统释热量与吸热量计算分析，合理确定地热能交换系统，并宜采用与其他冷热源联合运行的方式。</w:t>
      </w:r>
    </w:p>
    <w:p>
      <w:pPr>
        <w:ind w:firstLine="0" w:firstLineChars="0"/>
      </w:pPr>
      <w:r>
        <w:rPr>
          <w:rFonts w:hint="eastAsia"/>
        </w:rPr>
        <w:t>【条文说明】</w:t>
      </w:r>
    </w:p>
    <w:p>
      <w:pPr>
        <w:ind w:firstLine="420"/>
      </w:pPr>
      <w:r>
        <w:rPr>
          <w:rFonts w:cs="Times New Roman"/>
          <w:bCs/>
          <w:szCs w:val="24"/>
          <w:lang w:val="zh-CN" w:bidi="ar"/>
        </w:rPr>
        <w:t>6.3.</w:t>
      </w:r>
      <w:r>
        <w:rPr>
          <w:rFonts w:hint="eastAsia" w:cs="Times New Roman"/>
          <w:bCs/>
          <w:szCs w:val="24"/>
          <w:lang w:bidi="ar"/>
        </w:rPr>
        <w:t>6</w:t>
      </w:r>
      <w:r>
        <w:rPr>
          <w:rFonts w:hint="eastAsia"/>
        </w:rPr>
        <w:t>本条规定了地热能交换系统设计要求及与其他冷热源系统联合运行要求。</w:t>
      </w:r>
    </w:p>
    <w:p>
      <w:pPr>
        <w:ind w:firstLine="420"/>
      </w:pPr>
      <w:r>
        <w:rPr>
          <w:rFonts w:hint="eastAsia"/>
        </w:rPr>
        <w:t>对于地埋管换热系统，全年总释热量与总吸热量不平衡将导致地埋管区域岩土体温度持续升高或降低，从而影响地埋管换热器的换热性能，降低运行效率。因此，地埋管系统设计时应对全年冷热负荷计算，确保地埋管系统的全年总释热量与总吸热量基本平衡，即两者的比值在</w:t>
      </w:r>
      <w:r>
        <w:t>0.8~1.25</w:t>
      </w:r>
      <w:r>
        <w:rPr>
          <w:rFonts w:hint="eastAsia"/>
        </w:rPr>
        <w:t>之间。当两者相差较大时，应通过技术经济比较，采用辅助冷源或热源，或者采用与其他冷热源系统联合运行的方式解决。</w:t>
      </w:r>
    </w:p>
    <w:p>
      <w:pPr>
        <w:ind w:firstLine="420"/>
      </w:pPr>
      <w:r>
        <w:rPr>
          <w:rFonts w:hint="eastAsia"/>
        </w:rPr>
        <w:t>对于地表水或地下水换热系统，应进行全年冷、热负荷分析，确保地表水换热盘管的换热量或地下水的持续出水量满足地热能交换系统的最大吸热量或释热量的需要。</w:t>
      </w:r>
    </w:p>
    <w:p>
      <w:pPr>
        <w:ind w:firstLine="420"/>
      </w:pPr>
      <w:r>
        <w:rPr>
          <w:rFonts w:hint="eastAsia"/>
        </w:rPr>
        <w:t>根据全年冷、热负荷的变化特点，合理配置地源热泵系统与其他常规能源系统容量，通过调整不同冷热源系统的运行策略，</w:t>
      </w:r>
      <w:r>
        <w:t xml:space="preserve"> </w:t>
      </w:r>
      <w:r>
        <w:rPr>
          <w:rFonts w:hint="eastAsia"/>
        </w:rPr>
        <w:t>从而保证整个空调系统的高效运行。</w:t>
      </w:r>
    </w:p>
    <w:p>
      <w:pPr>
        <w:spacing w:before="156" w:beforeLines="50" w:after="156" w:afterLines="50"/>
        <w:ind w:firstLine="480"/>
        <w:jc w:val="center"/>
      </w:pPr>
      <w:r>
        <w:rPr>
          <w:rFonts w:hint="eastAsia" w:ascii="仿宋" w:hAnsi="仿宋" w:eastAsia="仿宋" w:cs="仿宋"/>
          <w:sz w:val="24"/>
          <w:szCs w:val="24"/>
        </w:rPr>
        <w:t>Ⅲ 空气源热泵系统</w:t>
      </w:r>
    </w:p>
    <w:p>
      <w:pPr>
        <w:widowControl/>
        <w:ind w:firstLine="0" w:firstLineChars="0"/>
        <w:jc w:val="left"/>
        <w:outlineLvl w:val="2"/>
        <w:rPr>
          <w:rFonts w:cs="宋体"/>
          <w:bCs/>
          <w:kern w:val="0"/>
          <w:szCs w:val="21"/>
          <w:lang w:bidi="ar"/>
        </w:rPr>
      </w:pPr>
      <w:r>
        <w:rPr>
          <w:rFonts w:cs="Times New Roman"/>
          <w:bCs/>
          <w:szCs w:val="24"/>
          <w:lang w:val="zh-CN" w:bidi="ar"/>
        </w:rPr>
        <w:t>6.3.</w:t>
      </w:r>
      <w:r>
        <w:rPr>
          <w:rFonts w:hint="eastAsia" w:cs="Times New Roman"/>
          <w:bCs/>
          <w:szCs w:val="24"/>
          <w:lang w:bidi="ar"/>
        </w:rPr>
        <w:t xml:space="preserve">7 </w:t>
      </w:r>
      <w:r>
        <w:rPr>
          <w:rFonts w:hint="eastAsia" w:cs="宋体"/>
          <w:bCs/>
          <w:kern w:val="0"/>
          <w:szCs w:val="21"/>
          <w:lang w:bidi="ar"/>
        </w:rPr>
        <w:t xml:space="preserve">对于有恒定热水需求且未强制采用太阳能热水系统的建筑，当受现场条件限制不能满足太阳能热水系统设置时，应采用空气源热泵热水系统。 </w:t>
      </w:r>
    </w:p>
    <w:p>
      <w:pPr>
        <w:widowControl/>
        <w:ind w:firstLine="0" w:firstLineChars="0"/>
        <w:jc w:val="left"/>
        <w:outlineLvl w:val="2"/>
        <w:rPr>
          <w:rFonts w:cstheme="majorBidi"/>
          <w:bCs/>
          <w:szCs w:val="21"/>
          <w:lang w:bidi="ar"/>
        </w:rPr>
      </w:pPr>
      <w:r>
        <w:rPr>
          <w:rFonts w:cs="Times New Roman"/>
          <w:bCs/>
          <w:szCs w:val="24"/>
          <w:lang w:val="zh-CN" w:bidi="ar"/>
        </w:rPr>
        <w:t>6.3.</w:t>
      </w:r>
      <w:r>
        <w:rPr>
          <w:rFonts w:hint="eastAsia" w:cs="Times New Roman"/>
          <w:bCs/>
          <w:szCs w:val="24"/>
          <w:lang w:bidi="ar"/>
        </w:rPr>
        <w:t xml:space="preserve">8 </w:t>
      </w:r>
      <w:r>
        <w:rPr>
          <w:rFonts w:hint="eastAsia" w:cs="宋体"/>
          <w:bCs/>
          <w:kern w:val="0"/>
          <w:szCs w:val="21"/>
          <w:lang w:bidi="ar"/>
        </w:rPr>
        <w:t>空气源热泵热水系统应采取隔声、消声及减振等降低噪声、震动的措施。其噪声控制值应符合现行国家相关标准。</w:t>
      </w:r>
    </w:p>
    <w:p>
      <w:pPr>
        <w:widowControl/>
        <w:ind w:firstLine="0" w:firstLineChars="0"/>
        <w:jc w:val="left"/>
        <w:outlineLvl w:val="2"/>
      </w:pPr>
      <w:r>
        <w:rPr>
          <w:rFonts w:cs="Times New Roman"/>
          <w:bCs/>
          <w:szCs w:val="24"/>
          <w:lang w:val="zh-CN" w:bidi="ar"/>
        </w:rPr>
        <w:t>6.3.</w:t>
      </w:r>
      <w:r>
        <w:rPr>
          <w:rFonts w:hint="eastAsia" w:cs="Times New Roman"/>
          <w:bCs/>
          <w:szCs w:val="24"/>
          <w:lang w:bidi="ar"/>
        </w:rPr>
        <w:t xml:space="preserve">9 </w:t>
      </w:r>
      <w:r>
        <w:rPr>
          <w:rFonts w:hint="eastAsia"/>
        </w:rPr>
        <w:t>采用空气源热泵热水机组制备生活热水时，制热量大于</w:t>
      </w:r>
      <w:r>
        <w:rPr>
          <w:bCs/>
        </w:rPr>
        <w:t>10</w:t>
      </w:r>
      <w:r>
        <w:t>kW</w:t>
      </w:r>
      <w:r>
        <w:rPr>
          <w:rFonts w:hint="eastAsia"/>
        </w:rPr>
        <w:t xml:space="preserve"> 的热泵热水机在名义制热工工况与规定条件下，其性能系数（</w:t>
      </w:r>
      <w:r>
        <w:t>COP</w:t>
      </w:r>
      <w:r>
        <w:rPr>
          <w:rFonts w:hint="eastAsia"/>
        </w:rPr>
        <w:t>）应符合表</w:t>
      </w:r>
      <w:r>
        <w:rPr>
          <w:rFonts w:hint="eastAsia"/>
          <w:bCs/>
        </w:rPr>
        <w:t>6</w:t>
      </w:r>
      <w:r>
        <w:rPr>
          <w:rFonts w:hint="eastAsia"/>
        </w:rPr>
        <w:t>.</w:t>
      </w:r>
      <w:r>
        <w:rPr>
          <w:rFonts w:hint="eastAsia"/>
          <w:bCs/>
        </w:rPr>
        <w:t>3</w:t>
      </w:r>
      <w:r>
        <w:rPr>
          <w:rFonts w:hint="eastAsia"/>
        </w:rPr>
        <w:t>.9的规定。</w:t>
      </w:r>
    </w:p>
    <w:p>
      <w:pPr>
        <w:ind w:firstLine="0" w:firstLineChars="0"/>
        <w:jc w:val="center"/>
        <w:rPr>
          <w:rFonts w:cs="Times New Roman"/>
          <w:szCs w:val="21"/>
        </w:rPr>
      </w:pPr>
      <w:r>
        <w:rPr>
          <w:rFonts w:cs="Times New Roman"/>
          <w:szCs w:val="21"/>
        </w:rPr>
        <w:t>表</w:t>
      </w:r>
      <w:r>
        <w:rPr>
          <w:rFonts w:cs="Times New Roman"/>
          <w:bCs/>
          <w:szCs w:val="21"/>
        </w:rPr>
        <w:t>6.3.</w:t>
      </w:r>
      <w:r>
        <w:rPr>
          <w:rFonts w:hint="eastAsia" w:cs="Times New Roman"/>
          <w:bCs/>
          <w:szCs w:val="21"/>
        </w:rPr>
        <w:t>9</w:t>
      </w:r>
      <w:r>
        <w:rPr>
          <w:rFonts w:cs="Times New Roman"/>
          <w:szCs w:val="21"/>
        </w:rPr>
        <w:t xml:space="preserve">  热泵热水机性能参数(COP)(W/W)</w:t>
      </w:r>
    </w:p>
    <w:tbl>
      <w:tblPr>
        <w:tblStyle w:val="4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4"/>
        <w:gridCol w:w="2120"/>
        <w:gridCol w:w="2122"/>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8" w:type="pct"/>
            <w:vAlign w:val="center"/>
          </w:tcPr>
          <w:p>
            <w:pPr>
              <w:ind w:firstLine="0" w:firstLineChars="0"/>
              <w:jc w:val="center"/>
              <w:rPr>
                <w:rFonts w:ascii="宋体" w:hAnsi="宋体" w:cs="宋体"/>
                <w:szCs w:val="21"/>
              </w:rPr>
            </w:pPr>
            <w:r>
              <w:rPr>
                <w:rFonts w:hint="eastAsia" w:ascii="宋体" w:hAnsi="宋体" w:cs="宋体"/>
                <w:szCs w:val="21"/>
              </w:rPr>
              <w:t>制热量</w:t>
            </w:r>
            <w:r>
              <w:rPr>
                <w:szCs w:val="21"/>
              </w:rPr>
              <w:t>H</w:t>
            </w:r>
            <w:r>
              <w:rPr>
                <w:rFonts w:ascii="宋体" w:hAnsi="宋体" w:cs="宋体"/>
                <w:szCs w:val="21"/>
              </w:rPr>
              <w:t>（</w:t>
            </w:r>
            <w:r>
              <w:rPr>
                <w:szCs w:val="21"/>
              </w:rPr>
              <w:t>kW</w:t>
            </w:r>
            <w:r>
              <w:rPr>
                <w:rFonts w:hint="eastAsia" w:ascii="宋体" w:hAnsi="宋体" w:cs="宋体"/>
                <w:szCs w:val="21"/>
              </w:rPr>
              <w:t>）</w:t>
            </w:r>
          </w:p>
        </w:tc>
        <w:tc>
          <w:tcPr>
            <w:tcW w:w="2489" w:type="pct"/>
            <w:gridSpan w:val="2"/>
            <w:vAlign w:val="center"/>
          </w:tcPr>
          <w:p>
            <w:pPr>
              <w:ind w:firstLine="0" w:firstLineChars="0"/>
              <w:jc w:val="center"/>
              <w:rPr>
                <w:rFonts w:ascii="宋体" w:hAnsi="宋体" w:cs="宋体"/>
                <w:szCs w:val="21"/>
              </w:rPr>
            </w:pPr>
            <w:r>
              <w:rPr>
                <w:rFonts w:hint="eastAsia" w:ascii="宋体" w:hAnsi="宋体" w:cs="宋体"/>
                <w:szCs w:val="21"/>
              </w:rPr>
              <w:t>热水机形式</w:t>
            </w:r>
          </w:p>
        </w:tc>
        <w:tc>
          <w:tcPr>
            <w:tcW w:w="1253" w:type="pct"/>
            <w:vAlign w:val="center"/>
          </w:tcPr>
          <w:p>
            <w:pPr>
              <w:ind w:firstLine="0" w:firstLineChars="0"/>
              <w:jc w:val="center"/>
              <w:rPr>
                <w:rFonts w:ascii="宋体" w:hAnsi="宋体" w:cs="宋体"/>
                <w:szCs w:val="21"/>
              </w:rPr>
            </w:pPr>
            <w:r>
              <w:rPr>
                <w:rFonts w:hint="eastAsia" w:ascii="宋体" w:hAnsi="宋体" w:cs="宋体"/>
                <w:szCs w:val="21"/>
              </w:rPr>
              <w:t>性能参数</w:t>
            </w:r>
            <w:r>
              <w:rPr>
                <w:rFonts w:ascii="宋体" w:hAnsi="宋体" w:cs="宋体"/>
                <w:szCs w:val="21"/>
              </w:rPr>
              <w:t>(</w:t>
            </w:r>
            <w:r>
              <w:rPr>
                <w:szCs w:val="21"/>
              </w:rPr>
              <w:t>COP</w:t>
            </w:r>
            <w:r>
              <w:rPr>
                <w:rFonts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8" w:type="pct"/>
            <w:vMerge w:val="restart"/>
            <w:vAlign w:val="center"/>
          </w:tcPr>
          <w:p>
            <w:pPr>
              <w:ind w:firstLine="0" w:firstLineChars="0"/>
              <w:jc w:val="center"/>
              <w:rPr>
                <w:rFonts w:ascii="宋体" w:hAnsi="宋体" w:cs="宋体"/>
                <w:szCs w:val="21"/>
              </w:rPr>
            </w:pPr>
            <w:r>
              <w:rPr>
                <w:szCs w:val="21"/>
              </w:rPr>
              <w:t>H</w:t>
            </w:r>
            <w:r>
              <w:rPr>
                <w:rFonts w:hint="eastAsia" w:ascii="宋体" w:hAnsi="宋体" w:cs="宋体"/>
                <w:szCs w:val="21"/>
              </w:rPr>
              <w:t>≥</w:t>
            </w:r>
            <w:r>
              <w:rPr>
                <w:bCs/>
                <w:szCs w:val="21"/>
              </w:rPr>
              <w:t>10</w:t>
            </w:r>
          </w:p>
        </w:tc>
        <w:tc>
          <w:tcPr>
            <w:tcW w:w="2489" w:type="pct"/>
            <w:gridSpan w:val="2"/>
            <w:vAlign w:val="center"/>
          </w:tcPr>
          <w:p>
            <w:pPr>
              <w:ind w:firstLine="0" w:firstLineChars="0"/>
              <w:jc w:val="center"/>
              <w:rPr>
                <w:rFonts w:ascii="宋体" w:hAnsi="宋体" w:cs="宋体"/>
                <w:szCs w:val="21"/>
              </w:rPr>
            </w:pPr>
            <w:r>
              <w:rPr>
                <w:rFonts w:hint="eastAsia" w:ascii="宋体" w:hAnsi="宋体" w:cs="宋体"/>
                <w:szCs w:val="21"/>
              </w:rPr>
              <w:t>一次加热式</w:t>
            </w:r>
          </w:p>
        </w:tc>
        <w:tc>
          <w:tcPr>
            <w:tcW w:w="1253" w:type="pct"/>
            <w:vAlign w:val="center"/>
          </w:tcPr>
          <w:p>
            <w:pPr>
              <w:ind w:firstLine="0" w:firstLineChars="0"/>
              <w:jc w:val="center"/>
              <w:rPr>
                <w:szCs w:val="21"/>
              </w:rPr>
            </w:pPr>
            <w:r>
              <w:rPr>
                <w:bCs/>
                <w:szCs w:val="21"/>
              </w:rPr>
              <w:t>4</w:t>
            </w:r>
            <w:r>
              <w:rPr>
                <w:szCs w:val="21"/>
              </w:rPr>
              <w:t>.</w:t>
            </w:r>
            <w:r>
              <w:rPr>
                <w:rFonts w:hint="eastAsia"/>
                <w:bCs/>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8" w:type="pct"/>
            <w:vMerge w:val="continue"/>
            <w:vAlign w:val="center"/>
          </w:tcPr>
          <w:p>
            <w:pPr>
              <w:ind w:left="189" w:firstLineChars="0"/>
              <w:jc w:val="center"/>
              <w:rPr>
                <w:rFonts w:ascii="宋体" w:hAnsi="宋体" w:cs="宋体"/>
                <w:szCs w:val="21"/>
              </w:rPr>
            </w:pPr>
          </w:p>
        </w:tc>
        <w:tc>
          <w:tcPr>
            <w:tcW w:w="1244" w:type="pct"/>
            <w:vMerge w:val="restart"/>
            <w:vAlign w:val="center"/>
          </w:tcPr>
          <w:p>
            <w:pPr>
              <w:ind w:firstLine="0" w:firstLineChars="0"/>
              <w:jc w:val="center"/>
              <w:rPr>
                <w:rFonts w:ascii="宋体" w:hAnsi="宋体" w:cs="宋体"/>
                <w:szCs w:val="21"/>
              </w:rPr>
            </w:pPr>
            <w:r>
              <w:rPr>
                <w:rFonts w:hint="eastAsia" w:ascii="宋体" w:hAnsi="宋体" w:cs="宋体"/>
                <w:szCs w:val="21"/>
              </w:rPr>
              <w:t>循环加热</w:t>
            </w:r>
          </w:p>
        </w:tc>
        <w:tc>
          <w:tcPr>
            <w:tcW w:w="1245" w:type="pct"/>
            <w:vAlign w:val="center"/>
          </w:tcPr>
          <w:p>
            <w:pPr>
              <w:ind w:firstLine="0" w:firstLineChars="0"/>
              <w:jc w:val="center"/>
              <w:rPr>
                <w:rFonts w:ascii="宋体" w:hAnsi="宋体" w:cs="宋体"/>
                <w:szCs w:val="21"/>
              </w:rPr>
            </w:pPr>
            <w:r>
              <w:rPr>
                <w:rFonts w:hint="eastAsia" w:ascii="宋体" w:hAnsi="宋体" w:cs="宋体"/>
                <w:szCs w:val="21"/>
              </w:rPr>
              <w:t>不提供水泵</w:t>
            </w:r>
          </w:p>
        </w:tc>
        <w:tc>
          <w:tcPr>
            <w:tcW w:w="1253" w:type="pct"/>
            <w:vAlign w:val="center"/>
          </w:tcPr>
          <w:p>
            <w:pPr>
              <w:ind w:firstLine="0" w:firstLineChars="0"/>
              <w:jc w:val="center"/>
              <w:rPr>
                <w:szCs w:val="21"/>
              </w:rPr>
            </w:pPr>
            <w:r>
              <w:rPr>
                <w:bCs/>
                <w:szCs w:val="21"/>
              </w:rPr>
              <w:t>4</w:t>
            </w:r>
            <w:r>
              <w:rPr>
                <w:szCs w:val="21"/>
              </w:rPr>
              <w:t>.</w:t>
            </w:r>
            <w:r>
              <w:rPr>
                <w:rFonts w:hint="eastAsia"/>
                <w:bCs/>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8" w:type="pct"/>
            <w:vMerge w:val="continue"/>
            <w:vAlign w:val="center"/>
          </w:tcPr>
          <w:p>
            <w:pPr>
              <w:ind w:left="189" w:firstLineChars="0"/>
              <w:jc w:val="center"/>
              <w:rPr>
                <w:rFonts w:ascii="宋体" w:hAnsi="宋体" w:cs="宋体"/>
                <w:szCs w:val="21"/>
              </w:rPr>
            </w:pPr>
          </w:p>
        </w:tc>
        <w:tc>
          <w:tcPr>
            <w:tcW w:w="1244" w:type="pct"/>
            <w:vMerge w:val="continue"/>
            <w:vAlign w:val="center"/>
          </w:tcPr>
          <w:p>
            <w:pPr>
              <w:ind w:left="189" w:firstLine="0" w:firstLineChars="0"/>
              <w:jc w:val="center"/>
              <w:rPr>
                <w:rFonts w:ascii="宋体" w:hAnsi="宋体" w:cs="宋体"/>
                <w:szCs w:val="21"/>
              </w:rPr>
            </w:pPr>
          </w:p>
        </w:tc>
        <w:tc>
          <w:tcPr>
            <w:tcW w:w="1245" w:type="pct"/>
            <w:vAlign w:val="center"/>
          </w:tcPr>
          <w:p>
            <w:pPr>
              <w:ind w:firstLine="0" w:firstLineChars="0"/>
              <w:jc w:val="center"/>
              <w:rPr>
                <w:rFonts w:ascii="宋体" w:hAnsi="宋体" w:cs="宋体"/>
                <w:szCs w:val="21"/>
              </w:rPr>
            </w:pPr>
            <w:r>
              <w:rPr>
                <w:rFonts w:hint="eastAsia" w:ascii="宋体" w:hAnsi="宋体" w:cs="宋体"/>
                <w:szCs w:val="21"/>
              </w:rPr>
              <w:t>提供水泵</w:t>
            </w:r>
          </w:p>
        </w:tc>
        <w:tc>
          <w:tcPr>
            <w:tcW w:w="1253" w:type="pct"/>
            <w:vAlign w:val="center"/>
          </w:tcPr>
          <w:p>
            <w:pPr>
              <w:ind w:firstLine="0" w:firstLineChars="0"/>
              <w:jc w:val="center"/>
              <w:rPr>
                <w:szCs w:val="21"/>
              </w:rPr>
            </w:pPr>
            <w:r>
              <w:rPr>
                <w:bCs/>
                <w:szCs w:val="21"/>
              </w:rPr>
              <w:t>4</w:t>
            </w:r>
            <w:r>
              <w:rPr>
                <w:szCs w:val="21"/>
              </w:rPr>
              <w:t>.</w:t>
            </w:r>
            <w:r>
              <w:rPr>
                <w:rFonts w:hint="eastAsia"/>
                <w:bCs/>
                <w:szCs w:val="21"/>
              </w:rPr>
              <w:t>30</w:t>
            </w:r>
          </w:p>
        </w:tc>
      </w:tr>
    </w:tbl>
    <w:p>
      <w:pPr>
        <w:spacing w:before="156" w:beforeLines="50" w:after="156" w:afterLines="50"/>
        <w:ind w:firstLine="480" w:firstLineChars="0"/>
        <w:jc w:val="center"/>
        <w:rPr>
          <w:rFonts w:ascii="仿宋" w:hAnsi="仿宋" w:eastAsia="仿宋" w:cs="仿宋"/>
          <w:sz w:val="24"/>
          <w:szCs w:val="24"/>
        </w:rPr>
      </w:pPr>
      <w:r>
        <w:rPr>
          <w:rFonts w:hint="eastAsia" w:ascii="仿宋" w:hAnsi="仿宋" w:eastAsia="仿宋" w:cs="仿宋"/>
          <w:sz w:val="24"/>
          <w:szCs w:val="24"/>
        </w:rPr>
        <w:t>Ⅳ 风能</w:t>
      </w:r>
    </w:p>
    <w:p>
      <w:pPr>
        <w:widowControl/>
        <w:ind w:firstLine="0" w:firstLineChars="0"/>
        <w:jc w:val="left"/>
        <w:outlineLvl w:val="2"/>
        <w:rPr>
          <w:rFonts w:cs="Times New Roman"/>
          <w:bCs/>
          <w:szCs w:val="24"/>
          <w:lang w:val="zh-CN" w:bidi="ar"/>
        </w:rPr>
      </w:pPr>
      <w:r>
        <w:rPr>
          <w:rFonts w:cs="Times New Roman"/>
          <w:bCs/>
          <w:szCs w:val="24"/>
          <w:lang w:val="zh-CN" w:bidi="ar"/>
        </w:rPr>
        <w:t>6.3.</w:t>
      </w:r>
      <w:r>
        <w:rPr>
          <w:rFonts w:hint="eastAsia" w:cs="Times New Roman"/>
          <w:bCs/>
          <w:szCs w:val="24"/>
          <w:lang w:bidi="ar"/>
        </w:rPr>
        <w:t xml:space="preserve">10 </w:t>
      </w:r>
      <w:r>
        <w:rPr>
          <w:rFonts w:hint="eastAsia"/>
        </w:rPr>
        <w:t>在海南省风环境评估适宜区域，可采用建筑一体化风力发电装置及风光互补道路照明系统。宜将风能利用技术纳入区域能源规划与建筑项目能源专项设计，并与建筑主体同步设计。</w:t>
      </w:r>
    </w:p>
    <w:p>
      <w:pPr>
        <w:widowControl/>
        <w:spacing w:line="240" w:lineRule="auto"/>
        <w:ind w:firstLine="0" w:firstLineChars="0"/>
        <w:jc w:val="left"/>
      </w:pPr>
      <w:r>
        <w:rPr>
          <w:rFonts w:hint="eastAsia"/>
        </w:rPr>
        <w:t>【条文说明】</w:t>
      </w:r>
    </w:p>
    <w:p>
      <w:pPr>
        <w:widowControl/>
        <w:numPr>
          <w:ilvl w:val="255"/>
          <w:numId w:val="0"/>
        </w:numPr>
        <w:ind w:firstLine="420"/>
        <w:jc w:val="left"/>
      </w:pPr>
      <w:r>
        <w:rPr>
          <w:rFonts w:cs="Times New Roman"/>
          <w:bCs/>
          <w:szCs w:val="24"/>
          <w:lang w:val="zh-CN" w:bidi="ar"/>
        </w:rPr>
        <w:t>6.3.</w:t>
      </w:r>
      <w:r>
        <w:rPr>
          <w:rFonts w:hint="eastAsia" w:cs="Times New Roman"/>
          <w:bCs/>
          <w:szCs w:val="24"/>
          <w:lang w:bidi="ar"/>
        </w:rPr>
        <w:t>10</w:t>
      </w:r>
      <w:r>
        <w:rPr>
          <w:rFonts w:hint="eastAsia"/>
        </w:rPr>
        <w:t>海南省部分区域（特别是沿海、岛屿地区）具备较为丰富的风能资源。为充分利用本地可再生能源，本条鼓励在上述经科学评估确认风环境适宜的区域，选用与建筑和环境融合度高的风能利用技术。</w:t>
      </w:r>
    </w:p>
    <w:p>
      <w:pPr>
        <w:widowControl/>
        <w:numPr>
          <w:ilvl w:val="255"/>
          <w:numId w:val="0"/>
        </w:numPr>
        <w:ind w:firstLine="420"/>
        <w:jc w:val="left"/>
      </w:pPr>
      <w:r>
        <w:rPr>
          <w:rFonts w:hint="eastAsia"/>
        </w:rPr>
        <w:t>建筑一体化风力发电装置指是将小型风力发电设备集成于建筑屋面、立面或特定结构部位，作为建筑构件或附属设施，实现发电功能并保持建筑美学。其设计需满足结构安全、运行可靠、低噪声等要求。风光互补道路照明系统是指结合太阳能光伏与小型风力发电技术，为道路、广场等公共区域的照明设施提供电力的离网或并网系统。</w:t>
      </w:r>
    </w:p>
    <w:p>
      <w:pPr>
        <w:ind w:firstLine="420"/>
      </w:pPr>
      <w:r>
        <w:rPr>
          <w:rFonts w:hint="eastAsia"/>
        </w:rPr>
        <w:t>风能利用技术需要在区域能源规划和建筑项目的前期能源专项设计中予以统筹考虑，需评估区域风资源潜力、电网条件、建筑能耗需求等因素，合理确定技术路线与装机容量。</w:t>
      </w:r>
    </w:p>
    <w:p>
      <w:pPr>
        <w:widowControl/>
        <w:spacing w:line="240" w:lineRule="auto"/>
        <w:ind w:firstLine="0" w:firstLineChars="0"/>
        <w:jc w:val="left"/>
        <w:rPr>
          <w:rFonts w:eastAsia="黑体" w:cs="Times New Roman"/>
          <w:kern w:val="44"/>
          <w:sz w:val="32"/>
          <w:szCs w:val="36"/>
        </w:rPr>
      </w:pPr>
      <w:r>
        <w:rPr>
          <w:rFonts w:eastAsia="黑体" w:cs="Times New Roman"/>
          <w:kern w:val="44"/>
          <w:sz w:val="32"/>
          <w:szCs w:val="36"/>
        </w:rPr>
        <w:br w:type="page"/>
      </w:r>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52" w:name="_Toc198125363"/>
      <w:r>
        <w:rPr>
          <w:rFonts w:eastAsia="黑体" w:cs="Times New Roman"/>
          <w:kern w:val="44"/>
          <w:sz w:val="32"/>
          <w:szCs w:val="36"/>
        </w:rPr>
        <w:t xml:space="preserve">6.4 </w:t>
      </w:r>
      <w:r>
        <w:rPr>
          <w:rFonts w:hint="eastAsia" w:eastAsia="黑体" w:cs="Times New Roman"/>
          <w:kern w:val="44"/>
          <w:sz w:val="32"/>
          <w:szCs w:val="36"/>
        </w:rPr>
        <w:t>建筑蓄能</w:t>
      </w:r>
      <w:bookmarkEnd w:id="52"/>
    </w:p>
    <w:p>
      <w:pPr>
        <w:widowControl/>
        <w:ind w:firstLine="0" w:firstLineChars="0"/>
        <w:jc w:val="left"/>
        <w:outlineLvl w:val="2"/>
        <w:rPr>
          <w:rFonts w:cs="Times New Roman"/>
          <w:bCs/>
          <w:szCs w:val="24"/>
          <w:lang w:val="zh-CN" w:bidi="ar"/>
        </w:rPr>
      </w:pPr>
      <w:r>
        <w:rPr>
          <w:rFonts w:cs="Times New Roman"/>
          <w:bCs/>
          <w:szCs w:val="24"/>
          <w:lang w:val="zh-CN" w:bidi="ar"/>
        </w:rPr>
        <w:t>6.4.1</w:t>
      </w:r>
      <w:r>
        <w:rPr>
          <w:rFonts w:hint="eastAsia" w:cs="Times New Roman"/>
          <w:bCs/>
          <w:szCs w:val="24"/>
          <w:lang w:val="zh-CN" w:bidi="ar"/>
        </w:rPr>
        <w:t>建筑采用电化学蓄能系统时，其设计应符合现行国家标准《电化学储能电站设计规范》GB 51048的规定；其安装、叠放方式及储能环境应符合现行国家标准《电气装置安装工程蓄电池施工及验收规范》GB 50172的规定。</w:t>
      </w:r>
    </w:p>
    <w:p>
      <w:pPr>
        <w:pStyle w:val="2"/>
        <w:ind w:firstLine="420"/>
        <w:rPr>
          <w:lang w:val="zh-CN" w:bidi="ar"/>
        </w:rPr>
      </w:pPr>
    </w:p>
    <w:p>
      <w:pPr>
        <w:widowControl/>
        <w:ind w:firstLine="0" w:firstLineChars="0"/>
        <w:jc w:val="left"/>
        <w:outlineLvl w:val="2"/>
        <w:rPr>
          <w:rFonts w:cs="Times New Roman"/>
          <w:bCs/>
          <w:szCs w:val="24"/>
          <w:lang w:val="zh-CN" w:bidi="ar"/>
        </w:rPr>
      </w:pPr>
      <w:r>
        <w:rPr>
          <w:rFonts w:cs="Times New Roman"/>
          <w:bCs/>
          <w:szCs w:val="24"/>
          <w:lang w:val="zh-CN" w:bidi="ar"/>
        </w:rPr>
        <w:t>6.4.2</w:t>
      </w:r>
      <w:r>
        <w:rPr>
          <w:rFonts w:hint="eastAsia" w:cs="Times New Roman"/>
          <w:bCs/>
          <w:szCs w:val="24"/>
          <w:lang w:bidi="ar"/>
        </w:rPr>
        <w:t xml:space="preserve"> </w:t>
      </w:r>
      <w:r>
        <w:rPr>
          <w:rFonts w:hint="eastAsia" w:cs="Times New Roman"/>
          <w:bCs/>
          <w:szCs w:val="24"/>
          <w:lang w:val="zh-CN" w:bidi="ar"/>
        </w:rPr>
        <w:t>建筑蓄能系统的蓄能电池应满足下列要求：</w:t>
      </w:r>
    </w:p>
    <w:p>
      <w:pPr>
        <w:widowControl/>
        <w:ind w:firstLine="210" w:firstLineChars="100"/>
        <w:jc w:val="left"/>
        <w:outlineLvl w:val="2"/>
        <w:rPr>
          <w:rFonts w:cs="Times New Roman"/>
          <w:bCs/>
          <w:szCs w:val="24"/>
          <w:lang w:val="zh-CN" w:bidi="ar"/>
        </w:rPr>
      </w:pPr>
      <w:r>
        <w:rPr>
          <w:rFonts w:hint="eastAsia" w:cs="Times New Roman"/>
          <w:bCs/>
          <w:szCs w:val="24"/>
          <w:lang w:val="zh-CN" w:bidi="ar"/>
        </w:rPr>
        <w:t>1. 电池75%荷电状态的充电效率应不低于90%；</w:t>
      </w:r>
    </w:p>
    <w:p>
      <w:pPr>
        <w:widowControl/>
        <w:ind w:firstLine="210" w:firstLineChars="100"/>
        <w:jc w:val="left"/>
        <w:outlineLvl w:val="2"/>
        <w:rPr>
          <w:rFonts w:cs="Times New Roman"/>
          <w:bCs/>
          <w:szCs w:val="24"/>
          <w:lang w:val="zh-CN" w:bidi="ar"/>
        </w:rPr>
      </w:pPr>
      <w:r>
        <w:rPr>
          <w:rFonts w:hint="eastAsia" w:cs="Times New Roman"/>
          <w:bCs/>
          <w:szCs w:val="24"/>
          <w:lang w:val="zh-CN" w:bidi="ar"/>
        </w:rPr>
        <w:t>2. 电池模组的最高电压应不高于60V，电池模组间宜采用快速插拔方式连接。</w:t>
      </w:r>
    </w:p>
    <w:p>
      <w:pPr>
        <w:ind w:firstLine="210" w:firstLineChars="100"/>
      </w:pPr>
      <w:r>
        <w:rPr>
          <w:rFonts w:hint="eastAsia"/>
        </w:rPr>
        <w:t>3</w:t>
      </w:r>
      <w:r>
        <w:t xml:space="preserve"> 应满足建筑整体用电柔性调节对储能电池使用寿命的要求， 设计使用年限宜大于8年； </w:t>
      </w:r>
    </w:p>
    <w:p>
      <w:pPr>
        <w:ind w:firstLine="210" w:firstLineChars="100"/>
      </w:pPr>
      <w:r>
        <w:rPr>
          <w:rFonts w:hint="eastAsia"/>
        </w:rPr>
        <w:t>4</w:t>
      </w:r>
      <w:r>
        <w:t>应满足建筑整体用电柔性调节对充放电循环效率的要求，采用隔离型储能变换器时，充放电循环效率应大于86%，采用非隔离型储能变换器时，充放电循环效率应大于90%；</w:t>
      </w:r>
    </w:p>
    <w:p>
      <w:pPr>
        <w:ind w:firstLine="210" w:firstLineChars="100"/>
      </w:pPr>
      <w:r>
        <w:rPr>
          <w:rFonts w:hint="eastAsia"/>
        </w:rPr>
        <w:t>5</w:t>
      </w:r>
      <w:r>
        <w:t>单次调节能力的最大负荷调节容量比例应高于10%，宜高于20%；调节电量比例应大于10%，宜大于20%</w:t>
      </w:r>
      <w:r>
        <w:rPr>
          <w:rFonts w:hint="eastAsia"/>
        </w:rPr>
        <w:t>。</w:t>
      </w:r>
    </w:p>
    <w:p>
      <w:pPr>
        <w:pStyle w:val="2"/>
        <w:ind w:firstLine="420"/>
      </w:pPr>
    </w:p>
    <w:p>
      <w:pPr>
        <w:widowControl/>
        <w:ind w:firstLine="0" w:firstLineChars="0"/>
        <w:jc w:val="left"/>
        <w:outlineLvl w:val="2"/>
        <w:rPr>
          <w:rFonts w:cs="Times New Roman"/>
          <w:bCs/>
          <w:szCs w:val="24"/>
          <w:lang w:val="zh-CN" w:bidi="ar"/>
        </w:rPr>
      </w:pPr>
      <w:r>
        <w:rPr>
          <w:rFonts w:hint="eastAsia" w:cs="Times New Roman"/>
          <w:bCs/>
          <w:szCs w:val="24"/>
          <w:lang w:bidi="ar"/>
        </w:rPr>
        <w:t>6</w:t>
      </w:r>
      <w:r>
        <w:rPr>
          <w:rFonts w:hint="eastAsia" w:cs="Times New Roman"/>
          <w:bCs/>
          <w:szCs w:val="24"/>
          <w:lang w:val="zh-CN" w:bidi="ar"/>
        </w:rPr>
        <w:t>.</w:t>
      </w:r>
      <w:r>
        <w:rPr>
          <w:rFonts w:hint="eastAsia" w:cs="Times New Roman"/>
          <w:bCs/>
          <w:szCs w:val="24"/>
          <w:lang w:bidi="ar"/>
        </w:rPr>
        <w:t>4</w:t>
      </w:r>
      <w:r>
        <w:rPr>
          <w:rFonts w:hint="eastAsia" w:cs="Times New Roman"/>
          <w:bCs/>
          <w:szCs w:val="24"/>
          <w:lang w:val="zh-CN" w:bidi="ar"/>
        </w:rPr>
        <w:t>.3 室外停车场宜结合可再生能源系统，设置储电、蓄热、充放一体的电动汽车充电桩等储能装置。</w:t>
      </w:r>
    </w:p>
    <w:p>
      <w:pPr>
        <w:widowControl/>
        <w:ind w:firstLine="0" w:firstLineChars="0"/>
        <w:textAlignment w:val="center"/>
        <w:rPr>
          <w:rFonts w:cs="宋体"/>
          <w:kern w:val="0"/>
          <w:szCs w:val="21"/>
          <w:lang w:bidi="ar"/>
        </w:rPr>
      </w:pPr>
      <w:r>
        <w:rPr>
          <w:rFonts w:hint="eastAsia" w:cs="宋体"/>
          <w:kern w:val="0"/>
          <w:szCs w:val="21"/>
          <w:lang w:bidi="ar"/>
        </w:rPr>
        <w:t>【条文说明】</w:t>
      </w:r>
    </w:p>
    <w:p>
      <w:pPr>
        <w:pStyle w:val="166"/>
        <w:ind w:firstLine="420" w:firstLineChars="200"/>
        <w:rPr>
          <w:bCs/>
          <w:sz w:val="21"/>
          <w:lang w:val="zh-CN" w:bidi="ar"/>
        </w:rPr>
      </w:pPr>
      <w:r>
        <w:rPr>
          <w:rFonts w:hint="eastAsia"/>
          <w:bCs/>
          <w:sz w:val="21"/>
          <w:lang w:val="zh-CN" w:bidi="ar"/>
        </w:rPr>
        <w:t>6.4.3通过建设充放一体的电动汽车充电桩，不但有利于降低交通过程中产生的大气污染物排放，同时也有利于将电动汽车作为分布式储能设施，对可再生能源电力进行更好的消纳和利用，进而提高建筑整体可再生能源应用比例。</w:t>
      </w:r>
    </w:p>
    <w:p>
      <w:pPr>
        <w:widowControl/>
        <w:ind w:firstLine="420"/>
        <w:jc w:val="left"/>
        <w:rPr>
          <w:rFonts w:cs="宋体"/>
          <w:color w:val="000000"/>
          <w:kern w:val="0"/>
          <w:szCs w:val="21"/>
          <w:lang w:val="zh-CN" w:bidi="ar"/>
        </w:rPr>
      </w:pPr>
    </w:p>
    <w:p>
      <w:pPr>
        <w:widowControl/>
        <w:ind w:firstLine="420"/>
        <w:jc w:val="left"/>
        <w:rPr>
          <w:rFonts w:cs="Times New Roman"/>
          <w:bCs/>
          <w:szCs w:val="24"/>
          <w:lang w:val="zh-CN" w:bidi="ar"/>
        </w:rPr>
      </w:pPr>
    </w:p>
    <w:p>
      <w:pPr>
        <w:pStyle w:val="291"/>
        <w:outlineLvl w:val="9"/>
        <w:rPr>
          <w:b w:val="0"/>
        </w:rPr>
        <w:sectPr>
          <w:pgSz w:w="11906" w:h="16838"/>
          <w:pgMar w:top="1440" w:right="1800" w:bottom="1440" w:left="1800" w:header="851" w:footer="992" w:gutter="0"/>
          <w:cols w:space="425" w:num="1"/>
          <w:docGrid w:type="lines" w:linePitch="312" w:charSpace="0"/>
        </w:sectPr>
      </w:pPr>
    </w:p>
    <w:p>
      <w:pPr>
        <w:pStyle w:val="57"/>
        <w:numPr>
          <w:ilvl w:val="0"/>
          <w:numId w:val="13"/>
        </w:numPr>
        <w:tabs>
          <w:tab w:val="left" w:pos="0"/>
        </w:tabs>
        <w:snapToGrid w:val="0"/>
        <w:spacing w:before="156" w:beforeLines="50" w:after="156" w:afterLines="50" w:line="276" w:lineRule="auto"/>
        <w:rPr>
          <w:rFonts w:ascii="Times New Roman" w:hAnsi="Times New Roman"/>
          <w:b w:val="0"/>
          <w:color w:val="auto"/>
          <w:sz w:val="32"/>
          <w:lang w:eastAsia="zh-CN"/>
        </w:rPr>
      </w:pPr>
      <w:bookmarkStart w:id="53" w:name="_Toc198125364"/>
      <w:r>
        <w:rPr>
          <w:rFonts w:hint="eastAsia" w:ascii="Times New Roman" w:hAnsi="Times New Roman"/>
          <w:b w:val="0"/>
          <w:color w:val="auto"/>
          <w:sz w:val="32"/>
          <w:lang w:eastAsia="zh-CN"/>
        </w:rPr>
        <w:t>技术措施</w:t>
      </w:r>
      <w:bookmarkEnd w:id="53"/>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54" w:name="_Toc193023028"/>
      <w:r>
        <w:rPr>
          <w:rFonts w:hint="eastAsia" w:eastAsia="黑体" w:cs="Times New Roman"/>
          <w:kern w:val="44"/>
          <w:sz w:val="32"/>
          <w:szCs w:val="36"/>
        </w:rPr>
        <w:t>7.1 设计</w:t>
      </w:r>
      <w:bookmarkEnd w:id="54"/>
    </w:p>
    <w:p>
      <w:pPr>
        <w:spacing w:after="156" w:afterLines="50"/>
        <w:ind w:firstLine="0" w:firstLineChars="0"/>
        <w:jc w:val="center"/>
        <w:textAlignment w:val="center"/>
        <w:outlineLvl w:val="2"/>
        <w:rPr>
          <w:rFonts w:ascii="仿宋_GB2312" w:hAnsi="仿宋_GB2312" w:eastAsia="仿宋_GB2312" w:cs="仿宋_GB2312"/>
          <w:szCs w:val="21"/>
        </w:rPr>
      </w:pPr>
      <w:r>
        <w:rPr>
          <w:rFonts w:eastAsia="仿宋" w:cs="Times New Roman"/>
          <w:szCs w:val="18"/>
        </w:rPr>
        <w:t xml:space="preserve">Ⅰ  </w:t>
      </w:r>
      <w:r>
        <w:rPr>
          <w:rFonts w:hint="eastAsia" w:ascii="仿宋" w:hAnsi="仿宋" w:eastAsia="仿宋" w:cs="仿宋"/>
          <w:szCs w:val="21"/>
        </w:rPr>
        <w:t>性能化设计</w:t>
      </w:r>
    </w:p>
    <w:p>
      <w:pPr>
        <w:ind w:firstLine="0" w:firstLineChars="0"/>
        <w:textAlignment w:val="center"/>
        <w:outlineLvl w:val="3"/>
        <w:rPr>
          <w:rFonts w:ascii="宋体" w:hAnsi="宋体" w:cs="宋体"/>
          <w:bCs/>
          <w:color w:val="000000"/>
          <w:szCs w:val="21"/>
        </w:rPr>
      </w:pPr>
      <w:r>
        <w:rPr>
          <w:rFonts w:hint="eastAsia" w:cs="宋体"/>
          <w:bCs/>
          <w:kern w:val="0"/>
          <w:szCs w:val="21"/>
          <w:lang w:bidi="ar"/>
        </w:rPr>
        <w:t xml:space="preserve">7.1.1  </w:t>
      </w:r>
      <w:r>
        <w:rPr>
          <w:rFonts w:hint="eastAsia" w:ascii="宋体" w:hAnsi="宋体" w:cs="宋体"/>
          <w:bCs/>
          <w:color w:val="000000"/>
          <w:szCs w:val="21"/>
        </w:rPr>
        <w:t>近零能耗建筑应采用性能化设计方法，基于近零能耗设计目标，通过动态模拟和数据分析，量化建筑能耗、热舒适度等核心指标，通过多专业协同优化建筑围护结构、设备系统及可再生能源配置。</w:t>
      </w:r>
    </w:p>
    <w:p>
      <w:pPr>
        <w:ind w:firstLine="0" w:firstLineChars="0"/>
        <w:textAlignment w:val="center"/>
        <w:outlineLvl w:val="3"/>
        <w:rPr>
          <w:rFonts w:ascii="宋体" w:hAnsi="宋体" w:cs="宋体"/>
          <w:bCs/>
          <w:color w:val="000000"/>
          <w:szCs w:val="21"/>
        </w:rPr>
      </w:pPr>
      <w:r>
        <w:rPr>
          <w:rFonts w:hint="eastAsia" w:cs="宋体"/>
          <w:bCs/>
          <w:kern w:val="0"/>
          <w:szCs w:val="21"/>
          <w:lang w:bidi="ar"/>
        </w:rPr>
        <w:t xml:space="preserve">7.1.2  </w:t>
      </w:r>
      <w:r>
        <w:rPr>
          <w:rFonts w:hint="eastAsia" w:ascii="宋体" w:hAnsi="宋体" w:cs="宋体"/>
          <w:bCs/>
          <w:color w:val="000000"/>
          <w:szCs w:val="21"/>
        </w:rPr>
        <w:t>性能化设计应具备以下特点：</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应</w:t>
      </w:r>
      <w:r>
        <w:rPr>
          <w:rFonts w:cs="宋体"/>
          <w:kern w:val="0"/>
          <w:szCs w:val="21"/>
          <w:lang w:bidi="ar"/>
        </w:rPr>
        <w:t>分阶段嵌入</w:t>
      </w:r>
      <w:r>
        <w:rPr>
          <w:rFonts w:hint="eastAsia" w:cs="宋体"/>
          <w:kern w:val="0"/>
          <w:szCs w:val="21"/>
          <w:lang w:bidi="ar"/>
        </w:rPr>
        <w:t>性能化设计，各</w:t>
      </w:r>
      <w:r>
        <w:rPr>
          <w:rFonts w:cs="宋体"/>
          <w:kern w:val="0"/>
          <w:szCs w:val="21"/>
          <w:lang w:bidi="ar"/>
        </w:rPr>
        <w:t>设计阶段均需“模拟-优化-验证”，形成闭环</w:t>
      </w:r>
      <w:r>
        <w:rPr>
          <w:rFonts w:hint="eastAsia" w:cs="宋体"/>
          <w:kern w:val="0"/>
          <w:szCs w:val="21"/>
          <w:lang w:bidi="ar"/>
        </w:rPr>
        <w:t>。</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全过程多专业协同设计。</w:t>
      </w:r>
    </w:p>
    <w:p>
      <w:pPr>
        <w:widowControl/>
        <w:ind w:firstLine="420"/>
        <w:textAlignment w:val="center"/>
        <w:rPr>
          <w:rFonts w:cs="宋体"/>
          <w:kern w:val="0"/>
          <w:szCs w:val="21"/>
          <w:lang w:bidi="ar"/>
        </w:rPr>
      </w:pPr>
      <w:r>
        <w:rPr>
          <w:rFonts w:hint="eastAsia" w:cs="宋体"/>
          <w:bCs/>
          <w:kern w:val="0"/>
          <w:szCs w:val="21"/>
          <w:lang w:bidi="ar"/>
        </w:rPr>
        <w:t>3</w:t>
      </w:r>
      <w:r>
        <w:rPr>
          <w:rFonts w:cs="宋体"/>
          <w:kern w:val="0"/>
          <w:szCs w:val="21"/>
          <w:lang w:bidi="ar"/>
        </w:rPr>
        <w:t>被动式设计优先</w:t>
      </w:r>
      <w:r>
        <w:rPr>
          <w:rFonts w:hint="eastAsia" w:cs="宋体"/>
          <w:kern w:val="0"/>
          <w:szCs w:val="21"/>
          <w:lang w:bidi="ar"/>
        </w:rPr>
        <w:t>，</w:t>
      </w:r>
      <w:r>
        <w:rPr>
          <w:rFonts w:cs="宋体"/>
          <w:kern w:val="0"/>
          <w:szCs w:val="21"/>
          <w:lang w:bidi="ar"/>
        </w:rPr>
        <w:t>强化遮阳与自然通风</w:t>
      </w:r>
      <w:r>
        <w:rPr>
          <w:rFonts w:hint="eastAsia" w:cs="宋体"/>
          <w:kern w:val="0"/>
          <w:szCs w:val="21"/>
          <w:lang w:bidi="ar"/>
        </w:rPr>
        <w:t>；</w:t>
      </w:r>
      <w:r>
        <w:rPr>
          <w:rFonts w:cs="宋体"/>
          <w:kern w:val="0"/>
          <w:szCs w:val="21"/>
          <w:lang w:bidi="ar"/>
        </w:rPr>
        <w:t>主动</w:t>
      </w:r>
      <w:r>
        <w:rPr>
          <w:rFonts w:hint="eastAsia" w:cs="宋体"/>
          <w:kern w:val="0"/>
          <w:szCs w:val="21"/>
          <w:lang w:bidi="ar"/>
        </w:rPr>
        <w:t>式设计优化，</w:t>
      </w:r>
      <w:r>
        <w:rPr>
          <w:rFonts w:cs="宋体"/>
          <w:kern w:val="0"/>
          <w:szCs w:val="21"/>
          <w:lang w:bidi="ar"/>
        </w:rPr>
        <w:t>系统高效化</w:t>
      </w:r>
      <w:r>
        <w:rPr>
          <w:rFonts w:hint="eastAsia" w:cs="宋体"/>
          <w:kern w:val="0"/>
          <w:szCs w:val="21"/>
          <w:lang w:bidi="ar"/>
        </w:rPr>
        <w:t>；</w:t>
      </w:r>
      <w:r>
        <w:rPr>
          <w:rFonts w:cs="宋体"/>
          <w:kern w:val="0"/>
          <w:szCs w:val="21"/>
          <w:lang w:bidi="ar"/>
        </w:rPr>
        <w:t>可再生能源耦合</w:t>
      </w:r>
      <w:r>
        <w:rPr>
          <w:rFonts w:hint="eastAsia" w:cs="宋体"/>
          <w:kern w:val="0"/>
          <w:szCs w:val="21"/>
          <w:lang w:bidi="ar"/>
        </w:rPr>
        <w:t>。</w:t>
      </w:r>
    </w:p>
    <w:p>
      <w:pPr>
        <w:ind w:firstLine="0" w:firstLineChars="0"/>
        <w:textAlignment w:val="center"/>
        <w:outlineLvl w:val="3"/>
        <w:rPr>
          <w:rFonts w:ascii="宋体" w:hAnsi="宋体" w:cs="宋体"/>
          <w:bCs/>
          <w:color w:val="000000"/>
          <w:szCs w:val="21"/>
        </w:rPr>
      </w:pPr>
      <w:r>
        <w:rPr>
          <w:rFonts w:hint="eastAsia" w:cs="宋体"/>
          <w:bCs/>
          <w:kern w:val="0"/>
          <w:szCs w:val="21"/>
          <w:lang w:bidi="ar"/>
        </w:rPr>
        <w:t xml:space="preserve">7.1.3  </w:t>
      </w:r>
      <w:r>
        <w:rPr>
          <w:rFonts w:hint="eastAsia" w:ascii="宋体" w:hAnsi="宋体" w:cs="宋体"/>
          <w:bCs/>
          <w:color w:val="000000"/>
          <w:szCs w:val="21"/>
        </w:rPr>
        <w:t>性能化设计方法过程应</w:t>
      </w:r>
      <w:r>
        <w:rPr>
          <w:rFonts w:ascii="宋体" w:hAnsi="宋体" w:cs="宋体"/>
          <w:bCs/>
          <w:color w:val="000000"/>
          <w:szCs w:val="21"/>
        </w:rPr>
        <w:t>实现从“经验驱动”到“数据驱动”的设计转型。</w:t>
      </w:r>
    </w:p>
    <w:p>
      <w:pPr>
        <w:ind w:firstLine="0" w:firstLineChars="0"/>
        <w:textAlignment w:val="center"/>
        <w:outlineLvl w:val="3"/>
        <w:rPr>
          <w:rFonts w:ascii="宋体" w:hAnsi="宋体" w:cs="宋体"/>
          <w:bCs/>
          <w:color w:val="000000"/>
          <w:szCs w:val="21"/>
        </w:rPr>
      </w:pPr>
      <w:r>
        <w:rPr>
          <w:rFonts w:hint="eastAsia" w:cs="宋体"/>
          <w:bCs/>
          <w:kern w:val="0"/>
          <w:szCs w:val="21"/>
          <w:lang w:bidi="ar"/>
        </w:rPr>
        <w:t xml:space="preserve">7.1.4  </w:t>
      </w:r>
      <w:r>
        <w:rPr>
          <w:rFonts w:hint="eastAsia" w:ascii="宋体" w:hAnsi="宋体" w:cs="宋体"/>
          <w:bCs/>
          <w:color w:val="000000"/>
          <w:szCs w:val="21"/>
        </w:rPr>
        <w:t>性能化设计宜按下列程序进行：</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被动式设计优先，制定近零能耗设计策略。</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 xml:space="preserve"> 设定室内环境参数和能效指标。</w:t>
      </w:r>
    </w:p>
    <w:p>
      <w:pPr>
        <w:widowControl/>
        <w:ind w:firstLine="420"/>
        <w:textAlignment w:val="center"/>
        <w:rPr>
          <w:rFonts w:cs="宋体"/>
          <w:kern w:val="0"/>
          <w:szCs w:val="21"/>
          <w:lang w:bidi="ar"/>
        </w:rPr>
      </w:pPr>
      <w:r>
        <w:rPr>
          <w:rFonts w:hint="eastAsia" w:cs="宋体"/>
          <w:bCs/>
          <w:kern w:val="0"/>
          <w:szCs w:val="21"/>
          <w:lang w:bidi="ar"/>
        </w:rPr>
        <w:t>3</w:t>
      </w:r>
      <w:r>
        <w:rPr>
          <w:rFonts w:hint="eastAsia" w:cs="宋体"/>
          <w:kern w:val="0"/>
          <w:szCs w:val="21"/>
          <w:lang w:bidi="ar"/>
        </w:rPr>
        <w:t xml:space="preserve"> 初步完成设计方案。</w:t>
      </w:r>
    </w:p>
    <w:p>
      <w:pPr>
        <w:widowControl/>
        <w:ind w:firstLine="420"/>
        <w:textAlignment w:val="center"/>
        <w:rPr>
          <w:rFonts w:cs="宋体"/>
          <w:kern w:val="0"/>
          <w:szCs w:val="21"/>
          <w:lang w:bidi="ar"/>
        </w:rPr>
      </w:pPr>
      <w:r>
        <w:rPr>
          <w:rFonts w:hint="eastAsia" w:cs="宋体"/>
          <w:bCs/>
          <w:kern w:val="0"/>
          <w:szCs w:val="21"/>
          <w:lang w:bidi="ar"/>
        </w:rPr>
        <w:t>4</w:t>
      </w:r>
      <w:r>
        <w:rPr>
          <w:rFonts w:hint="eastAsia" w:cs="宋体"/>
          <w:kern w:val="0"/>
          <w:szCs w:val="21"/>
          <w:lang w:bidi="ar"/>
        </w:rPr>
        <w:t xml:space="preserve"> 建立精细化模型，利用性能化设计平台、性能化设计软件、能耗模拟计算软件等工具进行设计方案的定量分析及优化；</w:t>
      </w:r>
    </w:p>
    <w:p>
      <w:pPr>
        <w:widowControl/>
        <w:ind w:firstLine="420"/>
        <w:textAlignment w:val="center"/>
        <w:rPr>
          <w:rFonts w:cs="宋体"/>
          <w:kern w:val="0"/>
          <w:szCs w:val="21"/>
          <w:lang w:bidi="ar"/>
        </w:rPr>
      </w:pPr>
      <w:r>
        <w:rPr>
          <w:rFonts w:hint="eastAsia" w:cs="宋体"/>
          <w:bCs/>
          <w:kern w:val="0"/>
          <w:szCs w:val="21"/>
          <w:lang w:bidi="ar"/>
        </w:rPr>
        <w:t>5</w:t>
      </w:r>
      <w:r>
        <w:rPr>
          <w:rFonts w:hint="eastAsia" w:cs="宋体"/>
          <w:kern w:val="0"/>
          <w:szCs w:val="21"/>
          <w:lang w:bidi="ar"/>
        </w:rPr>
        <w:t xml:space="preserve"> 分析优化结果并进行达标判定。当能效指标不能满足所确定的目标要求时，修改设计方案，重新进行定量分析和优化，直至满足目标要求。</w:t>
      </w:r>
    </w:p>
    <w:p>
      <w:pPr>
        <w:widowControl/>
        <w:ind w:firstLine="420"/>
        <w:textAlignment w:val="center"/>
        <w:rPr>
          <w:rFonts w:cs="宋体"/>
          <w:kern w:val="0"/>
          <w:szCs w:val="21"/>
          <w:lang w:bidi="ar"/>
        </w:rPr>
      </w:pPr>
      <w:r>
        <w:rPr>
          <w:rFonts w:hint="eastAsia" w:cs="宋体"/>
          <w:bCs/>
          <w:kern w:val="0"/>
          <w:szCs w:val="21"/>
          <w:lang w:bidi="ar"/>
        </w:rPr>
        <w:t>6</w:t>
      </w:r>
      <w:r>
        <w:rPr>
          <w:rFonts w:hint="eastAsia" w:cs="宋体"/>
          <w:kern w:val="0"/>
          <w:szCs w:val="21"/>
          <w:lang w:bidi="ar"/>
        </w:rPr>
        <w:t xml:space="preserve"> 在</w:t>
      </w:r>
      <w:r>
        <w:rPr>
          <w:rFonts w:cs="宋体"/>
          <w:kern w:val="0"/>
          <w:szCs w:val="21"/>
          <w:lang w:bidi="ar"/>
        </w:rPr>
        <w:t>经济性与性能平衡</w:t>
      </w:r>
      <w:r>
        <w:rPr>
          <w:rFonts w:hint="eastAsia" w:cs="宋体"/>
          <w:kern w:val="0"/>
          <w:szCs w:val="21"/>
          <w:lang w:bidi="ar"/>
        </w:rPr>
        <w:t>条件下，确定优选的设计方案。</w:t>
      </w:r>
    </w:p>
    <w:p>
      <w:pPr>
        <w:widowControl/>
        <w:ind w:firstLine="420"/>
        <w:textAlignment w:val="center"/>
        <w:rPr>
          <w:rFonts w:cs="宋体"/>
          <w:kern w:val="0"/>
          <w:szCs w:val="21"/>
          <w:lang w:bidi="ar"/>
        </w:rPr>
      </w:pPr>
      <w:r>
        <w:rPr>
          <w:rFonts w:hint="eastAsia" w:cs="宋体"/>
          <w:bCs/>
          <w:kern w:val="0"/>
          <w:szCs w:val="21"/>
          <w:lang w:bidi="ar"/>
        </w:rPr>
        <w:t>7</w:t>
      </w:r>
      <w:r>
        <w:rPr>
          <w:rFonts w:hint="eastAsia" w:cs="宋体"/>
          <w:kern w:val="0"/>
          <w:szCs w:val="21"/>
          <w:lang w:bidi="ar"/>
        </w:rPr>
        <w:t xml:space="preserve"> 编制性能化设计报告。</w:t>
      </w:r>
    </w:p>
    <w:p>
      <w:pPr>
        <w:widowControl/>
        <w:ind w:firstLine="420"/>
        <w:textAlignment w:val="center"/>
      </w:pPr>
      <w:r>
        <w:rPr>
          <w:rFonts w:hint="eastAsia" w:cs="宋体"/>
          <w:bCs/>
          <w:kern w:val="0"/>
          <w:szCs w:val="21"/>
          <w:lang w:bidi="ar"/>
        </w:rPr>
        <w:t>8</w:t>
      </w:r>
      <w:r>
        <w:rPr>
          <w:rFonts w:hint="eastAsia" w:cs="宋体"/>
          <w:kern w:val="0"/>
          <w:szCs w:val="21"/>
          <w:lang w:bidi="ar"/>
        </w:rPr>
        <w:t xml:space="preserve"> 精准落实施工图设计，核算最终指标。</w:t>
      </w:r>
    </w:p>
    <w:p>
      <w:pPr>
        <w:ind w:firstLine="0" w:firstLineChars="0"/>
        <w:textAlignment w:val="center"/>
        <w:outlineLvl w:val="3"/>
        <w:rPr>
          <w:rFonts w:ascii="宋体" w:hAnsi="宋体" w:cs="宋体"/>
          <w:bCs/>
          <w:szCs w:val="21"/>
          <w:lang w:eastAsia="zh"/>
        </w:rPr>
      </w:pPr>
      <w:r>
        <w:rPr>
          <w:rFonts w:hint="eastAsia" w:cs="宋体"/>
          <w:bCs/>
          <w:kern w:val="0"/>
          <w:szCs w:val="21"/>
          <w:lang w:bidi="ar"/>
        </w:rPr>
        <w:t xml:space="preserve">7.1.5 </w:t>
      </w:r>
      <w:r>
        <w:rPr>
          <w:rFonts w:hint="eastAsia" w:ascii="宋体" w:hAnsi="宋体" w:cs="宋体"/>
          <w:bCs/>
          <w:color w:val="000000"/>
          <w:szCs w:val="21"/>
          <w:lang w:eastAsia="zh"/>
        </w:rPr>
        <w:t>性能化设计应以定量分析及优化为核心，应进行建筑和设备的关键参数对建筑负荷及能耗的敏感性分析，并在此基础上，结合建筑全寿命期的经济效益分析，进行技术措施和性能参数的优化选取。</w:t>
      </w:r>
    </w:p>
    <w:p>
      <w:pPr>
        <w:pStyle w:val="2"/>
        <w:ind w:firstLine="420"/>
        <w:rPr>
          <w:rFonts w:ascii="宋体" w:hAnsi="宋体" w:cs="宋体"/>
          <w:bCs/>
          <w:szCs w:val="21"/>
          <w:lang w:eastAsia="zh"/>
        </w:rPr>
      </w:pPr>
    </w:p>
    <w:p>
      <w:pPr>
        <w:spacing w:after="156" w:afterLines="50"/>
        <w:ind w:firstLine="0" w:firstLineChars="0"/>
        <w:jc w:val="center"/>
        <w:textAlignment w:val="center"/>
        <w:outlineLvl w:val="2"/>
        <w:rPr>
          <w:rFonts w:ascii="仿宋_GB2312" w:hAnsi="仿宋_GB2312" w:eastAsia="仿宋" w:cs="仿宋_GB2312"/>
          <w:szCs w:val="21"/>
        </w:rPr>
      </w:pPr>
      <w:r>
        <w:rPr>
          <w:rFonts w:eastAsia="仿宋" w:cs="Times New Roman"/>
          <w:szCs w:val="21"/>
        </w:rPr>
        <w:t xml:space="preserve">Ⅱ  </w:t>
      </w:r>
      <w:r>
        <w:rPr>
          <w:rFonts w:hint="eastAsia" w:ascii="仿宋" w:hAnsi="仿宋" w:eastAsia="仿宋" w:cs="仿宋"/>
          <w:szCs w:val="21"/>
        </w:rPr>
        <w:t>场地规划设计</w:t>
      </w:r>
    </w:p>
    <w:p>
      <w:pPr>
        <w:widowControl/>
        <w:ind w:firstLine="0" w:firstLineChars="0"/>
        <w:textAlignment w:val="center"/>
        <w:outlineLvl w:val="3"/>
        <w:rPr>
          <w:rFonts w:cs="宋体"/>
          <w:bCs/>
          <w:kern w:val="0"/>
          <w:szCs w:val="21"/>
          <w:lang w:bidi="ar"/>
        </w:rPr>
      </w:pPr>
      <w:r>
        <w:rPr>
          <w:rFonts w:hint="eastAsia" w:cs="宋体"/>
          <w:bCs/>
          <w:kern w:val="0"/>
          <w:szCs w:val="21"/>
          <w:lang w:bidi="ar"/>
        </w:rPr>
        <w:t>7.1.6</w:t>
      </w:r>
      <w:r>
        <w:rPr>
          <w:rFonts w:hint="eastAsia" w:cs="宋体"/>
          <w:kern w:val="0"/>
          <w:szCs w:val="21"/>
          <w:lang w:bidi="ar"/>
        </w:rPr>
        <w:t xml:space="preserve">  </w:t>
      </w:r>
      <w:r>
        <w:rPr>
          <w:rFonts w:hint="eastAsia" w:cs="宋体"/>
          <w:bCs/>
          <w:kern w:val="0"/>
          <w:szCs w:val="21"/>
          <w:lang w:bidi="ar"/>
        </w:rPr>
        <w:t>建筑场地规划应有利于营造适宜的微气候，通过优化建筑空间布局，合理规划景观、绿化，增强自然通风、天然采光、</w:t>
      </w:r>
      <w:r>
        <w:rPr>
          <w:rFonts w:hint="eastAsia" w:cs="宋体"/>
          <w:bCs/>
          <w:kern w:val="0"/>
          <w:szCs w:val="21"/>
          <w:lang w:eastAsia="zh" w:bidi="ar"/>
        </w:rPr>
        <w:t>室外遮荫、</w:t>
      </w:r>
      <w:r>
        <w:rPr>
          <w:rFonts w:hint="eastAsia" w:cs="宋体"/>
          <w:bCs/>
          <w:kern w:val="0"/>
          <w:szCs w:val="21"/>
          <w:lang w:bidi="ar"/>
        </w:rPr>
        <w:t>减弱热岛效应</w:t>
      </w:r>
      <w:r>
        <w:rPr>
          <w:rFonts w:hint="eastAsia" w:cs="宋体"/>
          <w:bCs/>
          <w:kern w:val="0"/>
          <w:szCs w:val="21"/>
          <w:lang w:eastAsia="zh" w:bidi="ar"/>
        </w:rPr>
        <w:t>，以营造清凉空间</w:t>
      </w:r>
      <w:r>
        <w:rPr>
          <w:rFonts w:hint="eastAsia" w:cs="宋体"/>
          <w:bCs/>
          <w:kern w:val="0"/>
          <w:szCs w:val="21"/>
          <w:lang w:bidi="ar"/>
        </w:rPr>
        <w:t>，为建筑节能设计营造良好的环境资源条件。</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w:t>
      </w:r>
      <w:r>
        <w:rPr>
          <w:rFonts w:hint="eastAsia" w:cs="宋体"/>
          <w:bCs/>
          <w:kern w:val="0"/>
          <w:szCs w:val="21"/>
          <w:lang w:eastAsia="zh" w:bidi="ar"/>
        </w:rPr>
        <w:t>场地主入口宜位于上风侧，</w:t>
      </w:r>
      <w:r>
        <w:rPr>
          <w:rFonts w:hint="eastAsia" w:cs="宋体"/>
          <w:kern w:val="0"/>
          <w:szCs w:val="21"/>
          <w:lang w:bidi="ar"/>
        </w:rPr>
        <w:t>建筑布局应利于区域夏季主导风的气流通风组织，</w:t>
      </w:r>
      <w:r>
        <w:rPr>
          <w:rFonts w:hint="eastAsia" w:cs="宋体"/>
          <w:bCs/>
          <w:kern w:val="0"/>
          <w:szCs w:val="21"/>
          <w:lang w:eastAsia="zh" w:bidi="ar"/>
        </w:rPr>
        <w:t>联通场地内建筑间隙、庭院绿地等开敞空间形成日常通风廊道，</w:t>
      </w:r>
      <w:r>
        <w:rPr>
          <w:rFonts w:hint="eastAsia" w:cs="宋体"/>
          <w:kern w:val="0"/>
          <w:szCs w:val="21"/>
          <w:lang w:bidi="ar"/>
        </w:rPr>
        <w:t>避免出现空气滞流区。不宜采用封闭围合式布置，当受条件限制必须采用时，</w:t>
      </w:r>
      <w:r>
        <w:rPr>
          <w:rFonts w:hint="eastAsia" w:cs="宋体"/>
          <w:kern w:val="0"/>
          <w:szCs w:val="21"/>
          <w:lang w:eastAsia="zh" w:bidi="ar"/>
        </w:rPr>
        <w:t>应</w:t>
      </w:r>
      <w:r>
        <w:rPr>
          <w:rFonts w:hint="eastAsia" w:cs="宋体"/>
          <w:kern w:val="0"/>
          <w:szCs w:val="21"/>
          <w:lang w:bidi="ar"/>
        </w:rPr>
        <w:t>采取</w:t>
      </w:r>
      <w:r>
        <w:rPr>
          <w:rFonts w:hint="eastAsia" w:cs="宋体"/>
          <w:kern w:val="0"/>
          <w:szCs w:val="21"/>
          <w:lang w:eastAsia="zh" w:bidi="ar"/>
        </w:rPr>
        <w:t>首层</w:t>
      </w:r>
      <w:r>
        <w:rPr>
          <w:rFonts w:hint="eastAsia" w:cs="宋体"/>
          <w:kern w:val="0"/>
          <w:szCs w:val="21"/>
          <w:lang w:bidi="ar"/>
        </w:rPr>
        <w:t>架空、单体之间设置气流通道等措施提升场地通风效果；</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 xml:space="preserve"> 建筑布局在满足日照等要求的前提下，宜考虑采光设计，为建筑充分利用天然采光创造有利条件；</w:t>
      </w:r>
    </w:p>
    <w:p>
      <w:pPr>
        <w:widowControl/>
        <w:ind w:firstLine="420"/>
        <w:textAlignment w:val="center"/>
        <w:rPr>
          <w:rFonts w:cs="宋体"/>
          <w:bCs/>
          <w:kern w:val="0"/>
          <w:szCs w:val="21"/>
          <w:lang w:eastAsia="zh" w:bidi="ar"/>
        </w:rPr>
      </w:pPr>
      <w:r>
        <w:rPr>
          <w:rFonts w:hint="eastAsia" w:cs="宋体"/>
          <w:bCs/>
          <w:kern w:val="0"/>
          <w:szCs w:val="21"/>
          <w:lang w:eastAsia="zh" w:bidi="ar"/>
        </w:rPr>
        <w:t>3 在不影响建筑消防相关规定的前提下，增设连接各单体建筑与场地主出入口的风雨连廊，实现步行空间连续遮荫。当条件受限时，可结合林荫树打造连续遮荫连廊，其宽度宜≥2m，高度宜≥2.5m；</w:t>
      </w:r>
    </w:p>
    <w:p>
      <w:pPr>
        <w:widowControl/>
        <w:ind w:firstLine="420"/>
        <w:textAlignment w:val="center"/>
        <w:rPr>
          <w:rFonts w:cs="宋体"/>
          <w:kern w:val="0"/>
          <w:szCs w:val="21"/>
          <w:lang w:bidi="ar"/>
        </w:rPr>
      </w:pPr>
      <w:r>
        <w:rPr>
          <w:rFonts w:hint="eastAsia" w:cs="宋体"/>
          <w:bCs/>
          <w:kern w:val="0"/>
          <w:szCs w:val="21"/>
          <w:lang w:eastAsia="zh" w:bidi="ar"/>
        </w:rPr>
        <w:t>4</w:t>
      </w:r>
      <w:r>
        <w:rPr>
          <w:rFonts w:hint="eastAsia" w:cs="宋体"/>
          <w:kern w:val="0"/>
          <w:szCs w:val="21"/>
          <w:lang w:bidi="ar"/>
        </w:rPr>
        <w:t xml:space="preserve"> 场地规划应合理增加绿地面积，提高乔木数量，地面宜采用浅色铺装等太阳辐射反射系数高的面层材料，减少地面辐射得热，改善室外热环境，降低热岛强度。</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7.1.6</w:t>
      </w:r>
      <w:r>
        <w:rPr>
          <w:rFonts w:hint="eastAsia" w:cs="宋体"/>
          <w:color w:val="000000" w:themeColor="text1"/>
          <w:kern w:val="0"/>
          <w:szCs w:val="21"/>
          <w:lang w:bidi="ar"/>
          <w14:textFill>
            <w14:solidFill>
              <w14:schemeClr w14:val="tx1"/>
            </w14:solidFill>
          </w14:textFill>
        </w:rPr>
        <w:t>规划设计时应为建筑单体的自然通风和天然采光等被动式技术应用创造有利的条件。场地微环境设计应有利于建筑自然通风，可合理规划建筑组团布局，保持良好的室外通风状况，减少气流对区域微环境和建筑本身的不利影响；合理选择下垫面材料、有效配置绿化及水景，提高夏季室外热舒适度，降低热岛强度。</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海南建筑设计多利用前廊等室内外联通建筑形式</w:t>
      </w:r>
      <w:r>
        <w:rPr>
          <w:rFonts w:hint="eastAsia" w:cs="宋体"/>
          <w:color w:val="000000" w:themeColor="text1"/>
          <w:kern w:val="0"/>
          <w:szCs w:val="21"/>
          <w:lang w:eastAsia="zh" w:bidi="ar"/>
          <w14:textFill>
            <w14:solidFill>
              <w14:schemeClr w14:val="tx1"/>
            </w14:solidFill>
          </w14:textFill>
        </w:rPr>
        <w:t>改善</w:t>
      </w:r>
      <w:r>
        <w:rPr>
          <w:rFonts w:hint="eastAsia" w:cs="宋体"/>
          <w:color w:val="000000" w:themeColor="text1"/>
          <w:kern w:val="0"/>
          <w:szCs w:val="21"/>
          <w:lang w:bidi="ar"/>
          <w14:textFill>
            <w14:solidFill>
              <w14:schemeClr w14:val="tx1"/>
            </w14:solidFill>
          </w14:textFill>
        </w:rPr>
        <w:t>通风环境，同时增加室内对自然通风的利用时长。根据国内外热带气候区建筑设计的特征，建议建筑设计采用合理进深，结合建筑周边微环境的特点，保证更加充分利用自然通风和天然采光。</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海南属热带季风海洋性气候，多雨暴晒天气严重影响室外通行。通过建设室外有盖空间，不仅可以提供遮阳避雨环境，提高户外公共空间使用率，还可以结合夜间照明、喷雾降温等设施延长使用者户外活动时间，提高人体热舒适，增强体验感和获得感。</w:t>
      </w: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hint="eastAsia" w:cs="宋体"/>
          <w:bCs/>
          <w:kern w:val="0"/>
          <w:szCs w:val="21"/>
          <w:lang w:eastAsia="zh" w:bidi="ar"/>
        </w:rPr>
        <w:t>7</w:t>
      </w:r>
      <w:r>
        <w:rPr>
          <w:rFonts w:hint="eastAsia" w:cs="宋体"/>
          <w:bCs/>
          <w:kern w:val="0"/>
          <w:szCs w:val="21"/>
          <w:lang w:bidi="ar"/>
        </w:rPr>
        <w:t xml:space="preserve">  规划设计时应预留合理空间，以便为利用光伏、风力等可再生能源创造有利的场地条件。</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hint="eastAsia" w:cs="宋体"/>
          <w:bCs/>
          <w:kern w:val="0"/>
          <w:szCs w:val="21"/>
          <w:lang w:eastAsia="zh" w:bidi="ar"/>
        </w:rPr>
        <w:t>7</w:t>
      </w:r>
      <w:r>
        <w:rPr>
          <w:rFonts w:hint="eastAsia" w:cs="宋体"/>
          <w:color w:val="000000" w:themeColor="text1"/>
          <w:kern w:val="0"/>
          <w:szCs w:val="21"/>
          <w:lang w:bidi="ar"/>
          <w14:textFill>
            <w14:solidFill>
              <w14:schemeClr w14:val="tx1"/>
            </w14:solidFill>
          </w14:textFill>
        </w:rPr>
        <w:t>海南位于北回归线以南，属热带季风海洋性气候，日照时间长。全岛太阳能资源丰富，部分市县同时具有可观的风力资源。应根据场地情况，充分利用可再生能源，降低对化石能源的依赖。</w:t>
      </w:r>
    </w:p>
    <w:p>
      <w:pPr>
        <w:spacing w:before="156" w:beforeLines="50" w:after="156" w:afterLines="50"/>
        <w:ind w:firstLine="0" w:firstLineChars="0"/>
        <w:jc w:val="center"/>
        <w:textAlignment w:val="center"/>
        <w:outlineLvl w:val="2"/>
        <w:rPr>
          <w:rFonts w:ascii="仿宋_GB2312" w:hAnsi="仿宋_GB2312" w:eastAsia="仿宋_GB2312" w:cs="仿宋_GB2312"/>
          <w:szCs w:val="21"/>
        </w:rPr>
      </w:pPr>
      <w:r>
        <w:rPr>
          <w:rFonts w:hint="eastAsia" w:eastAsia="仿宋" w:cs="Times New Roman"/>
          <w:szCs w:val="21"/>
        </w:rPr>
        <w:t xml:space="preserve">Ⅲ </w:t>
      </w:r>
      <w:r>
        <w:rPr>
          <w:rFonts w:eastAsia="仿宋" w:cs="Times New Roman"/>
          <w:szCs w:val="21"/>
        </w:rPr>
        <w:t xml:space="preserve"> </w:t>
      </w:r>
      <w:r>
        <w:rPr>
          <w:rFonts w:hint="eastAsia" w:ascii="仿宋" w:hAnsi="仿宋" w:eastAsia="仿宋" w:cs="仿宋"/>
          <w:bCs/>
          <w:szCs w:val="21"/>
        </w:rPr>
        <w:t>建筑设计</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8</w:t>
      </w:r>
      <w:r>
        <w:rPr>
          <w:rFonts w:hint="eastAsia" w:cs="宋体"/>
          <w:bCs/>
          <w:kern w:val="0"/>
          <w:szCs w:val="21"/>
          <w:lang w:bidi="ar"/>
        </w:rPr>
        <w:t xml:space="preserve"> </w:t>
      </w:r>
      <w:r>
        <w:rPr>
          <w:rFonts w:hint="eastAsia" w:cs="宋体"/>
          <w:bCs/>
          <w:kern w:val="0"/>
          <w:szCs w:val="21"/>
          <w:lang w:eastAsia="zh" w:bidi="ar"/>
        </w:rPr>
        <w:t>建筑设计应根据建筑功能和环境资源条件，遵循适应海南高温、高湿、高盐等热带海岛气候特征的原则，以降低建筑供冷年耗冷量为目标，充分利用自然通风、天然采光以及围护结构隔热等被动式建筑设计手段，降低建筑的用能需求</w:t>
      </w:r>
      <w:r>
        <w:rPr>
          <w:rFonts w:hint="eastAsia" w:cs="宋体"/>
          <w:bCs/>
          <w:kern w:val="0"/>
          <w:szCs w:val="21"/>
          <w:lang w:bidi="ar"/>
        </w:rPr>
        <w:t>。</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bCs/>
          <w:kern w:val="0"/>
          <w:szCs w:val="21"/>
          <w:lang w:bidi="ar"/>
        </w:rPr>
        <w:t>7.1.</w:t>
      </w:r>
      <w:r>
        <w:rPr>
          <w:rFonts w:hint="eastAsia" w:cs="宋体"/>
          <w:bCs/>
          <w:kern w:val="0"/>
          <w:szCs w:val="21"/>
          <w:lang w:eastAsia="zh" w:bidi="ar"/>
        </w:rPr>
        <w:t>8</w:t>
      </w:r>
      <w:r>
        <w:rPr>
          <w:rFonts w:hint="eastAsia" w:cs="宋体"/>
          <w:color w:val="000000" w:themeColor="text1"/>
          <w:kern w:val="0"/>
          <w:szCs w:val="21"/>
          <w:lang w:eastAsia="zh" w:bidi="ar"/>
          <w14:textFill>
            <w14:solidFill>
              <w14:schemeClr w14:val="tx1"/>
            </w14:solidFill>
          </w14:textFill>
        </w:rPr>
        <w:t>近零能耗建筑设计应根据建筑的功能需求，立足海南高温高湿高盐、风大雷暴多、日照充足等气候特征，遵循“被动优先，主动优化”的原则，采取适候性的技术措施。</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9</w:t>
      </w:r>
      <w:r>
        <w:rPr>
          <w:rFonts w:hint="eastAsia" w:cs="宋体"/>
          <w:bCs/>
          <w:kern w:val="0"/>
          <w:szCs w:val="21"/>
          <w:lang w:bidi="ar"/>
        </w:rPr>
        <w:t xml:space="preserve"> </w:t>
      </w:r>
      <w:r>
        <w:rPr>
          <w:rFonts w:hint="eastAsia" w:cs="宋体"/>
          <w:bCs/>
          <w:kern w:val="0"/>
          <w:szCs w:val="21"/>
          <w:lang w:eastAsia="zh" w:bidi="ar"/>
        </w:rPr>
        <w:t>合理布局建筑平面，增强自然通风，提高空气品质。</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合理控制主要功能区域的空间进深，不宜大于层高的5倍；</w:t>
      </w:r>
    </w:p>
    <w:p>
      <w:pPr>
        <w:widowControl/>
        <w:ind w:firstLine="420"/>
        <w:textAlignment w:val="center"/>
        <w:rPr>
          <w:rFonts w:cs="宋体"/>
          <w:kern w:val="0"/>
          <w:szCs w:val="21"/>
          <w:lang w:eastAsia="zh" w:bidi="ar"/>
        </w:rPr>
      </w:pPr>
      <w:r>
        <w:rPr>
          <w:rFonts w:hint="eastAsia" w:cs="宋体"/>
          <w:kern w:val="0"/>
          <w:szCs w:val="21"/>
          <w:lang w:eastAsia="zh" w:bidi="ar"/>
        </w:rPr>
        <w:t>2 采用单廊式或双廊错位式等</w:t>
      </w:r>
      <w:r>
        <w:rPr>
          <w:rFonts w:hint="eastAsia" w:cs="宋体"/>
          <w:kern w:val="0"/>
          <w:szCs w:val="21"/>
          <w:lang w:bidi="ar"/>
        </w:rPr>
        <w:t>利于形成穿堂风的</w:t>
      </w:r>
      <w:r>
        <w:rPr>
          <w:rFonts w:hint="eastAsia" w:cs="宋体"/>
          <w:kern w:val="0"/>
          <w:szCs w:val="21"/>
          <w:lang w:eastAsia="zh" w:bidi="ar"/>
        </w:rPr>
        <w:t>平面</w:t>
      </w:r>
      <w:r>
        <w:rPr>
          <w:rFonts w:hint="eastAsia" w:cs="宋体"/>
          <w:kern w:val="0"/>
          <w:szCs w:val="21"/>
          <w:lang w:bidi="ar"/>
        </w:rPr>
        <w:t>布局，</w:t>
      </w:r>
      <w:r>
        <w:rPr>
          <w:rFonts w:hint="eastAsia" w:cs="宋体"/>
          <w:kern w:val="0"/>
          <w:szCs w:val="21"/>
          <w:lang w:eastAsia="zh" w:bidi="ar"/>
        </w:rPr>
        <w:t>减少隔墙阻挡，确保空间的通透性。</w:t>
      </w:r>
    </w:p>
    <w:p>
      <w:pPr>
        <w:widowControl/>
        <w:ind w:firstLine="420"/>
        <w:textAlignment w:val="center"/>
        <w:rPr>
          <w:rFonts w:cs="宋体"/>
          <w:kern w:val="0"/>
          <w:szCs w:val="21"/>
          <w:lang w:eastAsia="zh" w:bidi="ar"/>
        </w:rPr>
      </w:pPr>
      <w:r>
        <w:rPr>
          <w:rFonts w:hint="eastAsia" w:cs="宋体"/>
          <w:kern w:val="0"/>
          <w:szCs w:val="21"/>
          <w:lang w:eastAsia="zh" w:bidi="ar"/>
        </w:rPr>
        <w:t>3 优化主要功能房间的朝向，房间长轴与当地夏季主导风向夹角应≤30°，保障风的穿透性。</w:t>
      </w:r>
    </w:p>
    <w:p>
      <w:pPr>
        <w:pStyle w:val="2"/>
        <w:ind w:firstLine="420"/>
        <w:rPr>
          <w:rFonts w:eastAsia="宋体" w:cs="宋体"/>
          <w:bCs/>
          <w:color w:val="auto"/>
          <w:kern w:val="0"/>
          <w:szCs w:val="21"/>
          <w:lang w:eastAsia="zh" w:bidi="ar"/>
        </w:rPr>
      </w:pPr>
      <w:r>
        <w:rPr>
          <w:rFonts w:hint="eastAsia" w:eastAsia="宋体" w:cs="宋体"/>
          <w:bCs/>
          <w:color w:val="auto"/>
          <w:kern w:val="0"/>
          <w:szCs w:val="21"/>
          <w:lang w:eastAsia="zh" w:bidi="ar"/>
        </w:rPr>
        <w:t>4 将卫生间、厨房和机房等产生污浊空气或具有高发热设备的房间置于下风向，避免污浊及热空气回流，提高室内空气品质。</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hint="eastAsia" w:cs="宋体"/>
          <w:bCs/>
          <w:kern w:val="0"/>
          <w:szCs w:val="21"/>
          <w:lang w:eastAsia="zh" w:bidi="ar"/>
        </w:rPr>
        <w:t>9</w:t>
      </w:r>
      <w:r>
        <w:rPr>
          <w:rFonts w:hint="eastAsia" w:cs="宋体"/>
          <w:color w:val="000000" w:themeColor="text1"/>
          <w:kern w:val="0"/>
          <w:szCs w:val="21"/>
          <w:lang w:bidi="ar"/>
          <w14:textFill>
            <w14:solidFill>
              <w14:schemeClr w14:val="tx1"/>
            </w14:solidFill>
          </w14:textFill>
        </w:rPr>
        <w:t>为有效利用自然通风，需要进行合理的室内平面设计、室内空间组织。夏季需要通过自然通风为建筑降温，宜使主要功能房间朝向夏季主导风向。</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穿堂通风可有效避免单侧通风中出现的进排气流参混、短路、进气气流不能充分深入房间内部等缺点，因此房间的平面布局宜有利于形成穿堂通风。要获得良好的自然穿堂风，需要如下一些基本条件：室外风要达到一定的强度；室外空气首先进入卧室、客厅等主要功能房间；穿堂气流通道上，应避免出现喉部；气流通道宜短而直；减小建筑外门窗的气流阻力。</w:t>
      </w:r>
    </w:p>
    <w:p>
      <w:pPr>
        <w:widowControl/>
        <w:ind w:firstLine="0" w:firstLineChars="0"/>
        <w:textAlignment w:val="center"/>
        <w:outlineLvl w:val="3"/>
        <w:rPr>
          <w:rFonts w:cs="宋体"/>
          <w:kern w:val="0"/>
          <w:szCs w:val="21"/>
          <w:lang w:bidi="ar"/>
        </w:rPr>
      </w:pPr>
      <w:r>
        <w:rPr>
          <w:rFonts w:hint="eastAsia" w:cs="宋体"/>
          <w:bCs/>
          <w:kern w:val="0"/>
          <w:szCs w:val="21"/>
          <w:lang w:bidi="ar"/>
        </w:rPr>
        <w:t>7.1.1</w:t>
      </w:r>
      <w:r>
        <w:rPr>
          <w:rFonts w:hint="eastAsia" w:cs="宋体"/>
          <w:bCs/>
          <w:kern w:val="0"/>
          <w:szCs w:val="21"/>
          <w:lang w:eastAsia="zh" w:bidi="ar"/>
        </w:rPr>
        <w:t>0</w:t>
      </w:r>
      <w:r>
        <w:rPr>
          <w:rFonts w:hint="eastAsia" w:cs="宋体"/>
          <w:bCs/>
          <w:kern w:val="0"/>
          <w:szCs w:val="21"/>
          <w:lang w:bidi="ar"/>
        </w:rPr>
        <w:t xml:space="preserve"> </w:t>
      </w:r>
      <w:r>
        <w:rPr>
          <w:rFonts w:hint="eastAsia" w:cs="宋体"/>
          <w:bCs/>
          <w:kern w:val="0"/>
          <w:szCs w:val="21"/>
          <w:lang w:eastAsia="zh" w:bidi="ar"/>
        </w:rPr>
        <w:t>优化建筑剖面设计，改善室内通风条件。</w:t>
      </w:r>
    </w:p>
    <w:p>
      <w:pPr>
        <w:widowControl/>
        <w:ind w:firstLine="420"/>
        <w:textAlignment w:val="center"/>
        <w:rPr>
          <w:rFonts w:cs="宋体"/>
          <w:kern w:val="0"/>
          <w:szCs w:val="21"/>
          <w:lang w:eastAsia="zh" w:bidi="ar"/>
        </w:rPr>
      </w:pPr>
      <w:r>
        <w:rPr>
          <w:rFonts w:hint="eastAsia" w:cs="宋体"/>
          <w:kern w:val="0"/>
          <w:szCs w:val="21"/>
          <w:lang w:eastAsia="zh" w:bidi="ar"/>
        </w:rPr>
        <w:t>1</w:t>
      </w:r>
      <w:r>
        <w:rPr>
          <w:rFonts w:hint="eastAsia" w:cs="宋体"/>
          <w:kern w:val="0"/>
          <w:szCs w:val="21"/>
          <w:lang w:bidi="ar"/>
        </w:rPr>
        <w:t xml:space="preserve"> 建筑剖面设计宜采用底层架空和空中花园，可适当利用场地内或周边原有水体进行景观设计，改善建筑周边微气候</w:t>
      </w:r>
      <w:r>
        <w:rPr>
          <w:rFonts w:hint="eastAsia" w:cs="宋体"/>
          <w:kern w:val="0"/>
          <w:szCs w:val="21"/>
          <w:lang w:eastAsia="zh" w:bidi="ar"/>
        </w:rPr>
        <w:t>；</w:t>
      </w:r>
    </w:p>
    <w:p>
      <w:pPr>
        <w:widowControl/>
        <w:ind w:firstLine="420"/>
        <w:textAlignment w:val="center"/>
        <w:rPr>
          <w:rFonts w:cs="宋体"/>
          <w:kern w:val="0"/>
          <w:szCs w:val="21"/>
          <w:lang w:bidi="ar"/>
        </w:rPr>
      </w:pPr>
      <w:r>
        <w:rPr>
          <w:rFonts w:hint="eastAsia" w:cs="宋体"/>
          <w:kern w:val="0"/>
          <w:szCs w:val="21"/>
          <w:lang w:eastAsia="zh" w:bidi="ar"/>
        </w:rPr>
        <w:t>2</w:t>
      </w:r>
      <w:r>
        <w:rPr>
          <w:rFonts w:hint="eastAsia" w:cs="宋体"/>
          <w:kern w:val="0"/>
          <w:szCs w:val="21"/>
          <w:lang w:bidi="ar"/>
        </w:rPr>
        <w:t xml:space="preserve"> 宜在建筑内的隔墙、隔断、内门窗等适当的部位开设通风口或者设置可以调节的通风构造；</w:t>
      </w:r>
    </w:p>
    <w:p>
      <w:pPr>
        <w:widowControl/>
        <w:ind w:firstLine="420"/>
        <w:textAlignment w:val="center"/>
        <w:rPr>
          <w:rFonts w:cs="宋体"/>
          <w:kern w:val="0"/>
          <w:szCs w:val="21"/>
          <w:lang w:eastAsia="zh" w:bidi="ar"/>
        </w:rPr>
      </w:pPr>
      <w:r>
        <w:rPr>
          <w:rFonts w:hint="eastAsia" w:cs="宋体"/>
          <w:kern w:val="0"/>
          <w:szCs w:val="21"/>
          <w:lang w:eastAsia="zh" w:bidi="ar"/>
        </w:rPr>
        <w:t>3</w:t>
      </w:r>
      <w:r>
        <w:rPr>
          <w:rFonts w:hint="eastAsia" w:cs="宋体"/>
          <w:kern w:val="0"/>
          <w:szCs w:val="21"/>
          <w:lang w:bidi="ar"/>
        </w:rPr>
        <w:t xml:space="preserve"> 当公共建筑体量较大，仅采用外立面开窗难以形成有效通风时，经技术经济分析适宜时，可设置中庭或天井。中庭或天井顶部需设置通风天窗、通风塔等通风构造</w:t>
      </w:r>
      <w:r>
        <w:rPr>
          <w:rFonts w:hint="eastAsia" w:cs="宋体"/>
          <w:kern w:val="0"/>
          <w:szCs w:val="21"/>
          <w:lang w:eastAsia="zh" w:bidi="ar"/>
        </w:rPr>
        <w:t>。</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bCs/>
          <w:kern w:val="0"/>
          <w:szCs w:val="21"/>
          <w:lang w:bidi="ar"/>
        </w:rPr>
        <w:t>7.1.1</w:t>
      </w:r>
      <w:r>
        <w:rPr>
          <w:rFonts w:hint="eastAsia" w:cs="宋体"/>
          <w:bCs/>
          <w:kern w:val="0"/>
          <w:szCs w:val="21"/>
          <w:lang w:eastAsia="zh" w:bidi="ar"/>
        </w:rPr>
        <w:t>0</w:t>
      </w:r>
      <w:r>
        <w:rPr>
          <w:rFonts w:hint="eastAsia" w:cs="宋体"/>
          <w:color w:val="000000" w:themeColor="text1"/>
          <w:kern w:val="0"/>
          <w:szCs w:val="21"/>
          <w:lang w:bidi="ar"/>
          <w14:textFill>
            <w14:solidFill>
              <w14:schemeClr w14:val="tx1"/>
            </w14:solidFill>
          </w14:textFill>
        </w:rPr>
        <w:t>中庭的热压通风是利用空气相对密度差加强通风，中庭上部空气被太阳加热，密度较小，而下部空气从外墙进入后温度相对较低，密度较大，这种由于气温不同产生的压力差会使室内热空气升起，通过中庭上部的开口逸散到室外，形成自然通风过程的烟囱效应，烟囱效应的抽吸作用会强化自然对流换热，以达到室内通风降温的目的。</w:t>
      </w:r>
      <w:r>
        <w:rPr>
          <w:rFonts w:hint="eastAsia" w:cs="宋体"/>
          <w:color w:val="000000" w:themeColor="text1"/>
          <w:kern w:val="0"/>
          <w:szCs w:val="21"/>
          <w:lang w:eastAsia="zh" w:bidi="ar"/>
          <w14:textFill>
            <w14:solidFill>
              <w14:schemeClr w14:val="tx1"/>
            </w14:solidFill>
          </w14:textFill>
        </w:rPr>
        <w:t>海南夏季炎热，通风中庭的拔风效果尤为明显。</w:t>
      </w:r>
    </w:p>
    <w:p>
      <w:pPr>
        <w:widowControl/>
        <w:ind w:firstLine="420"/>
        <w:textAlignment w:val="center"/>
      </w:pPr>
      <w:r>
        <w:rPr>
          <w:rFonts w:hint="eastAsia" w:cs="宋体"/>
          <w:color w:val="000000" w:themeColor="text1"/>
          <w:kern w:val="0"/>
          <w:szCs w:val="21"/>
          <w:lang w:bidi="ar"/>
          <w14:textFill>
            <w14:solidFill>
              <w14:schemeClr w14:val="tx1"/>
            </w14:solidFill>
          </w14:textFill>
        </w:rPr>
        <w:t>中庭上部可开启窗的设置，应注意避免中庭热空气在高处倒灌进入功能房间的情况，以免影响高层房间的热环境。在冬季中庭宜封闭，以便白天充分利用温室效应提高室温。拔风井、通风器等的设置应考虑在自然环境不利时可控制、可关闭的措施。</w:t>
      </w:r>
    </w:p>
    <w:p>
      <w:pPr>
        <w:widowControl/>
        <w:ind w:firstLine="0" w:firstLineChars="0"/>
        <w:textAlignment w:val="center"/>
        <w:outlineLvl w:val="3"/>
        <w:rPr>
          <w:rFonts w:cs="宋体"/>
          <w:bCs/>
          <w:kern w:val="0"/>
          <w:szCs w:val="21"/>
          <w:lang w:bidi="ar"/>
        </w:rPr>
      </w:pPr>
      <w:r>
        <w:rPr>
          <w:rFonts w:hint="eastAsia" w:cs="宋体"/>
          <w:bCs/>
          <w:kern w:val="0"/>
          <w:szCs w:val="21"/>
          <w:lang w:bidi="ar"/>
        </w:rPr>
        <w:t>7.1.1</w:t>
      </w:r>
      <w:r>
        <w:rPr>
          <w:rFonts w:hint="eastAsia" w:cs="宋体"/>
          <w:bCs/>
          <w:kern w:val="0"/>
          <w:szCs w:val="21"/>
          <w:lang w:eastAsia="zh" w:bidi="ar"/>
        </w:rPr>
        <w:t>1</w:t>
      </w:r>
      <w:r>
        <w:rPr>
          <w:rFonts w:hint="eastAsia" w:cs="宋体"/>
          <w:kern w:val="0"/>
          <w:szCs w:val="21"/>
          <w:lang w:bidi="ar"/>
        </w:rPr>
        <w:t xml:space="preserve"> </w:t>
      </w:r>
      <w:r>
        <w:rPr>
          <w:rFonts w:hint="eastAsia" w:cs="宋体"/>
          <w:kern w:val="0"/>
          <w:szCs w:val="21"/>
          <w:lang w:eastAsia="zh" w:bidi="ar"/>
        </w:rPr>
        <w:t>深化</w:t>
      </w:r>
      <w:r>
        <w:rPr>
          <w:rFonts w:hint="eastAsia" w:cs="宋体"/>
          <w:bCs/>
          <w:kern w:val="0"/>
          <w:szCs w:val="21"/>
          <w:lang w:bidi="ar"/>
        </w:rPr>
        <w:t>外窗</w:t>
      </w:r>
      <w:r>
        <w:rPr>
          <w:rFonts w:hint="eastAsia" w:cs="宋体"/>
          <w:bCs/>
          <w:kern w:val="0"/>
          <w:szCs w:val="21"/>
          <w:lang w:eastAsia="zh" w:bidi="ar"/>
        </w:rPr>
        <w:t>构造设计，外窗</w:t>
      </w:r>
      <w:r>
        <w:rPr>
          <w:rFonts w:hint="eastAsia" w:cs="宋体"/>
          <w:bCs/>
          <w:kern w:val="0"/>
          <w:szCs w:val="21"/>
          <w:lang w:bidi="ar"/>
        </w:rPr>
        <w:t>开口位置</w:t>
      </w:r>
      <w:r>
        <w:rPr>
          <w:rFonts w:hint="eastAsia" w:cs="宋体"/>
          <w:bCs/>
          <w:kern w:val="0"/>
          <w:szCs w:val="21"/>
          <w:lang w:eastAsia="zh" w:bidi="ar"/>
        </w:rPr>
        <w:t>、</w:t>
      </w:r>
      <w:r>
        <w:rPr>
          <w:rFonts w:hint="eastAsia" w:cs="宋体"/>
          <w:bCs/>
          <w:kern w:val="0"/>
          <w:szCs w:val="21"/>
          <w:lang w:bidi="ar"/>
        </w:rPr>
        <w:t>开启面积</w:t>
      </w:r>
      <w:r>
        <w:rPr>
          <w:rFonts w:hint="eastAsia" w:cs="宋体"/>
          <w:bCs/>
          <w:kern w:val="0"/>
          <w:szCs w:val="21"/>
          <w:lang w:eastAsia="zh" w:bidi="ar"/>
        </w:rPr>
        <w:t>等</w:t>
      </w:r>
      <w:r>
        <w:rPr>
          <w:rFonts w:hint="eastAsia" w:cs="宋体"/>
          <w:bCs/>
          <w:kern w:val="0"/>
          <w:szCs w:val="21"/>
          <w:lang w:bidi="ar"/>
        </w:rPr>
        <w:t>宜符合下列规定：</w:t>
      </w:r>
    </w:p>
    <w:p>
      <w:pPr>
        <w:widowControl/>
        <w:ind w:firstLine="420"/>
        <w:textAlignment w:val="center"/>
        <w:rPr>
          <w:rFonts w:cs="宋体"/>
          <w:bCs/>
          <w:kern w:val="0"/>
          <w:szCs w:val="21"/>
          <w:lang w:bidi="ar"/>
        </w:rPr>
      </w:pPr>
      <w:r>
        <w:rPr>
          <w:rFonts w:hint="eastAsia" w:cs="宋体"/>
          <w:bCs/>
          <w:kern w:val="0"/>
          <w:szCs w:val="21"/>
          <w:lang w:bidi="ar"/>
        </w:rPr>
        <w:t>1</w:t>
      </w:r>
      <w:r>
        <w:rPr>
          <w:rFonts w:hint="eastAsia" w:cs="宋体"/>
          <w:kern w:val="0"/>
          <w:szCs w:val="21"/>
          <w:lang w:bidi="ar"/>
        </w:rPr>
        <w:t xml:space="preserve"> 结合建筑表面风压分析，充分利用建筑外立面表面风压条件设置可开启扇。居住建筑自然通风开口面积不应小于房间地面面积的10%，公共建筑主要功能房间外窗应采取通风措施</w:t>
      </w:r>
      <w:r>
        <w:rPr>
          <w:rFonts w:hint="eastAsia" w:cs="宋体"/>
          <w:bCs/>
          <w:kern w:val="0"/>
          <w:szCs w:val="21"/>
          <w:lang w:bidi="ar"/>
        </w:rPr>
        <w:t>；</w:t>
      </w:r>
    </w:p>
    <w:p>
      <w:pPr>
        <w:widowControl/>
        <w:ind w:firstLine="420"/>
        <w:textAlignment w:val="center"/>
        <w:rPr>
          <w:rFonts w:cs="宋体"/>
          <w:bCs/>
          <w:kern w:val="0"/>
          <w:szCs w:val="21"/>
          <w:lang w:eastAsia="zh" w:bidi="ar"/>
        </w:rPr>
      </w:pPr>
      <w:r>
        <w:rPr>
          <w:rFonts w:hint="eastAsia" w:cs="宋体"/>
          <w:bCs/>
          <w:kern w:val="0"/>
          <w:szCs w:val="21"/>
          <w:lang w:eastAsia="zh" w:bidi="ar"/>
        </w:rPr>
        <w:t>2 合理控制进、排风口的面积比，宜为</w:t>
      </w:r>
      <w:r>
        <w:rPr>
          <w:rFonts w:cs="宋体"/>
          <w:bCs/>
          <w:kern w:val="0"/>
          <w:szCs w:val="21"/>
          <w:lang w:eastAsia="zh" w:bidi="ar"/>
        </w:rPr>
        <w:t>1:1.5~2.0</w:t>
      </w:r>
      <w:r>
        <w:rPr>
          <w:rFonts w:hint="eastAsia" w:cs="宋体"/>
          <w:bCs/>
          <w:kern w:val="0"/>
          <w:szCs w:val="21"/>
          <w:lang w:eastAsia="zh" w:bidi="ar"/>
        </w:rPr>
        <w:t>，以便加速空气流动；</w:t>
      </w:r>
    </w:p>
    <w:p>
      <w:pPr>
        <w:widowControl/>
        <w:ind w:firstLine="420"/>
        <w:textAlignment w:val="center"/>
        <w:rPr>
          <w:rFonts w:cs="宋体"/>
          <w:bCs/>
          <w:kern w:val="0"/>
          <w:szCs w:val="21"/>
          <w:lang w:eastAsia="zh" w:bidi="ar"/>
        </w:rPr>
      </w:pPr>
      <w:r>
        <w:rPr>
          <w:rFonts w:hint="eastAsia" w:cs="宋体"/>
          <w:bCs/>
          <w:kern w:val="0"/>
          <w:szCs w:val="21"/>
          <w:lang w:eastAsia="zh" w:bidi="ar"/>
        </w:rPr>
        <w:t>3 适当采用高低窗组合，低窗（距地0.9m）进风，高窗（距顶0.5m）排热，利用热压差通风；</w:t>
      </w:r>
    </w:p>
    <w:p>
      <w:pPr>
        <w:widowControl/>
        <w:ind w:firstLine="420"/>
        <w:textAlignment w:val="center"/>
        <w:rPr>
          <w:rFonts w:cs="宋体"/>
          <w:kern w:val="0"/>
          <w:szCs w:val="21"/>
          <w:lang w:eastAsia="zh" w:bidi="ar"/>
        </w:rPr>
      </w:pPr>
      <w:r>
        <w:rPr>
          <w:rFonts w:hint="eastAsia" w:cs="宋体"/>
          <w:kern w:val="0"/>
          <w:szCs w:val="21"/>
          <w:lang w:eastAsia="zh" w:bidi="ar"/>
        </w:rPr>
        <w:t>4</w:t>
      </w:r>
      <w:r>
        <w:rPr>
          <w:rFonts w:hint="eastAsia" w:cs="宋体"/>
          <w:kern w:val="0"/>
          <w:szCs w:val="21"/>
          <w:lang w:bidi="ar"/>
        </w:rPr>
        <w:t xml:space="preserve"> 当建筑朝向不利、开窗开口与主导风向夹角过小时，宜配合导风墙、导风板等构件设置，引导气流进入建筑内部</w:t>
      </w:r>
      <w:r>
        <w:rPr>
          <w:rFonts w:hint="eastAsia" w:cs="宋体"/>
          <w:kern w:val="0"/>
          <w:szCs w:val="21"/>
          <w:lang w:eastAsia="zh" w:bidi="ar"/>
        </w:rPr>
        <w:t>。</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7.1.1</w:t>
      </w:r>
      <w:r>
        <w:rPr>
          <w:rFonts w:hint="eastAsia" w:cs="宋体"/>
          <w:bCs/>
          <w:kern w:val="0"/>
          <w:szCs w:val="21"/>
          <w:lang w:eastAsia="zh" w:bidi="ar"/>
        </w:rPr>
        <w:t>1</w:t>
      </w:r>
      <w:r>
        <w:rPr>
          <w:rFonts w:hint="eastAsia" w:cs="宋体"/>
          <w:color w:val="000000" w:themeColor="text1"/>
          <w:kern w:val="0"/>
          <w:szCs w:val="21"/>
          <w:lang w:eastAsia="zh" w:bidi="ar"/>
          <w14:textFill>
            <w14:solidFill>
              <w14:schemeClr w14:val="tx1"/>
            </w14:solidFill>
          </w14:textFill>
        </w:rPr>
        <w:t>为加强自然通风效果，需要进行门窗位置、尺寸与开启方式等精细化设计，</w:t>
      </w:r>
      <w:r>
        <w:rPr>
          <w:rFonts w:hint="eastAsia" w:cs="宋体"/>
          <w:color w:val="000000" w:themeColor="text1"/>
          <w:kern w:val="0"/>
          <w:szCs w:val="21"/>
          <w:lang w:bidi="ar"/>
          <w14:textFill>
            <w14:solidFill>
              <w14:schemeClr w14:val="tx1"/>
            </w14:solidFill>
          </w14:textFill>
        </w:rPr>
        <w:t>并鼓励采用导风墙等创新手段保证建筑的自然通风。</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12</w:t>
      </w:r>
      <w:r>
        <w:rPr>
          <w:rFonts w:hint="eastAsia" w:cs="宋体"/>
          <w:kern w:val="0"/>
          <w:szCs w:val="21"/>
          <w:lang w:bidi="ar"/>
        </w:rPr>
        <w:t xml:space="preserve"> </w:t>
      </w:r>
      <w:r>
        <w:rPr>
          <w:rFonts w:hint="eastAsia" w:cs="宋体"/>
          <w:bCs/>
          <w:kern w:val="0"/>
          <w:szCs w:val="21"/>
          <w:lang w:bidi="ar"/>
        </w:rPr>
        <w:t>当室外条件不适宜采用自然通风或仅通过自然通风无法满足建筑环境需求的情况下，宜采用混合通风模式，并宜设计相应的控制系统，根据自然驱动力的强弱和室外气候条件的变化控制风机的启停。</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firstLineChars="0"/>
        <w:textAlignment w:val="center"/>
        <w:rPr>
          <w:rFonts w:cs="宋体"/>
          <w:bCs/>
          <w:kern w:val="0"/>
          <w:szCs w:val="21"/>
          <w:lang w:bidi="ar"/>
        </w:rPr>
      </w:pPr>
      <w:r>
        <w:rPr>
          <w:rFonts w:hint="eastAsia" w:cs="宋体"/>
          <w:bCs/>
          <w:kern w:val="0"/>
          <w:szCs w:val="21"/>
          <w:lang w:bidi="ar"/>
        </w:rPr>
        <w:t>7.1.</w:t>
      </w:r>
      <w:r>
        <w:rPr>
          <w:rFonts w:hint="eastAsia" w:cs="宋体"/>
          <w:bCs/>
          <w:kern w:val="0"/>
          <w:szCs w:val="21"/>
          <w:lang w:eastAsia="zh" w:bidi="ar"/>
        </w:rPr>
        <w:t>12</w:t>
      </w:r>
      <w:r>
        <w:rPr>
          <w:rFonts w:hint="eastAsia" w:cs="宋体"/>
          <w:color w:val="000000" w:themeColor="text1"/>
          <w:kern w:val="0"/>
          <w:szCs w:val="21"/>
          <w:lang w:bidi="ar"/>
          <w14:textFill>
            <w14:solidFill>
              <w14:schemeClr w14:val="tx1"/>
            </w14:solidFill>
          </w14:textFill>
        </w:rPr>
        <w:t>过渡季通过开启门窗等自然通风（当条件容许时）方式是最经济的通风方式；（当无条件时）通过多种机械通风方案进行经济比较，采用适宜的机械通风系统消除室内热湿、既可以减少房间内空调设备运行时间，又能确保室内空气的质量，达到生态、绿色、健康、节能的目的。</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13</w:t>
      </w:r>
      <w:r>
        <w:rPr>
          <w:rFonts w:hint="eastAsia" w:cs="宋体"/>
          <w:bCs/>
          <w:kern w:val="0"/>
          <w:szCs w:val="21"/>
          <w:lang w:bidi="ar"/>
        </w:rPr>
        <w:t xml:space="preserve"> </w:t>
      </w:r>
      <w:r>
        <w:rPr>
          <w:rFonts w:hint="eastAsia" w:cs="宋体"/>
          <w:bCs/>
          <w:kern w:val="0"/>
          <w:szCs w:val="21"/>
          <w:lang w:eastAsia="zh" w:bidi="ar"/>
        </w:rPr>
        <w:t>加强适候性设计，充分利用天然采光。</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w:t>
      </w:r>
      <w:r>
        <w:rPr>
          <w:rFonts w:hint="eastAsia" w:cs="宋体"/>
          <w:kern w:val="0"/>
          <w:szCs w:val="21"/>
          <w:lang w:eastAsia="zh" w:bidi="ar"/>
        </w:rPr>
        <w:t>合理控制进深，单侧采光房间进深宜≤2.5倍窗高；</w:t>
      </w:r>
    </w:p>
    <w:p>
      <w:pPr>
        <w:widowControl/>
        <w:ind w:firstLine="420"/>
        <w:textAlignment w:val="center"/>
        <w:rPr>
          <w:rFonts w:cs="宋体"/>
          <w:kern w:val="0"/>
          <w:szCs w:val="21"/>
          <w:lang w:eastAsia="zh" w:bidi="ar"/>
        </w:rPr>
      </w:pPr>
      <w:r>
        <w:rPr>
          <w:rFonts w:hint="eastAsia" w:cs="宋体"/>
          <w:bCs/>
          <w:kern w:val="0"/>
          <w:szCs w:val="21"/>
          <w:lang w:bidi="ar"/>
        </w:rPr>
        <w:t>2</w:t>
      </w:r>
      <w:r>
        <w:rPr>
          <w:rFonts w:hint="eastAsia" w:cs="宋体"/>
          <w:kern w:val="0"/>
          <w:szCs w:val="21"/>
          <w:lang w:bidi="ar"/>
        </w:rPr>
        <w:t xml:space="preserve"> </w:t>
      </w:r>
      <w:r>
        <w:rPr>
          <w:rFonts w:hint="eastAsia" w:cs="宋体"/>
          <w:kern w:val="0"/>
          <w:szCs w:val="21"/>
          <w:lang w:eastAsia="zh" w:bidi="ar"/>
        </w:rPr>
        <w:t>优化剖面设计，采用阶梯式退台，减少相互遮挡；</w:t>
      </w:r>
    </w:p>
    <w:p>
      <w:pPr>
        <w:widowControl/>
        <w:ind w:firstLine="420"/>
        <w:textAlignment w:val="center"/>
        <w:rPr>
          <w:rFonts w:cs="宋体"/>
          <w:bCs/>
          <w:kern w:val="0"/>
          <w:szCs w:val="21"/>
          <w:lang w:eastAsia="zh" w:bidi="ar"/>
        </w:rPr>
      </w:pPr>
      <w:r>
        <w:rPr>
          <w:rFonts w:hint="eastAsia" w:cs="宋体"/>
          <w:bCs/>
          <w:kern w:val="0"/>
          <w:szCs w:val="21"/>
          <w:lang w:eastAsia="zh" w:bidi="ar"/>
        </w:rPr>
        <w:t>3</w:t>
      </w:r>
      <w:r>
        <w:rPr>
          <w:rFonts w:cs="宋体"/>
          <w:bCs/>
          <w:kern w:val="0"/>
          <w:szCs w:val="21"/>
          <w:lang w:bidi="ar"/>
        </w:rPr>
        <w:t xml:space="preserve"> </w:t>
      </w:r>
      <w:r>
        <w:rPr>
          <w:rFonts w:hint="eastAsia" w:cs="宋体"/>
          <w:bCs/>
          <w:kern w:val="0"/>
          <w:szCs w:val="21"/>
          <w:lang w:eastAsia="zh" w:bidi="ar"/>
        </w:rPr>
        <w:t>结合建筑造型，采用锯齿形立面，增加采光面积；</w:t>
      </w:r>
    </w:p>
    <w:p>
      <w:pPr>
        <w:widowControl/>
        <w:ind w:firstLine="420"/>
        <w:textAlignment w:val="center"/>
        <w:rPr>
          <w:rFonts w:cs="宋体"/>
          <w:bCs/>
          <w:kern w:val="0"/>
          <w:szCs w:val="21"/>
          <w:lang w:bidi="ar"/>
        </w:rPr>
      </w:pPr>
      <w:r>
        <w:rPr>
          <w:rFonts w:hint="eastAsia" w:cs="宋体"/>
          <w:bCs/>
          <w:kern w:val="0"/>
          <w:szCs w:val="21"/>
          <w:lang w:eastAsia="zh" w:bidi="ar"/>
        </w:rPr>
        <w:t>4</w:t>
      </w:r>
      <w:r>
        <w:rPr>
          <w:rFonts w:hint="eastAsia" w:cs="宋体"/>
          <w:bCs/>
          <w:kern w:val="0"/>
          <w:szCs w:val="21"/>
          <w:lang w:bidi="ar"/>
        </w:rPr>
        <w:t xml:space="preserve"> </w:t>
      </w:r>
      <w:r>
        <w:rPr>
          <w:rFonts w:hint="eastAsia" w:cs="宋体"/>
          <w:bCs/>
          <w:kern w:val="0"/>
          <w:szCs w:val="21"/>
          <w:lang w:eastAsia="zh" w:bidi="ar"/>
        </w:rPr>
        <w:t>采用</w:t>
      </w:r>
      <w:r>
        <w:rPr>
          <w:rFonts w:hint="eastAsia" w:cs="宋体"/>
          <w:bCs/>
          <w:kern w:val="0"/>
          <w:szCs w:val="21"/>
          <w:lang w:bidi="ar"/>
        </w:rPr>
        <w:t>水平遮阳板</w:t>
      </w:r>
      <w:r>
        <w:rPr>
          <w:rFonts w:hint="eastAsia" w:cs="宋体"/>
          <w:bCs/>
          <w:kern w:val="0"/>
          <w:szCs w:val="21"/>
          <w:lang w:eastAsia="zh" w:bidi="ar"/>
        </w:rPr>
        <w:t>结合</w:t>
      </w:r>
      <w:r>
        <w:rPr>
          <w:rFonts w:hint="eastAsia" w:cs="宋体"/>
          <w:bCs/>
          <w:kern w:val="0"/>
          <w:szCs w:val="21"/>
          <w:lang w:bidi="ar"/>
        </w:rPr>
        <w:t>镜面反光涂层</w:t>
      </w:r>
      <w:r>
        <w:rPr>
          <w:rFonts w:hint="eastAsia" w:cs="宋体"/>
          <w:bCs/>
          <w:kern w:val="0"/>
          <w:szCs w:val="21"/>
          <w:lang w:eastAsia="zh" w:bidi="ar"/>
        </w:rPr>
        <w:t>，</w:t>
      </w:r>
      <w:r>
        <w:rPr>
          <w:rFonts w:hint="eastAsia" w:cs="宋体"/>
          <w:bCs/>
          <w:kern w:val="0"/>
          <w:szCs w:val="21"/>
          <w:lang w:bidi="ar"/>
        </w:rPr>
        <w:t>将光线反射至天花</w:t>
      </w:r>
      <w:r>
        <w:rPr>
          <w:rFonts w:hint="eastAsia" w:cs="宋体"/>
          <w:bCs/>
          <w:kern w:val="0"/>
          <w:szCs w:val="21"/>
          <w:lang w:eastAsia="zh" w:bidi="ar"/>
        </w:rPr>
        <w:t>，提升照度均匀性‌</w:t>
      </w:r>
      <w:r>
        <w:rPr>
          <w:rFonts w:hint="eastAsia" w:cs="宋体"/>
          <w:bCs/>
          <w:kern w:val="0"/>
          <w:szCs w:val="21"/>
          <w:lang w:bidi="ar"/>
        </w:rPr>
        <w:t>。</w:t>
      </w:r>
    </w:p>
    <w:p>
      <w:pPr>
        <w:widowControl/>
        <w:ind w:firstLine="420"/>
        <w:textAlignment w:val="center"/>
        <w:rPr>
          <w:rFonts w:cs="宋体"/>
          <w:bCs/>
          <w:kern w:val="0"/>
          <w:szCs w:val="21"/>
          <w:lang w:eastAsia="zh" w:bidi="ar"/>
        </w:rPr>
      </w:pPr>
      <w:r>
        <w:rPr>
          <w:rFonts w:hint="eastAsia" w:cs="宋体"/>
          <w:bCs/>
          <w:kern w:val="0"/>
          <w:szCs w:val="21"/>
          <w:lang w:eastAsia="zh" w:bidi="ar"/>
        </w:rPr>
        <w:t>5 设置电动通风天窗，夏季开敞通风散热，冬季闭合保温，同时高效引入天然光。</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hint="eastAsia" w:cs="宋体"/>
          <w:bCs/>
          <w:kern w:val="0"/>
          <w:szCs w:val="21"/>
          <w:lang w:eastAsia="zh" w:bidi="ar"/>
        </w:rPr>
        <w:t>13</w:t>
      </w:r>
      <w:r>
        <w:rPr>
          <w:rFonts w:hint="eastAsia" w:cs="宋体"/>
          <w:color w:val="000000" w:themeColor="text1"/>
          <w:kern w:val="0"/>
          <w:szCs w:val="21"/>
          <w:lang w:bidi="ar"/>
          <w14:textFill>
            <w14:solidFill>
              <w14:schemeClr w14:val="tx1"/>
            </w14:solidFill>
          </w14:textFill>
        </w:rPr>
        <w:t>充足的自然采光有利于使用者的生理和心理健康，同时也有利于降低人工照明能耗。各种光源的视觉试验结果表明，在同样照度的条件下，天然光的辨认能力优于人工光，从而有利于人们工作、生活、保护视力和提高劳动生产率。</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第1款，海南太阳入射角高，房间进深过大不利于采光。</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w:t>
      </w:r>
      <w:r>
        <w:rPr>
          <w:rFonts w:cs="宋体"/>
          <w:color w:val="000000" w:themeColor="text1"/>
          <w:kern w:val="0"/>
          <w:szCs w:val="21"/>
          <w:lang w:eastAsia="zh" w:bidi="ar"/>
          <w14:textFill>
            <w14:solidFill>
              <w14:schemeClr w14:val="tx1"/>
            </w14:solidFill>
          </w14:textFill>
        </w:rPr>
        <w:t>4</w:t>
      </w:r>
      <w:r>
        <w:rPr>
          <w:rFonts w:hint="eastAsia" w:cs="宋体"/>
          <w:color w:val="000000" w:themeColor="text1"/>
          <w:kern w:val="0"/>
          <w:szCs w:val="21"/>
          <w:lang w:eastAsia="zh" w:bidi="ar"/>
          <w14:textFill>
            <w14:solidFill>
              <w14:schemeClr w14:val="tx1"/>
            </w14:solidFill>
          </w14:textFill>
        </w:rPr>
        <w:t>款，海南太阳辐射强烈，遮阳和采光往往不可兼得，通过</w:t>
      </w:r>
      <w:r>
        <w:rPr>
          <w:rFonts w:hint="eastAsia" w:cs="宋体"/>
          <w:bCs/>
          <w:kern w:val="0"/>
          <w:szCs w:val="21"/>
          <w:lang w:bidi="ar"/>
        </w:rPr>
        <w:t>水平遮阳板</w:t>
      </w:r>
      <w:r>
        <w:rPr>
          <w:rFonts w:hint="eastAsia" w:cs="宋体"/>
          <w:bCs/>
          <w:kern w:val="0"/>
          <w:szCs w:val="21"/>
          <w:lang w:eastAsia="zh" w:bidi="ar"/>
        </w:rPr>
        <w:t>结合</w:t>
      </w:r>
      <w:r>
        <w:rPr>
          <w:rFonts w:hint="eastAsia" w:cs="宋体"/>
          <w:bCs/>
          <w:kern w:val="0"/>
          <w:szCs w:val="21"/>
          <w:lang w:bidi="ar"/>
        </w:rPr>
        <w:t>镜面反光涂层</w:t>
      </w:r>
      <w:r>
        <w:rPr>
          <w:rFonts w:hint="eastAsia" w:cs="宋体"/>
          <w:bCs/>
          <w:kern w:val="0"/>
          <w:szCs w:val="21"/>
          <w:lang w:eastAsia="zh" w:bidi="ar"/>
        </w:rPr>
        <w:t>的形式，形成反光遮阳系统</w:t>
      </w:r>
      <w:r>
        <w:rPr>
          <w:rFonts w:hint="eastAsia" w:cs="宋体"/>
          <w:color w:val="000000" w:themeColor="text1"/>
          <w:kern w:val="0"/>
          <w:szCs w:val="21"/>
          <w:lang w:eastAsia="zh" w:bidi="ar"/>
          <w14:textFill>
            <w14:solidFill>
              <w14:schemeClr w14:val="tx1"/>
            </w14:solidFill>
          </w14:textFill>
        </w:rPr>
        <w:t>，使得建筑可以同时满足遮阳和采光需求。</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第5款，针对海南夏季炎热、冬季体感偏冷的气候特点，通过</w:t>
      </w:r>
      <w:r>
        <w:rPr>
          <w:rFonts w:hint="eastAsia" w:cs="宋体"/>
          <w:bCs/>
          <w:kern w:val="0"/>
          <w:szCs w:val="21"/>
          <w:lang w:eastAsia="zh" w:bidi="ar"/>
        </w:rPr>
        <w:t>通风和采光的协同设计，可以降低夏季的空调冷负荷和冬季的照明能耗，还可搭配遮阳设计（如可调百叶、植被遮光）</w:t>
      </w:r>
      <w:r>
        <w:rPr>
          <w:rFonts w:hint="eastAsia" w:cs="宋体"/>
          <w:color w:val="000000" w:themeColor="text1"/>
          <w:kern w:val="0"/>
          <w:szCs w:val="21"/>
          <w:lang w:eastAsia="zh" w:bidi="ar"/>
          <w14:textFill>
            <w14:solidFill>
              <w14:schemeClr w14:val="tx1"/>
            </w14:solidFill>
          </w14:textFill>
        </w:rPr>
        <w:t>。</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14</w:t>
      </w:r>
      <w:r>
        <w:rPr>
          <w:rFonts w:hint="eastAsia" w:cs="宋体"/>
          <w:bCs/>
          <w:kern w:val="0"/>
          <w:szCs w:val="21"/>
          <w:lang w:bidi="ar"/>
        </w:rPr>
        <w:t xml:space="preserve"> </w:t>
      </w:r>
      <w:r>
        <w:rPr>
          <w:rFonts w:hint="eastAsia" w:cs="宋体"/>
          <w:bCs/>
          <w:kern w:val="0"/>
          <w:szCs w:val="21"/>
          <w:lang w:eastAsia="zh" w:bidi="ar"/>
        </w:rPr>
        <w:t>当条件受限建筑中出现大进深空间时，应采取以下措施改善采光效果</w:t>
      </w:r>
      <w:r>
        <w:rPr>
          <w:rFonts w:hint="eastAsia" w:cs="宋体"/>
          <w:bCs/>
          <w:kern w:val="0"/>
          <w:szCs w:val="21"/>
          <w:lang w:bidi="ar"/>
        </w:rPr>
        <w:t>：</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结合采光模拟计算优化建筑的进深，办公功能空间内部宜采用开敞式布局减少内部隔断，或采用玻璃隔断。</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 xml:space="preserve"> 进深较大时可在外窗上设置反光板加强内区的自然采光。反光板宜设置在窗口内侧，窗口中上部，上部留有600mm-900mm进光口；反光板在窗口内侧出挑宽度宜在400mm-900mmm；反光板材质宜为反光金属板。</w:t>
      </w:r>
    </w:p>
    <w:p>
      <w:pPr>
        <w:widowControl/>
        <w:ind w:firstLine="420"/>
        <w:textAlignment w:val="center"/>
        <w:rPr>
          <w:rFonts w:cs="宋体"/>
          <w:kern w:val="0"/>
          <w:szCs w:val="21"/>
          <w:lang w:bidi="ar"/>
        </w:rPr>
      </w:pPr>
      <w:r>
        <w:rPr>
          <w:rFonts w:hint="eastAsia" w:cs="宋体"/>
          <w:bCs/>
          <w:kern w:val="0"/>
          <w:szCs w:val="21"/>
          <w:lang w:bidi="ar"/>
        </w:rPr>
        <w:t>3</w:t>
      </w:r>
      <w:r>
        <w:rPr>
          <w:rFonts w:hint="eastAsia" w:cs="宋体"/>
          <w:kern w:val="0"/>
          <w:szCs w:val="21"/>
          <w:lang w:bidi="ar"/>
        </w:rPr>
        <w:t xml:space="preserve"> 大进深的公共建筑可通过设置采光中庭、天井等措施改善自然采光。中庭、天井的四周墙面、地面宜采用浅色材料。</w:t>
      </w:r>
    </w:p>
    <w:p>
      <w:pPr>
        <w:widowControl/>
        <w:ind w:firstLine="420"/>
        <w:textAlignment w:val="center"/>
        <w:rPr>
          <w:rFonts w:cs="宋体"/>
          <w:kern w:val="0"/>
          <w:szCs w:val="21"/>
          <w:lang w:bidi="ar"/>
        </w:rPr>
      </w:pPr>
      <w:r>
        <w:rPr>
          <w:rFonts w:hint="eastAsia" w:cs="宋体"/>
          <w:bCs/>
          <w:kern w:val="0"/>
          <w:szCs w:val="21"/>
          <w:lang w:bidi="ar"/>
        </w:rPr>
        <w:t>4</w:t>
      </w:r>
      <w:r>
        <w:rPr>
          <w:rFonts w:hint="eastAsia" w:cs="宋体"/>
          <w:kern w:val="0"/>
          <w:szCs w:val="21"/>
          <w:lang w:bidi="ar"/>
        </w:rPr>
        <w:t xml:space="preserve"> 大进深空间的顶层和地下空间可通过设置采光天窗、采光侧窗、下沉庭院、导光管</w:t>
      </w:r>
      <w:r>
        <w:rPr>
          <w:rFonts w:hint="eastAsia" w:cs="宋体"/>
          <w:kern w:val="0"/>
          <w:szCs w:val="21"/>
          <w:lang w:eastAsia="zh" w:bidi="ar"/>
        </w:rPr>
        <w:t>和太阳能灯</w:t>
      </w:r>
      <w:r>
        <w:rPr>
          <w:rFonts w:hint="eastAsia" w:cs="宋体"/>
          <w:kern w:val="0"/>
          <w:szCs w:val="21"/>
          <w:lang w:bidi="ar"/>
        </w:rPr>
        <w:t>等措施改善自然采光。</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hint="eastAsia" w:cs="宋体"/>
          <w:bCs/>
          <w:kern w:val="0"/>
          <w:szCs w:val="21"/>
          <w:lang w:eastAsia="zh" w:bidi="ar"/>
        </w:rPr>
        <w:t>14</w:t>
      </w:r>
      <w:r>
        <w:rPr>
          <w:rFonts w:hint="eastAsia" w:cs="宋体"/>
          <w:color w:val="000000" w:themeColor="text1"/>
          <w:kern w:val="0"/>
          <w:szCs w:val="21"/>
          <w:lang w:eastAsia="zh" w:bidi="ar"/>
          <w14:textFill>
            <w14:solidFill>
              <w14:schemeClr w14:val="tx1"/>
            </w14:solidFill>
          </w14:textFill>
        </w:rPr>
        <w:t>建筑设计时不可避免会出现大进深空间，在公共建筑中较为常见，这类空间的采光效果极差，因此采取有效措施改善其采光能力可有助于降低照明能耗</w:t>
      </w:r>
      <w:r>
        <w:rPr>
          <w:rFonts w:hint="eastAsia" w:cs="宋体"/>
          <w:color w:val="000000" w:themeColor="text1"/>
          <w:kern w:val="0"/>
          <w:szCs w:val="21"/>
          <w:lang w:bidi="ar"/>
          <w14:textFill>
            <w14:solidFill>
              <w14:schemeClr w14:val="tx1"/>
            </w14:solidFill>
          </w14:textFill>
        </w:rPr>
        <w:t>。</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第1款，应参考《绿色建筑评价标准》GB/T 50378的规定，采用全年动态采光计算软件进行模拟计算，计算时应采用标准年的光气候数据，计算参数按照现行行业标准《民用建筑绿色性能计算标准》JGJ/T 449执行。</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第2款，公共建筑层高较高，平面进深大，在有阳光照射的外窗内侧设置导光板，通过导光板的反射和漫射，将自然光导入室内，提高室内的自然光照射度，减少人工照明补光，节约建筑照明能耗。导光板尺度及位置宜经计算确定，通常出挑宽度不小于400mm，板上进光口不小于600mm。</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第3款，建筑进深对建筑照明能耗影响较大，对于进深较大的房间，应通过采光中庭和采光竖井的设计，引入天然采光。此外，可考虑利用光导管、导光光纤等导光设施引入自然采光，减少照明光源的使用。</w:t>
      </w:r>
    </w:p>
    <w:p>
      <w:pPr>
        <w:widowControl/>
        <w:ind w:firstLine="420" w:firstLineChars="0"/>
        <w:textAlignment w:val="center"/>
        <w:rPr>
          <w:rFonts w:cs="宋体"/>
          <w:bCs/>
          <w:kern w:val="0"/>
          <w:szCs w:val="21"/>
          <w:lang w:bidi="ar"/>
        </w:rPr>
      </w:pPr>
      <w:r>
        <w:rPr>
          <w:rFonts w:hint="eastAsia" w:cs="宋体"/>
          <w:color w:val="000000" w:themeColor="text1"/>
          <w:kern w:val="0"/>
          <w:szCs w:val="21"/>
          <w:lang w:bidi="ar"/>
          <w14:textFill>
            <w14:solidFill>
              <w14:schemeClr w14:val="tx1"/>
            </w14:solidFill>
          </w14:textFill>
        </w:rPr>
        <w:t>第4款，采用下沉广场（庭院）、天窗、光导管系统</w:t>
      </w:r>
      <w:r>
        <w:rPr>
          <w:rFonts w:hint="eastAsia" w:cs="宋体"/>
          <w:color w:val="000000" w:themeColor="text1"/>
          <w:kern w:val="0"/>
          <w:szCs w:val="21"/>
          <w:lang w:eastAsia="zh" w:bidi="ar"/>
          <w14:textFill>
            <w14:solidFill>
              <w14:schemeClr w14:val="tx1"/>
            </w14:solidFill>
          </w14:textFill>
        </w:rPr>
        <w:t>、太阳能灯</w:t>
      </w:r>
      <w:r>
        <w:rPr>
          <w:rFonts w:hint="eastAsia" w:cs="宋体"/>
          <w:color w:val="000000" w:themeColor="text1"/>
          <w:kern w:val="0"/>
          <w:szCs w:val="21"/>
          <w:lang w:bidi="ar"/>
          <w14:textFill>
            <w14:solidFill>
              <w14:schemeClr w14:val="tx1"/>
            </w14:solidFill>
          </w14:textFill>
        </w:rPr>
        <w:t>等，可改善地下车库等的采光，降低照明能耗。</w:t>
      </w:r>
    </w:p>
    <w:p>
      <w:pPr>
        <w:widowControl/>
        <w:ind w:firstLine="0" w:firstLineChars="0"/>
        <w:textAlignment w:val="center"/>
        <w:outlineLvl w:val="3"/>
        <w:rPr>
          <w:rFonts w:cs="宋体"/>
          <w:kern w:val="0"/>
          <w:szCs w:val="21"/>
          <w:lang w:bidi="ar"/>
        </w:rPr>
      </w:pPr>
      <w:r>
        <w:rPr>
          <w:rFonts w:hint="eastAsia" w:cs="宋体"/>
          <w:bCs/>
          <w:kern w:val="0"/>
          <w:szCs w:val="21"/>
          <w:lang w:bidi="ar"/>
        </w:rPr>
        <w:t>7.1.1</w:t>
      </w:r>
      <w:r>
        <w:rPr>
          <w:rFonts w:hint="eastAsia" w:cs="宋体"/>
          <w:bCs/>
          <w:kern w:val="0"/>
          <w:szCs w:val="21"/>
          <w:lang w:eastAsia="zh" w:bidi="ar"/>
        </w:rPr>
        <w:t>5</w:t>
      </w:r>
      <w:r>
        <w:rPr>
          <w:rFonts w:hint="eastAsia" w:cs="宋体"/>
          <w:color w:val="000000" w:themeColor="text1"/>
          <w:kern w:val="0"/>
          <w:szCs w:val="21"/>
          <w:lang w:bidi="ar"/>
          <w14:textFill>
            <w14:solidFill>
              <w14:schemeClr w14:val="tx1"/>
            </w14:solidFill>
          </w14:textFill>
        </w:rPr>
        <w:t xml:space="preserve"> </w:t>
      </w:r>
      <w:r>
        <w:rPr>
          <w:rFonts w:hint="eastAsia" w:cs="宋体"/>
          <w:bCs/>
          <w:color w:val="000000" w:themeColor="text1"/>
          <w:kern w:val="0"/>
          <w:szCs w:val="21"/>
          <w:lang w:bidi="ar"/>
          <w14:textFill>
            <w14:solidFill>
              <w14:schemeClr w14:val="tx1"/>
            </w14:solidFill>
          </w14:textFill>
        </w:rPr>
        <w:t>外墙和屋面</w:t>
      </w:r>
      <w:r>
        <w:rPr>
          <w:rFonts w:hint="eastAsia" w:cs="宋体"/>
          <w:bCs/>
          <w:color w:val="000000" w:themeColor="text1"/>
          <w:kern w:val="0"/>
          <w:szCs w:val="21"/>
          <w:lang w:eastAsia="zh" w:bidi="ar"/>
          <w14:textFill>
            <w14:solidFill>
              <w14:schemeClr w14:val="tx1"/>
            </w14:solidFill>
          </w14:textFill>
        </w:rPr>
        <w:t>应设置保温层并强化断热桥设计，同时宜</w:t>
      </w:r>
      <w:r>
        <w:rPr>
          <w:rFonts w:hint="eastAsia" w:cs="宋体"/>
          <w:bCs/>
          <w:color w:val="000000" w:themeColor="text1"/>
          <w:kern w:val="0"/>
          <w:szCs w:val="21"/>
          <w:lang w:bidi="ar"/>
          <w14:textFill>
            <w14:solidFill>
              <w14:schemeClr w14:val="tx1"/>
            </w14:solidFill>
          </w14:textFill>
        </w:rPr>
        <w:t>采用下列隔热措施以进一步降低空调</w:t>
      </w:r>
      <w:r>
        <w:rPr>
          <w:rFonts w:hint="eastAsia" w:cs="宋体"/>
          <w:bCs/>
          <w:color w:val="000000" w:themeColor="text1"/>
          <w:kern w:val="0"/>
          <w:szCs w:val="21"/>
          <w:lang w:eastAsia="zh" w:bidi="ar"/>
          <w14:textFill>
            <w14:solidFill>
              <w14:schemeClr w14:val="tx1"/>
            </w14:solidFill>
          </w14:textFill>
        </w:rPr>
        <w:t>冷</w:t>
      </w:r>
      <w:r>
        <w:rPr>
          <w:rFonts w:hint="eastAsia" w:cs="宋体"/>
          <w:bCs/>
          <w:color w:val="000000" w:themeColor="text1"/>
          <w:kern w:val="0"/>
          <w:szCs w:val="21"/>
          <w:lang w:bidi="ar"/>
          <w14:textFill>
            <w14:solidFill>
              <w14:schemeClr w14:val="tx1"/>
            </w14:solidFill>
          </w14:textFill>
        </w:rPr>
        <w:t>负荷：</w:t>
      </w:r>
    </w:p>
    <w:p>
      <w:pPr>
        <w:widowControl/>
        <w:ind w:firstLine="420"/>
        <w:textAlignment w:val="center"/>
        <w:rPr>
          <w:rFonts w:cs="宋体"/>
          <w:kern w:val="0"/>
          <w:szCs w:val="21"/>
          <w:lang w:bidi="ar"/>
        </w:rPr>
      </w:pPr>
      <w:r>
        <w:rPr>
          <w:rFonts w:hint="eastAsia" w:cs="宋体"/>
          <w:kern w:val="0"/>
          <w:szCs w:val="21"/>
          <w:lang w:bidi="ar"/>
        </w:rPr>
        <w:t>1 外墙宜采用浅色饰面或涂刷隔热</w:t>
      </w:r>
      <w:r>
        <w:rPr>
          <w:rFonts w:hint="eastAsia" w:cs="宋体"/>
          <w:kern w:val="0"/>
          <w:szCs w:val="21"/>
          <w:lang w:eastAsia="zh" w:bidi="ar"/>
        </w:rPr>
        <w:t>反射</w:t>
      </w:r>
      <w:r>
        <w:rPr>
          <w:rFonts w:hint="eastAsia" w:cs="宋体"/>
          <w:kern w:val="0"/>
          <w:szCs w:val="21"/>
          <w:lang w:bidi="ar"/>
        </w:rPr>
        <w:t>涂料，减少其吸收辐射热量；</w:t>
      </w:r>
    </w:p>
    <w:p>
      <w:pPr>
        <w:widowControl/>
        <w:ind w:firstLine="420"/>
        <w:textAlignment w:val="center"/>
        <w:rPr>
          <w:rFonts w:cs="宋体"/>
          <w:kern w:val="0"/>
          <w:szCs w:val="21"/>
          <w:lang w:bidi="ar"/>
        </w:rPr>
      </w:pPr>
      <w:r>
        <w:rPr>
          <w:rFonts w:hint="eastAsia" w:cs="宋体"/>
          <w:kern w:val="0"/>
          <w:szCs w:val="21"/>
          <w:lang w:bidi="ar"/>
        </w:rPr>
        <w:t>2 屋顶根据屋面形式、使用功能等条件，综合采取绿化屋顶、蓄水屋顶、架空保温层、面层使用浅色饰面或涂刷隔热涂料等措施，提高其隔热性能</w:t>
      </w:r>
      <w:r>
        <w:rPr>
          <w:rFonts w:hint="eastAsia" w:cs="宋体"/>
          <w:kern w:val="0"/>
          <w:szCs w:val="21"/>
          <w:lang w:eastAsia="zh" w:bidi="ar"/>
        </w:rPr>
        <w:t>；</w:t>
      </w:r>
    </w:p>
    <w:p>
      <w:pPr>
        <w:widowControl/>
        <w:ind w:firstLine="420"/>
        <w:textAlignment w:val="center"/>
        <w:rPr>
          <w:rFonts w:cs="宋体"/>
          <w:kern w:val="0"/>
          <w:szCs w:val="21"/>
          <w:lang w:eastAsia="zh" w:bidi="ar"/>
        </w:rPr>
      </w:pPr>
      <w:r>
        <w:rPr>
          <w:rFonts w:cs="宋体"/>
          <w:kern w:val="0"/>
          <w:szCs w:val="21"/>
          <w:lang w:eastAsia="zh" w:bidi="ar"/>
        </w:rPr>
        <w:t xml:space="preserve">3 </w:t>
      </w:r>
      <w:r>
        <w:rPr>
          <w:rFonts w:hint="eastAsia" w:cs="宋体"/>
          <w:kern w:val="0"/>
          <w:szCs w:val="21"/>
          <w:lang w:eastAsia="zh" w:bidi="ar"/>
        </w:rPr>
        <w:t>外墙可结合景观设计设置模块式绿墙、攀援式绿墙等立体绿化，并进行抗台风设计；</w:t>
      </w:r>
    </w:p>
    <w:p>
      <w:pPr>
        <w:widowControl/>
        <w:ind w:firstLine="420"/>
        <w:textAlignment w:val="center"/>
        <w:rPr>
          <w:rFonts w:cs="宋体"/>
          <w:kern w:val="0"/>
          <w:szCs w:val="21"/>
          <w:lang w:eastAsia="zh" w:bidi="ar"/>
        </w:rPr>
      </w:pPr>
      <w:r>
        <w:rPr>
          <w:rFonts w:hint="eastAsia" w:cs="宋体"/>
          <w:kern w:val="0"/>
          <w:szCs w:val="21"/>
          <w:lang w:eastAsia="zh" w:bidi="ar"/>
        </w:rPr>
        <w:t>4 采用低辐射玻璃结合遮阳措施，降低透光围护结构的太阳辐射得热。</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7.1.1</w:t>
      </w:r>
      <w:r>
        <w:rPr>
          <w:rFonts w:hint="eastAsia" w:cs="宋体"/>
          <w:bCs/>
          <w:kern w:val="0"/>
          <w:szCs w:val="21"/>
          <w:lang w:eastAsia="zh" w:bidi="ar"/>
        </w:rPr>
        <w:t>5</w:t>
      </w:r>
      <w:r>
        <w:rPr>
          <w:rFonts w:hint="eastAsia" w:cs="宋体"/>
          <w:color w:val="000000" w:themeColor="text1"/>
          <w:kern w:val="0"/>
          <w:szCs w:val="21"/>
          <w:lang w:eastAsia="zh" w:bidi="ar"/>
          <w14:textFill>
            <w14:solidFill>
              <w14:schemeClr w14:val="tx1"/>
            </w14:solidFill>
          </w14:textFill>
        </w:rPr>
        <w:t>第1款，</w:t>
      </w:r>
      <w:r>
        <w:rPr>
          <w:rFonts w:hint="eastAsia" w:cs="宋体"/>
          <w:color w:val="000000" w:themeColor="text1"/>
          <w:kern w:val="0"/>
          <w:szCs w:val="21"/>
          <w:lang w:bidi="ar"/>
          <w14:textFill>
            <w14:solidFill>
              <w14:schemeClr w14:val="tx1"/>
            </w14:solidFill>
          </w14:textFill>
        </w:rPr>
        <w:t>建筑外墙的外表面采用浅色饰面或隔热反射涂料，即外围护结构面层选用太阳辐射吸收系数较低的材料，可尽可能多的反射辐射热，降低外围护结构的内表面温度，从而降低建筑空调冷负荷。</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第2款，</w:t>
      </w:r>
      <w:r>
        <w:rPr>
          <w:rFonts w:hint="eastAsia" w:cs="宋体"/>
          <w:color w:val="000000" w:themeColor="text1"/>
          <w:kern w:val="0"/>
          <w:szCs w:val="21"/>
          <w:lang w:bidi="ar"/>
          <w14:textFill>
            <w14:solidFill>
              <w14:schemeClr w14:val="tx1"/>
            </w14:solidFill>
          </w14:textFill>
        </w:rPr>
        <w:t>屋顶除采用低太阳辐射吸收系数的面层材料外，还可以采用绿化屋顶、架空屋顶等提高其隔热性能的措施，可有效降低建筑能耗。</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3款，立体绿化应满足现行标准《垂直绿化工程技术规程》CJJ-T236，宜选用模块式易于固定防风的方式，并避开风速高、风压强的建筑区域；植物品种选择充分考虑抗旱性、日照要求、生长速度、覆盖密度、开花周期等，确保实施低成本、低维护、可持续。</w:t>
      </w:r>
    </w:p>
    <w:p>
      <w:pPr>
        <w:widowControl/>
        <w:ind w:firstLine="420"/>
        <w:textAlignment w:val="center"/>
        <w:rPr>
          <w:rFonts w:cs="宋体"/>
          <w:color w:val="000000" w:themeColor="text1"/>
          <w:kern w:val="0"/>
          <w:szCs w:val="21"/>
          <w:lang w:eastAsia="zh"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4款，高性能围护结构是降低建筑空调冷负荷的主要路径，可通过增强非透光围护结构的保温隔热性能和降低透光围护结构的太阳得热系数实现。由于海南太阳辐射强烈，太阳辐射得热会随着窗墙比变大而增加，直至取代热传导成为建筑传热的主要途径，因此当窗墙比较大时（通常为0.4），应以降低透光围护结构的太阳得热系数为主，加强非透光围护结构的保温隔热能力为辅，反则亦然。</w:t>
      </w:r>
    </w:p>
    <w:p>
      <w:pPr>
        <w:widowControl/>
        <w:ind w:firstLine="0" w:firstLineChars="0"/>
        <w:textAlignment w:val="center"/>
        <w:outlineLvl w:val="3"/>
        <w:rPr>
          <w:rFonts w:cs="宋体"/>
          <w:kern w:val="0"/>
          <w:szCs w:val="21"/>
          <w:lang w:bidi="ar"/>
        </w:rPr>
      </w:pPr>
      <w:r>
        <w:rPr>
          <w:rFonts w:hint="eastAsia" w:cs="宋体"/>
          <w:bCs/>
          <w:kern w:val="0"/>
          <w:szCs w:val="21"/>
          <w:lang w:bidi="ar"/>
        </w:rPr>
        <w:t>7.1.1</w:t>
      </w:r>
      <w:r>
        <w:rPr>
          <w:rFonts w:hint="eastAsia" w:cs="宋体"/>
          <w:bCs/>
          <w:kern w:val="0"/>
          <w:szCs w:val="21"/>
          <w:lang w:eastAsia="zh" w:bidi="ar"/>
        </w:rPr>
        <w:t>6</w:t>
      </w:r>
      <w:r>
        <w:rPr>
          <w:rFonts w:hint="eastAsia" w:cs="宋体"/>
          <w:bCs/>
          <w:kern w:val="0"/>
          <w:szCs w:val="21"/>
          <w:lang w:bidi="ar"/>
        </w:rPr>
        <w:t xml:space="preserve"> 外窗（含透光幕墙）应设置遮阳措施</w:t>
      </w:r>
      <w:r>
        <w:rPr>
          <w:rFonts w:hint="eastAsia" w:cs="宋体"/>
          <w:bCs/>
          <w:kern w:val="0"/>
          <w:szCs w:val="21"/>
          <w:lang w:eastAsia="zh" w:bidi="ar"/>
        </w:rPr>
        <w:t>。遮阳设计应考虑海南省高盐高湿防腐与防台风荷载的要求，与建筑设计统筹考虑，外观协调，安全耐久。</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w:t>
      </w:r>
      <w:r>
        <w:rPr>
          <w:rFonts w:hint="eastAsia" w:cs="宋体"/>
          <w:kern w:val="0"/>
          <w:szCs w:val="21"/>
          <w:lang w:eastAsia="zh" w:bidi="ar"/>
        </w:rPr>
        <w:t>通过建筑造型、功能性构件、建筑自身凹凸设计或建筑群设计形成自遮阳</w:t>
      </w:r>
      <w:r>
        <w:rPr>
          <w:rFonts w:hint="eastAsia" w:cs="宋体"/>
          <w:kern w:val="0"/>
          <w:szCs w:val="21"/>
          <w:lang w:bidi="ar"/>
        </w:rPr>
        <w:t>；</w:t>
      </w:r>
    </w:p>
    <w:p>
      <w:pPr>
        <w:widowControl/>
        <w:ind w:firstLine="420"/>
        <w:textAlignment w:val="center"/>
        <w:rPr>
          <w:rFonts w:cs="宋体"/>
          <w:kern w:val="0"/>
          <w:szCs w:val="21"/>
          <w:lang w:eastAsia="zh" w:bidi="ar"/>
        </w:rPr>
      </w:pPr>
      <w:r>
        <w:rPr>
          <w:rFonts w:hint="eastAsia" w:cs="宋体"/>
          <w:bCs/>
          <w:kern w:val="0"/>
          <w:szCs w:val="21"/>
          <w:lang w:eastAsia="zh" w:bidi="ar"/>
        </w:rPr>
        <w:t>2</w:t>
      </w:r>
      <w:r>
        <w:rPr>
          <w:rFonts w:hint="eastAsia" w:cs="宋体"/>
          <w:kern w:val="0"/>
          <w:szCs w:val="21"/>
          <w:lang w:eastAsia="zh" w:bidi="ar"/>
        </w:rPr>
        <w:t xml:space="preserve"> 对于东西向外窗，应优先采用垂直遮阳。可结合立面造型设置窗套、格栅或竖向装饰线条等固定外遮阳，出挑长度</w:t>
      </w:r>
      <w:r>
        <w:rPr>
          <w:rFonts w:hint="eastAsia" w:cs="宋体"/>
          <w:color w:val="000000" w:themeColor="text1"/>
          <w:kern w:val="0"/>
          <w:szCs w:val="21"/>
          <w:lang w:bidi="ar"/>
          <w14:textFill>
            <w14:solidFill>
              <w14:schemeClr w14:val="tx1"/>
            </w14:solidFill>
          </w14:textFill>
        </w:rPr>
        <w:t>应通过计算分析</w:t>
      </w:r>
      <w:r>
        <w:rPr>
          <w:rFonts w:hint="eastAsia" w:cs="宋体"/>
          <w:color w:val="000000" w:themeColor="text1"/>
          <w:kern w:val="0"/>
          <w:szCs w:val="21"/>
          <w:lang w:eastAsia="zh" w:bidi="ar"/>
          <w14:textFill>
            <w14:solidFill>
              <w14:schemeClr w14:val="tx1"/>
            </w14:solidFill>
          </w14:textFill>
        </w:rPr>
        <w:t>确定且</w:t>
      </w:r>
      <w:r>
        <w:rPr>
          <w:rFonts w:hint="eastAsia" w:cs="宋体"/>
          <w:kern w:val="0"/>
          <w:szCs w:val="21"/>
          <w:lang w:eastAsia="zh" w:bidi="ar"/>
        </w:rPr>
        <w:t>宜≥0.3m；如受限于造型，可适当提高成本的情况下，宜采用电致变色玻璃、内置遮阳中空玻璃、高反射率活动百叶和窗帘等可调节遮阳；如采用外置百叶遮阳，应采取支撑系统强化、连接部位加固等防台风措施；</w:t>
      </w:r>
    </w:p>
    <w:p>
      <w:pPr>
        <w:widowControl/>
        <w:ind w:firstLine="480" w:firstLineChars="0"/>
        <w:textAlignment w:val="center"/>
        <w:rPr>
          <w:rFonts w:cs="宋体"/>
          <w:kern w:val="0"/>
          <w:szCs w:val="21"/>
          <w:lang w:eastAsia="zh" w:bidi="ar"/>
        </w:rPr>
      </w:pPr>
      <w:r>
        <w:rPr>
          <w:rFonts w:hint="eastAsia" w:cs="宋体"/>
          <w:kern w:val="0"/>
          <w:szCs w:val="21"/>
          <w:lang w:eastAsia="zh" w:bidi="ar"/>
        </w:rPr>
        <w:t>3 对于南北向外窗，应优先采用水平遮阳。可统筹立面造型和遮阳设计，设置挑檐、雨棚、空调板或横向装饰线条等固定外遮阳，出挑长度</w:t>
      </w:r>
      <w:r>
        <w:rPr>
          <w:rFonts w:hint="eastAsia" w:cs="宋体"/>
          <w:color w:val="000000" w:themeColor="text1"/>
          <w:kern w:val="0"/>
          <w:szCs w:val="21"/>
          <w:lang w:bidi="ar"/>
          <w14:textFill>
            <w14:solidFill>
              <w14:schemeClr w14:val="tx1"/>
            </w14:solidFill>
          </w14:textFill>
        </w:rPr>
        <w:t>应通过计算分析</w:t>
      </w:r>
      <w:r>
        <w:rPr>
          <w:rFonts w:hint="eastAsia" w:cs="宋体"/>
          <w:color w:val="000000" w:themeColor="text1"/>
          <w:kern w:val="0"/>
          <w:szCs w:val="21"/>
          <w:lang w:eastAsia="zh" w:bidi="ar"/>
          <w14:textFill>
            <w14:solidFill>
              <w14:schemeClr w14:val="tx1"/>
            </w14:solidFill>
          </w14:textFill>
        </w:rPr>
        <w:t>确定且</w:t>
      </w:r>
      <w:r>
        <w:rPr>
          <w:rFonts w:hint="eastAsia" w:cs="宋体"/>
          <w:kern w:val="0"/>
          <w:szCs w:val="21"/>
          <w:lang w:eastAsia="zh" w:bidi="ar"/>
        </w:rPr>
        <w:t>宜≥0.5m；北向外窗还可结合景观设计，采用种植乔木、攀缘植物等绿化遮阳。</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7.1.1</w:t>
      </w:r>
      <w:r>
        <w:rPr>
          <w:rFonts w:hint="eastAsia" w:cs="宋体"/>
          <w:bCs/>
          <w:kern w:val="0"/>
          <w:szCs w:val="21"/>
          <w:lang w:eastAsia="zh" w:bidi="ar"/>
        </w:rPr>
        <w:t>6</w:t>
      </w:r>
      <w:r>
        <w:rPr>
          <w:rFonts w:hint="eastAsia" w:cs="宋体"/>
          <w:color w:val="000000" w:themeColor="text1"/>
          <w:kern w:val="0"/>
          <w:szCs w:val="21"/>
          <w:lang w:bidi="ar"/>
          <w14:textFill>
            <w14:solidFill>
              <w14:schemeClr w14:val="tx1"/>
            </w14:solidFill>
          </w14:textFill>
        </w:rPr>
        <w:t>根据海南省</w:t>
      </w:r>
      <w:r>
        <w:rPr>
          <w:rFonts w:hint="eastAsia" w:cs="宋体"/>
          <w:color w:val="000000" w:themeColor="text1"/>
          <w:kern w:val="0"/>
          <w:szCs w:val="21"/>
          <w:lang w:eastAsia="zh" w:bidi="ar"/>
          <w14:textFill>
            <w14:solidFill>
              <w14:schemeClr w14:val="tx1"/>
            </w14:solidFill>
          </w14:textFill>
        </w:rPr>
        <w:t>太阳辐射强烈</w:t>
      </w:r>
      <w:r>
        <w:rPr>
          <w:rFonts w:hint="eastAsia" w:cs="宋体"/>
          <w:color w:val="000000" w:themeColor="text1"/>
          <w:kern w:val="0"/>
          <w:szCs w:val="21"/>
          <w:lang w:bidi="ar"/>
          <w14:textFill>
            <w14:solidFill>
              <w14:schemeClr w14:val="tx1"/>
            </w14:solidFill>
          </w14:textFill>
        </w:rPr>
        <w:t>的气候特点，外门窗、屋面天窗等应</w:t>
      </w:r>
      <w:r>
        <w:rPr>
          <w:rFonts w:hint="eastAsia" w:cs="宋体"/>
          <w:color w:val="000000" w:themeColor="text1"/>
          <w:kern w:val="0"/>
          <w:szCs w:val="21"/>
          <w:lang w:eastAsia="zh" w:bidi="ar"/>
          <w14:textFill>
            <w14:solidFill>
              <w14:schemeClr w14:val="tx1"/>
            </w14:solidFill>
          </w14:textFill>
        </w:rPr>
        <w:t>设置遮阳措施，</w:t>
      </w:r>
      <w:r>
        <w:rPr>
          <w:rFonts w:hint="eastAsia" w:cs="宋体"/>
          <w:color w:val="000000" w:themeColor="text1"/>
          <w:kern w:val="0"/>
          <w:szCs w:val="21"/>
          <w:lang w:bidi="ar"/>
          <w14:textFill>
            <w14:solidFill>
              <w14:schemeClr w14:val="tx1"/>
            </w14:solidFill>
          </w14:textFill>
        </w:rPr>
        <w:t>以尽量减少夏季辐射得热，降低</w:t>
      </w:r>
      <w:r>
        <w:rPr>
          <w:rFonts w:hint="eastAsia" w:cs="宋体"/>
          <w:color w:val="000000" w:themeColor="text1"/>
          <w:kern w:val="0"/>
          <w:szCs w:val="21"/>
          <w:lang w:eastAsia="zh" w:bidi="ar"/>
          <w14:textFill>
            <w14:solidFill>
              <w14:schemeClr w14:val="tx1"/>
            </w14:solidFill>
          </w14:textFill>
        </w:rPr>
        <w:t>空调</w:t>
      </w:r>
      <w:r>
        <w:rPr>
          <w:rFonts w:hint="eastAsia" w:cs="宋体"/>
          <w:color w:val="000000" w:themeColor="text1"/>
          <w:kern w:val="0"/>
          <w:szCs w:val="21"/>
          <w:lang w:bidi="ar"/>
          <w14:textFill>
            <w14:solidFill>
              <w14:schemeClr w14:val="tx1"/>
            </w14:solidFill>
          </w14:textFill>
        </w:rPr>
        <w:t>冷负荷。</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针对海南省高盐高湿和台风的气候环境，设置外遮阳时，应采取防腐和防台风荷载的措施，如外遮阳构件应与主体结构统一设计、施工，采用耐久性能、耐腐蚀性能、耐候性能好的材料等。</w:t>
      </w:r>
    </w:p>
    <w:p>
      <w:pPr>
        <w:widowControl/>
        <w:ind w:firstLine="48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第2款，海南夏至日日出方位角约60°（东北），日落约300°（西北），太阳高度角＜30°，因此垂直遮阳板可有效阻挡低角度斜射光；正午时段东西立面受太阳直射时间短，垂直遮阳仍优于水平遮阳。</w:t>
      </w:r>
    </w:p>
    <w:p>
      <w:pPr>
        <w:widowControl/>
        <w:ind w:firstLine="480" w:firstLineChars="0"/>
        <w:textAlignment w:val="center"/>
        <w:rPr>
          <w:rFonts w:cs="宋体"/>
          <w:color w:val="000000" w:themeColor="text1"/>
          <w:kern w:val="0"/>
          <w:szCs w:val="21"/>
          <w:lang w:eastAsia="zh" w:bidi="ar"/>
          <w14:textFill>
            <w14:solidFill>
              <w14:schemeClr w14:val="tx1"/>
            </w14:solidFill>
          </w14:textFill>
        </w:rPr>
      </w:pPr>
      <w:r>
        <w:rPr>
          <w:rFonts w:hint="eastAsia" w:cs="宋体"/>
          <w:color w:val="000000" w:themeColor="text1"/>
          <w:kern w:val="0"/>
          <w:szCs w:val="21"/>
          <w:lang w:eastAsia="zh" w:bidi="ar"/>
          <w14:textFill>
            <w14:solidFill>
              <w14:schemeClr w14:val="tx1"/>
            </w14:solidFill>
          </w14:textFill>
        </w:rPr>
        <w:t>第3款，海南夏至日正午太阳高度角较高，接近直射，水平遮阳可有效阻挡高角度阳光。北向接受散射光为主，绿化遮阳不影响采光</w:t>
      </w:r>
      <w:r>
        <w:rPr>
          <w:rFonts w:hint="eastAsia" w:cs="宋体"/>
          <w:color w:val="000000" w:themeColor="text1"/>
          <w:kern w:val="0"/>
          <w:szCs w:val="21"/>
          <w:lang w:bidi="ar"/>
          <w14:textFill>
            <w14:solidFill>
              <w14:schemeClr w14:val="tx1"/>
            </w14:solidFill>
          </w14:textFill>
        </w:rPr>
        <w:t>。采用绿化遮阳时，应结合景观设计，考虑种植乔木或攀缘植物等形式，兼顾美观和遮阳功能。在满足防台风荷载要求的前提下，外围护结构宜采用垂直绿化。</w:t>
      </w:r>
    </w:p>
    <w:p>
      <w:pPr>
        <w:widowControl/>
        <w:ind w:firstLine="0" w:firstLineChars="0"/>
        <w:textAlignment w:val="center"/>
        <w:outlineLvl w:val="3"/>
        <w:rPr>
          <w:rFonts w:cs="宋体"/>
          <w:bCs/>
          <w:kern w:val="0"/>
          <w:szCs w:val="21"/>
          <w:lang w:eastAsia="zh" w:bidi="ar"/>
        </w:rPr>
      </w:pPr>
      <w:r>
        <w:rPr>
          <w:rFonts w:hint="eastAsia" w:cs="宋体"/>
          <w:bCs/>
          <w:kern w:val="0"/>
          <w:szCs w:val="21"/>
          <w:lang w:bidi="ar"/>
        </w:rPr>
        <w:t>7.1.1</w:t>
      </w:r>
      <w:r>
        <w:rPr>
          <w:rFonts w:hint="eastAsia" w:cs="宋体"/>
          <w:bCs/>
          <w:kern w:val="0"/>
          <w:szCs w:val="21"/>
          <w:lang w:eastAsia="zh" w:bidi="ar"/>
        </w:rPr>
        <w:t>7</w:t>
      </w:r>
      <w:r>
        <w:rPr>
          <w:rFonts w:hint="eastAsia" w:cs="宋体"/>
          <w:bCs/>
          <w:kern w:val="0"/>
          <w:szCs w:val="21"/>
          <w:lang w:bidi="ar"/>
        </w:rPr>
        <w:t xml:space="preserve"> </w:t>
      </w:r>
      <w:r>
        <w:rPr>
          <w:rFonts w:hint="eastAsia" w:cs="宋体"/>
          <w:bCs/>
          <w:kern w:val="0"/>
          <w:szCs w:val="21"/>
          <w:lang w:eastAsia="zh" w:bidi="ar"/>
        </w:rPr>
        <w:t>围护结构设计时，</w:t>
      </w:r>
      <w:r>
        <w:rPr>
          <w:rFonts w:hint="eastAsia" w:cs="宋体"/>
          <w:bCs/>
          <w:kern w:val="0"/>
          <w:szCs w:val="21"/>
          <w:lang w:bidi="ar"/>
        </w:rPr>
        <w:t>宜</w:t>
      </w:r>
      <w:r>
        <w:rPr>
          <w:rFonts w:hint="eastAsia" w:cs="宋体"/>
          <w:bCs/>
          <w:kern w:val="0"/>
          <w:szCs w:val="21"/>
          <w:lang w:eastAsia="zh" w:bidi="ar"/>
        </w:rPr>
        <w:t>进行气密性专项设计。</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w:t>
      </w:r>
      <w:r>
        <w:rPr>
          <w:rFonts w:hint="eastAsia" w:cs="宋体"/>
          <w:kern w:val="0"/>
          <w:szCs w:val="21"/>
          <w:lang w:eastAsia="zh" w:bidi="ar"/>
        </w:rPr>
        <w:t>建筑围护结构气密层应连续并包围整个外围护结构，选择适用的气密性材料</w:t>
      </w:r>
      <w:r>
        <w:rPr>
          <w:rFonts w:hint="eastAsia" w:cs="宋体"/>
          <w:kern w:val="0"/>
          <w:szCs w:val="21"/>
          <w:lang w:bidi="ar"/>
        </w:rPr>
        <w:t>；</w:t>
      </w:r>
    </w:p>
    <w:p>
      <w:pPr>
        <w:widowControl/>
        <w:ind w:firstLine="480" w:firstLineChars="0"/>
        <w:textAlignment w:val="center"/>
        <w:rPr>
          <w:rFonts w:cs="宋体"/>
          <w:kern w:val="0"/>
          <w:szCs w:val="21"/>
          <w:lang w:eastAsia="zh" w:bidi="ar"/>
        </w:rPr>
      </w:pPr>
      <w:r>
        <w:rPr>
          <w:rFonts w:hint="eastAsia" w:cs="宋体"/>
          <w:bCs/>
          <w:kern w:val="0"/>
          <w:szCs w:val="21"/>
          <w:lang w:eastAsia="zh" w:bidi="ar"/>
        </w:rPr>
        <w:t>2</w:t>
      </w:r>
      <w:r>
        <w:rPr>
          <w:rFonts w:hint="eastAsia" w:cs="宋体"/>
          <w:kern w:val="0"/>
          <w:szCs w:val="21"/>
          <w:lang w:eastAsia="zh" w:bidi="ar"/>
        </w:rPr>
        <w:t xml:space="preserve"> </w:t>
      </w:r>
      <w:r>
        <w:rPr>
          <w:rFonts w:hint="eastAsia" w:cs="宋体"/>
          <w:kern w:val="0"/>
          <w:szCs w:val="21"/>
          <w:lang w:bidi="ar"/>
        </w:rPr>
        <w:t>加强窗框周边封堵等，减少或避免外墙裂、渗、漏等问题</w:t>
      </w:r>
      <w:r>
        <w:rPr>
          <w:rFonts w:hint="eastAsia" w:cs="宋体"/>
          <w:kern w:val="0"/>
          <w:szCs w:val="21"/>
          <w:lang w:eastAsia="zh" w:bidi="ar"/>
        </w:rPr>
        <w:t>；</w:t>
      </w:r>
    </w:p>
    <w:p>
      <w:pPr>
        <w:widowControl/>
        <w:ind w:firstLine="480" w:firstLineChars="0"/>
        <w:textAlignment w:val="center"/>
        <w:rPr>
          <w:rFonts w:cs="宋体"/>
          <w:kern w:val="0"/>
          <w:szCs w:val="21"/>
          <w:lang w:eastAsia="zh" w:bidi="ar"/>
        </w:rPr>
      </w:pPr>
      <w:r>
        <w:rPr>
          <w:rFonts w:hint="eastAsia" w:cs="宋体"/>
          <w:bCs/>
          <w:kern w:val="0"/>
          <w:szCs w:val="21"/>
          <w:lang w:eastAsia="zh" w:bidi="ar"/>
        </w:rPr>
        <w:t>3</w:t>
      </w:r>
      <w:r>
        <w:rPr>
          <w:rFonts w:hint="eastAsia" w:cs="宋体"/>
          <w:kern w:val="0"/>
          <w:szCs w:val="21"/>
          <w:lang w:eastAsia="zh" w:bidi="ar"/>
        </w:rPr>
        <w:t xml:space="preserve"> </w:t>
      </w:r>
      <w:r>
        <w:rPr>
          <w:rFonts w:hint="eastAsia" w:cs="宋体"/>
          <w:kern w:val="0"/>
          <w:szCs w:val="21"/>
          <w:lang w:bidi="ar"/>
        </w:rPr>
        <w:t>各类管道穿透气密层及外墙时，应对洞口进行有效的气密性处理。穿墙管预留孔洞直径宜大于管径100mm以上，墙体结构或套管与管道之间应填充保温材料</w:t>
      </w:r>
      <w:r>
        <w:rPr>
          <w:rFonts w:hint="eastAsia" w:cs="宋体"/>
          <w:kern w:val="0"/>
          <w:szCs w:val="21"/>
          <w:lang w:eastAsia="zh" w:bidi="ar"/>
        </w:rPr>
        <w:t>；</w:t>
      </w:r>
    </w:p>
    <w:p>
      <w:pPr>
        <w:widowControl/>
        <w:ind w:firstLine="420"/>
        <w:textAlignment w:val="center"/>
        <w:rPr>
          <w:rFonts w:cs="宋体"/>
          <w:kern w:val="0"/>
          <w:szCs w:val="21"/>
          <w:lang w:bidi="ar"/>
        </w:rPr>
      </w:pPr>
      <w:r>
        <w:rPr>
          <w:rFonts w:hint="eastAsia" w:cs="宋体"/>
          <w:bCs/>
          <w:kern w:val="0"/>
          <w:szCs w:val="21"/>
          <w:lang w:eastAsia="zh" w:bidi="ar"/>
        </w:rPr>
        <w:t>4</w:t>
      </w:r>
      <w:r>
        <w:rPr>
          <w:rFonts w:hint="eastAsia" w:cs="宋体"/>
          <w:kern w:val="0"/>
          <w:szCs w:val="21"/>
          <w:lang w:bidi="ar"/>
        </w:rPr>
        <w:t xml:space="preserve"> 开关、接线盒在外墙上安装时应进行有效的气密性处理</w:t>
      </w:r>
      <w:r>
        <w:rPr>
          <w:rFonts w:hint="eastAsia" w:cs="宋体"/>
          <w:kern w:val="0"/>
          <w:szCs w:val="21"/>
          <w:lang w:eastAsia="zh" w:bidi="ar"/>
        </w:rPr>
        <w:t>。</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7.1.1</w:t>
      </w:r>
      <w:r>
        <w:rPr>
          <w:rFonts w:hint="eastAsia" w:cs="宋体"/>
          <w:bCs/>
          <w:kern w:val="0"/>
          <w:szCs w:val="21"/>
          <w:lang w:eastAsia="zh" w:bidi="ar"/>
        </w:rPr>
        <w:t>7</w:t>
      </w:r>
      <w:r>
        <w:rPr>
          <w:rFonts w:hint="eastAsia" w:cs="宋体"/>
          <w:color w:val="000000" w:themeColor="text1"/>
          <w:kern w:val="0"/>
          <w:szCs w:val="21"/>
          <w:lang w:bidi="ar"/>
          <w14:textFill>
            <w14:solidFill>
              <w14:schemeClr w14:val="tx1"/>
            </w14:solidFill>
          </w14:textFill>
        </w:rPr>
        <w:t>海南省气候炎热潮湿，提高围护结构气密性可有效降低潮湿空气侵入，降低夏季空调能耗，防止出现墙面结露现象，因此应对围护结构交界处、以及排风等设备与围护结构交界处进行密封节点设计。</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在冬季和回南天期间，良好的气密性可有效阻隔室外潮湿空气进入室内，防止室内空气结露；在过渡季可开启门窗进行自然通风，建筑气密性与自然通风并无矛盾，两者结合可有效降低建筑能耗。</w:t>
      </w:r>
    </w:p>
    <w:p>
      <w:pPr>
        <w:widowControl/>
        <w:ind w:firstLine="420"/>
        <w:textAlignment w:val="center"/>
        <w:rPr>
          <w:rFonts w:cs="宋体"/>
          <w:kern w:val="0"/>
          <w:szCs w:val="21"/>
          <w:lang w:eastAsia="zh" w:bidi="ar"/>
        </w:rPr>
      </w:pPr>
      <w:r>
        <w:rPr>
          <w:rFonts w:hint="eastAsia" w:cs="宋体"/>
          <w:color w:val="000000" w:themeColor="text1"/>
          <w:kern w:val="0"/>
          <w:szCs w:val="21"/>
          <w:lang w:eastAsia="zh" w:bidi="ar"/>
          <w14:textFill>
            <w14:solidFill>
              <w14:schemeClr w14:val="tx1"/>
            </w14:solidFill>
          </w14:textFill>
        </w:rPr>
        <w:t>第1款，</w:t>
      </w:r>
      <w:r>
        <w:rPr>
          <w:rFonts w:hint="eastAsia" w:cs="宋体"/>
          <w:kern w:val="0"/>
          <w:szCs w:val="21"/>
          <w:lang w:eastAsia="zh" w:bidi="ar"/>
        </w:rPr>
        <w:t>作为</w:t>
      </w:r>
      <w:r>
        <w:rPr>
          <w:rFonts w:hint="eastAsia" w:cs="宋体"/>
          <w:kern w:val="0"/>
          <w:szCs w:val="21"/>
          <w:lang w:bidi="ar"/>
        </w:rPr>
        <w:t>气密层的砌体墙体内表面抹灰层应与钢筋混凝土屋面板、楼板和地面相交接，形成完整闭合的气密区</w:t>
      </w:r>
      <w:r>
        <w:rPr>
          <w:rFonts w:hint="eastAsia" w:cs="宋体"/>
          <w:kern w:val="0"/>
          <w:szCs w:val="21"/>
          <w:lang w:eastAsia="zh" w:bidi="ar"/>
        </w:rPr>
        <w:t>。</w:t>
      </w:r>
    </w:p>
    <w:p>
      <w:pPr>
        <w:widowControl/>
        <w:ind w:firstLine="420"/>
        <w:textAlignment w:val="center"/>
        <w:rPr>
          <w:rFonts w:cs="宋体"/>
          <w:color w:val="FF0000"/>
          <w:kern w:val="0"/>
          <w:szCs w:val="21"/>
          <w:lang w:bidi="ar"/>
        </w:rPr>
      </w:pPr>
      <w:r>
        <w:rPr>
          <w:rFonts w:hint="eastAsia" w:cs="宋体"/>
          <w:color w:val="000000" w:themeColor="text1"/>
          <w:kern w:val="0"/>
          <w:szCs w:val="21"/>
          <w:lang w:eastAsia="zh" w:bidi="ar"/>
          <w14:textFill>
            <w14:solidFill>
              <w14:schemeClr w14:val="tx1"/>
            </w14:solidFill>
          </w14:textFill>
        </w:rPr>
        <w:t>第4款，</w:t>
      </w:r>
      <w:r>
        <w:rPr>
          <w:rFonts w:hint="eastAsia" w:cs="宋体"/>
          <w:color w:val="000000" w:themeColor="text1"/>
          <w:kern w:val="0"/>
          <w:szCs w:val="21"/>
          <w:lang w:bidi="ar"/>
          <w14:textFill>
            <w14:solidFill>
              <w14:schemeClr w14:val="tx1"/>
            </w14:solidFill>
          </w14:textFill>
        </w:rPr>
        <w:t>位</w:t>
      </w:r>
      <w:r>
        <w:rPr>
          <w:rFonts w:hint="eastAsia" w:cs="宋体"/>
          <w:kern w:val="0"/>
          <w:szCs w:val="21"/>
          <w:lang w:bidi="ar"/>
        </w:rPr>
        <w:t>于砌体墙体上的开关、插座线盒，应在砌筑墙体时预留孔槽，安装线盒时应先用石膏灰浆封堵孔槽，再将线盒底座嵌入孔位内，使其密封；对于穿透气密层的电线套管，在墙体内预埋套管时，应在接口处采用专用的密封胶带密封，同时用石膏灰浆将套管与线盒接口处封堵密实；套管内穿线完毕后，应采用密封胶对开关、插座等的管口进行有效封堵。</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eastAsia="zh" w:bidi="ar"/>
        </w:rPr>
        <w:t>1</w:t>
      </w:r>
      <w:r>
        <w:rPr>
          <w:rFonts w:hint="eastAsia" w:cs="宋体"/>
          <w:bCs/>
          <w:kern w:val="0"/>
          <w:szCs w:val="21"/>
          <w:lang w:eastAsia="zh" w:bidi="ar"/>
        </w:rPr>
        <w:t>8 利用骑楼、架空层等过渡空间，结合格栅遮阳等，搭建植物载体系统，种植垂直绿化植物，创造建筑清凉空间，提高人体热舒适</w:t>
      </w:r>
      <w:r>
        <w:rPr>
          <w:rFonts w:hint="eastAsia" w:cs="宋体"/>
          <w:color w:val="000000" w:themeColor="text1"/>
          <w:kern w:val="0"/>
          <w:szCs w:val="21"/>
          <w:lang w:eastAsia="zh" w:bidi="ar"/>
          <w14:textFill>
            <w14:solidFill>
              <w14:schemeClr w14:val="tx1"/>
            </w14:solidFill>
          </w14:textFill>
        </w:rPr>
        <w:t>。</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firstLineChars="0"/>
        <w:textAlignment w:val="center"/>
        <w:rPr>
          <w:rFonts w:cs="宋体"/>
          <w:bCs/>
          <w:kern w:val="0"/>
          <w:szCs w:val="21"/>
          <w:lang w:bidi="ar"/>
        </w:rPr>
      </w:pPr>
      <w:r>
        <w:rPr>
          <w:rFonts w:hint="eastAsia" w:cs="宋体"/>
          <w:bCs/>
          <w:kern w:val="0"/>
          <w:szCs w:val="21"/>
          <w:lang w:bidi="ar"/>
        </w:rPr>
        <w:t>7.1.</w:t>
      </w:r>
      <w:r>
        <w:rPr>
          <w:rFonts w:cs="宋体"/>
          <w:bCs/>
          <w:kern w:val="0"/>
          <w:szCs w:val="21"/>
          <w:lang w:eastAsia="zh" w:bidi="ar"/>
        </w:rPr>
        <w:t>1</w:t>
      </w:r>
      <w:r>
        <w:rPr>
          <w:rFonts w:hint="eastAsia" w:cs="宋体"/>
          <w:bCs/>
          <w:kern w:val="0"/>
          <w:szCs w:val="21"/>
          <w:lang w:eastAsia="zh" w:bidi="ar"/>
        </w:rPr>
        <w:t>8</w:t>
      </w:r>
      <w:r>
        <w:rPr>
          <w:rFonts w:hint="eastAsia" w:cs="宋体"/>
          <w:kern w:val="0"/>
          <w:szCs w:val="21"/>
          <w:lang w:eastAsia="zh" w:bidi="ar"/>
        </w:rPr>
        <w:t>通过海南传统“骑楼”建筑、首层架空等形式，促进建筑内外部环境通风。鼓励居住建筑首层全部架空，于架空层增加游乐、休憩等活动设施，打造功能丰富的过渡空间；结合格栅遮阳、外墙挑檐等，设置立体绿化，创造可提高人体热舒适的清凉空间，降低空调冷负荷的内扰影响，达到建筑节能的效果</w:t>
      </w:r>
      <w:r>
        <w:rPr>
          <w:rFonts w:hint="eastAsia" w:cs="宋体"/>
          <w:color w:val="000000" w:themeColor="text1"/>
          <w:kern w:val="0"/>
          <w:szCs w:val="21"/>
          <w:lang w:bidi="ar"/>
          <w14:textFill>
            <w14:solidFill>
              <w14:schemeClr w14:val="tx1"/>
            </w14:solidFill>
          </w14:textFill>
        </w:rPr>
        <w:t>。</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eastAsia="zh" w:bidi="ar"/>
        </w:rPr>
        <w:t>1</w:t>
      </w:r>
      <w:r>
        <w:rPr>
          <w:rFonts w:hint="eastAsia" w:cs="宋体"/>
          <w:bCs/>
          <w:kern w:val="0"/>
          <w:szCs w:val="21"/>
          <w:lang w:eastAsia="zh" w:bidi="ar"/>
        </w:rPr>
        <w:t>9</w:t>
      </w:r>
      <w:r>
        <w:rPr>
          <w:rFonts w:hint="eastAsia" w:cs="宋体"/>
          <w:bCs/>
          <w:kern w:val="0"/>
          <w:szCs w:val="21"/>
          <w:lang w:bidi="ar"/>
        </w:rPr>
        <w:t>为保证室内舒适的热湿环境，可采取以下措施进行除湿：</w:t>
      </w:r>
    </w:p>
    <w:p>
      <w:pPr>
        <w:widowControl/>
        <w:ind w:firstLine="420"/>
        <w:textAlignment w:val="center"/>
        <w:rPr>
          <w:rFonts w:cs="宋体"/>
          <w:kern w:val="0"/>
          <w:szCs w:val="21"/>
          <w:lang w:bidi="ar"/>
        </w:rPr>
      </w:pPr>
      <w:r>
        <w:rPr>
          <w:rFonts w:hint="eastAsia" w:cs="宋体"/>
          <w:kern w:val="0"/>
          <w:szCs w:val="21"/>
          <w:lang w:bidi="ar"/>
        </w:rPr>
        <w:t>1 加强建筑外围护结构的防水设计和气密性设计，在合适的时间段保持通风，可以有效缓解湿气聚集；</w:t>
      </w:r>
    </w:p>
    <w:p>
      <w:pPr>
        <w:widowControl/>
        <w:ind w:firstLine="420"/>
        <w:textAlignment w:val="center"/>
        <w:rPr>
          <w:rFonts w:cs="宋体"/>
          <w:kern w:val="0"/>
          <w:szCs w:val="21"/>
          <w:lang w:bidi="ar"/>
        </w:rPr>
      </w:pPr>
      <w:r>
        <w:rPr>
          <w:rFonts w:hint="eastAsia" w:cs="宋体"/>
          <w:kern w:val="0"/>
          <w:szCs w:val="21"/>
          <w:lang w:bidi="ar"/>
        </w:rPr>
        <w:t>2 增设除湿机等相关设备，如在房间合适的位置抽吸排风降低房间湿度。</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cs="宋体"/>
          <w:bCs/>
          <w:kern w:val="0"/>
          <w:szCs w:val="21"/>
          <w:lang w:eastAsia="zh" w:bidi="ar"/>
        </w:rPr>
        <w:t>1</w:t>
      </w:r>
      <w:r>
        <w:rPr>
          <w:rFonts w:hint="eastAsia" w:cs="宋体"/>
          <w:bCs/>
          <w:kern w:val="0"/>
          <w:szCs w:val="21"/>
          <w:lang w:eastAsia="zh" w:bidi="ar"/>
        </w:rPr>
        <w:t>9</w:t>
      </w:r>
      <w:r>
        <w:rPr>
          <w:rFonts w:hint="eastAsia" w:cs="宋体"/>
          <w:color w:val="000000" w:themeColor="text1"/>
          <w:kern w:val="0"/>
          <w:szCs w:val="21"/>
          <w:lang w:bidi="ar"/>
          <w14:textFill>
            <w14:solidFill>
              <w14:schemeClr w14:val="tx1"/>
            </w14:solidFill>
          </w14:textFill>
        </w:rPr>
        <w:t>湿度是室内热舒适设计的重要指标，针对海南高温高湿的气候，设计时应采取措施降低室内湿度值，通过加强建筑外围护结构的防水设计、加强门窗的气密性要求、合适的时间段保持通风等措施均可以有效缓解湿气聚集。</w:t>
      </w:r>
    </w:p>
    <w:p>
      <w:pPr>
        <w:widowControl/>
        <w:ind w:firstLine="420"/>
        <w:textAlignment w:val="center"/>
        <w:rPr>
          <w:rFonts w:cs="宋体"/>
          <w:color w:val="FF0000"/>
          <w:kern w:val="0"/>
          <w:szCs w:val="21"/>
          <w:lang w:bidi="ar"/>
        </w:rPr>
      </w:pPr>
    </w:p>
    <w:p>
      <w:pPr>
        <w:spacing w:before="156" w:beforeLines="50" w:after="156" w:afterLines="50"/>
        <w:ind w:firstLine="0" w:firstLineChars="0"/>
        <w:jc w:val="center"/>
        <w:textAlignment w:val="center"/>
        <w:outlineLvl w:val="2"/>
        <w:rPr>
          <w:rFonts w:ascii="仿宋_GB2312" w:hAnsi="仿宋_GB2312" w:eastAsia="仿宋_GB2312" w:cs="仿宋_GB2312"/>
          <w:szCs w:val="21"/>
        </w:rPr>
      </w:pPr>
      <w:r>
        <w:rPr>
          <w:rFonts w:hint="eastAsia" w:ascii="仿宋_GB2312" w:hAnsi="仿宋_GB2312" w:eastAsia="仿宋_GB2312" w:cs="仿宋_GB2312"/>
          <w:bCs/>
          <w:szCs w:val="21"/>
        </w:rPr>
        <w:t>Ⅳ</w:t>
      </w:r>
      <w:r>
        <w:rPr>
          <w:rFonts w:hint="eastAsia" w:ascii="仿宋_GB2312" w:hAnsi="仿宋_GB2312" w:eastAsia="仿宋_GB2312" w:cs="仿宋_GB2312"/>
          <w:szCs w:val="21"/>
        </w:rPr>
        <w:t xml:space="preserve">  </w:t>
      </w:r>
      <w:r>
        <w:rPr>
          <w:rFonts w:hint="eastAsia" w:ascii="仿宋" w:hAnsi="仿宋" w:eastAsia="仿宋" w:cs="仿宋"/>
          <w:bCs/>
          <w:szCs w:val="21"/>
        </w:rPr>
        <w:t>高效空调系统</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20</w:t>
      </w:r>
      <w:r>
        <w:rPr>
          <w:rFonts w:hint="eastAsia" w:cs="宋体"/>
          <w:bCs/>
          <w:kern w:val="0"/>
          <w:szCs w:val="21"/>
          <w:lang w:bidi="ar"/>
        </w:rPr>
        <w:t xml:space="preserve">空调系统设计应符合以下原则： </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系统设置应进行技术经济合理性分析，可进行多种空调系统组合，优选分散设置的空调装置或系统； </w:t>
      </w:r>
    </w:p>
    <w:p>
      <w:pPr>
        <w:widowControl/>
        <w:ind w:firstLine="420"/>
        <w:textAlignment w:val="center"/>
        <w:rPr>
          <w:rFonts w:cs="宋体"/>
          <w:kern w:val="0"/>
          <w:szCs w:val="21"/>
          <w:lang w:bidi="ar"/>
        </w:rPr>
      </w:pPr>
      <w:r>
        <w:rPr>
          <w:rFonts w:hint="eastAsia" w:cs="宋体"/>
          <w:bCs/>
          <w:kern w:val="0"/>
          <w:szCs w:val="21"/>
          <w:lang w:eastAsia="zh" w:bidi="ar"/>
        </w:rPr>
        <w:t>2</w:t>
      </w:r>
      <w:r>
        <w:rPr>
          <w:rFonts w:hint="eastAsia" w:cs="宋体"/>
          <w:kern w:val="0"/>
          <w:szCs w:val="21"/>
          <w:lang w:bidi="ar"/>
        </w:rPr>
        <w:t xml:space="preserve"> 适当增设风扇装置，宜采用风扇加自然通风的方式提高室内舒适度，减少空调运行时间。风扇运行不宜影响室内照明，转速宜多档调节； </w:t>
      </w:r>
    </w:p>
    <w:p>
      <w:pPr>
        <w:widowControl/>
        <w:ind w:firstLine="420"/>
        <w:textAlignment w:val="center"/>
        <w:rPr>
          <w:rFonts w:cs="宋体"/>
          <w:kern w:val="0"/>
          <w:szCs w:val="21"/>
          <w:lang w:bidi="ar"/>
        </w:rPr>
      </w:pPr>
      <w:r>
        <w:rPr>
          <w:rFonts w:hint="eastAsia" w:cs="宋体"/>
          <w:bCs/>
          <w:kern w:val="0"/>
          <w:szCs w:val="21"/>
          <w:lang w:eastAsia="zh" w:bidi="ar"/>
        </w:rPr>
        <w:t>3</w:t>
      </w:r>
      <w:r>
        <w:rPr>
          <w:rFonts w:hint="eastAsia" w:cs="宋体"/>
          <w:kern w:val="0"/>
          <w:szCs w:val="21"/>
          <w:lang w:bidi="ar"/>
        </w:rPr>
        <w:t xml:space="preserve"> 对于室内温湿度要求较高的房间，除湿再热热源可利用空调冷凝热； </w:t>
      </w:r>
    </w:p>
    <w:p>
      <w:pPr>
        <w:widowControl/>
        <w:ind w:firstLine="420"/>
        <w:textAlignment w:val="center"/>
        <w:rPr>
          <w:rFonts w:cs="宋体"/>
          <w:kern w:val="0"/>
          <w:szCs w:val="21"/>
          <w:lang w:bidi="ar"/>
        </w:rPr>
      </w:pPr>
      <w:r>
        <w:rPr>
          <w:rFonts w:hint="eastAsia" w:cs="宋体"/>
          <w:bCs/>
          <w:kern w:val="0"/>
          <w:szCs w:val="21"/>
          <w:lang w:eastAsia="zh" w:bidi="ar"/>
        </w:rPr>
        <w:t>4</w:t>
      </w:r>
      <w:r>
        <w:rPr>
          <w:rFonts w:hint="eastAsia" w:cs="宋体"/>
          <w:kern w:val="0"/>
          <w:szCs w:val="21"/>
          <w:lang w:bidi="ar"/>
        </w:rPr>
        <w:t xml:space="preserve">在技术经济合理的情况下（考虑全年使用），冷、热源宜利用太阳能、风能等可再生能源（包括空气源热泵热水机组）系统。 </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hint="eastAsia" w:cs="宋体"/>
          <w:bCs/>
          <w:kern w:val="0"/>
          <w:szCs w:val="21"/>
          <w:lang w:eastAsia="zh" w:bidi="ar"/>
        </w:rPr>
        <w:t>20</w:t>
      </w:r>
      <w:r>
        <w:rPr>
          <w:rFonts w:hint="eastAsia" w:cs="宋体"/>
          <w:color w:val="000000" w:themeColor="text1"/>
          <w:kern w:val="0"/>
          <w:szCs w:val="21"/>
          <w:lang w:bidi="ar"/>
          <w14:textFill>
            <w14:solidFill>
              <w14:schemeClr w14:val="tx1"/>
            </w14:solidFill>
          </w14:textFill>
        </w:rPr>
        <w:t xml:space="preserve">本条文提出空调系统设计时首先要考虑的因素。合理利用能源、提高能源利用率、节约能源是我国的基本国策。直接将燃煤发电生产出的高品位电能转换为低品位的热能进行供暖，能源利用效率低，应加以限制。建筑能耗占我国能源总消费的比例已达 27.5％，在建筑能耗中，暖通空调系统和生活热水系统耗能比例接近 60％。当前，各种机组、输配系统、末端设备类型繁多、各具特色，然而，使用这些机组和设备时会受到能源、环境、工程状况、使用时间及要求等多种因素的影响和制约，因此应客观全面地对空调系统设计进行技术经济比较分析，以可持续发展的思路确定合理的方案。面对全球气候变化，节能减排和发展低碳经济成为各国共识。我国政府一方面利用大量补贴、税收优惠政策来刺激清洁能源产业发展；另一方面也通过法规，帮助能源公司购买、使用可再生能源。因此，可再生能源技术应用的市场发展迅猛，应用广泛。但是，由于可再生能源的利用与室外环境密切相关，从全年使用角度考虑，并不是任何时候都可以满足应用需求，因此当不能保证时，应设置辅助冷、热源来满足建筑的需求。 </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此条不包括有工艺要求的供暖建筑。</w:t>
      </w:r>
    </w:p>
    <w:p>
      <w:pPr>
        <w:widowControl/>
        <w:ind w:firstLine="420"/>
        <w:textAlignment w:val="center"/>
        <w:rPr>
          <w:rFonts w:cs="宋体"/>
          <w:color w:val="FF0000"/>
          <w:kern w:val="0"/>
          <w:szCs w:val="21"/>
          <w:lang w:bidi="ar"/>
        </w:rPr>
      </w:pP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21</w:t>
      </w:r>
      <w:r>
        <w:rPr>
          <w:rFonts w:hint="eastAsia" w:cs="宋体"/>
          <w:bCs/>
          <w:kern w:val="0"/>
          <w:szCs w:val="21"/>
          <w:lang w:bidi="ar"/>
        </w:rPr>
        <w:t xml:space="preserve"> 近零能耗建筑在设计阶段，应对每一个空调房间进行供冷负荷以及供冷年耗冷量进行计算。</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FF0000"/>
          <w:kern w:val="0"/>
          <w:szCs w:val="21"/>
          <w:lang w:bidi="ar"/>
        </w:rPr>
      </w:pPr>
      <w:r>
        <w:rPr>
          <w:rFonts w:hint="eastAsia" w:cs="宋体"/>
          <w:bCs/>
          <w:kern w:val="0"/>
          <w:szCs w:val="21"/>
          <w:lang w:bidi="ar"/>
        </w:rPr>
        <w:t>7.1.</w:t>
      </w:r>
      <w:r>
        <w:rPr>
          <w:rFonts w:hint="eastAsia" w:cs="宋体"/>
          <w:bCs/>
          <w:kern w:val="0"/>
          <w:szCs w:val="21"/>
          <w:lang w:eastAsia="zh" w:bidi="ar"/>
        </w:rPr>
        <w:t>21</w:t>
      </w:r>
      <w:r>
        <w:rPr>
          <w:rFonts w:hint="eastAsia" w:cs="宋体"/>
          <w:color w:val="000000" w:themeColor="text1"/>
          <w:kern w:val="0"/>
          <w:szCs w:val="21"/>
          <w:lang w:bidi="ar"/>
          <w14:textFill>
            <w14:solidFill>
              <w14:schemeClr w14:val="tx1"/>
            </w14:solidFill>
          </w14:textFill>
        </w:rPr>
        <w:t>不同于传统设计方法，性能化设计方法以定量分析为基础。通过关键指标参数的敏感性分析，获得对于不同设计策略的定量评价，对关键参数取值进行寻优，确定满足项目技术经济目标的优选方案，ISO 52016-1:2017《建筑能效－供碳和供冷需求、室内温度、潜热和显热负荷计算》（Energy performanceof buildings-Energy needs for heating and cooling,internal temperatures and sensible and latentheat loads》）中提供了国际公认的能耗计算方法，包括逐时和逐月计算方法。在德国、英国、美国的建筑能效评价体系的实践中，表明采用月平均动态计算方法的计算精度已经满足建筑能效评价的需求，同时计算速度和计算效率都有较大的提升，一致性较好，可以较好地满足工程需要，因此</w:t>
      </w:r>
      <w:r>
        <w:rPr>
          <w:rFonts w:hint="eastAsia" w:cs="宋体"/>
          <w:color w:val="000000" w:themeColor="text1"/>
          <w:kern w:val="0"/>
          <w:szCs w:val="21"/>
          <w:lang w:val="en" w:eastAsia="zh-CN" w:bidi="ar"/>
          <w14:textFill>
            <w14:solidFill>
              <w14:schemeClr w14:val="tx1"/>
            </w14:solidFill>
          </w14:textFill>
        </w:rPr>
        <w:t>本标准</w:t>
      </w:r>
      <w:r>
        <w:rPr>
          <w:rFonts w:hint="eastAsia" w:cs="宋体"/>
          <w:color w:val="000000" w:themeColor="text1"/>
          <w:kern w:val="0"/>
          <w:szCs w:val="21"/>
          <w:lang w:bidi="ar"/>
          <w14:textFill>
            <w14:solidFill>
              <w14:schemeClr w14:val="tx1"/>
            </w14:solidFill>
          </w14:textFill>
        </w:rPr>
        <w:t>推荐采用其中的月平均计算方法。</w:t>
      </w:r>
    </w:p>
    <w:p>
      <w:pPr>
        <w:widowControl/>
        <w:ind w:firstLine="420"/>
        <w:textAlignment w:val="center"/>
        <w:rPr>
          <w:rFonts w:cs="宋体"/>
          <w:color w:val="FF0000"/>
          <w:kern w:val="0"/>
          <w:szCs w:val="21"/>
          <w:lang w:bidi="ar"/>
        </w:rPr>
      </w:pPr>
    </w:p>
    <w:p>
      <w:pPr>
        <w:widowControl/>
        <w:ind w:firstLine="0" w:firstLineChars="0"/>
        <w:textAlignment w:val="center"/>
        <w:outlineLvl w:val="3"/>
        <w:rPr>
          <w:rFonts w:cs="宋体"/>
          <w:kern w:val="0"/>
          <w:szCs w:val="21"/>
          <w:lang w:bidi="ar"/>
        </w:rPr>
      </w:pPr>
      <w:r>
        <w:rPr>
          <w:rFonts w:hint="eastAsia" w:cs="宋体"/>
          <w:bCs/>
          <w:kern w:val="0"/>
          <w:szCs w:val="21"/>
          <w:lang w:bidi="ar"/>
        </w:rPr>
        <w:t>7.1.2</w:t>
      </w:r>
      <w:r>
        <w:rPr>
          <w:rFonts w:hint="eastAsia" w:cs="宋体"/>
          <w:bCs/>
          <w:kern w:val="0"/>
          <w:szCs w:val="21"/>
          <w:lang w:eastAsia="zh" w:bidi="ar"/>
        </w:rPr>
        <w:t>2</w:t>
      </w:r>
      <w:r>
        <w:rPr>
          <w:rFonts w:hint="eastAsia" w:cs="宋体"/>
          <w:bCs/>
          <w:kern w:val="0"/>
          <w:szCs w:val="21"/>
          <w:lang w:bidi="ar"/>
        </w:rPr>
        <w:t xml:space="preserve"> 冷源设备宜按下列要求选配： </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采用磁悬浮机组等更高能效的供冷设备； </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 xml:space="preserve"> 采用与可再生能源系统耦合的空调技术； </w:t>
      </w:r>
    </w:p>
    <w:p>
      <w:pPr>
        <w:widowControl/>
        <w:ind w:firstLine="420"/>
        <w:textAlignment w:val="center"/>
        <w:rPr>
          <w:rFonts w:cs="宋体"/>
          <w:kern w:val="0"/>
          <w:szCs w:val="21"/>
          <w:lang w:bidi="ar"/>
        </w:rPr>
      </w:pPr>
      <w:r>
        <w:rPr>
          <w:rFonts w:hint="eastAsia" w:cs="宋体"/>
          <w:bCs/>
          <w:kern w:val="0"/>
          <w:szCs w:val="21"/>
          <w:lang w:bidi="ar"/>
        </w:rPr>
        <w:t>3</w:t>
      </w:r>
      <w:r>
        <w:rPr>
          <w:rFonts w:hint="eastAsia" w:cs="宋体"/>
          <w:kern w:val="0"/>
          <w:szCs w:val="21"/>
          <w:lang w:bidi="ar"/>
        </w:rPr>
        <w:t xml:space="preserve"> 采用多联机高能效的供冷设备； </w:t>
      </w:r>
    </w:p>
    <w:p>
      <w:pPr>
        <w:widowControl/>
        <w:ind w:firstLine="420"/>
        <w:textAlignment w:val="center"/>
        <w:rPr>
          <w:rFonts w:cs="宋体"/>
          <w:kern w:val="0"/>
          <w:szCs w:val="21"/>
          <w:lang w:bidi="ar"/>
        </w:rPr>
      </w:pPr>
      <w:r>
        <w:rPr>
          <w:rFonts w:hint="eastAsia" w:cs="宋体"/>
          <w:bCs/>
          <w:kern w:val="0"/>
          <w:szCs w:val="21"/>
          <w:lang w:bidi="ar"/>
        </w:rPr>
        <w:t>4</w:t>
      </w:r>
      <w:r>
        <w:rPr>
          <w:rFonts w:hint="eastAsia" w:cs="宋体"/>
          <w:kern w:val="0"/>
          <w:szCs w:val="21"/>
          <w:lang w:bidi="ar"/>
        </w:rPr>
        <w:t xml:space="preserve"> 风冷型冷水设备的选用，优先选择蒸发冷却高效供冷设备。</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7.1.2</w:t>
      </w:r>
      <w:r>
        <w:rPr>
          <w:rFonts w:hint="eastAsia" w:cs="宋体"/>
          <w:bCs/>
          <w:kern w:val="0"/>
          <w:szCs w:val="21"/>
          <w:lang w:eastAsia="zh" w:bidi="ar"/>
        </w:rPr>
        <w:t>2</w:t>
      </w:r>
      <w:r>
        <w:rPr>
          <w:rFonts w:hint="eastAsia" w:cs="宋体"/>
          <w:color w:val="000000" w:themeColor="text1"/>
          <w:kern w:val="0"/>
          <w:szCs w:val="21"/>
          <w:lang w:bidi="ar"/>
          <w14:textFill>
            <w14:solidFill>
              <w14:schemeClr w14:val="tx1"/>
            </w14:solidFill>
          </w14:textFill>
        </w:rPr>
        <w:t xml:space="preserve">本条要求是根据不同场合、不同规模、不同要求的条件下，冷源设备优选序列，从最优到次一级排列，高效供冷设备包括磁悬浮机组、变频直驱机组等。采用磁悬浮机组等更高能效的供冷设备，是降低建筑能耗直接有效手段。目前主流厂家的磁悬浮机组的IPLV（C）值均超过8.20，部分可达到11.00。 </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 xml:space="preserve">夏热冬暖地区宜采用与可再生能源系统耦合的空调技术，如：太阳能光伏直驱空调、太阳能光伏多联机等。为了达到近零能耗建筑的要求，须要有可再生能源系统的支持。目前主流厂家均有成熟的与可再生能源耦合的空调技术及实际项目建成。《夏热冬暖地区净零能耗公共建筑技术导则》6.3.3 条也鼓励采用。 </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多联式空调机组其在名义制冷工况和规定条件下的制冷综合性能系数IPLV达到6.0或机组能源效率等级指标（APF）达到4.5以上，节能性显著，目前主流厂家的多联机的 IPLV（C）值均超过6.0，部分达8.0以上。住宅或别墅等居住类建筑的单机冷量不大，采用一个室外单元机的大部分运行时间都是大马拉小车，部分负荷低时能效低。因此居住类建筑的设备选择必须注意低比例部分负荷（50%以下）工况下运行效率。</w:t>
      </w:r>
    </w:p>
    <w:p>
      <w:pPr>
        <w:pStyle w:val="2"/>
        <w:ind w:firstLine="420"/>
        <w:rPr>
          <w:lang w:bidi="ar"/>
        </w:rPr>
      </w:pPr>
    </w:p>
    <w:p>
      <w:pPr>
        <w:widowControl/>
        <w:ind w:firstLine="0" w:firstLineChars="0"/>
        <w:textAlignment w:val="center"/>
        <w:outlineLvl w:val="3"/>
        <w:rPr>
          <w:rFonts w:cs="宋体"/>
          <w:kern w:val="0"/>
          <w:szCs w:val="21"/>
          <w:lang w:bidi="ar"/>
        </w:rPr>
      </w:pPr>
      <w:bookmarkStart w:id="55" w:name="OLE_LINK3"/>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3</w:t>
      </w:r>
      <w:bookmarkEnd w:id="55"/>
      <w:r>
        <w:rPr>
          <w:rFonts w:hint="eastAsia" w:cs="宋体"/>
          <w:bCs/>
          <w:kern w:val="0"/>
          <w:szCs w:val="21"/>
          <w:lang w:bidi="ar"/>
        </w:rPr>
        <w:t xml:space="preserve"> 冷热源系统设置应符合以下要求： </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冷热源机组尽量设置于建筑负荷中心位置； </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 xml:space="preserve"> 冷热源机组设置时</w:t>
      </w:r>
      <w:r>
        <w:rPr>
          <w:rFonts w:hint="eastAsia" w:cs="宋体"/>
          <w:kern w:val="0"/>
          <w:szCs w:val="21"/>
          <w:lang w:eastAsia="zh" w:bidi="ar"/>
        </w:rPr>
        <w:t>应</w:t>
      </w:r>
      <w:r>
        <w:rPr>
          <w:rFonts w:hint="eastAsia" w:cs="宋体"/>
          <w:kern w:val="0"/>
          <w:szCs w:val="21"/>
          <w:lang w:bidi="ar"/>
        </w:rPr>
        <w:t>采用</w:t>
      </w:r>
      <w:r>
        <w:rPr>
          <w:rFonts w:hint="eastAsia" w:cs="宋体"/>
          <w:kern w:val="0"/>
          <w:szCs w:val="21"/>
          <w:lang w:eastAsia="zh" w:bidi="ar"/>
        </w:rPr>
        <w:t>符合实际负荷曲线</w:t>
      </w:r>
      <w:r>
        <w:rPr>
          <w:rFonts w:hint="eastAsia" w:cs="宋体"/>
          <w:kern w:val="0"/>
          <w:szCs w:val="21"/>
          <w:lang w:bidi="ar"/>
        </w:rPr>
        <w:t>的</w:t>
      </w:r>
      <w:r>
        <w:rPr>
          <w:rFonts w:hint="eastAsia" w:cs="宋体"/>
          <w:kern w:val="0"/>
          <w:szCs w:val="21"/>
          <w:lang w:eastAsia="zh" w:bidi="ar"/>
        </w:rPr>
        <w:t>机组</w:t>
      </w:r>
      <w:r>
        <w:rPr>
          <w:rFonts w:hint="eastAsia" w:cs="宋体"/>
          <w:kern w:val="0"/>
          <w:szCs w:val="21"/>
          <w:lang w:bidi="ar"/>
        </w:rPr>
        <w:t xml:space="preserve">； </w:t>
      </w:r>
    </w:p>
    <w:p>
      <w:pPr>
        <w:widowControl/>
        <w:ind w:firstLine="420"/>
        <w:textAlignment w:val="center"/>
        <w:rPr>
          <w:rFonts w:cs="宋体"/>
          <w:kern w:val="0"/>
          <w:szCs w:val="21"/>
          <w:lang w:bidi="ar"/>
        </w:rPr>
      </w:pPr>
      <w:r>
        <w:rPr>
          <w:rFonts w:hint="eastAsia" w:cs="宋体"/>
          <w:bCs/>
          <w:kern w:val="0"/>
          <w:szCs w:val="21"/>
          <w:lang w:bidi="ar"/>
        </w:rPr>
        <w:t>3</w:t>
      </w:r>
      <w:r>
        <w:rPr>
          <w:rFonts w:hint="eastAsia" w:cs="宋体"/>
          <w:kern w:val="0"/>
          <w:szCs w:val="21"/>
          <w:lang w:bidi="ar"/>
        </w:rPr>
        <w:t xml:space="preserve"> 宜</w:t>
      </w:r>
      <w:r>
        <w:rPr>
          <w:rFonts w:hint="eastAsia" w:cs="宋体"/>
          <w:kern w:val="0"/>
          <w:szCs w:val="21"/>
          <w:lang w:eastAsia="zh" w:bidi="ar"/>
        </w:rPr>
        <w:t>提高空调冷冻水系统的供水温度</w:t>
      </w:r>
      <w:r>
        <w:rPr>
          <w:rFonts w:hint="eastAsia" w:cs="宋体"/>
          <w:kern w:val="0"/>
          <w:szCs w:val="21"/>
          <w:lang w:bidi="ar"/>
        </w:rPr>
        <w:t xml:space="preserve">； </w:t>
      </w:r>
    </w:p>
    <w:p>
      <w:pPr>
        <w:widowControl/>
        <w:ind w:firstLine="420"/>
        <w:textAlignment w:val="center"/>
        <w:rPr>
          <w:rFonts w:cs="宋体"/>
          <w:kern w:val="0"/>
          <w:szCs w:val="21"/>
          <w:lang w:bidi="ar"/>
        </w:rPr>
      </w:pPr>
      <w:r>
        <w:rPr>
          <w:rFonts w:hint="eastAsia" w:cs="宋体"/>
          <w:bCs/>
          <w:kern w:val="0"/>
          <w:szCs w:val="21"/>
          <w:lang w:bidi="ar"/>
        </w:rPr>
        <w:t xml:space="preserve">4 </w:t>
      </w:r>
      <w:r>
        <w:rPr>
          <w:rFonts w:hint="eastAsia" w:cs="宋体"/>
          <w:kern w:val="0"/>
          <w:szCs w:val="21"/>
          <w:lang w:bidi="ar"/>
        </w:rPr>
        <w:t>经技术方案对比确实可行的条件下，宜采用加大供回水温差的供冷系统。</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3</w:t>
      </w:r>
      <w:r>
        <w:rPr>
          <w:rFonts w:hint="eastAsia" w:cs="宋体"/>
          <w:color w:val="000000" w:themeColor="text1"/>
          <w:kern w:val="0"/>
          <w:szCs w:val="21"/>
          <w:lang w:bidi="ar"/>
          <w14:textFill>
            <w14:solidFill>
              <w14:schemeClr w14:val="tx1"/>
            </w14:solidFill>
          </w14:textFill>
        </w:rPr>
        <w:t>冷热源机组尽量设置于建筑负荷中心位置，以最少管道输送冷热量，减少输送能耗及冷损失。冷热源机组设置时</w:t>
      </w:r>
      <w:r>
        <w:rPr>
          <w:rFonts w:hint="eastAsia" w:cs="宋体"/>
          <w:color w:val="000000" w:themeColor="text1"/>
          <w:kern w:val="0"/>
          <w:szCs w:val="21"/>
          <w:lang w:eastAsia="zh" w:bidi="ar"/>
          <w14:textFill>
            <w14:solidFill>
              <w14:schemeClr w14:val="tx1"/>
            </w14:solidFill>
          </w14:textFill>
        </w:rPr>
        <w:t>应基于准确的负荷计算，并且要考虑机组的性能参数、数量以及是否符合建筑物的实际负荷曲线，通过这些步骤，可以确保所选机组既经济又高效地服务于建筑环境</w:t>
      </w:r>
      <w:r>
        <w:rPr>
          <w:rFonts w:hint="eastAsia" w:cs="宋体"/>
          <w:color w:val="000000" w:themeColor="text1"/>
          <w:kern w:val="0"/>
          <w:szCs w:val="21"/>
          <w:lang w:bidi="ar"/>
          <w14:textFill>
            <w14:solidFill>
              <w14:schemeClr w14:val="tx1"/>
            </w14:solidFill>
          </w14:textFill>
        </w:rPr>
        <w:t>。提高冷冻水供水温度</w:t>
      </w:r>
      <w:r>
        <w:rPr>
          <w:rFonts w:hint="eastAsia" w:cs="宋体"/>
          <w:color w:val="000000" w:themeColor="text1"/>
          <w:kern w:val="0"/>
          <w:szCs w:val="21"/>
          <w:lang w:eastAsia="zh" w:bidi="ar"/>
          <w14:textFill>
            <w14:solidFill>
              <w14:schemeClr w14:val="tx1"/>
            </w14:solidFill>
          </w14:textFill>
        </w:rPr>
        <w:t>，使其</w:t>
      </w:r>
      <w:r>
        <w:rPr>
          <w:rFonts w:hint="eastAsia" w:cs="宋体"/>
          <w:color w:val="000000" w:themeColor="text1"/>
          <w:kern w:val="0"/>
          <w:szCs w:val="21"/>
          <w:lang w:bidi="ar"/>
          <w14:textFill>
            <w14:solidFill>
              <w14:schemeClr w14:val="tx1"/>
            </w14:solidFill>
          </w14:textFill>
        </w:rPr>
        <w:t>冷冻水供水温度在9.0°C—12.0°C时</w:t>
      </w:r>
      <w:r>
        <w:rPr>
          <w:rFonts w:hint="eastAsia" w:cs="宋体"/>
          <w:color w:val="000000" w:themeColor="text1"/>
          <w:kern w:val="0"/>
          <w:szCs w:val="21"/>
          <w:lang w:eastAsia="zh" w:bidi="ar"/>
          <w14:textFill>
            <w14:solidFill>
              <w14:schemeClr w14:val="tx1"/>
            </w14:solidFill>
          </w14:textFill>
        </w:rPr>
        <w:t>，</w:t>
      </w:r>
      <w:r>
        <w:rPr>
          <w:rFonts w:hint="eastAsia" w:cs="宋体"/>
          <w:color w:val="000000" w:themeColor="text1"/>
          <w:kern w:val="0"/>
          <w:szCs w:val="21"/>
          <w:lang w:bidi="ar"/>
          <w14:textFill>
            <w14:solidFill>
              <w14:schemeClr w14:val="tx1"/>
            </w14:solidFill>
          </w14:textFill>
        </w:rPr>
        <w:t>不仅可显著直接提高制冷机组的能效，同时也能降低整个冷冻水系统的冷损耗，众多成熟案例也证明。具体内容可见《供暖通风空调设计手册》相关内容。因此，采用中温空调系统可以显著地降低建筑空调的能耗。当输送能耗在总能耗中占比提高较多时，经技术方案对比确实可行的条件下，宜采用加大供回水温差配合大温差中温空调末端产品的供冷系统。</w:t>
      </w:r>
    </w:p>
    <w:p>
      <w:pPr>
        <w:pStyle w:val="2"/>
        <w:ind w:firstLine="420"/>
        <w:rPr>
          <w:lang w:bidi="ar"/>
        </w:rPr>
      </w:pPr>
    </w:p>
    <w:p>
      <w:pPr>
        <w:widowControl/>
        <w:ind w:firstLine="0" w:firstLineChars="0"/>
        <w:textAlignment w:val="center"/>
        <w:outlineLvl w:val="3"/>
        <w:rPr>
          <w:rFonts w:cs="宋体"/>
          <w:kern w:val="0"/>
          <w:szCs w:val="21"/>
          <w:lang w:bidi="ar"/>
        </w:rPr>
      </w:pPr>
      <w:r>
        <w:rPr>
          <w:rFonts w:hint="eastAsia" w:cs="宋体"/>
          <w:bCs/>
          <w:kern w:val="0"/>
          <w:szCs w:val="21"/>
          <w:lang w:bidi="ar"/>
        </w:rPr>
        <w:t>7.1.2</w:t>
      </w:r>
      <w:r>
        <w:rPr>
          <w:rFonts w:hint="eastAsia" w:cs="宋体"/>
          <w:bCs/>
          <w:kern w:val="0"/>
          <w:szCs w:val="21"/>
          <w:lang w:eastAsia="zh" w:bidi="ar"/>
        </w:rPr>
        <w:t>4</w:t>
      </w:r>
      <w:r>
        <w:rPr>
          <w:rFonts w:hint="eastAsia" w:cs="宋体"/>
          <w:bCs/>
          <w:kern w:val="0"/>
          <w:szCs w:val="21"/>
          <w:lang w:bidi="ar"/>
        </w:rPr>
        <w:t xml:space="preserve"> 通风及新风系统应设计符合下列规定： </w:t>
      </w:r>
    </w:p>
    <w:p>
      <w:pPr>
        <w:widowControl/>
        <w:ind w:firstLine="420"/>
        <w:textAlignment w:val="center"/>
        <w:rPr>
          <w:rFonts w:cs="宋体"/>
          <w:kern w:val="0"/>
          <w:szCs w:val="21"/>
          <w:lang w:bidi="ar"/>
        </w:rPr>
      </w:pPr>
      <w:r>
        <w:rPr>
          <w:rFonts w:hint="eastAsia" w:cs="宋体"/>
          <w:bCs/>
          <w:kern w:val="0"/>
          <w:szCs w:val="21"/>
          <w:lang w:bidi="ar"/>
        </w:rPr>
        <w:t>1</w:t>
      </w:r>
      <w:r>
        <w:rPr>
          <w:rFonts w:hint="eastAsia" w:cs="宋体"/>
          <w:kern w:val="0"/>
          <w:szCs w:val="21"/>
          <w:lang w:bidi="ar"/>
        </w:rPr>
        <w:t xml:space="preserve"> 居住建筑应设置新风和排风系统，新风和排风系统宜分户独立设置；并应进行风量平衡计算，排风量宜为新风量的80% ~90%； </w:t>
      </w:r>
    </w:p>
    <w:p>
      <w:pPr>
        <w:widowControl/>
        <w:ind w:firstLine="420"/>
        <w:textAlignment w:val="center"/>
        <w:rPr>
          <w:rFonts w:cs="宋体"/>
          <w:kern w:val="0"/>
          <w:szCs w:val="21"/>
          <w:lang w:bidi="ar"/>
        </w:rPr>
      </w:pPr>
      <w:r>
        <w:rPr>
          <w:rFonts w:hint="eastAsia" w:cs="宋体"/>
          <w:bCs/>
          <w:kern w:val="0"/>
          <w:szCs w:val="21"/>
          <w:lang w:bidi="ar"/>
        </w:rPr>
        <w:t>2</w:t>
      </w:r>
      <w:r>
        <w:rPr>
          <w:rFonts w:hint="eastAsia" w:cs="宋体"/>
          <w:kern w:val="0"/>
          <w:szCs w:val="21"/>
          <w:lang w:bidi="ar"/>
        </w:rPr>
        <w:t xml:space="preserve"> 居住建筑厨房的抽油烟机应选择体积流量小、捕集率高的设备，且应设置独立补风系统，补风应直接从室外引入，补风管需设置密闭型电动风阀，且电动风阀应与排油烟机联动； </w:t>
      </w:r>
    </w:p>
    <w:p>
      <w:pPr>
        <w:widowControl/>
        <w:ind w:firstLine="420"/>
        <w:textAlignment w:val="center"/>
        <w:rPr>
          <w:rFonts w:cs="宋体"/>
          <w:kern w:val="0"/>
          <w:szCs w:val="21"/>
          <w:lang w:bidi="ar"/>
        </w:rPr>
      </w:pPr>
      <w:r>
        <w:rPr>
          <w:rFonts w:hint="eastAsia" w:cs="宋体"/>
          <w:bCs/>
          <w:kern w:val="0"/>
          <w:szCs w:val="21"/>
          <w:lang w:bidi="ar"/>
        </w:rPr>
        <w:t>3</w:t>
      </w:r>
      <w:r>
        <w:rPr>
          <w:rFonts w:hint="eastAsia" w:cs="宋体"/>
          <w:kern w:val="0"/>
          <w:szCs w:val="21"/>
          <w:lang w:bidi="ar"/>
        </w:rPr>
        <w:t xml:space="preserve"> 应根据空调负荷特征，选取适宜的除湿技术措施，避免出现热湿比变化条件下传统冷却除湿方法带来的新风再热情况。当公共建筑有余热或太阳能作为再生热量供应时，可采用液体除湿、固体吸附式除湿、转轮除湿等除湿方式； </w:t>
      </w:r>
    </w:p>
    <w:p>
      <w:pPr>
        <w:widowControl/>
        <w:ind w:firstLine="420"/>
        <w:textAlignment w:val="center"/>
        <w:rPr>
          <w:rFonts w:cs="宋体"/>
          <w:kern w:val="0"/>
          <w:szCs w:val="21"/>
          <w:lang w:bidi="ar"/>
        </w:rPr>
      </w:pPr>
      <w:r>
        <w:rPr>
          <w:rFonts w:hint="eastAsia" w:cs="宋体"/>
          <w:bCs/>
          <w:kern w:val="0"/>
          <w:szCs w:val="21"/>
          <w:lang w:bidi="ar"/>
        </w:rPr>
        <w:t>4</w:t>
      </w:r>
      <w:r>
        <w:rPr>
          <w:rFonts w:hint="eastAsia" w:cs="宋体"/>
          <w:kern w:val="0"/>
          <w:szCs w:val="21"/>
          <w:lang w:bidi="ar"/>
        </w:rPr>
        <w:t xml:space="preserve"> 过渡季优先采用自然通风措施；当不具备自然通风条件时，可进行相应的经济及技术分析采用适宜的机械通风措施。 </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7.1.2</w:t>
      </w:r>
      <w:r>
        <w:rPr>
          <w:rFonts w:hint="eastAsia" w:cs="宋体"/>
          <w:bCs/>
          <w:kern w:val="0"/>
          <w:szCs w:val="21"/>
          <w:lang w:eastAsia="zh" w:bidi="ar"/>
        </w:rPr>
        <w:t>4</w:t>
      </w:r>
      <w:r>
        <w:rPr>
          <w:rFonts w:hint="eastAsia" w:cs="宋体"/>
          <w:color w:val="000000" w:themeColor="text1"/>
          <w:kern w:val="0"/>
          <w:szCs w:val="21"/>
          <w:lang w:bidi="ar"/>
          <w14:textFill>
            <w14:solidFill>
              <w14:schemeClr w14:val="tx1"/>
            </w14:solidFill>
          </w14:textFill>
        </w:rPr>
        <w:t>居住建筑的新风系统宜分户独立设置且可调控，用户可根据需求进行调节。集中新风系统相对户式新风系统运行能耗明显增加，且不能根据每户居民使用需求灵活调控，还存在检修不便和安全隐患。新风量高于排风量，使室内保持微正压。建筑节能不应降低人体舒适度要求。厨房在做饭时会产生大量的油烟与蒸汽，且瞬时通风量大，为降低厨房排油烟时导致的冷负荷，应设置独立的排油烟补风系统，同时，补风口的设置需进行合理的气流组织，有利于油烟及蒸汽的排放，避免短路。海南地区的除湿负荷大，能耗高，应充分考虑采用温湿度独立控制、吸收式除湿等高效除湿技术进行除湿系统设计。过渡季通过开启门窗等自然通风（当条件容许时）方式是最经济的通风方式；（当无条件时）通过多种机械通风方案进行经济比较，采用适宜的机械通风系统消除室内热湿、既可以减少房间内空调设备运行时间，又能确保室内空气的质量，达到生态、绿色、健康、节能的目的。</w:t>
      </w:r>
    </w:p>
    <w:p>
      <w:pPr>
        <w:pStyle w:val="2"/>
        <w:ind w:firstLine="420"/>
        <w:rPr>
          <w:lang w:bidi="ar"/>
        </w:rPr>
      </w:pP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5</w:t>
      </w:r>
      <w:r>
        <w:rPr>
          <w:rFonts w:hint="eastAsia" w:cs="宋体"/>
          <w:bCs/>
          <w:kern w:val="0"/>
          <w:szCs w:val="21"/>
          <w:lang w:bidi="ar"/>
        </w:rPr>
        <w:t>不宜采用转轮式装置对建筑的排风进行全热回收。</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5</w:t>
      </w:r>
      <w:r>
        <w:rPr>
          <w:rFonts w:hint="eastAsia" w:cs="宋体"/>
          <w:color w:val="000000" w:themeColor="text1"/>
          <w:kern w:val="0"/>
          <w:szCs w:val="21"/>
          <w:lang w:bidi="ar"/>
          <w14:textFill>
            <w14:solidFill>
              <w14:schemeClr w14:val="tx1"/>
            </w14:solidFill>
          </w14:textFill>
        </w:rPr>
        <w:t>海南地区的夏季室外空气，多为高温高湿状态，转轮式装置由于需要电机驱动转轮旋转，以及密封困难造成排风短路回流等问题，使得全热回收的能效比不高，起不到节能作用，反而增加了能耗，因此不宜使用。</w:t>
      </w:r>
    </w:p>
    <w:p>
      <w:pPr>
        <w:pStyle w:val="2"/>
        <w:ind w:firstLine="420"/>
        <w:rPr>
          <w:lang w:bidi="ar"/>
        </w:rPr>
      </w:pP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6</w:t>
      </w:r>
      <w:r>
        <w:rPr>
          <w:rFonts w:hint="eastAsia" w:cs="宋体"/>
          <w:bCs/>
          <w:kern w:val="0"/>
          <w:szCs w:val="21"/>
          <w:lang w:bidi="ar"/>
        </w:rPr>
        <w:t xml:space="preserve"> 集中空调应采用高效率的空调水泵及风机，经过管路的优化设计，提高输配系统的能效，并符合下列要求： </w:t>
      </w:r>
    </w:p>
    <w:p>
      <w:pPr>
        <w:widowControl/>
        <w:ind w:firstLine="420"/>
        <w:textAlignment w:val="center"/>
        <w:rPr>
          <w:rFonts w:cs="宋体"/>
          <w:kern w:val="0"/>
          <w:szCs w:val="21"/>
          <w:lang w:bidi="ar"/>
        </w:rPr>
      </w:pPr>
      <w:r>
        <w:rPr>
          <w:rFonts w:hint="eastAsia" w:cs="宋体"/>
          <w:kern w:val="0"/>
          <w:szCs w:val="21"/>
          <w:lang w:bidi="ar"/>
        </w:rPr>
        <w:t xml:space="preserve">1 空调水泵、风机应达到相应能效评价标准的一级能效要求； </w:t>
      </w:r>
    </w:p>
    <w:p>
      <w:pPr>
        <w:widowControl/>
        <w:ind w:firstLine="420"/>
        <w:textAlignment w:val="center"/>
        <w:rPr>
          <w:rFonts w:cs="宋体"/>
          <w:kern w:val="0"/>
          <w:szCs w:val="21"/>
          <w:lang w:bidi="ar"/>
        </w:rPr>
      </w:pPr>
      <w:r>
        <w:rPr>
          <w:rFonts w:hint="eastAsia" w:cs="宋体"/>
          <w:kern w:val="0"/>
          <w:szCs w:val="21"/>
          <w:lang w:bidi="ar"/>
        </w:rPr>
        <w:t xml:space="preserve">2 空调水系统、风系统宜采用变频措施。 </w:t>
      </w:r>
    </w:p>
    <w:p>
      <w:pPr>
        <w:widowControl/>
        <w:ind w:firstLine="0" w:firstLineChars="0"/>
        <w:textAlignment w:val="center"/>
        <w:rPr>
          <w:rFonts w:cs="宋体"/>
          <w:color w:val="000000" w:themeColor="text1"/>
          <w:kern w:val="0"/>
          <w:szCs w:val="21"/>
          <w:lang w:bidi="ar"/>
          <w14:textFill>
            <w14:solidFill>
              <w14:schemeClr w14:val="tx1"/>
            </w14:solidFill>
          </w14:textFill>
        </w:rPr>
      </w:pPr>
      <w:r>
        <w:rPr>
          <w:rFonts w:hint="eastAsia" w:cs="宋体"/>
          <w:color w:val="000000" w:themeColor="text1"/>
          <w:kern w:val="0"/>
          <w:szCs w:val="21"/>
          <w:lang w:bidi="ar"/>
          <w14:textFill>
            <w14:solidFill>
              <w14:schemeClr w14:val="tx1"/>
            </w14:solidFill>
          </w14:textFill>
        </w:rPr>
        <w:t>【条文说明】</w:t>
      </w:r>
    </w:p>
    <w:p>
      <w:pPr>
        <w:widowControl/>
        <w:ind w:firstLine="420"/>
        <w:textAlignment w:val="center"/>
        <w:rPr>
          <w:rFonts w:cs="宋体"/>
          <w:color w:val="000000" w:themeColor="text1"/>
          <w:kern w:val="0"/>
          <w:szCs w:val="21"/>
          <w:lang w:bidi="ar"/>
          <w14:textFill>
            <w14:solidFill>
              <w14:schemeClr w14:val="tx1"/>
            </w14:solidFill>
          </w14:textFill>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6</w:t>
      </w:r>
      <w:r>
        <w:rPr>
          <w:rFonts w:hint="eastAsia" w:cs="宋体"/>
          <w:color w:val="000000" w:themeColor="text1"/>
          <w:kern w:val="0"/>
          <w:szCs w:val="21"/>
          <w:lang w:bidi="ar"/>
          <w14:textFill>
            <w14:solidFill>
              <w14:schemeClr w14:val="tx1"/>
            </w14:solidFill>
          </w14:textFill>
        </w:rPr>
        <w:t>输配系统能源消耗是导致公共建筑集中空调系统能耗过高的主要原因之一，因此降低输配系统能源消耗应是建筑节能中尤其是大型公共建筑节能中潜力最大的部分。如何通过调节改变风机水泵工作状况，使其与需求相匹配，从而在高效工作点工作，是对风机水泵和管网技术的挑战。</w:t>
      </w:r>
    </w:p>
    <w:p>
      <w:pPr>
        <w:spacing w:before="156" w:beforeLines="50" w:after="156" w:afterLines="50"/>
        <w:ind w:firstLine="0" w:firstLineChars="0"/>
        <w:jc w:val="center"/>
        <w:textAlignment w:val="center"/>
        <w:outlineLvl w:val="2"/>
        <w:rPr>
          <w:rFonts w:ascii="仿宋_GB2312" w:hAnsi="仿宋_GB2312" w:eastAsia="仿宋_GB2312" w:cs="仿宋_GB2312"/>
          <w:szCs w:val="21"/>
        </w:rPr>
      </w:pPr>
      <w:r>
        <w:rPr>
          <w:rFonts w:hint="eastAsia" w:ascii="仿宋_GB2312" w:hAnsi="仿宋_GB2312" w:eastAsia="仿宋_GB2312" w:cs="仿宋_GB2312"/>
          <w:bCs/>
          <w:szCs w:val="21"/>
        </w:rPr>
        <w:t>Ⅴ</w:t>
      </w:r>
      <w:r>
        <w:rPr>
          <w:rFonts w:eastAsia="仿宋_GB2312" w:cs="Times New Roman"/>
          <w:bCs/>
          <w:szCs w:val="21"/>
        </w:rPr>
        <w:t xml:space="preserve">  </w:t>
      </w:r>
      <w:r>
        <w:rPr>
          <w:rFonts w:hint="eastAsia" w:ascii="仿宋" w:hAnsi="仿宋" w:eastAsia="仿宋" w:cs="仿宋"/>
          <w:bCs/>
          <w:szCs w:val="21"/>
        </w:rPr>
        <w:t>高效照明系统</w:t>
      </w: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7</w:t>
      </w:r>
      <w:r>
        <w:rPr>
          <w:rFonts w:hint="eastAsia" w:cs="宋体"/>
          <w:bCs/>
          <w:kern w:val="0"/>
          <w:szCs w:val="21"/>
          <w:lang w:bidi="ar"/>
        </w:rPr>
        <w:t xml:space="preserve"> 照明系统设计宜符合下列规定：</w:t>
      </w:r>
    </w:p>
    <w:p>
      <w:pPr>
        <w:widowControl/>
        <w:ind w:firstLine="420"/>
        <w:textAlignment w:val="center"/>
        <w:rPr>
          <w:rFonts w:eastAsia="Arial" w:cs="宋体"/>
          <w:kern w:val="0"/>
          <w:szCs w:val="21"/>
          <w:lang w:eastAsia="zh" w:bidi="ar"/>
        </w:rPr>
      </w:pPr>
      <w:r>
        <w:rPr>
          <w:rFonts w:hint="eastAsia" w:cs="宋体"/>
          <w:kern w:val="0"/>
          <w:szCs w:val="21"/>
          <w:lang w:bidi="ar"/>
        </w:rPr>
        <w:t xml:space="preserve">1 </w:t>
      </w:r>
      <w:r>
        <w:rPr>
          <w:rFonts w:hint="eastAsia" w:ascii="Times New Roman" w:hAnsi="Times New Roman" w:eastAsia="宋体" w:cs="宋体"/>
          <w:color w:val="auto"/>
          <w:kern w:val="0"/>
          <w:szCs w:val="21"/>
          <w:shd w:val="clear" w:color="auto" w:fill="auto"/>
          <w:lang w:bidi="ar"/>
        </w:rPr>
        <w:t>灯具宜采用LED光源、细管径直管形三基色荧光灯</w:t>
      </w:r>
      <w:r>
        <w:rPr>
          <w:rFonts w:hint="eastAsia" w:ascii="Times New Roman" w:hAnsi="Times New Roman" w:eastAsia="宋体" w:cs="宋体"/>
          <w:color w:val="auto"/>
          <w:kern w:val="0"/>
          <w:szCs w:val="21"/>
          <w:shd w:val="clear" w:color="auto" w:fill="auto"/>
          <w:lang w:eastAsia="zh" w:bidi="ar"/>
        </w:rPr>
        <w:t>、金属卤化物灯等节能型产品，能效等级不应低于2级。</w:t>
      </w:r>
    </w:p>
    <w:p>
      <w:pPr>
        <w:widowControl/>
        <w:ind w:firstLine="420"/>
        <w:textAlignment w:val="center"/>
        <w:rPr>
          <w:rFonts w:cs="宋体"/>
          <w:kern w:val="0"/>
          <w:szCs w:val="21"/>
          <w:lang w:bidi="ar"/>
        </w:rPr>
      </w:pPr>
      <w:r>
        <w:rPr>
          <w:rFonts w:hint="eastAsia" w:cs="宋体"/>
          <w:kern w:val="0"/>
          <w:szCs w:val="21"/>
          <w:lang w:eastAsia="zh" w:bidi="ar"/>
        </w:rPr>
        <w:t xml:space="preserve">2 </w:t>
      </w:r>
      <w:r>
        <w:rPr>
          <w:rFonts w:hint="eastAsia" w:cs="宋体"/>
          <w:kern w:val="0"/>
          <w:szCs w:val="21"/>
          <w:lang w:bidi="ar"/>
        </w:rPr>
        <w:t>应结合建筑使用情况及天然采光情况，进行分区、分组或自动调光的照明控制。</w:t>
      </w:r>
    </w:p>
    <w:p>
      <w:pPr>
        <w:widowControl/>
        <w:ind w:firstLine="420"/>
        <w:textAlignment w:val="center"/>
        <w:rPr>
          <w:rFonts w:cs="宋体"/>
          <w:kern w:val="0"/>
          <w:szCs w:val="21"/>
          <w:lang w:bidi="ar"/>
        </w:rPr>
      </w:pPr>
      <w:r>
        <w:rPr>
          <w:rFonts w:hint="eastAsia" w:cs="宋体"/>
          <w:kern w:val="0"/>
          <w:szCs w:val="21"/>
          <w:lang w:eastAsia="zh" w:bidi="ar"/>
        </w:rPr>
        <w:t>3</w:t>
      </w:r>
      <w:r>
        <w:rPr>
          <w:rFonts w:hint="eastAsia" w:cs="宋体"/>
          <w:kern w:val="0"/>
          <w:szCs w:val="21"/>
          <w:lang w:bidi="ar"/>
        </w:rPr>
        <w:t xml:space="preserve"> 走道、楼梯间、门厅、电梯厅、卫生间、停车库等公共区域的照明，</w:t>
      </w:r>
      <w:r>
        <w:rPr>
          <w:rFonts w:hint="eastAsia" w:cs="宋体"/>
          <w:kern w:val="0"/>
          <w:szCs w:val="21"/>
          <w:lang w:eastAsia="zh" w:bidi="ar"/>
        </w:rPr>
        <w:t>可</w:t>
      </w:r>
      <w:r>
        <w:rPr>
          <w:rFonts w:hint="eastAsia" w:cs="宋体"/>
          <w:kern w:val="0"/>
          <w:szCs w:val="21"/>
          <w:lang w:bidi="ar"/>
        </w:rPr>
        <w:t>采用声光、定时、就地感应等</w:t>
      </w:r>
      <w:r>
        <w:rPr>
          <w:rFonts w:hint="eastAsia" w:cs="宋体"/>
          <w:kern w:val="0"/>
          <w:szCs w:val="21"/>
          <w:lang w:eastAsia="zh" w:bidi="ar"/>
        </w:rPr>
        <w:t>节能</w:t>
      </w:r>
      <w:r>
        <w:rPr>
          <w:rFonts w:hint="eastAsia" w:cs="宋体"/>
          <w:kern w:val="0"/>
          <w:szCs w:val="21"/>
          <w:lang w:bidi="ar"/>
        </w:rPr>
        <w:t>控制。</w:t>
      </w:r>
    </w:p>
    <w:p>
      <w:pPr>
        <w:widowControl/>
        <w:ind w:firstLine="420"/>
        <w:textAlignment w:val="center"/>
        <w:rPr>
          <w:rFonts w:cs="宋体"/>
          <w:kern w:val="0"/>
          <w:szCs w:val="21"/>
          <w:lang w:bidi="ar"/>
        </w:rPr>
      </w:pPr>
      <w:r>
        <w:rPr>
          <w:rFonts w:hint="eastAsia" w:cs="宋体"/>
          <w:kern w:val="0"/>
          <w:szCs w:val="21"/>
          <w:lang w:eastAsia="zh" w:bidi="ar"/>
        </w:rPr>
        <w:t>4</w:t>
      </w:r>
      <w:r>
        <w:rPr>
          <w:rFonts w:hint="eastAsia" w:cs="宋体"/>
          <w:kern w:val="0"/>
          <w:szCs w:val="21"/>
          <w:lang w:bidi="ar"/>
        </w:rPr>
        <w:t xml:space="preserve"> 大开间办公室、会议室等非公共区域应进行分区、分组控制；宜结合自然采光情况进行照度调节等智能控制。</w:t>
      </w:r>
    </w:p>
    <w:p>
      <w:pPr>
        <w:widowControl/>
        <w:ind w:firstLine="420"/>
        <w:textAlignment w:val="center"/>
        <w:rPr>
          <w:rFonts w:cs="宋体"/>
          <w:kern w:val="0"/>
          <w:szCs w:val="21"/>
          <w:lang w:bidi="ar"/>
        </w:rPr>
      </w:pPr>
      <w:r>
        <w:rPr>
          <w:rFonts w:hint="eastAsia" w:cs="宋体"/>
          <w:kern w:val="0"/>
          <w:szCs w:val="21"/>
          <w:lang w:eastAsia="zh" w:bidi="ar"/>
        </w:rPr>
        <w:t>5</w:t>
      </w:r>
      <w:r>
        <w:rPr>
          <w:rFonts w:hint="eastAsia" w:cs="宋体"/>
          <w:kern w:val="0"/>
          <w:szCs w:val="21"/>
          <w:lang w:bidi="ar"/>
        </w:rPr>
        <w:t xml:space="preserve"> 大空间、多功能、多场景场所如大堂、人员聚集大厅等的照明，应采用集中控制、分组控制，宜采用智能照明控制系统进行场景控制。</w:t>
      </w:r>
    </w:p>
    <w:p>
      <w:pPr>
        <w:widowControl/>
        <w:ind w:firstLine="420"/>
        <w:textAlignment w:val="center"/>
        <w:rPr>
          <w:rFonts w:cs="宋体"/>
          <w:kern w:val="0"/>
          <w:szCs w:val="21"/>
          <w:lang w:bidi="ar"/>
        </w:rPr>
      </w:pPr>
      <w:r>
        <w:rPr>
          <w:rFonts w:hint="eastAsia" w:cs="宋体"/>
          <w:kern w:val="0"/>
          <w:szCs w:val="21"/>
          <w:lang w:eastAsia="zh" w:bidi="ar"/>
        </w:rPr>
        <w:t>6</w:t>
      </w:r>
      <w:r>
        <w:rPr>
          <w:rFonts w:hint="eastAsia" w:cs="宋体"/>
          <w:kern w:val="0"/>
          <w:szCs w:val="21"/>
          <w:lang w:bidi="ar"/>
        </w:rPr>
        <w:t xml:space="preserve"> 设置电动遮阳的场所，宜采用照度控制并与遮阳装置进行联动。</w:t>
      </w:r>
    </w:p>
    <w:p>
      <w:pPr>
        <w:widowControl/>
        <w:ind w:firstLine="420"/>
        <w:textAlignment w:val="center"/>
        <w:rPr>
          <w:rFonts w:cs="宋体"/>
          <w:kern w:val="0"/>
          <w:szCs w:val="21"/>
          <w:lang w:bidi="ar"/>
        </w:rPr>
      </w:pPr>
      <w:r>
        <w:rPr>
          <w:rFonts w:hint="eastAsia" w:cs="宋体"/>
          <w:kern w:val="0"/>
          <w:szCs w:val="21"/>
          <w:lang w:eastAsia="zh" w:bidi="ar"/>
        </w:rPr>
        <w:t>7</w:t>
      </w:r>
      <w:r>
        <w:rPr>
          <w:rFonts w:hint="eastAsia" w:cs="宋体"/>
          <w:kern w:val="0"/>
          <w:szCs w:val="21"/>
          <w:lang w:bidi="ar"/>
        </w:rPr>
        <w:t xml:space="preserve"> 设置光导管等自然采光装置的场所，应设置辅助照明。辅助照明宜优先采用照度调节控制。 </w:t>
      </w:r>
    </w:p>
    <w:p>
      <w:pPr>
        <w:widowControl/>
        <w:ind w:firstLine="420"/>
        <w:textAlignment w:val="center"/>
        <w:rPr>
          <w:rFonts w:cs="宋体"/>
          <w:kern w:val="0"/>
          <w:szCs w:val="21"/>
          <w:lang w:bidi="ar"/>
        </w:rPr>
      </w:pPr>
      <w:r>
        <w:rPr>
          <w:rFonts w:hint="eastAsia" w:cs="宋体"/>
          <w:kern w:val="0"/>
          <w:szCs w:val="21"/>
          <w:lang w:eastAsia="zh" w:bidi="ar"/>
        </w:rPr>
        <w:t>8</w:t>
      </w:r>
      <w:r>
        <w:rPr>
          <w:rFonts w:hint="eastAsia" w:cs="宋体"/>
          <w:kern w:val="0"/>
          <w:szCs w:val="21"/>
          <w:lang w:bidi="ar"/>
        </w:rPr>
        <w:t xml:space="preserve"> 道路照明应采用定时控制或照度控制方式，光源宜采用太阳能路灯或风光互补路灯。 </w:t>
      </w:r>
    </w:p>
    <w:p>
      <w:pPr>
        <w:widowControl/>
        <w:ind w:firstLine="420"/>
        <w:textAlignment w:val="center"/>
        <w:rPr>
          <w:rFonts w:cs="宋体"/>
          <w:kern w:val="0"/>
          <w:szCs w:val="21"/>
          <w:lang w:bidi="ar"/>
        </w:rPr>
      </w:pPr>
      <w:r>
        <w:rPr>
          <w:rFonts w:hint="eastAsia" w:cs="宋体"/>
          <w:kern w:val="0"/>
          <w:szCs w:val="21"/>
          <w:lang w:eastAsia="zh" w:bidi="ar"/>
        </w:rPr>
        <w:t>9</w:t>
      </w:r>
      <w:r>
        <w:rPr>
          <w:rFonts w:hint="eastAsia" w:cs="宋体"/>
          <w:kern w:val="0"/>
          <w:szCs w:val="21"/>
          <w:lang w:bidi="ar"/>
        </w:rPr>
        <w:t xml:space="preserve"> 景观照明应设置平时、一般节日、重大节日等照明模式，不同模式下可分时段、分区域精细化控制。 </w:t>
      </w:r>
    </w:p>
    <w:p>
      <w:pPr>
        <w:widowControl/>
        <w:ind w:firstLine="420"/>
        <w:textAlignment w:val="center"/>
        <w:rPr>
          <w:szCs w:val="21"/>
          <w:lang w:eastAsia="zh"/>
        </w:rPr>
      </w:pPr>
      <w:r>
        <w:rPr>
          <w:rFonts w:hint="eastAsia" w:cs="宋体"/>
          <w:kern w:val="0"/>
          <w:szCs w:val="21"/>
          <w:lang w:eastAsia="zh" w:bidi="ar"/>
        </w:rPr>
        <w:t>10</w:t>
      </w:r>
      <w:r>
        <w:rPr>
          <w:rFonts w:hint="eastAsia" w:cs="宋体"/>
          <w:kern w:val="0"/>
          <w:szCs w:val="21"/>
          <w:lang w:bidi="ar"/>
        </w:rPr>
        <w:t xml:space="preserve"> 户外LED广告屏幕宜采用光感控制，根据外部环境亮度自动调整屏幕亮度。</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7</w:t>
      </w:r>
      <w:r>
        <w:rPr>
          <w:rFonts w:hint="eastAsia" w:cs="宋体"/>
          <w:kern w:val="0"/>
          <w:szCs w:val="21"/>
          <w:lang w:bidi="ar"/>
        </w:rPr>
        <w:t>集中开、关控制有许多种类，如建筑设备监控(BA)系统的开关控制、接触器控制、智能照明开、关控制系统等，公共场所照明集中开、关控制有利于安全管理。适宜的场所宜采用就地感应控制包括红外、雷达、声波等探测器的自动控制装置，可自动开关实现节能控制，通常推荐采用。但医院的病房大楼、中小学校及其学生宿舍、幼儿园(未成年使用场所)、老年公寓、酒店等场所，因病人、小孩、老年人等不具备完全行为能力人</w:t>
      </w:r>
      <w:r>
        <w:rPr>
          <w:rFonts w:hint="eastAsia" w:cs="宋体"/>
          <w:kern w:val="0"/>
          <w:szCs w:val="21"/>
          <w:lang w:eastAsia="zh" w:bidi="ar"/>
        </w:rPr>
        <w:t>，</w:t>
      </w:r>
      <w:r>
        <w:rPr>
          <w:rFonts w:hint="eastAsia" w:cs="宋体"/>
          <w:kern w:val="0"/>
          <w:szCs w:val="21"/>
          <w:lang w:bidi="ar"/>
        </w:rPr>
        <w:t>在灯光明暗转换期间极易发生踏空等安全事故，酒店走道照明出于安全监控考虑需保证一定的照度，因此上述场所不宜采用就地感应控制。人员聚集大厅主要指报告厅、观众厅、宴会厅、航客运站、商场营业厅等外来人员较多的场所。智能照明控制系统包括开、关型或调光型控制，两者都可以达到节能的目的，但舒适度、格不同。当建筑考虑设置电动遮阳设施时，照度宜可以根据需要自动调节。</w:t>
      </w:r>
    </w:p>
    <w:p>
      <w:pPr>
        <w:spacing w:before="156" w:beforeLines="50" w:after="156" w:afterLines="50"/>
        <w:ind w:firstLine="0" w:firstLineChars="0"/>
        <w:jc w:val="center"/>
        <w:textAlignment w:val="center"/>
        <w:outlineLvl w:val="2"/>
        <w:rPr>
          <w:rFonts w:eastAsia="仿宋_GB2312" w:cs="Times New Roman"/>
          <w:bCs/>
          <w:szCs w:val="21"/>
        </w:rPr>
      </w:pPr>
      <w:r>
        <w:rPr>
          <w:rFonts w:hint="eastAsia" w:ascii="仿宋_GB2312" w:hAnsi="仿宋_GB2312" w:eastAsia="仿宋_GB2312" w:cs="仿宋_GB2312"/>
          <w:bCs/>
          <w:szCs w:val="21"/>
        </w:rPr>
        <w:t>Ⅵ</w:t>
      </w:r>
      <w:r>
        <w:rPr>
          <w:rFonts w:hint="eastAsia" w:eastAsia="仿宋_GB2312" w:cs="Times New Roman"/>
          <w:bCs/>
          <w:szCs w:val="21"/>
        </w:rPr>
        <w:t xml:space="preserve">  </w:t>
      </w:r>
      <w:r>
        <w:rPr>
          <w:rFonts w:hint="eastAsia" w:ascii="仿宋" w:hAnsi="仿宋" w:eastAsia="仿宋" w:cs="仿宋"/>
          <w:bCs/>
          <w:szCs w:val="21"/>
        </w:rPr>
        <w:t>节能电梯系统</w:t>
      </w: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8</w:t>
      </w:r>
      <w:r>
        <w:rPr>
          <w:rFonts w:hint="eastAsia" w:cs="宋体"/>
          <w:kern w:val="0"/>
          <w:szCs w:val="21"/>
          <w:lang w:bidi="ar"/>
        </w:rPr>
        <w:t xml:space="preserve"> </w:t>
      </w:r>
      <w:r>
        <w:rPr>
          <w:rFonts w:hint="eastAsia" w:cs="宋体"/>
          <w:bCs/>
          <w:kern w:val="0"/>
          <w:szCs w:val="21"/>
          <w:lang w:bidi="ar"/>
        </w:rPr>
        <w:t>电梯控制系统设计应符合下列规定：</w:t>
      </w:r>
    </w:p>
    <w:p>
      <w:pPr>
        <w:widowControl/>
        <w:ind w:firstLine="420"/>
        <w:textAlignment w:val="center"/>
        <w:rPr>
          <w:rFonts w:cs="宋体"/>
          <w:kern w:val="0"/>
          <w:szCs w:val="21"/>
          <w:lang w:bidi="ar"/>
        </w:rPr>
      </w:pPr>
      <w:r>
        <w:rPr>
          <w:rFonts w:hint="eastAsia" w:cs="宋体"/>
          <w:kern w:val="0"/>
          <w:szCs w:val="21"/>
          <w:lang w:bidi="ar"/>
        </w:rPr>
        <w:t>1 自动扶梯与自动人行道应具备拖动及节能控制装置,并设置感应传感器控制自动扶梯与自动人行道的启停。</w:t>
      </w:r>
    </w:p>
    <w:p>
      <w:pPr>
        <w:widowControl/>
        <w:ind w:firstLine="420"/>
        <w:textAlignment w:val="center"/>
        <w:rPr>
          <w:rFonts w:cs="宋体"/>
          <w:kern w:val="0"/>
          <w:szCs w:val="21"/>
          <w:lang w:bidi="ar"/>
        </w:rPr>
      </w:pPr>
      <w:r>
        <w:rPr>
          <w:rFonts w:hint="eastAsia" w:cs="宋体"/>
          <w:kern w:val="0"/>
          <w:szCs w:val="21"/>
          <w:lang w:bidi="ar"/>
        </w:rPr>
        <w:t>2 当2台及以上电梯集中布置时，电梯控制系统应具备按程序集中调控和群控的功能。</w:t>
      </w:r>
    </w:p>
    <w:p>
      <w:pPr>
        <w:widowControl/>
        <w:ind w:firstLine="420"/>
        <w:textAlignment w:val="center"/>
        <w:rPr>
          <w:rFonts w:cs="宋体"/>
          <w:kern w:val="0"/>
          <w:szCs w:val="21"/>
          <w:lang w:bidi="ar"/>
        </w:rPr>
      </w:pPr>
      <w:r>
        <w:rPr>
          <w:rFonts w:hint="eastAsia" w:cs="宋体"/>
          <w:kern w:val="0"/>
          <w:szCs w:val="21"/>
          <w:lang w:bidi="ar"/>
        </w:rPr>
        <w:t>3 电梯无外部召唤，且电梯轿厢内一段时间无预设指令时,应具有延时自动关闭轿厢内照明和风扇的功能。</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cs="宋体"/>
          <w:bCs/>
          <w:kern w:val="0"/>
          <w:szCs w:val="21"/>
          <w:lang w:bidi="ar"/>
        </w:rPr>
        <w:t>2</w:t>
      </w:r>
      <w:r>
        <w:rPr>
          <w:rFonts w:hint="eastAsia" w:cs="宋体"/>
          <w:bCs/>
          <w:kern w:val="0"/>
          <w:szCs w:val="21"/>
          <w:lang w:eastAsia="zh" w:bidi="ar"/>
        </w:rPr>
        <w:t>8</w:t>
      </w:r>
      <w:r>
        <w:rPr>
          <w:rFonts w:hint="eastAsia" w:cs="宋体"/>
          <w:kern w:val="0"/>
          <w:szCs w:val="21"/>
          <w:lang w:bidi="ar"/>
        </w:rPr>
        <w:t>自动扶梯一般普遍存在低载或空载运行的状况，采用节能控制，可实现有乘客时自动平稳进入快速运行状态、无乘客时自动进入慢速或延时停止状态，可以有效地节约能源。</w:t>
      </w:r>
    </w:p>
    <w:p>
      <w:pPr>
        <w:widowControl/>
        <w:ind w:firstLine="420"/>
        <w:textAlignment w:val="center"/>
        <w:rPr>
          <w:rFonts w:cs="宋体"/>
          <w:kern w:val="0"/>
          <w:szCs w:val="21"/>
          <w:lang w:bidi="ar"/>
        </w:rPr>
      </w:pPr>
      <w:r>
        <w:rPr>
          <w:rFonts w:hint="eastAsia" w:cs="宋体"/>
          <w:kern w:val="0"/>
          <w:szCs w:val="21"/>
          <w:lang w:bidi="ar"/>
        </w:rPr>
        <w:t>当两台及以上电梯集中设置时，应具备群控功能，优化减少轿厢行程。当电梯无外部召唤时，且电梯轿厢内一段时间无预设指令时，应自动关闭轿厢照明及风扇，降低轿厢待机能耗。</w:t>
      </w:r>
    </w:p>
    <w:p>
      <w:pPr>
        <w:spacing w:before="156" w:beforeLines="50" w:after="156" w:afterLines="50"/>
        <w:ind w:firstLine="0" w:firstLineChars="0"/>
        <w:jc w:val="center"/>
        <w:textAlignment w:val="center"/>
        <w:outlineLvl w:val="2"/>
        <w:rPr>
          <w:rFonts w:ascii="仿宋_GB2312" w:hAnsi="仿宋_GB2312" w:eastAsia="仿宋_GB2312" w:cs="仿宋_GB2312"/>
          <w:szCs w:val="21"/>
        </w:rPr>
      </w:pPr>
      <w:r>
        <w:rPr>
          <w:rFonts w:eastAsia="仿宋_GB2312" w:cs="Times New Roman"/>
          <w:bCs/>
          <w:szCs w:val="21"/>
        </w:rPr>
        <w:t>Ⅶ</w:t>
      </w:r>
      <w:r>
        <w:rPr>
          <w:rFonts w:hint="eastAsia" w:eastAsia="仿宋_GB2312" w:cs="Times New Roman"/>
          <w:bCs/>
          <w:szCs w:val="21"/>
        </w:rPr>
        <w:t xml:space="preserve">  </w:t>
      </w:r>
      <w:r>
        <w:rPr>
          <w:rFonts w:hint="eastAsia" w:ascii="仿宋" w:hAnsi="仿宋" w:eastAsia="仿宋" w:cs="仿宋"/>
          <w:bCs/>
          <w:szCs w:val="21"/>
        </w:rPr>
        <w:t>太阳能系统</w:t>
      </w: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hint="eastAsia" w:cs="宋体"/>
          <w:bCs/>
          <w:kern w:val="0"/>
          <w:szCs w:val="21"/>
          <w:lang w:eastAsia="zh" w:bidi="ar"/>
        </w:rPr>
        <w:t>29</w:t>
      </w:r>
      <w:r>
        <w:rPr>
          <w:rFonts w:hint="eastAsia" w:cs="宋体"/>
          <w:kern w:val="0"/>
          <w:szCs w:val="21"/>
          <w:lang w:bidi="ar"/>
        </w:rPr>
        <w:t xml:space="preserve"> </w:t>
      </w:r>
      <w:r>
        <w:rPr>
          <w:rFonts w:hint="eastAsia" w:cs="宋体"/>
          <w:bCs/>
          <w:kern w:val="0"/>
          <w:szCs w:val="21"/>
          <w:lang w:bidi="ar"/>
        </w:rPr>
        <w:t>太阳能光伏发电系统设计应符合下列规定：</w:t>
      </w:r>
    </w:p>
    <w:p>
      <w:pPr>
        <w:widowControl/>
        <w:ind w:firstLine="420"/>
        <w:textAlignment w:val="center"/>
        <w:rPr>
          <w:rFonts w:cs="宋体"/>
          <w:kern w:val="0"/>
          <w:szCs w:val="21"/>
          <w:lang w:bidi="ar"/>
        </w:rPr>
      </w:pPr>
      <w:r>
        <w:rPr>
          <w:rFonts w:hint="eastAsia" w:cs="宋体"/>
          <w:kern w:val="0"/>
          <w:szCs w:val="21"/>
          <w:lang w:bidi="ar"/>
        </w:rPr>
        <w:t>1.发电系统应有专项设计并作为设计文件的组成部分。</w:t>
      </w:r>
    </w:p>
    <w:p>
      <w:pPr>
        <w:widowControl/>
        <w:ind w:firstLine="420"/>
        <w:textAlignment w:val="center"/>
        <w:rPr>
          <w:rFonts w:cs="宋体"/>
          <w:kern w:val="0"/>
          <w:szCs w:val="21"/>
          <w:lang w:bidi="ar"/>
        </w:rPr>
      </w:pPr>
      <w:r>
        <w:rPr>
          <w:rFonts w:hint="eastAsia" w:cs="宋体"/>
          <w:kern w:val="0"/>
          <w:szCs w:val="21"/>
          <w:lang w:bidi="ar"/>
        </w:rPr>
        <w:t>2.光伏方阵的布置应结合太阳辐照度、风速、雨水等气候条件及建筑朝向、屋顶结构等因素进行设计，经技术经济比较后确定方位角、倾角和阵列间距。</w:t>
      </w:r>
    </w:p>
    <w:p>
      <w:pPr>
        <w:widowControl/>
        <w:ind w:firstLine="420"/>
        <w:textAlignment w:val="center"/>
        <w:rPr>
          <w:rFonts w:cs="宋体"/>
          <w:kern w:val="0"/>
          <w:szCs w:val="21"/>
          <w:lang w:bidi="ar"/>
        </w:rPr>
      </w:pPr>
      <w:r>
        <w:rPr>
          <w:rFonts w:hint="eastAsia" w:cs="宋体"/>
          <w:kern w:val="0"/>
          <w:szCs w:val="21"/>
          <w:lang w:bidi="ar"/>
        </w:rPr>
        <w:t>3.发电系统输配电和控制缆线应与其他管线统筹安排、合理布置，满足安装维护的要求。</w:t>
      </w:r>
    </w:p>
    <w:p>
      <w:pPr>
        <w:widowControl/>
        <w:ind w:firstLine="420"/>
        <w:textAlignment w:val="center"/>
        <w:rPr>
          <w:rFonts w:cs="宋体"/>
          <w:kern w:val="0"/>
          <w:szCs w:val="21"/>
          <w:lang w:bidi="ar"/>
        </w:rPr>
      </w:pPr>
      <w:r>
        <w:rPr>
          <w:rFonts w:hint="eastAsia" w:cs="宋体"/>
          <w:kern w:val="0"/>
          <w:szCs w:val="21"/>
          <w:lang w:bidi="ar"/>
        </w:rPr>
        <w:t>4.光伏发电系统优先采用“自发自用、余电上网”方式并网运行，同时输配电系统应具有相应的并网保护功能，并安装必要的计量装置。</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hint="eastAsia" w:cs="宋体"/>
          <w:bCs/>
          <w:kern w:val="0"/>
          <w:szCs w:val="21"/>
          <w:lang w:eastAsia="zh" w:bidi="ar"/>
        </w:rPr>
        <w:t>29</w:t>
      </w:r>
      <w:r>
        <w:rPr>
          <w:rFonts w:hint="eastAsia" w:cs="宋体"/>
          <w:kern w:val="0"/>
          <w:szCs w:val="21"/>
          <w:lang w:bidi="ar"/>
        </w:rPr>
        <w:t>从供电稳定性的角度，并网光伏系统可以确保建筑供电的稳定性。从减少对公共电网冲击和经济性角度，灵活利用柔性控制，采用“自发自用、余电上网”的方式可以实现最佳效果。</w:t>
      </w:r>
    </w:p>
    <w:p>
      <w:pPr>
        <w:pStyle w:val="2"/>
        <w:ind w:firstLine="420"/>
        <w:rPr>
          <w:lang w:bidi="ar"/>
        </w:rPr>
      </w:pP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0</w:t>
      </w:r>
      <w:r>
        <w:rPr>
          <w:rFonts w:hint="eastAsia" w:cs="宋体"/>
          <w:bCs/>
          <w:kern w:val="0"/>
          <w:szCs w:val="21"/>
          <w:lang w:bidi="ar"/>
        </w:rPr>
        <w:t xml:space="preserve"> </w:t>
      </w:r>
      <w:r>
        <w:rPr>
          <w:rFonts w:cs="宋体"/>
          <w:bCs/>
          <w:kern w:val="0"/>
          <w:szCs w:val="21"/>
          <w:lang w:bidi="ar"/>
        </w:rPr>
        <w:t>建筑光伏一体化</w:t>
      </w:r>
      <w:r>
        <w:rPr>
          <w:rFonts w:hint="eastAsia" w:cs="宋体"/>
          <w:bCs/>
          <w:kern w:val="0"/>
          <w:szCs w:val="21"/>
          <w:lang w:bidi="ar"/>
        </w:rPr>
        <w:t>系统各组成部分在建筑中的安装位置应合理布置，并应满足建筑防水、排水和光伏构件的散热、系统的检修、更新与维护的要求。</w:t>
      </w:r>
    </w:p>
    <w:p>
      <w:pPr>
        <w:pStyle w:val="2"/>
        <w:ind w:firstLine="420"/>
        <w:rPr>
          <w:lang w:bidi="ar"/>
        </w:rPr>
      </w:pP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1</w:t>
      </w:r>
      <w:r>
        <w:rPr>
          <w:rFonts w:hint="eastAsia" w:cs="宋体"/>
          <w:bCs/>
          <w:kern w:val="0"/>
          <w:szCs w:val="21"/>
          <w:lang w:bidi="ar"/>
        </w:rPr>
        <w:t xml:space="preserve"> 太阳能光伏发电系统应设置光伏监控系统，并与建筑能源管理系统对接，实现根据电力需求响应对太阳能光伏系统、储能系统和市政电力的出力进行优化配置的功能。</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2</w:t>
      </w:r>
      <w:r>
        <w:rPr>
          <w:rFonts w:hint="eastAsia" w:cs="宋体"/>
          <w:bCs/>
          <w:kern w:val="0"/>
          <w:szCs w:val="21"/>
          <w:lang w:bidi="ar"/>
        </w:rPr>
        <w:t xml:space="preserve"> 室外停车场宜结合可再生能源系统，设置储电、蓄热、充放一体的电动汽车充电桩等储能装置。</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2</w:t>
      </w:r>
      <w:r>
        <w:rPr>
          <w:rFonts w:hint="eastAsia" w:cs="宋体"/>
          <w:kern w:val="0"/>
          <w:szCs w:val="21"/>
          <w:lang w:bidi="ar"/>
        </w:rPr>
        <w:t>通过建设充放一体的电动汽车充电桩，不但有利于降低交通过程中产生的大气污染物排放，同时也有利于将电动汽车作为分布式储能设施，对可再生能源电力进行更好的消纳和利用，进而提高建筑整体可再生能源应用比例。</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3</w:t>
      </w:r>
      <w:r>
        <w:rPr>
          <w:rFonts w:hint="eastAsia" w:cs="宋体"/>
          <w:kern w:val="0"/>
          <w:szCs w:val="21"/>
          <w:lang w:bidi="ar"/>
        </w:rPr>
        <w:t xml:space="preserve"> </w:t>
      </w:r>
      <w:r>
        <w:rPr>
          <w:rFonts w:hint="eastAsia" w:cs="宋体"/>
          <w:bCs/>
          <w:kern w:val="0"/>
          <w:szCs w:val="21"/>
          <w:lang w:bidi="ar"/>
        </w:rPr>
        <w:t>太阳能热水系统的选择可遵循下列原则：</w:t>
      </w:r>
    </w:p>
    <w:p>
      <w:pPr>
        <w:widowControl/>
        <w:ind w:firstLine="420"/>
        <w:textAlignment w:val="center"/>
        <w:rPr>
          <w:rFonts w:cs="宋体"/>
          <w:kern w:val="0"/>
          <w:szCs w:val="21"/>
          <w:lang w:bidi="ar"/>
        </w:rPr>
      </w:pPr>
      <w:r>
        <w:rPr>
          <w:rFonts w:hint="eastAsia" w:cs="宋体"/>
          <w:kern w:val="0"/>
          <w:szCs w:val="21"/>
          <w:lang w:bidi="ar"/>
        </w:rPr>
        <w:t>1.公共建筑、公寓及有特殊使用要求的住宅宜采用集中集热、集中供热的太阳能水系统。</w:t>
      </w:r>
    </w:p>
    <w:p>
      <w:pPr>
        <w:widowControl/>
        <w:ind w:firstLine="420"/>
        <w:textAlignment w:val="center"/>
        <w:rPr>
          <w:rFonts w:cs="宋体"/>
          <w:kern w:val="0"/>
          <w:szCs w:val="21"/>
          <w:lang w:bidi="ar"/>
        </w:rPr>
      </w:pPr>
      <w:r>
        <w:rPr>
          <w:rFonts w:hint="eastAsia" w:cs="宋体"/>
          <w:kern w:val="0"/>
          <w:szCs w:val="21"/>
          <w:lang w:bidi="ar"/>
        </w:rPr>
        <w:t>2.普通住宅宜采用集中集热、分散供热的太阳能水系统或局部热水供应系统。</w:t>
      </w:r>
    </w:p>
    <w:p>
      <w:pPr>
        <w:widowControl/>
        <w:ind w:firstLine="420"/>
        <w:textAlignment w:val="center"/>
        <w:rPr>
          <w:rFonts w:cs="宋体"/>
          <w:kern w:val="0"/>
          <w:szCs w:val="21"/>
          <w:lang w:bidi="ar"/>
        </w:rPr>
      </w:pPr>
      <w:r>
        <w:rPr>
          <w:rFonts w:hint="eastAsia" w:cs="宋体"/>
          <w:kern w:val="0"/>
          <w:szCs w:val="21"/>
          <w:lang w:bidi="ar"/>
        </w:rPr>
        <w:t>3.小区设太阳能集中热水系统时，太阳能集热系统宜按分栋建筑设置，当需合建系统时，宜控制集热器阵列总出口至集热水箱的距离不大于300m。</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3</w:t>
      </w:r>
      <w:r>
        <w:rPr>
          <w:rFonts w:hint="eastAsia" w:cs="宋体"/>
          <w:kern w:val="0"/>
          <w:szCs w:val="21"/>
          <w:lang w:bidi="ar"/>
        </w:rPr>
        <w:t>编制此条的总原则为：系统宜小、宜简单。本条对目前居住建筑和用热水量大的几种比较典型的公共建筑的太阳能热水系统的选择做了比较。</w:t>
      </w:r>
    </w:p>
    <w:p>
      <w:pPr>
        <w:widowControl/>
        <w:ind w:firstLine="420"/>
        <w:textAlignment w:val="center"/>
        <w:rPr>
          <w:rFonts w:cs="宋体"/>
          <w:kern w:val="0"/>
          <w:szCs w:val="21"/>
          <w:lang w:bidi="ar"/>
        </w:rPr>
      </w:pPr>
      <w:r>
        <w:rPr>
          <w:rFonts w:hint="eastAsia" w:cs="宋体"/>
          <w:kern w:val="0"/>
          <w:szCs w:val="21"/>
          <w:lang w:bidi="ar"/>
        </w:rPr>
        <w:t>太阳能热水系统通常是由上述几种系统类型组合在一起的。从使用功能考虑，应优先使用承压式系统；从建筑美观考虑,应优先使用分散式系统；从水质卫生考虑，应优先使用间接式系统。而普通住宅因存在管理困难，收费矛盾等众多难题，宜采用集中集热、分散供热系统或分户设太阳能热水器的局部系统；低层和多层住宅的屋面面积充裕,设置分散或集中太阳能热水供应系统均可；高层住宅在五层以下一般较难满足太阳能热水系统光照要求，因此推荐采用集中--分散供热水系统。针对宾馆、医院、游泳馆、公共浴室等用水量大的公共建筑，因使用要求较高且管理水平较好,则建议选用集中供热水系统，同时辅助能源建议使用空气源热泵机组。别墅是高档住宅,热水使用时间不固定,宜设置强制循环、分散式系统,当有人居住时，应能保证24h连续供应热水。本工程除列出的典型建筑的推荐选型，其他建筑形式亦可参考使用。随着工程案例和应用场合的进一步扩展,设计师应根据实际情况，因地制宜的通过多种系统的合理搭配，实现系统的高效运行。</w:t>
      </w: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4</w:t>
      </w:r>
      <w:r>
        <w:rPr>
          <w:rFonts w:hint="eastAsia" w:cs="宋体"/>
          <w:bCs/>
          <w:kern w:val="0"/>
          <w:szCs w:val="21"/>
          <w:lang w:bidi="ar"/>
        </w:rPr>
        <w:t xml:space="preserve"> 太阳能生活热水系统的管线应布置合理，安全美观、便于检修。同时应考虑太阳能生活热水系统的特点，使其热损和压力损失最小化。并应对生活热水系统管道穿越屋面或外立面墙处加设防水保温套管，防水保温套管与屋面、外立面墙交接处应进行可靠的密封防水处理。</w:t>
      </w:r>
    </w:p>
    <w:p>
      <w:pPr>
        <w:spacing w:before="156" w:beforeLines="50" w:after="156" w:afterLines="50"/>
        <w:ind w:firstLine="0" w:firstLineChars="0"/>
        <w:jc w:val="center"/>
        <w:textAlignment w:val="center"/>
        <w:outlineLvl w:val="2"/>
        <w:rPr>
          <w:rFonts w:eastAsia="仿宋_GB2312" w:cs="Times New Roman"/>
          <w:bCs/>
          <w:szCs w:val="21"/>
        </w:rPr>
      </w:pPr>
      <w:r>
        <w:rPr>
          <w:rFonts w:eastAsia="仿宋_GB2312" w:cs="Times New Roman"/>
          <w:bCs/>
          <w:szCs w:val="21"/>
        </w:rPr>
        <w:t>Ⅷ</w:t>
      </w:r>
      <w:r>
        <w:rPr>
          <w:rFonts w:hint="eastAsia" w:eastAsia="仿宋_GB2312" w:cs="Times New Roman"/>
          <w:bCs/>
          <w:szCs w:val="21"/>
        </w:rPr>
        <w:t xml:space="preserve">  </w:t>
      </w:r>
      <w:r>
        <w:rPr>
          <w:rFonts w:hint="eastAsia" w:ascii="仿宋" w:hAnsi="仿宋" w:eastAsia="仿宋" w:cs="仿宋"/>
          <w:bCs/>
          <w:szCs w:val="21"/>
        </w:rPr>
        <w:t>智能控制系统</w:t>
      </w:r>
    </w:p>
    <w:p>
      <w:pPr>
        <w:widowControl/>
        <w:ind w:firstLine="0" w:firstLineChars="0"/>
        <w:textAlignment w:val="center"/>
        <w:outlineLvl w:val="3"/>
        <w:rPr>
          <w:rFonts w:cs="宋体"/>
          <w:kern w:val="0"/>
          <w:szCs w:val="21"/>
          <w:lang w:bidi="ar"/>
        </w:rPr>
      </w:pPr>
      <w:r>
        <w:rPr>
          <w:rFonts w:hint="eastAsia" w:cs="宋体"/>
          <w:bCs/>
          <w:kern w:val="0"/>
          <w:szCs w:val="21"/>
          <w:lang w:bidi="ar"/>
        </w:rPr>
        <w:t>7.1.</w:t>
      </w:r>
      <w:r>
        <w:rPr>
          <w:rFonts w:hint="eastAsia" w:cs="宋体"/>
          <w:bCs/>
          <w:kern w:val="0"/>
          <w:szCs w:val="21"/>
          <w:lang w:eastAsia="zh" w:bidi="ar"/>
        </w:rPr>
        <w:t>35</w:t>
      </w:r>
      <w:r>
        <w:rPr>
          <w:rFonts w:hint="eastAsia" w:cs="宋体"/>
          <w:bCs/>
          <w:kern w:val="0"/>
          <w:szCs w:val="21"/>
          <w:lang w:bidi="ar"/>
        </w:rPr>
        <w:t xml:space="preserve"> 公共建筑应设置能耗监测系统及能耗和碳排放监测平台，对建筑能耗进行监测和记录，并应符合下列规定：</w:t>
      </w:r>
    </w:p>
    <w:p>
      <w:pPr>
        <w:widowControl/>
        <w:ind w:firstLine="420"/>
        <w:textAlignment w:val="center"/>
        <w:rPr>
          <w:rFonts w:cs="宋体"/>
          <w:kern w:val="0"/>
          <w:szCs w:val="21"/>
          <w:lang w:bidi="ar"/>
        </w:rPr>
      </w:pPr>
      <w:r>
        <w:rPr>
          <w:rFonts w:hint="eastAsia" w:cs="宋体"/>
          <w:kern w:val="0"/>
          <w:szCs w:val="21"/>
          <w:lang w:bidi="ar"/>
        </w:rPr>
        <w:t>1 应按用能核算单位和用能系统，以及用冷、用热、用电等不同用能形式，进行分类分项计量；</w:t>
      </w:r>
    </w:p>
    <w:p>
      <w:pPr>
        <w:widowControl/>
        <w:ind w:firstLine="420"/>
        <w:textAlignment w:val="center"/>
        <w:rPr>
          <w:rFonts w:cs="宋体"/>
          <w:kern w:val="0"/>
          <w:szCs w:val="21"/>
          <w:lang w:bidi="ar"/>
        </w:rPr>
      </w:pPr>
      <w:r>
        <w:rPr>
          <w:rFonts w:hint="eastAsia" w:cs="宋体"/>
          <w:kern w:val="0"/>
          <w:szCs w:val="21"/>
          <w:lang w:bidi="ar"/>
        </w:rPr>
        <w:t>2 公共建筑设置的能耗监测系统应覆盖建筑内所用的能源种类，并应保证空调、照明、生活热水以及电梯分项能耗数据的获取；</w:t>
      </w:r>
    </w:p>
    <w:p>
      <w:pPr>
        <w:widowControl/>
        <w:ind w:firstLine="420"/>
        <w:textAlignment w:val="center"/>
        <w:rPr>
          <w:rFonts w:cs="宋体"/>
          <w:kern w:val="0"/>
          <w:szCs w:val="21"/>
          <w:lang w:bidi="ar"/>
        </w:rPr>
      </w:pPr>
      <w:r>
        <w:rPr>
          <w:rFonts w:hint="eastAsia" w:cs="宋体"/>
          <w:kern w:val="0"/>
          <w:szCs w:val="21"/>
          <w:lang w:bidi="ar"/>
        </w:rPr>
        <w:t>3 应对特殊用能单位或部门进行独立计量；</w:t>
      </w:r>
    </w:p>
    <w:p>
      <w:pPr>
        <w:widowControl/>
        <w:ind w:firstLine="420"/>
        <w:textAlignment w:val="center"/>
        <w:rPr>
          <w:rFonts w:cs="宋体"/>
          <w:kern w:val="0"/>
          <w:szCs w:val="21"/>
          <w:lang w:bidi="ar"/>
        </w:rPr>
      </w:pPr>
      <w:r>
        <w:rPr>
          <w:rFonts w:hint="eastAsia" w:cs="宋体"/>
          <w:kern w:val="0"/>
          <w:szCs w:val="21"/>
          <w:lang w:bidi="ar"/>
        </w:rPr>
        <w:t>4 应对关键用能设备或系统能耗进行重点计量。如制冷设备、供热设备、生活给水、照明系统和电梯等；</w:t>
      </w:r>
    </w:p>
    <w:p>
      <w:pPr>
        <w:widowControl/>
        <w:ind w:firstLine="420"/>
        <w:textAlignment w:val="center"/>
        <w:rPr>
          <w:rFonts w:cs="宋体"/>
          <w:kern w:val="0"/>
          <w:szCs w:val="21"/>
          <w:lang w:bidi="ar"/>
        </w:rPr>
      </w:pPr>
      <w:r>
        <w:rPr>
          <w:rFonts w:hint="eastAsia" w:cs="宋体"/>
          <w:kern w:val="0"/>
          <w:szCs w:val="21"/>
          <w:lang w:bidi="ar"/>
        </w:rPr>
        <w:t>5 应对可再生能源应用系统进行单独计量。</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hint="eastAsia" w:cs="宋体"/>
          <w:bCs/>
          <w:kern w:val="0"/>
          <w:szCs w:val="21"/>
          <w:lang w:eastAsia="zh" w:bidi="ar"/>
        </w:rPr>
        <w:t>35</w:t>
      </w:r>
      <w:r>
        <w:rPr>
          <w:rFonts w:hint="eastAsia" w:cs="宋体"/>
          <w:kern w:val="0"/>
          <w:szCs w:val="21"/>
          <w:lang w:bidi="ar"/>
        </w:rPr>
        <w:t>近零能耗建筑对各项用能要求较高，其目的是降低运行期间建筑能耗水平，由于在运行期间运行策略等问题，使得近零能耗建筑并未运行在其最佳工况，需通过对各项能耗水平的检测，调整运行策略，因此需要对近零能耗建筑实施分项、分楼层计量，了解不同区域、不同类型能耗情况，为调整运行策略提供基础条件。</w:t>
      </w:r>
    </w:p>
    <w:p>
      <w:pPr>
        <w:widowControl/>
        <w:ind w:firstLine="420"/>
        <w:textAlignment w:val="center"/>
        <w:rPr>
          <w:rFonts w:cs="宋体"/>
          <w:kern w:val="0"/>
          <w:szCs w:val="21"/>
          <w:lang w:bidi="ar"/>
        </w:rPr>
      </w:pPr>
      <w:r>
        <w:rPr>
          <w:rFonts w:hint="eastAsia" w:cs="宋体"/>
          <w:kern w:val="0"/>
          <w:szCs w:val="21"/>
          <w:lang w:bidi="ar"/>
        </w:rPr>
        <w:t>公共建筑设置能耗和碳排放监测平台，方便建筑实时监控能耗情况。能耗分项计量系统应能实现机电系统能耗或能耗较大的中央空调系统、热泵热水系统、 多能互补、多能耦合系统等能耗分项、建筑节能管理组织架构能耗分项、建筑使用功能分区能耗分项、分楼层能耗分项计量，并应设置能耗、能效和碳排放监测控制平台，实现平台的监控功能，避免只监不控。</w:t>
      </w:r>
    </w:p>
    <w:p>
      <w:pPr>
        <w:widowControl/>
        <w:ind w:firstLine="0" w:firstLineChars="0"/>
        <w:textAlignment w:val="center"/>
        <w:outlineLvl w:val="3"/>
        <w:rPr>
          <w:rFonts w:cs="宋体"/>
          <w:kern w:val="0"/>
          <w:szCs w:val="21"/>
          <w:lang w:bidi="ar"/>
        </w:rPr>
      </w:pPr>
      <w:r>
        <w:rPr>
          <w:rFonts w:cs="宋体"/>
          <w:bCs/>
          <w:kern w:val="0"/>
          <w:szCs w:val="21"/>
          <w:lang w:bidi="ar"/>
        </w:rPr>
        <w:t>7.1.</w:t>
      </w:r>
      <w:r>
        <w:rPr>
          <w:rFonts w:cs="宋体"/>
          <w:bCs/>
          <w:kern w:val="0"/>
          <w:szCs w:val="21"/>
          <w:lang w:eastAsia="zh" w:bidi="ar"/>
        </w:rPr>
        <w:t>36</w:t>
      </w:r>
      <w:r>
        <w:rPr>
          <w:rFonts w:cs="宋体"/>
          <w:kern w:val="0"/>
          <w:szCs w:val="21"/>
          <w:lang w:bidi="ar"/>
        </w:rPr>
        <w:t xml:space="preserve"> </w:t>
      </w:r>
      <w:r>
        <w:rPr>
          <w:rFonts w:hint="eastAsia" w:cs="宋体"/>
          <w:bCs/>
          <w:kern w:val="0"/>
          <w:szCs w:val="21"/>
          <w:lang w:bidi="ar"/>
        </w:rPr>
        <w:t>办公、商场、酒店、展演、交通枢纽等功能公共建筑，建筑运行期间的人员服务量数据应接入建筑能耗监测平台。</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cs="宋体"/>
          <w:bCs/>
          <w:kern w:val="0"/>
          <w:szCs w:val="21"/>
          <w:lang w:bidi="ar"/>
        </w:rPr>
        <w:t>7.1.</w:t>
      </w:r>
      <w:r>
        <w:rPr>
          <w:rFonts w:cs="宋体"/>
          <w:bCs/>
          <w:kern w:val="0"/>
          <w:szCs w:val="21"/>
          <w:lang w:eastAsia="zh" w:bidi="ar"/>
        </w:rPr>
        <w:t>36</w:t>
      </w:r>
      <w:r>
        <w:rPr>
          <w:rFonts w:hint="eastAsia" w:cs="宋体"/>
          <w:color w:val="000000" w:themeColor="text1"/>
          <w:kern w:val="0"/>
          <w:szCs w:val="21"/>
          <w:lang w:bidi="ar"/>
          <w14:textFill>
            <w14:solidFill>
              <w14:schemeClr w14:val="tx1"/>
            </w14:solidFill>
          </w14:textFill>
        </w:rPr>
        <w:t>办公、商场、酒店、展演、交通枢纽等功能的建筑人流量较大，人员热扰相对较大，对近零能耗建筑运行造成一定影响，需要根据建筑内人流量确定不同的运行策略，因此人员服务量数据应接入建筑能耗监测平台，为后期运行调适提供基础条件</w:t>
      </w:r>
      <w:r>
        <w:rPr>
          <w:rFonts w:hint="eastAsia" w:cs="宋体"/>
          <w:kern w:val="0"/>
          <w:szCs w:val="21"/>
          <w:lang w:bidi="ar"/>
        </w:rPr>
        <w:t>。</w:t>
      </w:r>
      <w:r>
        <w:rPr>
          <w:rFonts w:cs="宋体"/>
          <w:kern w:val="0"/>
          <w:szCs w:val="21"/>
          <w:lang w:bidi="ar"/>
        </w:rPr>
        <w:t xml:space="preserve"> </w:t>
      </w: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hint="eastAsia" w:cs="宋体"/>
          <w:bCs/>
          <w:kern w:val="0"/>
          <w:szCs w:val="21"/>
          <w:lang w:eastAsia="zh" w:bidi="ar"/>
        </w:rPr>
        <w:t>37</w:t>
      </w:r>
      <w:r>
        <w:rPr>
          <w:rFonts w:hint="eastAsia" w:cs="宋体"/>
          <w:bCs/>
          <w:kern w:val="0"/>
          <w:szCs w:val="21"/>
          <w:lang w:bidi="ar"/>
        </w:rPr>
        <w:t xml:space="preserve"> 新</w:t>
      </w:r>
      <w:r>
        <w:rPr>
          <w:rFonts w:hint="eastAsia" w:cs="宋体"/>
          <w:bCs/>
          <w:color w:val="000000" w:themeColor="text1"/>
          <w:kern w:val="0"/>
          <w:szCs w:val="21"/>
          <w:lang w:bidi="ar"/>
          <w14:textFill>
            <w14:solidFill>
              <w14:schemeClr w14:val="tx1"/>
            </w14:solidFill>
          </w14:textFill>
        </w:rPr>
        <w:t>风系统宜设置监测与控制系统，并应满足下列要求：</w:t>
      </w:r>
    </w:p>
    <w:p>
      <w:pPr>
        <w:widowControl/>
        <w:ind w:firstLine="420"/>
        <w:textAlignment w:val="center"/>
        <w:rPr>
          <w:rFonts w:cs="宋体"/>
          <w:kern w:val="0"/>
          <w:szCs w:val="21"/>
          <w:lang w:bidi="ar"/>
        </w:rPr>
      </w:pPr>
      <w:r>
        <w:rPr>
          <w:rFonts w:hint="eastAsia" w:cs="宋体"/>
          <w:kern w:val="0"/>
          <w:szCs w:val="21"/>
          <w:lang w:bidi="ar"/>
        </w:rPr>
        <w:t>1.新风系统应有对室内CO</w:t>
      </w:r>
      <w:r>
        <w:rPr>
          <w:rFonts w:hint="eastAsia" w:cs="宋体"/>
          <w:kern w:val="0"/>
          <w:szCs w:val="21"/>
          <w:vertAlign w:val="subscript"/>
          <w:lang w:bidi="ar"/>
        </w:rPr>
        <w:t>2</w:t>
      </w:r>
      <w:r>
        <w:rPr>
          <w:rFonts w:hint="eastAsia" w:cs="宋体"/>
          <w:kern w:val="0"/>
          <w:szCs w:val="21"/>
          <w:lang w:bidi="ar"/>
        </w:rPr>
        <w:t>、PM2.5、室外PM10颗粒物的监测功能；</w:t>
      </w:r>
    </w:p>
    <w:p>
      <w:pPr>
        <w:widowControl/>
        <w:ind w:firstLine="420"/>
        <w:textAlignment w:val="center"/>
        <w:rPr>
          <w:rFonts w:cs="宋体"/>
          <w:kern w:val="0"/>
          <w:szCs w:val="21"/>
          <w:lang w:bidi="ar"/>
        </w:rPr>
      </w:pPr>
      <w:r>
        <w:rPr>
          <w:rFonts w:hint="eastAsia" w:cs="宋体"/>
          <w:kern w:val="0"/>
          <w:szCs w:val="21"/>
          <w:lang w:bidi="ar"/>
        </w:rPr>
        <w:t>2.设置压差传感器检测过滤器压差变化；</w:t>
      </w:r>
    </w:p>
    <w:p>
      <w:pPr>
        <w:widowControl/>
        <w:ind w:firstLine="420"/>
        <w:textAlignment w:val="center"/>
        <w:rPr>
          <w:rFonts w:cs="宋体"/>
          <w:kern w:val="0"/>
          <w:szCs w:val="21"/>
          <w:lang w:bidi="ar"/>
        </w:rPr>
      </w:pPr>
      <w:r>
        <w:rPr>
          <w:rFonts w:hint="eastAsia" w:cs="宋体"/>
          <w:kern w:val="0"/>
          <w:szCs w:val="21"/>
          <w:lang w:bidi="ar"/>
        </w:rPr>
        <w:t>3.可根据室内CO</w:t>
      </w:r>
      <w:r>
        <w:rPr>
          <w:rFonts w:hint="eastAsia" w:cs="宋体"/>
          <w:kern w:val="0"/>
          <w:szCs w:val="21"/>
          <w:vertAlign w:val="subscript"/>
          <w:lang w:bidi="ar"/>
        </w:rPr>
        <w:t>2</w:t>
      </w:r>
      <w:r>
        <w:rPr>
          <w:rFonts w:hint="eastAsia" w:cs="宋体"/>
          <w:kern w:val="0"/>
          <w:szCs w:val="21"/>
          <w:lang w:bidi="ar"/>
        </w:rPr>
        <w:t>浓度变化，实现相应的设备启停、风机转速及新风阀开度调节；</w:t>
      </w:r>
    </w:p>
    <w:p>
      <w:pPr>
        <w:widowControl/>
        <w:ind w:firstLine="420"/>
        <w:textAlignment w:val="center"/>
        <w:rPr>
          <w:rFonts w:cs="宋体"/>
          <w:kern w:val="0"/>
          <w:szCs w:val="21"/>
          <w:lang w:bidi="ar"/>
        </w:rPr>
      </w:pPr>
      <w:r>
        <w:rPr>
          <w:rFonts w:hint="eastAsia" w:cs="宋体"/>
          <w:kern w:val="0"/>
          <w:szCs w:val="21"/>
          <w:lang w:bidi="ar"/>
        </w:rPr>
        <w:t>4.新风、排风和补风管路上设置的保温密闭型电动风阀应与设备联动；</w:t>
      </w:r>
    </w:p>
    <w:p>
      <w:pPr>
        <w:widowControl/>
        <w:ind w:firstLine="420"/>
        <w:textAlignment w:val="center"/>
        <w:rPr>
          <w:rFonts w:cs="宋体"/>
          <w:kern w:val="0"/>
          <w:szCs w:val="21"/>
          <w:lang w:bidi="ar"/>
        </w:rPr>
      </w:pPr>
      <w:r>
        <w:rPr>
          <w:rFonts w:hint="eastAsia" w:cs="宋体"/>
          <w:kern w:val="0"/>
          <w:szCs w:val="21"/>
          <w:lang w:bidi="ar"/>
        </w:rPr>
        <w:t xml:space="preserve">5.新风系统应与室内空气品质监测系统联动控制。 </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hint="eastAsia" w:cs="宋体"/>
          <w:bCs/>
          <w:kern w:val="0"/>
          <w:szCs w:val="21"/>
          <w:lang w:eastAsia="zh" w:bidi="ar"/>
        </w:rPr>
        <w:t>37</w:t>
      </w:r>
      <w:r>
        <w:rPr>
          <w:rFonts w:hint="eastAsia" w:cs="宋体"/>
          <w:bCs/>
          <w:kern w:val="0"/>
          <w:szCs w:val="21"/>
          <w:lang w:bidi="ar"/>
        </w:rPr>
        <w:t xml:space="preserve">  </w:t>
      </w:r>
      <w:r>
        <w:rPr>
          <w:rFonts w:hint="eastAsia" w:cs="宋体"/>
          <w:kern w:val="0"/>
          <w:szCs w:val="21"/>
          <w:lang w:bidi="ar"/>
        </w:rPr>
        <w:t>1 为了更好地达到新风系统的设计效果，控制新风系统的合理高效运行，应设置监控系统。通过监测室内的PM2.5浓度和CO</w:t>
      </w:r>
      <w:r>
        <w:rPr>
          <w:rFonts w:hint="eastAsia" w:cs="宋体"/>
          <w:kern w:val="0"/>
          <w:szCs w:val="21"/>
          <w:vertAlign w:val="subscript"/>
          <w:lang w:bidi="ar"/>
        </w:rPr>
        <w:t>2</w:t>
      </w:r>
      <w:r>
        <w:rPr>
          <w:rFonts w:hint="eastAsia" w:cs="宋体"/>
          <w:kern w:val="0"/>
          <w:szCs w:val="21"/>
          <w:lang w:bidi="ar"/>
        </w:rPr>
        <w:t>浓度可以反映室内的污染状况和新风量是否满足要求，同时监测室外的PM2.5浓度和 CO</w:t>
      </w:r>
      <w:r>
        <w:rPr>
          <w:rFonts w:hint="eastAsia" w:cs="宋体"/>
          <w:kern w:val="0"/>
          <w:szCs w:val="21"/>
          <w:vertAlign w:val="subscript"/>
          <w:lang w:bidi="ar"/>
        </w:rPr>
        <w:t>2</w:t>
      </w:r>
      <w:r>
        <w:rPr>
          <w:rFonts w:hint="eastAsia" w:cs="宋体"/>
          <w:kern w:val="0"/>
          <w:szCs w:val="21"/>
          <w:lang w:bidi="ar"/>
        </w:rPr>
        <w:t>浓度，可以判断新风系统的净化效果和新风量大小。</w:t>
      </w:r>
    </w:p>
    <w:p>
      <w:pPr>
        <w:widowControl/>
        <w:ind w:firstLine="420"/>
        <w:textAlignment w:val="center"/>
        <w:rPr>
          <w:rFonts w:cs="宋体"/>
          <w:kern w:val="0"/>
          <w:szCs w:val="21"/>
          <w:lang w:bidi="ar"/>
        </w:rPr>
      </w:pPr>
      <w:r>
        <w:rPr>
          <w:rFonts w:hint="eastAsia" w:cs="宋体"/>
          <w:kern w:val="0"/>
          <w:szCs w:val="21"/>
          <w:lang w:bidi="ar"/>
        </w:rPr>
        <w:t>2 通过监测过滤器进出口的静压差，可以观察过滤器的运行阻力，在达到装置终力时能够及时对过滤器进行清洗或更换。</w:t>
      </w:r>
    </w:p>
    <w:p>
      <w:pPr>
        <w:widowControl/>
        <w:ind w:firstLine="420"/>
        <w:textAlignment w:val="center"/>
        <w:rPr>
          <w:rFonts w:cs="宋体"/>
          <w:kern w:val="0"/>
          <w:szCs w:val="21"/>
          <w:lang w:bidi="ar"/>
        </w:rPr>
      </w:pPr>
      <w:r>
        <w:rPr>
          <w:rFonts w:hint="eastAsia" w:cs="宋体"/>
          <w:kern w:val="0"/>
          <w:szCs w:val="21"/>
          <w:lang w:bidi="ar"/>
        </w:rPr>
        <w:t>3 为实现新风系统的运行节能，应按需求控制新风量的大小。设计时可以根据CO</w:t>
      </w:r>
      <w:r>
        <w:rPr>
          <w:rFonts w:hint="eastAsia" w:cs="宋体"/>
          <w:kern w:val="0"/>
          <w:szCs w:val="21"/>
          <w:vertAlign w:val="subscript"/>
          <w:lang w:bidi="ar"/>
        </w:rPr>
        <w:t>2</w:t>
      </w:r>
      <w:r>
        <w:rPr>
          <w:rFonts w:hint="eastAsia" w:cs="宋体"/>
          <w:kern w:val="0"/>
          <w:szCs w:val="21"/>
          <w:lang w:bidi="ar"/>
        </w:rPr>
        <w:t>浓度进行新风量控制。室内CO</w:t>
      </w:r>
      <w:r>
        <w:rPr>
          <w:rFonts w:hint="eastAsia" w:cs="宋体"/>
          <w:kern w:val="0"/>
          <w:szCs w:val="21"/>
          <w:vertAlign w:val="subscript"/>
          <w:lang w:bidi="ar"/>
        </w:rPr>
        <w:t>2</w:t>
      </w:r>
      <w:r>
        <w:rPr>
          <w:rFonts w:hint="eastAsia" w:cs="宋体"/>
          <w:kern w:val="0"/>
          <w:szCs w:val="21"/>
          <w:lang w:bidi="ar"/>
        </w:rPr>
        <w:t>浓度超出限值要求时增大通风器的送风量，直至CO</w:t>
      </w:r>
      <w:r>
        <w:rPr>
          <w:rFonts w:hint="eastAsia" w:cs="宋体"/>
          <w:kern w:val="0"/>
          <w:szCs w:val="21"/>
          <w:vertAlign w:val="subscript"/>
          <w:lang w:bidi="ar"/>
        </w:rPr>
        <w:t>2</w:t>
      </w:r>
      <w:r>
        <w:rPr>
          <w:rFonts w:hint="eastAsia" w:cs="宋体"/>
          <w:kern w:val="0"/>
          <w:szCs w:val="21"/>
          <w:lang w:bidi="ar"/>
        </w:rPr>
        <w:t>浓度低于限值。</w:t>
      </w:r>
    </w:p>
    <w:p>
      <w:pPr>
        <w:widowControl/>
        <w:ind w:firstLine="420"/>
        <w:textAlignment w:val="center"/>
        <w:rPr>
          <w:rFonts w:cs="宋体"/>
          <w:kern w:val="0"/>
          <w:szCs w:val="21"/>
          <w:lang w:bidi="ar"/>
        </w:rPr>
      </w:pPr>
      <w:r>
        <w:rPr>
          <w:rFonts w:hint="eastAsia" w:cs="宋体"/>
          <w:kern w:val="0"/>
          <w:szCs w:val="21"/>
          <w:lang w:bidi="ar"/>
        </w:rPr>
        <w:t>4 新风热回收、排油烟机等机组未开启时，与室外连通的风管上设置的保温密闭型电动风阀应关闭严密，不得漏风，避免室内外有通路形成，影响建筑气密性。</w:t>
      </w:r>
    </w:p>
    <w:p>
      <w:pPr>
        <w:widowControl/>
        <w:ind w:firstLine="420"/>
        <w:textAlignment w:val="center"/>
        <w:rPr>
          <w:rFonts w:cs="宋体"/>
          <w:kern w:val="0"/>
          <w:szCs w:val="21"/>
          <w:lang w:bidi="ar"/>
        </w:rPr>
      </w:pPr>
      <w:r>
        <w:rPr>
          <w:rFonts w:hint="eastAsia" w:cs="宋体"/>
          <w:kern w:val="0"/>
          <w:szCs w:val="21"/>
          <w:lang w:bidi="ar"/>
        </w:rPr>
        <w:t>5 新风是空调系统冷热源的主要负荷之一，所以根据空气品质监测数据确定新风量，对新风机组的精细化控制，能够在保证空调区域舒适性的基础上减少能耗。因此，应根据监测结果实时控制新风支管上电动调节阀或风机启停以调节新风量，维持室内空气品质满足室内人员舒适度要求。</w:t>
      </w:r>
    </w:p>
    <w:p>
      <w:pPr>
        <w:pStyle w:val="2"/>
        <w:ind w:firstLine="420"/>
        <w:rPr>
          <w:lang w:bidi="ar"/>
        </w:rPr>
      </w:pP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8</w:t>
      </w:r>
      <w:r>
        <w:rPr>
          <w:rFonts w:hint="eastAsia" w:cs="宋体"/>
          <w:bCs/>
          <w:kern w:val="0"/>
          <w:szCs w:val="21"/>
          <w:lang w:bidi="ar"/>
        </w:rPr>
        <w:t xml:space="preserve"> 应根据不同建筑类型的空调系统使用时间、使用空间等分时、分区控制。 </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8</w:t>
      </w:r>
      <w:r>
        <w:rPr>
          <w:rFonts w:hint="eastAsia" w:cs="宋体"/>
          <w:kern w:val="0"/>
          <w:szCs w:val="21"/>
          <w:lang w:bidi="ar"/>
        </w:rPr>
        <w:t>空调系统应根据建筑的使用时间、使用空间等使用需求，进行合理的系统分区、分时控制设计。在无人使用的空间和时间，及时关闭空调系统，对空调系统进行部分时间、部分空间的间歇运行控制，可以极大地降低空调系统能耗，是一项重要的节能措施。而部分时间、部分空间的运行控制功能的实现需要在系统设计阶段进行合理设计，因此，本条提出了空调系统分区、分时控制设计的要求，以降低部分负荷、部分空间使用下的系统能耗。</w:t>
      </w:r>
    </w:p>
    <w:p>
      <w:pPr>
        <w:pStyle w:val="2"/>
        <w:ind w:firstLine="420"/>
        <w:rPr>
          <w:lang w:bidi="ar"/>
        </w:rPr>
      </w:pPr>
    </w:p>
    <w:p>
      <w:pPr>
        <w:widowControl/>
        <w:ind w:firstLine="0" w:firstLineChars="0"/>
        <w:textAlignment w:val="center"/>
        <w:outlineLvl w:val="3"/>
        <w:rPr>
          <w:rFonts w:cs="宋体"/>
          <w:bCs/>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9</w:t>
      </w:r>
      <w:r>
        <w:rPr>
          <w:rFonts w:hint="eastAsia" w:cs="宋体"/>
          <w:kern w:val="0"/>
          <w:szCs w:val="21"/>
          <w:lang w:bidi="ar"/>
        </w:rPr>
        <w:t xml:space="preserve"> </w:t>
      </w:r>
      <w:r>
        <w:rPr>
          <w:rFonts w:hint="eastAsia" w:cs="宋体"/>
          <w:bCs/>
          <w:kern w:val="0"/>
          <w:szCs w:val="21"/>
          <w:lang w:bidi="ar"/>
        </w:rPr>
        <w:t xml:space="preserve">公共建筑应采用集中空调自控系统，根据室内外温湿度、空调系统关键运行参数、建筑类型、建筑内部人员及使用习惯等，预测建筑能耗并自动调节空调系统运行策略，精细化控制空调系统运行。 </w:t>
      </w:r>
    </w:p>
    <w:p>
      <w:pPr>
        <w:widowControl/>
        <w:ind w:firstLine="420"/>
        <w:textAlignment w:val="center"/>
        <w:rPr>
          <w:rFonts w:cs="宋体"/>
          <w:kern w:val="0"/>
          <w:szCs w:val="21"/>
          <w:lang w:bidi="ar"/>
        </w:rPr>
      </w:pPr>
      <w:r>
        <w:rPr>
          <w:rFonts w:hint="eastAsia" w:cs="宋体"/>
          <w:kern w:val="0"/>
          <w:szCs w:val="21"/>
          <w:lang w:bidi="ar"/>
        </w:rPr>
        <w:t xml:space="preserve">1 监测室外温度、湿度，且每个参数至少为两个监测点；应考虑超高层建筑不同高度的室外温湿度差异； </w:t>
      </w:r>
    </w:p>
    <w:p>
      <w:pPr>
        <w:widowControl/>
        <w:ind w:firstLine="420"/>
        <w:textAlignment w:val="center"/>
        <w:rPr>
          <w:rFonts w:cs="宋体"/>
          <w:kern w:val="0"/>
          <w:szCs w:val="21"/>
          <w:lang w:bidi="ar"/>
        </w:rPr>
      </w:pPr>
      <w:r>
        <w:rPr>
          <w:rFonts w:hint="eastAsia" w:cs="宋体"/>
          <w:kern w:val="0"/>
          <w:szCs w:val="21"/>
          <w:lang w:bidi="ar"/>
        </w:rPr>
        <w:t xml:space="preserve">2 根据不同体型系统、不同楼层、不同朝向、不同功能等因素选择有代表性的主要功能空间监测室内温度、湿度； </w:t>
      </w:r>
    </w:p>
    <w:p>
      <w:pPr>
        <w:widowControl/>
        <w:ind w:firstLine="420"/>
        <w:textAlignment w:val="center"/>
        <w:rPr>
          <w:rFonts w:cs="宋体"/>
          <w:kern w:val="0"/>
          <w:szCs w:val="21"/>
          <w:lang w:bidi="ar"/>
        </w:rPr>
      </w:pPr>
      <w:r>
        <w:rPr>
          <w:rFonts w:hint="eastAsia" w:cs="宋体"/>
          <w:kern w:val="0"/>
          <w:szCs w:val="21"/>
          <w:lang w:bidi="ar"/>
        </w:rPr>
        <w:t xml:space="preserve">3 通过智能电表和传感器监测空调系统冷热源、输配系统、末端关键运行参数（进出水温、水压、流量、能耗等）； </w:t>
      </w:r>
    </w:p>
    <w:p>
      <w:pPr>
        <w:widowControl/>
        <w:ind w:firstLine="420"/>
        <w:textAlignment w:val="center"/>
        <w:rPr>
          <w:rFonts w:cs="宋体"/>
          <w:kern w:val="0"/>
          <w:szCs w:val="21"/>
          <w:lang w:bidi="ar"/>
        </w:rPr>
      </w:pPr>
      <w:r>
        <w:rPr>
          <w:rFonts w:hint="eastAsia" w:cs="宋体"/>
          <w:kern w:val="0"/>
          <w:szCs w:val="21"/>
          <w:lang w:bidi="ar"/>
        </w:rPr>
        <w:t xml:space="preserve">4 监测建筑内部人员数量、开关门窗行为； </w:t>
      </w:r>
    </w:p>
    <w:p>
      <w:pPr>
        <w:widowControl/>
        <w:ind w:firstLine="420"/>
        <w:textAlignment w:val="center"/>
        <w:rPr>
          <w:rFonts w:cs="宋体"/>
          <w:kern w:val="0"/>
          <w:szCs w:val="21"/>
          <w:lang w:bidi="ar"/>
        </w:rPr>
      </w:pPr>
      <w:r>
        <w:rPr>
          <w:rFonts w:hint="eastAsia" w:cs="宋体"/>
          <w:kern w:val="0"/>
          <w:szCs w:val="21"/>
          <w:lang w:bidi="ar"/>
        </w:rPr>
        <w:t xml:space="preserve">5 智能化控制系统能够根据各项数据进行能耗预测，并对空调系统相关运行参数远程控制； </w:t>
      </w:r>
    </w:p>
    <w:p>
      <w:pPr>
        <w:widowControl/>
        <w:ind w:firstLine="420"/>
        <w:textAlignment w:val="center"/>
        <w:rPr>
          <w:rFonts w:cs="宋体"/>
          <w:kern w:val="0"/>
          <w:szCs w:val="21"/>
          <w:lang w:bidi="ar"/>
        </w:rPr>
      </w:pPr>
      <w:r>
        <w:rPr>
          <w:rFonts w:hint="eastAsia" w:cs="宋体"/>
          <w:kern w:val="0"/>
          <w:szCs w:val="21"/>
          <w:lang w:bidi="ar"/>
        </w:rPr>
        <w:t>6 智能化控制系统能够在保证可靠运行的基础上，积累长期运行数据并持续优化控制策略。</w:t>
      </w:r>
    </w:p>
    <w:p>
      <w:pPr>
        <w:widowControl/>
        <w:ind w:firstLine="0" w:firstLineChars="0"/>
        <w:textAlignment w:val="center"/>
        <w:rPr>
          <w:rFonts w:cs="宋体"/>
          <w:kern w:val="0"/>
          <w:szCs w:val="21"/>
          <w:lang w:bidi="ar"/>
        </w:rPr>
      </w:pPr>
      <w:r>
        <w:rPr>
          <w:rFonts w:hint="eastAsia" w:cs="宋体"/>
          <w:kern w:val="0"/>
          <w:szCs w:val="21"/>
          <w:lang w:bidi="ar"/>
        </w:rPr>
        <w:t>【条文说明】</w:t>
      </w:r>
    </w:p>
    <w:p>
      <w:pPr>
        <w:widowControl/>
        <w:ind w:firstLine="420"/>
        <w:textAlignment w:val="center"/>
        <w:rPr>
          <w:rFonts w:cs="宋体"/>
          <w:kern w:val="0"/>
          <w:szCs w:val="21"/>
          <w:lang w:bidi="ar"/>
        </w:rPr>
      </w:pPr>
      <w:r>
        <w:rPr>
          <w:rFonts w:hint="eastAsia" w:cs="宋体"/>
          <w:bCs/>
          <w:kern w:val="0"/>
          <w:szCs w:val="21"/>
          <w:lang w:bidi="ar"/>
        </w:rPr>
        <w:t>7.1.</w:t>
      </w:r>
      <w:r>
        <w:rPr>
          <w:rFonts w:cs="宋体"/>
          <w:bCs/>
          <w:kern w:val="0"/>
          <w:szCs w:val="21"/>
          <w:lang w:bidi="ar"/>
        </w:rPr>
        <w:t>3</w:t>
      </w:r>
      <w:r>
        <w:rPr>
          <w:rFonts w:hint="eastAsia" w:cs="宋体"/>
          <w:bCs/>
          <w:kern w:val="0"/>
          <w:szCs w:val="21"/>
          <w:lang w:eastAsia="zh" w:bidi="ar"/>
        </w:rPr>
        <w:t>9</w:t>
      </w:r>
      <w:r>
        <w:rPr>
          <w:rFonts w:hint="eastAsia" w:cs="宋体"/>
          <w:kern w:val="0"/>
          <w:szCs w:val="21"/>
          <w:lang w:bidi="ar"/>
        </w:rPr>
        <w:t>本章节其他条文对集中空调设备参数、设计要素等提出了具体要求，但是中央空调系统设备间的运行是相互耦合且彼此影响联系的，同一个冷负荷需求，系统可以有很多种不同的运行方式来满足。如何在保证室内舒适性环境的前提下，根据不断变化的实际运行工况，寻优发现中央空调系统最佳运行模式与最优运行参数，保证系统综合能耗最低和综合能效最高，是中央空调系统节能运行的关键，需要通过楼宇智能化系统（BAS）和专业的运维管理来实现。然而，中国建筑科学研究院在十三五国家重点研发专项“新型建筑智能化系统平台技术”支持下开展的调研成果表明，目前我国相当大比例BAS 不能良好运行，自动控制实现程度较低，“重硬件、轻软件，轻运行管理”，空调能耗高企，现状不容乐观。</w:t>
      </w:r>
    </w:p>
    <w:p>
      <w:pPr>
        <w:widowControl/>
        <w:ind w:firstLine="420"/>
        <w:textAlignment w:val="center"/>
        <w:rPr>
          <w:rFonts w:cs="宋体"/>
          <w:kern w:val="0"/>
          <w:szCs w:val="21"/>
          <w:lang w:bidi="ar"/>
        </w:rPr>
      </w:pPr>
      <w:r>
        <w:rPr>
          <w:rFonts w:hint="eastAsia" w:cs="宋体"/>
          <w:kern w:val="0"/>
          <w:szCs w:val="21"/>
          <w:lang w:bidi="ar"/>
        </w:rPr>
        <w:t>另一方面，物联网、通信和人工智能技术快速发展的背景下，建筑作为重要的应用场景，所使用的技术并没有得到快速发展和推广应用，目前的BAS所使用的技术体系本质上与上世纪的技术并无太大差别，根据上述调研结果，可全部正常自控的设备比例仅为 21%，问题主要反映为楼宇自控系统可靠性差、调试水平低、使用率低、数据未有效分析和利用等。</w:t>
      </w:r>
    </w:p>
    <w:p>
      <w:pPr>
        <w:widowControl/>
        <w:ind w:firstLine="420"/>
        <w:textAlignment w:val="center"/>
        <w:rPr>
          <w:rFonts w:cs="宋体"/>
          <w:kern w:val="0"/>
          <w:szCs w:val="21"/>
          <w:lang w:bidi="ar"/>
        </w:rPr>
      </w:pPr>
      <w:r>
        <w:rPr>
          <w:rFonts w:hint="eastAsia" w:cs="宋体"/>
          <w:kern w:val="0"/>
          <w:szCs w:val="21"/>
          <w:lang w:bidi="ar"/>
        </w:rPr>
        <w:t>造成上述问题的原因，除了BAS本身存在的问题外，与运维管理人员知识背景和水平也有很大关系。因此，通过安装智能电表和传感器监测空调系统全部运行参数，结合物联网、大数据、边缘计算、移动互联网等技术打通动态数据链，能够将中央空调系统作为一个整体，以整个系统综合能耗最低或综合能效最高为目标，自动化、智能化计算整体节能运行策略并控制中央空调系统在最优状态下运行，将极大减少对运维管理人员数量和专业水平的依赖，并大幅提高集中空调系统的运行效率，进一步降低运行能耗。</w:t>
      </w:r>
    </w:p>
    <w:p>
      <w:pPr>
        <w:widowControl/>
        <w:ind w:firstLine="420"/>
        <w:textAlignment w:val="center"/>
        <w:rPr>
          <w:rFonts w:cs="宋体"/>
          <w:kern w:val="0"/>
          <w:szCs w:val="21"/>
          <w:lang w:bidi="ar"/>
        </w:rPr>
      </w:pPr>
      <w:r>
        <w:rPr>
          <w:rFonts w:hint="eastAsia" w:cs="宋体"/>
          <w:kern w:val="0"/>
          <w:szCs w:val="21"/>
          <w:lang w:bidi="ar"/>
        </w:rPr>
        <w:t>当然，因控制变量增加将使智能化系统控制算法更加复杂，影响系统可靠性并增加工程成本，因此，在制定联动策略时，宜根据建筑的功能与要求、系统类型、设备运行时间及对管理的要求等因素，通过技术经济比较确定上述数据采集措施。同时，监测系统应具备数据自动采集、远程传输。对室内人员及行为的监测应以弱感知为主，避免采集和泄露用户隐私数据。</w:t>
      </w:r>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56" w:name="_Toc198125366"/>
      <w:r>
        <w:rPr>
          <w:rFonts w:hint="eastAsia" w:eastAsia="黑体" w:cs="Times New Roman"/>
          <w:kern w:val="44"/>
          <w:sz w:val="32"/>
          <w:szCs w:val="36"/>
        </w:rPr>
        <w:t>7.</w:t>
      </w:r>
      <w:r>
        <w:rPr>
          <w:rFonts w:eastAsia="黑体" w:cs="Times New Roman"/>
          <w:kern w:val="44"/>
          <w:sz w:val="32"/>
          <w:szCs w:val="36"/>
        </w:rPr>
        <w:t>2</w:t>
      </w:r>
      <w:r>
        <w:rPr>
          <w:rFonts w:hint="eastAsia" w:eastAsia="黑体" w:cs="Times New Roman"/>
          <w:kern w:val="44"/>
          <w:sz w:val="32"/>
          <w:szCs w:val="36"/>
        </w:rPr>
        <w:t xml:space="preserve"> 施工质量控制</w:t>
      </w:r>
      <w:bookmarkEnd w:id="56"/>
    </w:p>
    <w:p>
      <w:pPr>
        <w:widowControl/>
        <w:ind w:firstLine="0" w:firstLineChars="0"/>
        <w:jc w:val="left"/>
        <w:outlineLvl w:val="2"/>
        <w:rPr>
          <w:rFonts w:cs="Times New Roman"/>
          <w:bCs/>
          <w:szCs w:val="24"/>
          <w:lang w:val="zh-CN" w:bidi="ar"/>
        </w:rPr>
      </w:pPr>
      <w:r>
        <w:rPr>
          <w:rFonts w:hint="eastAsia" w:cs="Times New Roman"/>
          <w:bCs/>
          <w:szCs w:val="24"/>
          <w:lang w:val="zh-CN" w:bidi="ar"/>
        </w:rPr>
        <w:t>7.2.1建筑施工单位应针对断热桥处理、气密性保障、防潮防渗、抗风压渗透等关键环节制定专项施工方案。</w:t>
      </w:r>
      <w:r>
        <w:rPr>
          <w:rFonts w:cs="Times New Roman"/>
          <w:bCs/>
          <w:szCs w:val="24"/>
          <w:lang w:val="zh-CN" w:bidi="ar"/>
        </w:rPr>
        <w:t>施工前，应对现场工程师、施工人员、监理人员进行专项培训。</w:t>
      </w:r>
    </w:p>
    <w:p>
      <w:pPr>
        <w:ind w:firstLine="0" w:firstLineChars="0"/>
        <w:jc w:val="left"/>
      </w:pPr>
      <w:r>
        <w:t>【条文说明】</w:t>
      </w:r>
    </w:p>
    <w:p>
      <w:pPr>
        <w:ind w:firstLine="420"/>
      </w:pPr>
      <w:r>
        <w:rPr>
          <w:rFonts w:hint="eastAsia" w:cs="Times New Roman"/>
          <w:bCs/>
          <w:szCs w:val="24"/>
          <w:lang w:val="zh-CN" w:bidi="ar"/>
        </w:rPr>
        <w:t>7.2.1</w:t>
      </w:r>
      <w:r>
        <w:rPr>
          <w:rFonts w:hint="eastAsia"/>
        </w:rPr>
        <w:t>近零能耗建筑施工应满足现行国家标准《建筑节能工程施工质量验收标准》GB 50411及《近零能耗建筑技术标准》GB/T 51350《建筑节能与可再生能源利用通用规范》GB 55015《海南省建筑节能工程施工验收标准（试行）》等相关施工质量验收标准要求。近零能耗建筑的设计和施工标准高于普通建筑，而海南省地处热带季风海洋性气候带，潮湿多雨，多台风等因素对近零能耗建筑的施工质量提出了更高要求，需要针对性的精细化设计与更专业化的施工操作，相对于普通建筑的施工方式，施工工艺更加复杂，对施工程序和质量的要求也更加严格，因此需要对现场工程师、施工人员、监理人员等进行专项施工培训，帮助相关人员快速掌握相关关键技术、熟悉相关的施工工艺，以实现近零能耗建筑专业化施工，保障工程质量。这也成为近零能耗建筑项目流程中不可缺失的关键环节。</w:t>
      </w:r>
    </w:p>
    <w:p>
      <w:pPr>
        <w:ind w:firstLine="420"/>
      </w:pPr>
      <w:r>
        <w:t>专项施工方案应包括外门窗安装、</w:t>
      </w:r>
      <w:r>
        <w:rPr>
          <w:strike/>
        </w:rPr>
        <w:t>地面保温施工</w:t>
      </w:r>
      <w:r>
        <w:t>、外墙外保温施工、屋面保温施工、暖通空调系统安装、气密性措施施工（包括因施工工艺选择产生的可能影响房屋气密性的孔洞的处理方案）等技术内容；重点包括外墙和屋面保温做法、外门窗安装方法及其与墙体连接部位的处理方法，以及外挑结构、女儿墙、穿外墙和屋面的管道、外围护结构上固定件的安装等部位的处理措施；并提供与设计单位书面确认的热桥位置及断热桥措施施工详图和施工工艺，室内气密层位置及处理措施施工详图和施工工艺。</w:t>
      </w:r>
    </w:p>
    <w:p>
      <w:pPr>
        <w:ind w:firstLine="420"/>
      </w:pPr>
      <w:r>
        <w:t>施工前，应进行现场实际操作示范，对现场工程师、施工人员、监理人员进行专项培训。专项施工培训包括了解材料和设备性能，现场实际操作示范，掌握施工要领和具体施工工艺，经培训合格后方准上岗。</w:t>
      </w:r>
    </w:p>
    <w:p>
      <w:pPr>
        <w:ind w:firstLine="420"/>
        <w:jc w:val="left"/>
      </w:pPr>
    </w:p>
    <w:p>
      <w:pPr>
        <w:widowControl/>
        <w:ind w:firstLine="0" w:firstLineChars="0"/>
        <w:outlineLvl w:val="2"/>
        <w:rPr>
          <w:rFonts w:cs="Times New Roman"/>
          <w:bCs/>
          <w:szCs w:val="24"/>
          <w:lang w:val="zh-CN" w:bidi="ar"/>
        </w:rPr>
      </w:pPr>
      <w:r>
        <w:rPr>
          <w:rFonts w:cs="Times New Roman"/>
          <w:bCs/>
          <w:szCs w:val="24"/>
          <w:lang w:val="zh-CN" w:bidi="ar"/>
        </w:rPr>
        <w:t>7.2.2  建筑围护结构保温工程施工时，应选用配套供应的保温系统材料和专业化施工</w:t>
      </w:r>
      <w:r>
        <w:rPr>
          <w:rFonts w:hint="eastAsia" w:cs="Times New Roman"/>
          <w:bCs/>
          <w:szCs w:val="24"/>
          <w:lang w:val="zh-CN" w:bidi="ar"/>
        </w:rPr>
        <w:t>工艺</w:t>
      </w:r>
      <w:r>
        <w:rPr>
          <w:rFonts w:cs="Times New Roman"/>
          <w:bCs/>
          <w:szCs w:val="24"/>
          <w:lang w:val="zh-CN" w:bidi="ar"/>
        </w:rPr>
        <w:t>。外保温结构体系</w:t>
      </w:r>
      <w:r>
        <w:rPr>
          <w:rFonts w:hint="eastAsia" w:cs="Times New Roman"/>
          <w:bCs/>
          <w:szCs w:val="24"/>
          <w:lang w:val="zh-CN" w:bidi="ar"/>
        </w:rPr>
        <w:t>的</w:t>
      </w:r>
      <w:r>
        <w:rPr>
          <w:rFonts w:cs="Times New Roman"/>
          <w:bCs/>
          <w:szCs w:val="24"/>
          <w:lang w:val="zh-CN" w:bidi="ar"/>
        </w:rPr>
        <w:t>型式检验报告中应包括外保温系统耐候性检验项目</w:t>
      </w:r>
      <w:r>
        <w:rPr>
          <w:rFonts w:hint="eastAsia" w:cs="Times New Roman"/>
          <w:bCs/>
          <w:szCs w:val="24"/>
          <w:lang w:val="zh-CN" w:bidi="ar"/>
        </w:rPr>
        <w:t>，</w:t>
      </w:r>
      <w:r>
        <w:rPr>
          <w:rFonts w:cs="Times New Roman"/>
          <w:bCs/>
          <w:szCs w:val="24"/>
          <w:lang w:val="zh-CN" w:bidi="ar"/>
        </w:rPr>
        <w:t>外保温系统耐候性检验</w:t>
      </w:r>
      <w:r>
        <w:rPr>
          <w:rFonts w:hint="eastAsia" w:cs="Times New Roman"/>
          <w:bCs/>
          <w:szCs w:val="24"/>
          <w:lang w:val="zh-CN" w:bidi="ar"/>
        </w:rPr>
        <w:t>应包含防火隔离带</w:t>
      </w:r>
      <w:r>
        <w:rPr>
          <w:rFonts w:cs="Times New Roman"/>
          <w:bCs/>
          <w:szCs w:val="24"/>
          <w:lang w:val="zh-CN" w:bidi="ar"/>
        </w:rPr>
        <w:t>。</w:t>
      </w:r>
    </w:p>
    <w:p>
      <w:pPr>
        <w:ind w:firstLine="0" w:firstLineChars="0"/>
        <w:jc w:val="left"/>
      </w:pPr>
      <w:r>
        <w:t>【条文说明】</w:t>
      </w:r>
    </w:p>
    <w:p>
      <w:pPr>
        <w:ind w:firstLine="420"/>
      </w:pPr>
      <w:r>
        <w:rPr>
          <w:rFonts w:cs="Times New Roman"/>
          <w:bCs/>
          <w:szCs w:val="24"/>
          <w:lang w:val="zh-CN" w:bidi="ar"/>
        </w:rPr>
        <w:t>7.2.2</w:t>
      </w:r>
      <w:r>
        <w:t>围护结构保温工程是一个系统工程，除主材保温材料外，锚栓、粘接剂、玻纤网等辅材质量，以及是否与主材匹配，直接影响保温工程质量。特别对外保温系统，应进行外保温系统耐候性检验，并满足要求。</w:t>
      </w:r>
    </w:p>
    <w:p>
      <w:pPr>
        <w:widowControl/>
        <w:ind w:firstLine="0" w:firstLineChars="0"/>
        <w:jc w:val="left"/>
        <w:outlineLvl w:val="2"/>
        <w:rPr>
          <w:rFonts w:cs="Times New Roman"/>
          <w:bCs/>
          <w:szCs w:val="24"/>
          <w:lang w:val="zh-CN" w:bidi="ar"/>
        </w:rPr>
      </w:pPr>
      <w:r>
        <w:rPr>
          <w:rFonts w:hint="eastAsia" w:cs="Times New Roman"/>
          <w:bCs/>
          <w:szCs w:val="24"/>
          <w:lang w:val="zh-CN" w:bidi="ar"/>
        </w:rPr>
        <w:t xml:space="preserve">7.2.3 外墙保温施工应符合下列要求： </w:t>
      </w:r>
    </w:p>
    <w:p>
      <w:pPr>
        <w:ind w:firstLine="420"/>
      </w:pPr>
      <w:r>
        <w:rPr>
          <w:rFonts w:hint="eastAsia"/>
        </w:rPr>
        <w:t xml:space="preserve">1 </w:t>
      </w:r>
      <w:r>
        <w:t>保温施工应在基层处理、结构预埋件安装完成且验收合格后进行。</w:t>
      </w:r>
      <w:r>
        <w:rPr>
          <w:rFonts w:hint="eastAsia"/>
        </w:rPr>
        <w:t xml:space="preserve">外墙保温施工应在外门窗和基层墙体上的预埋件安装完成并验收合格后进行。 </w:t>
      </w:r>
    </w:p>
    <w:p>
      <w:pPr>
        <w:ind w:firstLine="420"/>
      </w:pPr>
      <w:r>
        <w:rPr>
          <w:rFonts w:hint="eastAsia"/>
        </w:rPr>
        <w:t xml:space="preserve">2 </w:t>
      </w:r>
      <w:r>
        <w:t>保温层应粘贴平整且无缝隙</w:t>
      </w:r>
      <w:r>
        <w:rPr>
          <w:rFonts w:hint="eastAsia"/>
        </w:rPr>
        <w:t>，</w:t>
      </w:r>
      <w:r>
        <w:t>其固定方式不应产生热桥；</w:t>
      </w:r>
      <w:r>
        <w:rPr>
          <w:rFonts w:hint="eastAsia"/>
        </w:rPr>
        <w:t>采用岩棉带薄抹灰外保温系统时，岩棉带的宽度不宜小于200mm；防火隔离带应与基层墙体可靠连接适应保温系统的正常变形，与其他保温材料应搭接严密或采用错缝粘贴，避免出现较大缝隙；如缝隙较大，应采用发泡材料严密封堵；岩棉防火隔离带应全部采用满粘法。</w:t>
      </w:r>
    </w:p>
    <w:p>
      <w:pPr>
        <w:ind w:firstLine="420"/>
      </w:pPr>
      <w:r>
        <w:rPr>
          <w:rFonts w:hint="eastAsia"/>
        </w:rPr>
        <w:t xml:space="preserve">3 </w:t>
      </w:r>
      <w:r>
        <w:t>围护结构上的悬挑构件、穿墙和出屋面的管线及套管等部位应进行热桥处理。</w:t>
      </w:r>
    </w:p>
    <w:p>
      <w:pPr>
        <w:ind w:firstLine="420"/>
      </w:pPr>
      <w:r>
        <w:t>4  装配式夹心保温外墙板的竖缝和横缝均应做</w:t>
      </w:r>
      <w:r>
        <w:rPr>
          <w:rFonts w:hint="eastAsia"/>
        </w:rPr>
        <w:t>断</w:t>
      </w:r>
      <w:r>
        <w:t>热桥处理。</w:t>
      </w:r>
    </w:p>
    <w:p>
      <w:pPr>
        <w:snapToGrid w:val="0"/>
        <w:ind w:firstLine="0" w:firstLineChars="0"/>
      </w:pPr>
      <w:r>
        <w:t>【条文说明】</w:t>
      </w:r>
    </w:p>
    <w:p>
      <w:pPr>
        <w:ind w:firstLine="420"/>
      </w:pPr>
      <w:r>
        <w:rPr>
          <w:rFonts w:hint="eastAsia" w:cs="Times New Roman"/>
          <w:bCs/>
          <w:szCs w:val="24"/>
          <w:lang w:val="zh-CN" w:bidi="ar"/>
        </w:rPr>
        <w:t>7.2.3</w:t>
      </w:r>
      <w:r>
        <w:rPr>
          <w:rFonts w:hint="eastAsia"/>
        </w:rPr>
        <w:t>第一款，基层墙体已验收合格。墙体基面上的残渣和脱模剂应清理干净，并采用抹灰等方式找平，墙面平整度超差部分应剔凿或修补，基层墙体上的施工孔洞应已堵塞密实并进行防水处理。墙体基面的尺寸允许偏差见表1。</w:t>
      </w:r>
    </w:p>
    <w:p>
      <w:pPr>
        <w:snapToGrid w:val="0"/>
        <w:ind w:firstLine="420"/>
        <w:jc w:val="center"/>
      </w:pPr>
      <w:r>
        <w:rPr>
          <w:rFonts w:hint="eastAsia"/>
        </w:rPr>
        <w:t>表1 墙体基面的尺寸允许偏差</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765"/>
        <w:gridCol w:w="988"/>
        <w:gridCol w:w="602"/>
        <w:gridCol w:w="275"/>
        <w:gridCol w:w="877"/>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3" w:type="dxa"/>
            <w:vAlign w:val="center"/>
          </w:tcPr>
          <w:p>
            <w:pPr>
              <w:snapToGrid w:val="0"/>
              <w:ind w:firstLine="0" w:firstLineChars="0"/>
            </w:pPr>
            <w:r>
              <w:rPr>
                <w:rFonts w:hint="eastAsia"/>
              </w:rPr>
              <w:t>工程做法</w:t>
            </w:r>
          </w:p>
        </w:tc>
        <w:tc>
          <w:tcPr>
            <w:tcW w:w="3507" w:type="dxa"/>
            <w:gridSpan w:val="5"/>
            <w:vAlign w:val="center"/>
          </w:tcPr>
          <w:p>
            <w:pPr>
              <w:snapToGrid w:val="0"/>
              <w:ind w:firstLine="0" w:firstLineChars="0"/>
            </w:pPr>
            <w:r>
              <w:rPr>
                <w:rFonts w:hint="eastAsia"/>
              </w:rPr>
              <w:t>项目</w:t>
            </w:r>
          </w:p>
        </w:tc>
        <w:tc>
          <w:tcPr>
            <w:tcW w:w="2131" w:type="dxa"/>
            <w:vAlign w:val="center"/>
          </w:tcPr>
          <w:p>
            <w:pPr>
              <w:snapToGrid w:val="0"/>
              <w:ind w:firstLine="0" w:firstLineChars="0"/>
            </w:pPr>
            <w:r>
              <w:rPr>
                <w:rFonts w:hint="eastAsia"/>
              </w:rPr>
              <w:t>允许偏差≤（mm）</w:t>
            </w:r>
          </w:p>
        </w:tc>
        <w:tc>
          <w:tcPr>
            <w:tcW w:w="2131" w:type="dxa"/>
            <w:vAlign w:val="center"/>
          </w:tcPr>
          <w:p>
            <w:pPr>
              <w:snapToGrid w:val="0"/>
              <w:ind w:firstLine="0" w:firstLineChars="0"/>
            </w:pPr>
            <w:r>
              <w:rPr>
                <w:rFonts w:hint="eastAsi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753" w:type="dxa"/>
            <w:vMerge w:val="restart"/>
            <w:vAlign w:val="center"/>
          </w:tcPr>
          <w:p>
            <w:pPr>
              <w:snapToGrid w:val="0"/>
              <w:ind w:firstLine="0" w:firstLineChars="0"/>
            </w:pPr>
            <w:r>
              <w:rPr>
                <w:rFonts w:hint="eastAsia"/>
              </w:rPr>
              <w:t>砌体工程</w:t>
            </w:r>
          </w:p>
        </w:tc>
        <w:tc>
          <w:tcPr>
            <w:tcW w:w="765" w:type="dxa"/>
            <w:vMerge w:val="restart"/>
            <w:vAlign w:val="center"/>
          </w:tcPr>
          <w:p>
            <w:pPr>
              <w:snapToGrid w:val="0"/>
              <w:ind w:firstLine="0" w:firstLineChars="0"/>
            </w:pPr>
            <w:r>
              <w:rPr>
                <w:rFonts w:hint="eastAsia"/>
              </w:rPr>
              <w:t>墙面垂直度</w:t>
            </w:r>
          </w:p>
        </w:tc>
        <w:tc>
          <w:tcPr>
            <w:tcW w:w="2742" w:type="dxa"/>
            <w:gridSpan w:val="4"/>
            <w:vAlign w:val="center"/>
          </w:tcPr>
          <w:p>
            <w:pPr>
              <w:snapToGrid w:val="0"/>
              <w:ind w:firstLine="0" w:firstLineChars="0"/>
            </w:pPr>
            <w:r>
              <w:rPr>
                <w:rFonts w:hint="eastAsia"/>
              </w:rPr>
              <w:t>每层</w:t>
            </w:r>
          </w:p>
        </w:tc>
        <w:tc>
          <w:tcPr>
            <w:tcW w:w="2131" w:type="dxa"/>
            <w:vAlign w:val="center"/>
          </w:tcPr>
          <w:p>
            <w:pPr>
              <w:snapToGrid w:val="0"/>
              <w:ind w:firstLine="0" w:firstLineChars="0"/>
            </w:pPr>
            <w:r>
              <w:rPr>
                <w:rFonts w:hint="eastAsia"/>
              </w:rPr>
              <w:t>≤4</w:t>
            </w:r>
          </w:p>
        </w:tc>
        <w:tc>
          <w:tcPr>
            <w:tcW w:w="2131" w:type="dxa"/>
            <w:vAlign w:val="center"/>
          </w:tcPr>
          <w:p>
            <w:pPr>
              <w:snapToGrid w:val="0"/>
              <w:ind w:firstLine="0" w:firstLineChars="0"/>
            </w:pPr>
            <w:r>
              <w:rPr>
                <w:rFonts w:hint="eastAsia"/>
              </w:rPr>
              <w:t>2m 托线板检查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atLeast"/>
          <w:jc w:val="center"/>
        </w:trPr>
        <w:tc>
          <w:tcPr>
            <w:tcW w:w="753" w:type="dxa"/>
            <w:vMerge w:val="continue"/>
            <w:vAlign w:val="center"/>
          </w:tcPr>
          <w:p>
            <w:pPr>
              <w:snapToGrid w:val="0"/>
              <w:ind w:firstLine="0" w:firstLineChars="0"/>
            </w:pPr>
          </w:p>
        </w:tc>
        <w:tc>
          <w:tcPr>
            <w:tcW w:w="765" w:type="dxa"/>
            <w:vMerge w:val="continue"/>
            <w:vAlign w:val="center"/>
          </w:tcPr>
          <w:p>
            <w:pPr>
              <w:snapToGrid w:val="0"/>
              <w:ind w:firstLine="0" w:firstLineChars="0"/>
            </w:pPr>
          </w:p>
        </w:tc>
        <w:tc>
          <w:tcPr>
            <w:tcW w:w="1590" w:type="dxa"/>
            <w:gridSpan w:val="2"/>
            <w:vMerge w:val="restart"/>
            <w:vAlign w:val="center"/>
          </w:tcPr>
          <w:p>
            <w:pPr>
              <w:snapToGrid w:val="0"/>
              <w:ind w:firstLine="0" w:firstLineChars="0"/>
            </w:pPr>
            <w:r>
              <w:rPr>
                <w:rFonts w:hint="eastAsia"/>
              </w:rPr>
              <w:t>全高</w:t>
            </w:r>
          </w:p>
        </w:tc>
        <w:tc>
          <w:tcPr>
            <w:tcW w:w="1152" w:type="dxa"/>
            <w:gridSpan w:val="2"/>
            <w:vAlign w:val="center"/>
          </w:tcPr>
          <w:p>
            <w:pPr>
              <w:snapToGrid w:val="0"/>
              <w:ind w:firstLine="0" w:firstLineChars="0"/>
            </w:pPr>
            <w:r>
              <w:rPr>
                <w:rFonts w:hint="eastAsia"/>
              </w:rPr>
              <w:t>≤10m</w:t>
            </w:r>
          </w:p>
        </w:tc>
        <w:tc>
          <w:tcPr>
            <w:tcW w:w="2131" w:type="dxa"/>
            <w:vAlign w:val="center"/>
          </w:tcPr>
          <w:p>
            <w:pPr>
              <w:snapToGrid w:val="0"/>
              <w:ind w:firstLine="0" w:firstLineChars="0"/>
            </w:pPr>
            <w:r>
              <w:rPr>
                <w:rFonts w:hint="eastAsia"/>
              </w:rPr>
              <w:t>≤5</w:t>
            </w:r>
          </w:p>
        </w:tc>
        <w:tc>
          <w:tcPr>
            <w:tcW w:w="2131" w:type="dxa"/>
            <w:vMerge w:val="restart"/>
            <w:vAlign w:val="center"/>
          </w:tcPr>
          <w:p>
            <w:pPr>
              <w:snapToGrid w:val="0"/>
              <w:ind w:firstLine="0" w:firstLineChars="0"/>
            </w:pPr>
            <w:r>
              <w:rPr>
                <w:rFonts w:hint="eastAsia"/>
              </w:rPr>
              <w:t>经纬仪或吊线、</w:t>
            </w:r>
          </w:p>
          <w:p>
            <w:pPr>
              <w:snapToGrid w:val="0"/>
              <w:ind w:firstLine="0" w:firstLineChars="0"/>
            </w:pPr>
            <w:r>
              <w:rPr>
                <w:rFonts w:hint="eastAsia"/>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atLeast"/>
          <w:jc w:val="center"/>
        </w:trPr>
        <w:tc>
          <w:tcPr>
            <w:tcW w:w="753" w:type="dxa"/>
            <w:vMerge w:val="continue"/>
            <w:vAlign w:val="center"/>
          </w:tcPr>
          <w:p>
            <w:pPr>
              <w:snapToGrid w:val="0"/>
              <w:ind w:firstLine="0" w:firstLineChars="0"/>
            </w:pPr>
          </w:p>
        </w:tc>
        <w:tc>
          <w:tcPr>
            <w:tcW w:w="765" w:type="dxa"/>
            <w:vMerge w:val="continue"/>
            <w:vAlign w:val="center"/>
          </w:tcPr>
          <w:p>
            <w:pPr>
              <w:snapToGrid w:val="0"/>
              <w:ind w:firstLine="0" w:firstLineChars="0"/>
            </w:pPr>
          </w:p>
        </w:tc>
        <w:tc>
          <w:tcPr>
            <w:tcW w:w="1590" w:type="dxa"/>
            <w:gridSpan w:val="2"/>
            <w:vMerge w:val="continue"/>
            <w:vAlign w:val="center"/>
          </w:tcPr>
          <w:p>
            <w:pPr>
              <w:snapToGrid w:val="0"/>
              <w:ind w:firstLine="0" w:firstLineChars="0"/>
            </w:pPr>
          </w:p>
        </w:tc>
        <w:tc>
          <w:tcPr>
            <w:tcW w:w="1152" w:type="dxa"/>
            <w:gridSpan w:val="2"/>
            <w:vAlign w:val="center"/>
          </w:tcPr>
          <w:p>
            <w:pPr>
              <w:snapToGrid w:val="0"/>
              <w:ind w:firstLine="0" w:firstLineChars="0"/>
            </w:pPr>
            <w:r>
              <w:rPr>
                <w:rFonts w:hint="eastAsia"/>
              </w:rPr>
              <w:t>＞10m</w:t>
            </w:r>
          </w:p>
        </w:tc>
        <w:tc>
          <w:tcPr>
            <w:tcW w:w="2131" w:type="dxa"/>
            <w:vAlign w:val="center"/>
          </w:tcPr>
          <w:p>
            <w:pPr>
              <w:snapToGrid w:val="0"/>
              <w:ind w:firstLine="0" w:firstLineChars="0"/>
            </w:pPr>
            <w:r>
              <w:rPr>
                <w:rFonts w:hint="eastAsia"/>
              </w:rPr>
              <w:t>≤10</w:t>
            </w:r>
          </w:p>
        </w:tc>
        <w:tc>
          <w:tcPr>
            <w:tcW w:w="2131" w:type="dxa"/>
            <w:vMerge w:val="continue"/>
            <w:vAlign w:val="center"/>
          </w:tcPr>
          <w:p>
            <w:pPr>
              <w:snapToGrid w:val="0"/>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atLeast"/>
          <w:jc w:val="center"/>
        </w:trPr>
        <w:tc>
          <w:tcPr>
            <w:tcW w:w="753" w:type="dxa"/>
            <w:vMerge w:val="continue"/>
            <w:vAlign w:val="center"/>
          </w:tcPr>
          <w:p>
            <w:pPr>
              <w:snapToGrid w:val="0"/>
              <w:ind w:firstLine="0" w:firstLineChars="0"/>
            </w:pPr>
          </w:p>
        </w:tc>
        <w:tc>
          <w:tcPr>
            <w:tcW w:w="3507" w:type="dxa"/>
            <w:gridSpan w:val="5"/>
            <w:vAlign w:val="center"/>
          </w:tcPr>
          <w:p>
            <w:pPr>
              <w:snapToGrid w:val="0"/>
              <w:ind w:firstLine="0" w:firstLineChars="0"/>
            </w:pPr>
            <w:r>
              <w:rPr>
                <w:rFonts w:hint="eastAsia"/>
              </w:rPr>
              <w:t>表面平整度</w:t>
            </w:r>
          </w:p>
        </w:tc>
        <w:tc>
          <w:tcPr>
            <w:tcW w:w="2131" w:type="dxa"/>
            <w:vAlign w:val="center"/>
          </w:tcPr>
          <w:p>
            <w:pPr>
              <w:snapToGrid w:val="0"/>
              <w:ind w:firstLine="0" w:firstLineChars="0"/>
            </w:pPr>
            <w:r>
              <w:rPr>
                <w:rFonts w:hint="eastAsia"/>
              </w:rPr>
              <w:t>≤5</w:t>
            </w:r>
          </w:p>
        </w:tc>
        <w:tc>
          <w:tcPr>
            <w:tcW w:w="2131" w:type="dxa"/>
            <w:vAlign w:val="center"/>
          </w:tcPr>
          <w:p>
            <w:pPr>
              <w:snapToGrid w:val="0"/>
              <w:ind w:firstLine="0" w:firstLineChars="0"/>
            </w:pPr>
            <w:r>
              <w:rPr>
                <w:rFonts w:hint="eastAsia"/>
              </w:rPr>
              <w:t>2m靠尺和塞尺检查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jc w:val="center"/>
        </w:trPr>
        <w:tc>
          <w:tcPr>
            <w:tcW w:w="753" w:type="dxa"/>
            <w:vMerge w:val="restart"/>
            <w:vAlign w:val="center"/>
          </w:tcPr>
          <w:p>
            <w:pPr>
              <w:snapToGrid w:val="0"/>
              <w:ind w:firstLine="0" w:firstLineChars="0"/>
            </w:pPr>
            <w:r>
              <w:rPr>
                <w:rFonts w:hint="eastAsia"/>
              </w:rPr>
              <w:t>混凝土工程</w:t>
            </w:r>
          </w:p>
        </w:tc>
        <w:tc>
          <w:tcPr>
            <w:tcW w:w="1753" w:type="dxa"/>
            <w:gridSpan w:val="2"/>
            <w:vMerge w:val="restart"/>
            <w:vAlign w:val="center"/>
          </w:tcPr>
          <w:p>
            <w:pPr>
              <w:snapToGrid w:val="0"/>
              <w:ind w:firstLine="0" w:firstLineChars="0"/>
            </w:pPr>
            <w:r>
              <w:rPr>
                <w:rFonts w:hint="eastAsia"/>
              </w:rPr>
              <w:t>墙面垂直度</w:t>
            </w:r>
          </w:p>
        </w:tc>
        <w:tc>
          <w:tcPr>
            <w:tcW w:w="877" w:type="dxa"/>
            <w:gridSpan w:val="2"/>
            <w:vMerge w:val="restart"/>
            <w:vAlign w:val="center"/>
          </w:tcPr>
          <w:p>
            <w:pPr>
              <w:snapToGrid w:val="0"/>
              <w:ind w:firstLine="0" w:firstLineChars="0"/>
            </w:pPr>
            <w:r>
              <w:rPr>
                <w:rFonts w:hint="eastAsia"/>
              </w:rPr>
              <w:t>层高</w:t>
            </w:r>
          </w:p>
        </w:tc>
        <w:tc>
          <w:tcPr>
            <w:tcW w:w="877" w:type="dxa"/>
            <w:vAlign w:val="center"/>
          </w:tcPr>
          <w:p>
            <w:pPr>
              <w:snapToGrid w:val="0"/>
              <w:ind w:firstLine="0" w:firstLineChars="0"/>
            </w:pPr>
            <w:r>
              <w:rPr>
                <w:rFonts w:hint="eastAsia"/>
              </w:rPr>
              <w:t>≤5m</w:t>
            </w:r>
          </w:p>
        </w:tc>
        <w:tc>
          <w:tcPr>
            <w:tcW w:w="2131" w:type="dxa"/>
            <w:vAlign w:val="center"/>
          </w:tcPr>
          <w:p>
            <w:pPr>
              <w:snapToGrid w:val="0"/>
              <w:ind w:firstLine="0" w:firstLineChars="0"/>
            </w:pPr>
            <w:r>
              <w:rPr>
                <w:rFonts w:hint="eastAsia"/>
              </w:rPr>
              <w:t>≤4</w:t>
            </w:r>
          </w:p>
        </w:tc>
        <w:tc>
          <w:tcPr>
            <w:tcW w:w="2131" w:type="dxa"/>
            <w:vMerge w:val="restart"/>
            <w:vAlign w:val="center"/>
          </w:tcPr>
          <w:p>
            <w:pPr>
              <w:snapToGrid w:val="0"/>
              <w:ind w:firstLine="0" w:firstLineChars="0"/>
            </w:pPr>
            <w:r>
              <w:rPr>
                <w:rFonts w:hint="eastAsia"/>
              </w:rPr>
              <w:t>2m靠尺和塞尺检查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jc w:val="center"/>
        </w:trPr>
        <w:tc>
          <w:tcPr>
            <w:tcW w:w="753" w:type="dxa"/>
            <w:vMerge w:val="continue"/>
            <w:vAlign w:val="center"/>
          </w:tcPr>
          <w:p>
            <w:pPr>
              <w:snapToGrid w:val="0"/>
              <w:ind w:firstLine="0" w:firstLineChars="0"/>
            </w:pPr>
          </w:p>
        </w:tc>
        <w:tc>
          <w:tcPr>
            <w:tcW w:w="1753" w:type="dxa"/>
            <w:gridSpan w:val="2"/>
            <w:vMerge w:val="continue"/>
            <w:vAlign w:val="center"/>
          </w:tcPr>
          <w:p>
            <w:pPr>
              <w:snapToGrid w:val="0"/>
              <w:ind w:firstLine="0" w:firstLineChars="0"/>
            </w:pPr>
          </w:p>
        </w:tc>
        <w:tc>
          <w:tcPr>
            <w:tcW w:w="877" w:type="dxa"/>
            <w:gridSpan w:val="2"/>
            <w:vMerge w:val="continue"/>
            <w:vAlign w:val="center"/>
          </w:tcPr>
          <w:p>
            <w:pPr>
              <w:snapToGrid w:val="0"/>
              <w:ind w:firstLine="0" w:firstLineChars="0"/>
            </w:pPr>
          </w:p>
        </w:tc>
        <w:tc>
          <w:tcPr>
            <w:tcW w:w="877" w:type="dxa"/>
            <w:vAlign w:val="center"/>
          </w:tcPr>
          <w:p>
            <w:pPr>
              <w:snapToGrid w:val="0"/>
              <w:ind w:firstLine="0" w:firstLineChars="0"/>
            </w:pPr>
            <w:r>
              <w:rPr>
                <w:rFonts w:hint="eastAsia"/>
              </w:rPr>
              <w:t>＞5m</w:t>
            </w:r>
          </w:p>
        </w:tc>
        <w:tc>
          <w:tcPr>
            <w:tcW w:w="2131" w:type="dxa"/>
            <w:vAlign w:val="center"/>
          </w:tcPr>
          <w:p>
            <w:pPr>
              <w:snapToGrid w:val="0"/>
              <w:ind w:firstLine="0" w:firstLineChars="0"/>
            </w:pPr>
            <w:r>
              <w:rPr>
                <w:rFonts w:hint="eastAsia"/>
              </w:rPr>
              <w:t>≤4</w:t>
            </w:r>
          </w:p>
        </w:tc>
        <w:tc>
          <w:tcPr>
            <w:tcW w:w="2131" w:type="dxa"/>
            <w:vMerge w:val="continue"/>
            <w:vAlign w:val="center"/>
          </w:tcPr>
          <w:p>
            <w:pPr>
              <w:snapToGrid w:val="0"/>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jc w:val="center"/>
        </w:trPr>
        <w:tc>
          <w:tcPr>
            <w:tcW w:w="753" w:type="dxa"/>
            <w:vMerge w:val="continue"/>
            <w:vAlign w:val="center"/>
          </w:tcPr>
          <w:p>
            <w:pPr>
              <w:snapToGrid w:val="0"/>
              <w:ind w:firstLine="0" w:firstLineChars="0"/>
            </w:pPr>
          </w:p>
        </w:tc>
        <w:tc>
          <w:tcPr>
            <w:tcW w:w="1753" w:type="dxa"/>
            <w:gridSpan w:val="2"/>
            <w:vMerge w:val="continue"/>
            <w:vAlign w:val="center"/>
          </w:tcPr>
          <w:p>
            <w:pPr>
              <w:snapToGrid w:val="0"/>
              <w:ind w:firstLine="0" w:firstLineChars="0"/>
            </w:pPr>
          </w:p>
        </w:tc>
        <w:tc>
          <w:tcPr>
            <w:tcW w:w="1754" w:type="dxa"/>
            <w:gridSpan w:val="3"/>
            <w:vAlign w:val="center"/>
          </w:tcPr>
          <w:p>
            <w:pPr>
              <w:snapToGrid w:val="0"/>
              <w:ind w:firstLine="0" w:firstLineChars="0"/>
            </w:pPr>
            <w:r>
              <w:rPr>
                <w:rFonts w:hint="eastAsia"/>
              </w:rPr>
              <w:t>全高</w:t>
            </w:r>
          </w:p>
        </w:tc>
        <w:tc>
          <w:tcPr>
            <w:tcW w:w="2131" w:type="dxa"/>
            <w:vAlign w:val="center"/>
          </w:tcPr>
          <w:p>
            <w:pPr>
              <w:snapToGrid w:val="0"/>
              <w:ind w:firstLine="0" w:firstLineChars="0"/>
            </w:pPr>
            <w:r>
              <w:rPr>
                <w:rFonts w:hint="eastAsia"/>
              </w:rPr>
              <w:t>≤H/1000且≤30</w:t>
            </w:r>
          </w:p>
        </w:tc>
        <w:tc>
          <w:tcPr>
            <w:tcW w:w="2131" w:type="dxa"/>
            <w:vAlign w:val="center"/>
          </w:tcPr>
          <w:p>
            <w:pPr>
              <w:snapToGrid w:val="0"/>
              <w:ind w:firstLine="0" w:firstLineChars="0"/>
            </w:pPr>
            <w:r>
              <w:rPr>
                <w:rFonts w:hint="eastAsia"/>
              </w:rPr>
              <w:t>经纬仪或吊线、</w:t>
            </w:r>
          </w:p>
          <w:p>
            <w:pPr>
              <w:snapToGrid w:val="0"/>
              <w:ind w:firstLine="0" w:firstLineChars="0"/>
            </w:pPr>
            <w:r>
              <w:rPr>
                <w:rFonts w:hint="eastAsia"/>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jc w:val="center"/>
        </w:trPr>
        <w:tc>
          <w:tcPr>
            <w:tcW w:w="753" w:type="dxa"/>
            <w:vMerge w:val="continue"/>
            <w:vAlign w:val="center"/>
          </w:tcPr>
          <w:p>
            <w:pPr>
              <w:snapToGrid w:val="0"/>
              <w:ind w:firstLine="0" w:firstLineChars="0"/>
            </w:pPr>
          </w:p>
        </w:tc>
        <w:tc>
          <w:tcPr>
            <w:tcW w:w="3507" w:type="dxa"/>
            <w:gridSpan w:val="5"/>
            <w:vAlign w:val="center"/>
          </w:tcPr>
          <w:p>
            <w:pPr>
              <w:snapToGrid w:val="0"/>
              <w:ind w:firstLine="0" w:firstLineChars="0"/>
            </w:pPr>
            <w:r>
              <w:rPr>
                <w:rFonts w:hint="eastAsia"/>
              </w:rPr>
              <w:t>表面平整度</w:t>
            </w:r>
          </w:p>
        </w:tc>
        <w:tc>
          <w:tcPr>
            <w:tcW w:w="2131" w:type="dxa"/>
            <w:vAlign w:val="center"/>
          </w:tcPr>
          <w:p>
            <w:pPr>
              <w:snapToGrid w:val="0"/>
              <w:ind w:firstLine="0" w:firstLineChars="0"/>
            </w:pPr>
            <w:r>
              <w:rPr>
                <w:rFonts w:hint="eastAsia"/>
              </w:rPr>
              <w:t>≤4</w:t>
            </w:r>
          </w:p>
        </w:tc>
        <w:tc>
          <w:tcPr>
            <w:tcW w:w="2131" w:type="dxa"/>
            <w:vAlign w:val="center"/>
          </w:tcPr>
          <w:p>
            <w:pPr>
              <w:snapToGrid w:val="0"/>
              <w:ind w:firstLine="0" w:firstLineChars="0"/>
            </w:pPr>
            <w:r>
              <w:rPr>
                <w:rFonts w:hint="eastAsia"/>
              </w:rPr>
              <w:t>2m靠尺和塞尺检查</w:t>
            </w:r>
          </w:p>
        </w:tc>
      </w:tr>
    </w:tbl>
    <w:p>
      <w:pPr>
        <w:ind w:firstLine="420"/>
      </w:pPr>
      <w:r>
        <w:rPr>
          <w:rFonts w:hint="eastAsia"/>
        </w:rPr>
        <w:t>外墙保温施工时，应与外门窗和预留预埋构件的施工相互配合，制定合理的施工工序和施工工艺，应先对墙面和板面基层的残渣和脱模剂进行处理，使得基层平整、干净、干燥，确保保温层不会出现空鼓、开裂、渗水和脱离，不会影响建筑的气密性，不会产生热桥，不会破坏防水层和隔汽层等。</w:t>
      </w:r>
    </w:p>
    <w:p>
      <w:pPr>
        <w:ind w:firstLine="420"/>
      </w:pPr>
      <w:r>
        <w:rPr>
          <w:rFonts w:hint="eastAsia"/>
        </w:rPr>
        <w:t>第二款，外墙保温为单层保温时， 宜将保温板加工成直角阶梯状防水构造采用压扣方式连接；当采用双层错缝粘贴体系时， 内层保温板宜采用点框粘贴，外层保温板采用满粘法。保温层应采用避免产生</w:t>
      </w:r>
      <w:r>
        <w:t>热桥</w:t>
      </w:r>
      <w:r>
        <w:rPr>
          <w:rFonts w:hint="eastAsia"/>
        </w:rPr>
        <w:t xml:space="preserve">的固定方式，例如：断热锚栓固定、复合断热托架、构造层断热等。断热桥锚栓固定作为当前常见的保温层固定方式，当保温层应采用断热桥锚栓固定，断热桥锚栓安装应至少在保温板粘贴 24h 后进行；安装锚固件时，应先向预打孔洞中注入聚氨酯发泡剂，再立即安装锚固件。当设备或管道连接件、穿墙管线不得不穿透保温层时，应采用断热桥做法安装完毕并验收合格。应对管线穿外墙部位进行封堵，并应妥善设计封堵工艺， </w:t>
      </w:r>
      <w:r>
        <w:t>确保封堵紧密充实。穿透围护结构的管道（包括电线或电缆）的预留洞口或套管直径应满足设计要求，且大于管道直径至少100mm，以满足保温密封要求。PVC 管道、金属管道与墙体洞口周围缝隙宜采用岩棉填实，也可采用填缝 PU 发泡胶。墙体两侧管道使用适合管道直径的密封套环或包裹防水密封胶带，并用专用胶贴在墙体洞口四周，密封好管道后再进行抹灰。穿墙（楼板）管道与保温层连接处应安装止水密封带。</w:t>
      </w:r>
    </w:p>
    <w:p>
      <w:pPr>
        <w:ind w:firstLine="420"/>
      </w:pPr>
      <w:r>
        <w:rPr>
          <w:rFonts w:hint="eastAsia"/>
        </w:rPr>
        <w:t>第三款，墙体外结构性悬挑、延伸等宜采用与主体结构部分断开的方式，如女儿墙、阳台板和空调室外机安装板。围护结构上悬挑构件的预埋件与基层墙体之间的保温隔热垫块厚度应符合设计要求，且不宜小于50mm。当悬挑构件为钢筋混凝土时，连接件宜采用断桥隔热形式，不应出现结构性热桥。断热桥处理中配套的部件应有耐腐蚀处理。</w:t>
      </w:r>
    </w:p>
    <w:p>
      <w:pPr>
        <w:ind w:firstLine="420"/>
      </w:pPr>
      <w:r>
        <w:rPr>
          <w:rFonts w:hint="eastAsia"/>
        </w:rPr>
        <w:t>第四款，装配式夹心外墙板竖缝应采用同材质同厚度的保温条填充。保温条要求切割面平整，安装后控制保温层缝隙小于2mm。保温条安装时可在每层墙板顶部设置支撑木块，防止其下滑。保温条应填满竖向缝隙，且与墙面同高度。横缝可采用聚氨酯现场发泡或块状保温材料进行填充。</w:t>
      </w:r>
    </w:p>
    <w:p>
      <w:pPr>
        <w:snapToGrid w:val="0"/>
        <w:ind w:firstLine="420"/>
      </w:pPr>
    </w:p>
    <w:p>
      <w:pPr>
        <w:widowControl/>
        <w:ind w:firstLine="0" w:firstLineChars="0"/>
        <w:jc w:val="left"/>
        <w:outlineLvl w:val="2"/>
        <w:rPr>
          <w:rFonts w:cs="Times New Roman"/>
          <w:bCs/>
          <w:szCs w:val="24"/>
          <w:lang w:val="zh-CN" w:bidi="ar"/>
        </w:rPr>
      </w:pPr>
      <w:r>
        <w:rPr>
          <w:rFonts w:hint="eastAsia" w:cs="Times New Roman"/>
          <w:bCs/>
          <w:szCs w:val="24"/>
          <w:lang w:val="zh-CN" w:bidi="ar"/>
        </w:rPr>
        <w:t>7.2.4 外门窗进场时，应核查产品及部品配件合格证书、质量证明文件、节能性能标识证书、型式检验报告等文件。外门窗安装应符合下列规定：</w:t>
      </w:r>
    </w:p>
    <w:p>
      <w:pPr>
        <w:ind w:firstLine="420"/>
      </w:pPr>
      <w:r>
        <w:rPr>
          <w:rFonts w:hint="eastAsia"/>
        </w:rPr>
        <w:t>1安装前结构工程应已验收合格且门窗结构洞口应平整。</w:t>
      </w:r>
    </w:p>
    <w:p>
      <w:pPr>
        <w:ind w:firstLine="420"/>
      </w:pPr>
      <w:r>
        <w:rPr>
          <w:rFonts w:hint="eastAsia"/>
        </w:rPr>
        <w:t>2外门窗与基层墙体的连接件应进行阻断热桥的处理。</w:t>
      </w:r>
    </w:p>
    <w:p>
      <w:pPr>
        <w:ind w:firstLine="420"/>
      </w:pPr>
      <w:r>
        <w:rPr>
          <w:rFonts w:hint="eastAsia"/>
        </w:rPr>
        <w:t>3门窗洞口与窗框连接处应进行防水密封处理。</w:t>
      </w:r>
    </w:p>
    <w:p>
      <w:pPr>
        <w:ind w:firstLine="420"/>
      </w:pPr>
      <w:r>
        <w:rPr>
          <w:rFonts w:hint="eastAsia"/>
        </w:rPr>
        <w:t>4窗底应安装窗台板散水，窗台板两端及底部与保温层之间的缝隙应做密封处理；门洞窗洞上方应安装滴水线条。</w:t>
      </w:r>
    </w:p>
    <w:p>
      <w:pPr>
        <w:snapToGrid w:val="0"/>
        <w:ind w:firstLine="0" w:firstLineChars="0"/>
      </w:pPr>
      <w:r>
        <w:t>【条文说明】</w:t>
      </w:r>
    </w:p>
    <w:p>
      <w:pPr>
        <w:snapToGrid w:val="0"/>
        <w:ind w:firstLine="420"/>
      </w:pPr>
      <w:r>
        <w:rPr>
          <w:rFonts w:hint="eastAsia" w:cs="Times New Roman"/>
          <w:bCs/>
          <w:szCs w:val="24"/>
          <w:lang w:val="zh-CN" w:bidi="ar"/>
        </w:rPr>
        <w:t>7.2.4</w:t>
      </w:r>
      <w:r>
        <w:rPr>
          <w:rFonts w:hint="eastAsia"/>
        </w:rPr>
        <w:t>近零能耗建筑的外门窗目前仍是建筑热工性能的薄弱环节，通过高性能门窗可将建筑能耗整体大幅降低，因此外门窗安装前应核对产品相关证明文件及检测报告以确保符合设计要求，应重点核对</w:t>
      </w:r>
      <w:r>
        <w:t>气密性能、水密性能、抗风压性能、保温性能和太阳得热系数</w:t>
      </w:r>
      <w:r>
        <w:rPr>
          <w:rFonts w:hint="eastAsia"/>
        </w:rPr>
        <w:t>。</w:t>
      </w:r>
    </w:p>
    <w:p>
      <w:pPr>
        <w:ind w:firstLine="420"/>
      </w:pPr>
      <w:r>
        <w:rPr>
          <w:rFonts w:hint="eastAsia"/>
        </w:rPr>
        <w:t>第一款，</w:t>
      </w:r>
      <w:r>
        <w:t>门窗洞口允许偏差应符合表</w:t>
      </w:r>
      <w:r>
        <w:rPr>
          <w:rFonts w:hint="eastAsia"/>
        </w:rPr>
        <w:t>2。</w:t>
      </w:r>
    </w:p>
    <w:p>
      <w:pPr>
        <w:pStyle w:val="221"/>
        <w:numPr>
          <w:ilvl w:val="0"/>
          <w:numId w:val="0"/>
        </w:numPr>
        <w:ind w:firstLine="420" w:firstLineChars="200"/>
        <w:jc w:val="center"/>
        <w:rPr>
          <w:sz w:val="21"/>
          <w:szCs w:val="21"/>
        </w:rPr>
      </w:pPr>
      <w:r>
        <w:rPr>
          <w:sz w:val="21"/>
          <w:szCs w:val="21"/>
        </w:rPr>
        <w:t>表</w:t>
      </w:r>
      <w:r>
        <w:rPr>
          <w:rFonts w:hint="eastAsia"/>
          <w:sz w:val="21"/>
          <w:szCs w:val="21"/>
        </w:rPr>
        <w:t xml:space="preserve">2 </w:t>
      </w:r>
      <w:r>
        <w:rPr>
          <w:sz w:val="21"/>
          <w:szCs w:val="21"/>
        </w:rPr>
        <w:t>建筑门窗洞口尺寸允许偏差</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7"/>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7" w:type="dxa"/>
            <w:vAlign w:val="center"/>
          </w:tcPr>
          <w:p>
            <w:pPr>
              <w:snapToGrid w:val="0"/>
              <w:spacing w:line="276" w:lineRule="auto"/>
              <w:ind w:firstLine="0" w:firstLineChars="0"/>
              <w:jc w:val="center"/>
              <w:rPr>
                <w:szCs w:val="21"/>
              </w:rPr>
            </w:pPr>
            <w:r>
              <w:rPr>
                <w:szCs w:val="21"/>
              </w:rPr>
              <w:t>项目</w:t>
            </w:r>
          </w:p>
        </w:tc>
        <w:tc>
          <w:tcPr>
            <w:tcW w:w="1843" w:type="dxa"/>
            <w:vAlign w:val="center"/>
          </w:tcPr>
          <w:p>
            <w:pPr>
              <w:snapToGrid w:val="0"/>
              <w:spacing w:line="276" w:lineRule="auto"/>
              <w:ind w:firstLine="0" w:firstLineChars="0"/>
              <w:jc w:val="center"/>
              <w:rPr>
                <w:szCs w:val="21"/>
              </w:rPr>
            </w:pPr>
            <w:r>
              <w:rPr>
                <w:szCs w:val="21"/>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7" w:type="dxa"/>
            <w:vAlign w:val="center"/>
          </w:tcPr>
          <w:p>
            <w:pPr>
              <w:snapToGrid w:val="0"/>
              <w:spacing w:line="276" w:lineRule="auto"/>
              <w:ind w:firstLine="0" w:firstLineChars="0"/>
              <w:jc w:val="center"/>
              <w:rPr>
                <w:szCs w:val="21"/>
              </w:rPr>
            </w:pPr>
            <w:r>
              <w:rPr>
                <w:szCs w:val="21"/>
              </w:rPr>
              <w:t>洞口宽度、高度尺寸</w:t>
            </w:r>
          </w:p>
        </w:tc>
        <w:tc>
          <w:tcPr>
            <w:tcW w:w="1843" w:type="dxa"/>
            <w:vAlign w:val="center"/>
          </w:tcPr>
          <w:p>
            <w:pPr>
              <w:snapToGrid w:val="0"/>
              <w:spacing w:line="276" w:lineRule="auto"/>
              <w:ind w:firstLine="0" w:firstLineChars="0"/>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7" w:type="dxa"/>
            <w:vAlign w:val="center"/>
          </w:tcPr>
          <w:p>
            <w:pPr>
              <w:snapToGrid w:val="0"/>
              <w:spacing w:line="276" w:lineRule="auto"/>
              <w:ind w:firstLine="0" w:firstLineChars="0"/>
              <w:jc w:val="center"/>
              <w:rPr>
                <w:szCs w:val="21"/>
              </w:rPr>
            </w:pPr>
            <w:r>
              <w:rPr>
                <w:szCs w:val="21"/>
              </w:rPr>
              <w:t>洞口对角线尺寸</w:t>
            </w:r>
          </w:p>
        </w:tc>
        <w:tc>
          <w:tcPr>
            <w:tcW w:w="1843" w:type="dxa"/>
            <w:vAlign w:val="center"/>
          </w:tcPr>
          <w:p>
            <w:pPr>
              <w:snapToGrid w:val="0"/>
              <w:spacing w:line="276" w:lineRule="auto"/>
              <w:ind w:firstLine="0" w:firstLineChars="0"/>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7" w:type="dxa"/>
            <w:vAlign w:val="center"/>
          </w:tcPr>
          <w:p>
            <w:pPr>
              <w:snapToGrid w:val="0"/>
              <w:spacing w:line="276" w:lineRule="auto"/>
              <w:ind w:firstLine="0" w:firstLineChars="0"/>
              <w:jc w:val="center"/>
              <w:rPr>
                <w:szCs w:val="21"/>
              </w:rPr>
            </w:pPr>
            <w:r>
              <w:rPr>
                <w:szCs w:val="21"/>
              </w:rPr>
              <w:t>洞口的表面平整度、垂直度、洞口的平面位置、标高尺寸</w:t>
            </w:r>
          </w:p>
        </w:tc>
        <w:tc>
          <w:tcPr>
            <w:tcW w:w="1843" w:type="dxa"/>
            <w:vAlign w:val="center"/>
          </w:tcPr>
          <w:p>
            <w:pPr>
              <w:snapToGrid w:val="0"/>
              <w:spacing w:line="276" w:lineRule="auto"/>
              <w:ind w:firstLine="0" w:firstLineChars="0"/>
              <w:jc w:val="center"/>
              <w:rPr>
                <w:szCs w:val="21"/>
              </w:rPr>
            </w:pPr>
            <w:r>
              <w:rPr>
                <w:szCs w:val="21"/>
              </w:rPr>
              <w:t>≤10</w:t>
            </w:r>
          </w:p>
        </w:tc>
      </w:tr>
    </w:tbl>
    <w:p>
      <w:pPr>
        <w:snapToGrid w:val="0"/>
        <w:ind w:firstLine="420"/>
        <w:rPr>
          <w:szCs w:val="21"/>
        </w:rPr>
      </w:pPr>
      <w:r>
        <w:rPr>
          <w:rFonts w:hint="eastAsia"/>
          <w:szCs w:val="21"/>
        </w:rPr>
        <w:t>第二款，</w:t>
      </w:r>
      <w:r>
        <w:rPr>
          <w:szCs w:val="21"/>
        </w:rPr>
        <w:t>外门窗口保温要点：</w:t>
      </w:r>
    </w:p>
    <w:p>
      <w:pPr>
        <w:snapToGrid w:val="0"/>
        <w:ind w:firstLine="420"/>
        <w:rPr>
          <w:szCs w:val="21"/>
        </w:rPr>
      </w:pPr>
      <w:r>
        <w:rPr>
          <w:szCs w:val="21"/>
        </w:rPr>
        <w:t>（1）保温板应覆盖部分窗框，覆盖宽度不小于20mm，如果开启扇外侧安装纱窗，留出纱窗的安装位置。</w:t>
      </w:r>
    </w:p>
    <w:p>
      <w:pPr>
        <w:snapToGrid w:val="0"/>
        <w:ind w:firstLine="420"/>
        <w:rPr>
          <w:szCs w:val="21"/>
        </w:rPr>
      </w:pPr>
      <w:r>
        <w:rPr>
          <w:szCs w:val="21"/>
        </w:rPr>
        <w:t>（2）应在门窗洞口四角保温板上沿45°方向加铺400mm×200mm增强玻纤网。增强玻纤网应置于大面玻纤网的内侧。</w:t>
      </w:r>
    </w:p>
    <w:p>
      <w:pPr>
        <w:snapToGrid w:val="0"/>
        <w:ind w:firstLine="420"/>
        <w:rPr>
          <w:szCs w:val="21"/>
        </w:rPr>
      </w:pPr>
      <w:r>
        <w:rPr>
          <w:szCs w:val="21"/>
        </w:rPr>
        <w:t>（3）保温板与窗框之间的缝隙应用专用收边条密封或填塞膨胀止水带后再用密封材料密封。</w:t>
      </w:r>
    </w:p>
    <w:p>
      <w:pPr>
        <w:snapToGrid w:val="0"/>
        <w:ind w:firstLine="420"/>
        <w:rPr>
          <w:szCs w:val="21"/>
        </w:rPr>
      </w:pPr>
      <w:r>
        <w:rPr>
          <w:szCs w:val="21"/>
        </w:rPr>
        <w:t>（4）当设计有窗台板时，外保温与窗台板两端及底部之间的缝隙应先用膨胀止水带填塞，再进行密封处理。</w:t>
      </w:r>
    </w:p>
    <w:p>
      <w:pPr>
        <w:snapToGrid w:val="0"/>
        <w:ind w:firstLine="420"/>
        <w:rPr>
          <w:szCs w:val="21"/>
        </w:rPr>
      </w:pPr>
      <w:r>
        <w:rPr>
          <w:szCs w:val="21"/>
        </w:rPr>
        <w:t>（5）窗洞口阳角部位宜采用角网增强。</w:t>
      </w:r>
    </w:p>
    <w:p>
      <w:pPr>
        <w:snapToGrid w:val="0"/>
        <w:ind w:firstLine="420"/>
        <w:rPr>
          <w:szCs w:val="21"/>
        </w:rPr>
      </w:pPr>
      <w:r>
        <w:rPr>
          <w:rFonts w:hint="eastAsia"/>
          <w:szCs w:val="21"/>
        </w:rPr>
        <w:t>第三款，室内侧粘贴气密性材料，避免水蒸气进入保温材料；室外侧采用防水透汽材料处理，以利于保温材料内水汽排出。粘贴的气密性材料、防水透汽材料在门窗框型材四角应预留出15mm～20mm的富余量，以便更好地与基层墙体粘结，实现气密层连续。</w:t>
      </w:r>
    </w:p>
    <w:p>
      <w:pPr>
        <w:snapToGrid w:val="0"/>
        <w:ind w:firstLine="0" w:firstLineChars="0"/>
      </w:pPr>
    </w:p>
    <w:p>
      <w:pPr>
        <w:widowControl/>
        <w:ind w:firstLine="0" w:firstLineChars="0"/>
        <w:jc w:val="left"/>
        <w:outlineLvl w:val="2"/>
        <w:rPr>
          <w:rFonts w:cs="Times New Roman"/>
          <w:bCs/>
          <w:szCs w:val="24"/>
          <w:lang w:val="zh-CN" w:bidi="ar"/>
        </w:rPr>
      </w:pPr>
      <w:r>
        <w:rPr>
          <w:rFonts w:hint="eastAsia" w:cs="Times New Roman"/>
          <w:bCs/>
          <w:szCs w:val="24"/>
          <w:lang w:val="zh-CN" w:bidi="ar"/>
        </w:rPr>
        <w:t>7.2.5</w:t>
      </w:r>
      <w:r>
        <w:rPr>
          <w:rFonts w:cs="Times New Roman"/>
          <w:bCs/>
          <w:szCs w:val="24"/>
          <w:lang w:val="zh-CN" w:bidi="ar"/>
        </w:rPr>
        <w:t> </w:t>
      </w:r>
      <w:r>
        <w:rPr>
          <w:rFonts w:hint="eastAsia" w:cs="Times New Roman"/>
          <w:bCs/>
          <w:szCs w:val="24"/>
          <w:lang w:val="zh-CN" w:bidi="ar"/>
        </w:rPr>
        <w:t>设置</w:t>
      </w:r>
      <w:r>
        <w:rPr>
          <w:rFonts w:cs="Times New Roman"/>
          <w:bCs/>
          <w:szCs w:val="24"/>
          <w:lang w:val="zh-CN" w:bidi="ar"/>
        </w:rPr>
        <w:t>外遮阳时，应在外窗安装完成后且外保温尚未施工时确定外遮阳的固定位置，并安装连接件。连接件与基层墙体之间应进行阻断热桥的处理。</w:t>
      </w:r>
    </w:p>
    <w:p>
      <w:pPr>
        <w:snapToGrid w:val="0"/>
        <w:ind w:firstLine="0" w:firstLineChars="0"/>
      </w:pPr>
      <w:r>
        <w:t>【条文说明】</w:t>
      </w:r>
    </w:p>
    <w:p>
      <w:pPr>
        <w:ind w:firstLine="420"/>
      </w:pPr>
      <w:r>
        <w:rPr>
          <w:rFonts w:hint="eastAsia" w:cs="Times New Roman"/>
          <w:bCs/>
          <w:szCs w:val="24"/>
          <w:lang w:val="zh-CN" w:bidi="ar"/>
        </w:rPr>
        <w:t>7.2.5</w:t>
      </w:r>
      <w:r>
        <w:t>外遮阳的安装和连接件的热桥处理是确保节能效果和施工质量的关键技术环节</w:t>
      </w:r>
      <w:r>
        <w:rPr>
          <w:rFonts w:hint="eastAsia"/>
        </w:rPr>
        <w:t>。外窗安装完成后，窗框的位置和尺寸已固定，此时确定外遮阳的固定位置可确保遮阳装置与窗户的精准匹配，避免因窗框偏移导致遮阳装置无法有效覆盖透光区域。外遮阳连接件（如预埋角码、锚栓）需穿透基层墙体固定，若在外保温施工后进行安装，连接件会穿透保温层，破坏其完整性，形成热桥并增加能耗。而在保温层施工前安装连接件，可提前预留孔洞并进行断热桥处理，再覆盖保温层，确保保温层连续。外遮阳与墙体的连接应预埋断热桥锚固件，并通过隔热垫块阻断热传导。</w:t>
      </w:r>
    </w:p>
    <w:p>
      <w:pPr>
        <w:widowControl/>
        <w:ind w:firstLine="0" w:firstLineChars="0"/>
        <w:jc w:val="left"/>
        <w:outlineLvl w:val="2"/>
        <w:rPr>
          <w:rFonts w:cs="Times New Roman"/>
          <w:bCs/>
          <w:szCs w:val="24"/>
          <w:lang w:val="zh-CN" w:bidi="ar"/>
        </w:rPr>
      </w:pPr>
      <w:r>
        <w:rPr>
          <w:rFonts w:hint="eastAsia" w:cs="Times New Roman"/>
          <w:bCs/>
          <w:szCs w:val="24"/>
          <w:lang w:val="zh-CN" w:bidi="ar"/>
        </w:rPr>
        <w:t>7.2.6围护结构气密性处理应符合下列要求：</w:t>
      </w:r>
    </w:p>
    <w:p>
      <w:pPr>
        <w:ind w:firstLine="420"/>
      </w:pPr>
      <w:r>
        <w:rPr>
          <w:rFonts w:hint="eastAsia"/>
        </w:rPr>
        <w:t>1气密性施工时应根据标注的气密层设计图纸进行全流程质量控制，确保系统耐久性和气密性达到设计要求，</w:t>
      </w:r>
    </w:p>
    <w:p>
      <w:pPr>
        <w:ind w:firstLine="420"/>
      </w:pPr>
      <w:r>
        <w:rPr>
          <w:rFonts w:hint="eastAsia"/>
        </w:rPr>
        <w:t>2气密性材料的材质应根据粘贴位置基层的材质和是否需要抹灰覆盖防水隔气材料进行选择；</w:t>
      </w:r>
    </w:p>
    <w:p>
      <w:pPr>
        <w:ind w:firstLine="420"/>
      </w:pPr>
      <w:r>
        <w:rPr>
          <w:rFonts w:hint="eastAsia"/>
        </w:rPr>
        <w:t>3建筑结构缝隙应进行封堵；</w:t>
      </w:r>
    </w:p>
    <w:p>
      <w:pPr>
        <w:ind w:firstLine="420"/>
      </w:pPr>
      <w:r>
        <w:rPr>
          <w:rFonts w:hint="eastAsia"/>
        </w:rPr>
        <w:t>4围护结构不同材料交界处、穿墙和出屋面管线、套管等空气渗漏部位应进行气密性处理；</w:t>
      </w:r>
    </w:p>
    <w:p>
      <w:pPr>
        <w:ind w:firstLine="420"/>
      </w:pPr>
      <w:r>
        <w:rPr>
          <w:rFonts w:hint="eastAsia"/>
        </w:rPr>
        <w:t>5气密性施工应在节点热桥处理之后，气密性施工不应产生热桥。</w:t>
      </w:r>
    </w:p>
    <w:p>
      <w:pPr>
        <w:snapToGrid w:val="0"/>
        <w:ind w:firstLine="0" w:firstLineChars="0"/>
      </w:pPr>
      <w:r>
        <w:t>【条文说明】</w:t>
      </w:r>
    </w:p>
    <w:p>
      <w:pPr>
        <w:ind w:firstLine="420"/>
      </w:pPr>
      <w:r>
        <w:rPr>
          <w:rFonts w:hint="eastAsia" w:cs="Times New Roman"/>
          <w:bCs/>
          <w:szCs w:val="24"/>
          <w:lang w:val="zh-CN" w:bidi="ar"/>
        </w:rPr>
        <w:t>7.2.6</w:t>
      </w:r>
      <w:r>
        <w:t>气密性保障应贯穿整个施工过程，在施工工法、施工程序、材料选择等各环节均应考虑，尤其应注意外门窗安装、围护结构洞口部位、砌体与结构间缝隙及屋面檐角等关键部位的气密性处理。施工过程中应尽量避免在外墙面和屋面上开口；如确需开口，应尽量减小开口面积，并应协商设计制定气密性保障方案，保证气密性。</w:t>
      </w:r>
    </w:p>
    <w:p>
      <w:pPr>
        <w:ind w:firstLine="420"/>
      </w:pPr>
      <w:r>
        <w:rPr>
          <w:rFonts w:hint="eastAsia"/>
        </w:rPr>
        <w:t>第一款，在近零能耗建筑中，气密性施工是实现建筑节能目标的核心环节，需严格依据设计图纸标注的气密层位置及构造要求进行全流程质量控制，确保系统耐久性与气密性指标符合设计要求。施工前应核对设计图纸中气密层的连续性和完整性，明确气密层界限，施工辅助耗材优先选用符合抗老化、高弹性性能的材料（如硅酮密封胶、丁基胶带等）气密性材料进场需提供第三方检测报告。施工过程中应进行阶段性检测，进行气密性抽查，采用压差法测试或示踪气体法验证局部密封效果。</w:t>
      </w:r>
    </w:p>
    <w:p>
      <w:pPr>
        <w:ind w:firstLine="420"/>
      </w:pPr>
      <w:r>
        <w:rPr>
          <w:rFonts w:hint="eastAsia"/>
        </w:rPr>
        <w:t>第二款，</w:t>
      </w:r>
      <w:r>
        <w:t xml:space="preserve"> 当基层为混凝土、砂浆等材料且需抹灰覆盖气密性材料时，宜采用无纺布基底的气密性材料。粘贴气密性材料前应清理基面，粘结基面应平整干燥，不得有灰尘、油污。发泡聚氨酯、普通胶带等材料不得作为气密性材料使用。</w:t>
      </w:r>
    </w:p>
    <w:p>
      <w:pPr>
        <w:ind w:firstLine="420"/>
      </w:pPr>
      <w:r>
        <w:rPr>
          <w:rFonts w:hint="eastAsia"/>
        </w:rPr>
        <w:t>第三款，</w:t>
      </w:r>
      <w:r>
        <w:t>当建筑为框架结构时，一次结构与二次结构的交界处应粘贴气密性材料，且室内抹灰厚度不应小于20mm；当建筑为现浇混凝土结构时，外墙上的模板支护螺栓孔应用水泥砂浆封堵，并在室内粘贴气密性材料进行密封；当建筑采用预制构件时，预留的吊装孔应用水泥砂浆封堵，并在室内粘贴气密性材料进行密封。预制构件的拼缝处应粘贴气密性材料。</w:t>
      </w:r>
    </w:p>
    <w:p>
      <w:pPr>
        <w:ind w:firstLine="420"/>
      </w:pPr>
      <w:r>
        <w:rPr>
          <w:rFonts w:hint="eastAsia"/>
        </w:rPr>
        <w:t>第四款，</w:t>
      </w:r>
      <w:r>
        <w:t>混凝土梁、柱、剪力墙与填充墙的交界处应粘贴气密性材料，并用工具自起始端滑动压至末端，气密性材料应与基层粘贴紧密，不留空隙。所用工具不得有尖角破坏气密性材料。粘贴于水泥墙面上的最小宽度为50mm，密封膜自身的最小搭接长度为50mm。气密性材料粘贴完成后，应进行室内抹灰，抹灰层应覆盖气密性材料和填充墙，抹灰厚度应不小于20mm，并应有相关的抗裂措施，满足室内装修相关标准的规定。</w:t>
      </w:r>
    </w:p>
    <w:p>
      <w:pPr>
        <w:ind w:firstLine="420"/>
      </w:pPr>
      <w:r>
        <w:t>1）外门窗安装部位气密性处理要点：</w:t>
      </w:r>
    </w:p>
    <w:p>
      <w:pPr>
        <w:ind w:firstLine="420"/>
      </w:pPr>
      <w:r>
        <w:t xml:space="preserve"> </w:t>
      </w:r>
      <w:r>
        <w:rPr>
          <w:rFonts w:ascii="Cambria Math" w:hAnsi="Cambria Math" w:cs="Cambria Math"/>
        </w:rPr>
        <w:t>①</w:t>
      </w:r>
      <w:r>
        <w:t xml:space="preserve"> 窗框与结构墙面结合部位是保证气密性的关键部位，在粘贴隔汽膜和防水透汽膜时要确保粘贴牢固严密。支架部位要同时粘贴。</w:t>
      </w:r>
    </w:p>
    <w:p>
      <w:pPr>
        <w:ind w:firstLine="420"/>
      </w:pPr>
      <w:r>
        <w:rPr>
          <w:rFonts w:ascii="Cambria Math" w:hAnsi="Cambria Math" w:cs="Cambria Math"/>
        </w:rPr>
        <w:t>②</w:t>
      </w:r>
      <w:r>
        <w:t xml:space="preserve"> 在安装玻璃压条时，要确保压条接口缝隙严密，如出现缝隙应用密封胶封堵。外窗型材对接部位的缝隙应用密封胶封堵。</w:t>
      </w:r>
    </w:p>
    <w:p>
      <w:pPr>
        <w:ind w:firstLine="420"/>
      </w:pPr>
      <w:r>
        <w:rPr>
          <w:rFonts w:ascii="Cambria Math" w:hAnsi="Cambria Math" w:cs="Cambria Math"/>
        </w:rPr>
        <w:t>③</w:t>
      </w:r>
      <w:r>
        <w:t xml:space="preserve"> 门窗扇安装完成后，应检查窗框缝隙，并调整开启扇五金配件，保证门窗密封条能够气密闭合。</w:t>
      </w:r>
    </w:p>
    <w:p>
      <w:pPr>
        <w:ind w:firstLine="420"/>
      </w:pPr>
      <w:r>
        <w:t>2）围护结构开口部位气密性处理要点：</w:t>
      </w:r>
    </w:p>
    <w:p>
      <w:pPr>
        <w:ind w:firstLine="420"/>
      </w:pPr>
      <w:r>
        <w:rPr>
          <w:rFonts w:ascii="Cambria Math" w:hAnsi="Cambria Math" w:cs="Cambria Math"/>
        </w:rPr>
        <w:t>①</w:t>
      </w:r>
      <w:r>
        <w:t xml:space="preserve"> 纵向管路贯穿部位应预留最小施工间距，便于进行气密性施工处理。</w:t>
      </w:r>
    </w:p>
    <w:p>
      <w:pPr>
        <w:ind w:firstLine="420"/>
      </w:pPr>
      <w:r>
        <w:rPr>
          <w:rFonts w:ascii="Cambria Math" w:hAnsi="Cambria Math" w:cs="Cambria Math"/>
        </w:rPr>
        <w:t>②</w:t>
      </w:r>
      <w:r>
        <w:t xml:space="preserve"> 当管道穿外围护结构时，预留套管与管道间的缝隙应进行可靠封堵。当采用发泡剂填充时，应将两端封堵后进行发泡，以保障发泡紧实度，发泡完全干透后，应做平整处理，并用抗裂网和抗裂砂浆封堵严密。当管道穿地下外墙时，还应在外墙内外做防水处理，防水施工过程应保持干燥且环境温度不应低于5℃。</w:t>
      </w:r>
    </w:p>
    <w:p>
      <w:pPr>
        <w:ind w:firstLine="420"/>
      </w:pPr>
      <w:r>
        <w:rPr>
          <w:rFonts w:ascii="Cambria Math" w:hAnsi="Cambria Math" w:cs="Cambria Math"/>
        </w:rPr>
        <w:t>③</w:t>
      </w:r>
      <w:r>
        <w:t xml:space="preserve"> 管道、电线等贯穿处可使用专用密封带可靠密封。密封带应灵活有弹性，当有轻微变形时仍能保证气密性。</w:t>
      </w:r>
    </w:p>
    <w:p>
      <w:pPr>
        <w:ind w:firstLine="420"/>
      </w:pPr>
      <w:r>
        <w:rPr>
          <w:rFonts w:ascii="Cambria Math" w:hAnsi="Cambria Math" w:cs="Cambria Math"/>
        </w:rPr>
        <w:t>④</w:t>
      </w:r>
      <w:r>
        <w:t xml:space="preserve"> 电气接线盒安装时，应先在孔洞内涂抹石膏或粘结砂浆，再将接线盒推入孔洞，保障接线盒与墙体嵌接处的气密性。</w:t>
      </w:r>
    </w:p>
    <w:p>
      <w:pPr>
        <w:ind w:firstLine="420"/>
      </w:pPr>
      <w:r>
        <w:rPr>
          <w:rFonts w:ascii="Cambria Math" w:hAnsi="Cambria Math" w:cs="Cambria Math"/>
        </w:rPr>
        <w:t>⑤</w:t>
      </w:r>
      <w:r>
        <w:t xml:space="preserve"> 室内电线管路可能形成空气流通通道，敷线完毕后应对端头部位进行封堵，保障气密性。</w:t>
      </w:r>
    </w:p>
    <w:p>
      <w:pPr>
        <w:ind w:firstLine="420"/>
      </w:pPr>
      <w:r>
        <w:rPr>
          <w:rFonts w:hint="eastAsia"/>
        </w:rPr>
        <w:t>第五款，</w:t>
      </w:r>
      <w:r>
        <w:t>气密层施工处理应在热桥处理后，内部装修前实施。由于近零能耗建筑对气密性要求较高，且气密层破坏之后修复难度大，气密层施工应在热桥处理后进行，避免气密层因热桥处理相关工序破坏。气密层施工在内部装修前施工的目的是方便在施工面未隐蔽时，进行气密性检测或检查，以便在发现缺陷的位置进行整改。装配式建筑外墙板存在大量的板缝，板缝既是保温薄弱环节又是气密性薄弱环节。装配式建筑外墙板通常采用夹心保温板或者预制板＋外保温形式。对于夹心保温板，其保温层在内叶板和外叶板之间，内叶板通常作为气密层。在外墙板施工时应预先完成无热桥处理以保证保温层的连续，然后进行气密性施工。对于预制板＋外保温形式，应对预制板缝进行完善的气密性处理。</w:t>
      </w:r>
    </w:p>
    <w:p>
      <w:pPr>
        <w:widowControl/>
        <w:ind w:firstLine="0" w:firstLineChars="0"/>
        <w:jc w:val="left"/>
        <w:outlineLvl w:val="2"/>
        <w:rPr>
          <w:rFonts w:cs="Times New Roman"/>
          <w:bCs/>
          <w:szCs w:val="24"/>
          <w:lang w:val="zh-CN" w:bidi="ar"/>
        </w:rPr>
      </w:pPr>
      <w:r>
        <w:rPr>
          <w:rFonts w:hint="eastAsia" w:cs="Times New Roman"/>
          <w:bCs/>
          <w:szCs w:val="24"/>
          <w:lang w:val="zh-CN" w:bidi="ar"/>
        </w:rPr>
        <w:t>7.2.7装配式结构气密性处理应符合下列规定：</w:t>
      </w:r>
    </w:p>
    <w:p>
      <w:pPr>
        <w:ind w:firstLine="420"/>
      </w:pPr>
      <w:r>
        <w:rPr>
          <w:rFonts w:hint="eastAsia"/>
        </w:rPr>
        <w:t>1装配式剪力墙结构外墙板内叶板竖缝宜采用现浇混凝土密封方式，横缝应采用高强度灌浆料密封。</w:t>
      </w:r>
    </w:p>
    <w:p>
      <w:pPr>
        <w:ind w:firstLine="420"/>
      </w:pPr>
      <w:r>
        <w:rPr>
          <w:rFonts w:hint="eastAsia"/>
        </w:rPr>
        <w:t>2装配式框架结构外墙板内叶板竖缝和横缝均宜采用柔性保温材料封堵，并应在室内侧进行气密性处理。</w:t>
      </w:r>
    </w:p>
    <w:p>
      <w:pPr>
        <w:ind w:firstLine="420"/>
      </w:pPr>
      <w:r>
        <w:rPr>
          <w:rFonts w:hint="eastAsia"/>
        </w:rPr>
        <w:t>3外叶板竖缝和横缝处夹心保温层表面宜先设置防水透汽材料，再从板缝口填充直径略大于缝宽的通长聚乙烯棒。板缝口宜灌注耐候硅酮密封胶进行封堵。</w:t>
      </w:r>
    </w:p>
    <w:p>
      <w:pPr>
        <w:ind w:firstLine="420"/>
      </w:pPr>
      <w:r>
        <w:rPr>
          <w:rFonts w:hint="eastAsia"/>
        </w:rPr>
        <w:t>4装配式夹心外墙板与结构柱、梁之间的竖缝和横缝应在室内侧设置防水隔汽层，再进行抹灰等处理。</w:t>
      </w:r>
    </w:p>
    <w:p>
      <w:pPr>
        <w:snapToGrid w:val="0"/>
        <w:ind w:firstLine="0" w:firstLineChars="0"/>
      </w:pPr>
      <w:r>
        <w:t>【条文说明】</w:t>
      </w:r>
    </w:p>
    <w:p>
      <w:pPr>
        <w:ind w:firstLine="420"/>
      </w:pPr>
      <w:r>
        <w:rPr>
          <w:rFonts w:hint="eastAsia" w:cs="Times New Roman"/>
          <w:bCs/>
          <w:szCs w:val="24"/>
          <w:lang w:val="zh-CN" w:bidi="ar"/>
        </w:rPr>
        <w:t>7.2.7</w:t>
      </w:r>
      <w:r>
        <w:rPr>
          <w:rFonts w:hint="eastAsia"/>
        </w:rPr>
        <w:t>近零能耗建筑装配式夹心保温外墙板竖缝和横缝气密性处理，应根据建筑结构形式的差异采用适宜的气密性措施。</w:t>
      </w:r>
      <w:r>
        <w:rPr>
          <w:rFonts w:hint="eastAsia"/>
        </w:rPr>
        <w:br w:type="textWrapping"/>
      </w:r>
      <w:r>
        <w:rPr>
          <w:rFonts w:hint="eastAsia"/>
        </w:rPr>
        <w:t xml:space="preserve">  1装配式剪力墙结构外墙板内叶板板缝建议采用现浇混凝土方式，此方法不仅可以保证建筑结构整体的抗震性能，还使其具有良好的气密性。混凝土浇筑前应采用防水胶带或防水卷材对夹心保温层拼缝粘贴牢固，以防止浆料进入保温层缝隙中。横缝采用高强度灌浆料密封前，内叶板板缝两端设置水泥砂浆围挡或弹性密封材料，以防止灌浆料漏浆。</w:t>
      </w:r>
      <w:r>
        <w:rPr>
          <w:rFonts w:hint="eastAsia"/>
        </w:rPr>
        <w:br w:type="textWrapping"/>
      </w:r>
      <w:r>
        <w:rPr>
          <w:rFonts w:hint="eastAsia"/>
        </w:rPr>
        <w:t xml:space="preserve">  2装配式框架结构外墙板内叶板板缝填充保温材料仍较难达到近零能耗建筑高气密性要求的，还应在室内设置气密性材料，填充材料应符合《装配式混凝土建筑技术标准》GB/T 51231-2016的相关规定。</w:t>
      </w:r>
      <w:r>
        <w:rPr>
          <w:rFonts w:hint="eastAsia"/>
        </w:rPr>
        <w:br w:type="textWrapping"/>
      </w:r>
      <w:r>
        <w:rPr>
          <w:rFonts w:hint="eastAsia"/>
        </w:rPr>
        <w:t xml:space="preserve">  3外叶板竖缝和横缝处夹心保温表面设置防水透汽层，可防止雨水进入夹心保温层，影响其热工性能。防水透汽层宜采用涂刷防水透汽材料方式，此方式便于施工且具有较好的防水性能。聚乙烯棒填充时入缝深度不应大于2.5cm。耐候硅酮密封胶应符合《硅酮建筑密封胶》GB/T 14683-2016相关规定。耐候硅酮密封胶施工前，应在竖缝左右侧粘贴2cm～3cm宽的壁纸，且施工完成后48h内，禁止触摸耐候硅酮密封胶。</w:t>
      </w:r>
      <w:r>
        <w:rPr>
          <w:rFonts w:hint="eastAsia"/>
        </w:rPr>
        <w:br w:type="textWrapping"/>
      </w:r>
      <w:r>
        <w:rPr>
          <w:rFonts w:hint="eastAsia"/>
        </w:rPr>
        <w:t xml:space="preserve">  4气密性材料粘贴的方法对粘贴部位平整度要求高，对于外墙板与结构柱、梁等之间不平整缝隙处可采用涂刷防水隔汽层方法，该方法施工方便、耐久性好。</w:t>
      </w:r>
    </w:p>
    <w:p>
      <w:pPr>
        <w:snapToGrid w:val="0"/>
        <w:ind w:firstLine="0" w:firstLineChars="0"/>
      </w:pPr>
    </w:p>
    <w:p>
      <w:pPr>
        <w:widowControl/>
        <w:ind w:firstLine="0" w:firstLineChars="0"/>
        <w:jc w:val="left"/>
        <w:outlineLvl w:val="2"/>
        <w:rPr>
          <w:rFonts w:cs="Times New Roman"/>
          <w:bCs/>
          <w:szCs w:val="24"/>
          <w:lang w:val="zh-CN" w:bidi="ar"/>
        </w:rPr>
      </w:pPr>
      <w:r>
        <w:rPr>
          <w:rFonts w:hint="eastAsia" w:cs="Times New Roman"/>
          <w:bCs/>
          <w:szCs w:val="24"/>
          <w:lang w:val="zh-CN" w:bidi="ar"/>
        </w:rPr>
        <w:t>7.2.</w:t>
      </w:r>
      <w:r>
        <w:rPr>
          <w:rFonts w:hint="eastAsia" w:cs="Times New Roman"/>
          <w:bCs/>
          <w:szCs w:val="24"/>
          <w:lang w:bidi="ar"/>
        </w:rPr>
        <w:t>8</w:t>
      </w:r>
      <w:r>
        <w:rPr>
          <w:rFonts w:hint="eastAsia" w:cs="Times New Roman"/>
          <w:bCs/>
          <w:szCs w:val="24"/>
          <w:lang w:val="zh-CN" w:bidi="ar"/>
        </w:rPr>
        <w:t>机电系统施工应符合下列规定：</w:t>
      </w:r>
    </w:p>
    <w:p>
      <w:pPr>
        <w:ind w:firstLine="420"/>
      </w:pPr>
      <w:r>
        <w:rPr>
          <w:rFonts w:hint="eastAsia"/>
        </w:rPr>
        <w:t>1机电系统安装应避免产生热桥和破坏气密层；</w:t>
      </w:r>
    </w:p>
    <w:p>
      <w:pPr>
        <w:ind w:firstLine="420"/>
      </w:pPr>
      <w:r>
        <w:rPr>
          <w:rFonts w:hint="eastAsia"/>
        </w:rPr>
        <w:t>2施工期间应加强空调及新风系统防尘保护、消声隔振、管道保温等方面的处理和控制，所有敞开部位均应做防尘保护，包括风道、新风机组和过滤器；</w:t>
      </w:r>
    </w:p>
    <w:p>
      <w:pPr>
        <w:ind w:firstLine="420"/>
      </w:pPr>
      <w:r>
        <w:rPr>
          <w:rFonts w:hint="eastAsia"/>
        </w:rPr>
        <w:t>3机组安装及管道施工过程中应做消声隔振处理,室内管道固定支架与管道接触处应设置隔音垫，管道接头等易漏部位应加强密封。</w:t>
      </w:r>
    </w:p>
    <w:p>
      <w:pPr>
        <w:ind w:firstLine="420"/>
      </w:pPr>
      <w:r>
        <w:rPr>
          <w:rFonts w:hint="eastAsia"/>
        </w:rPr>
        <w:t>4 建筑机电系统抗震设施应与建筑机电系统管线设备同步安装,并应保证安装位置正确,平整牢固,无变形。固定在建筑结构上的建筑机电工程抗震设施不得影响结构安全。</w:t>
      </w:r>
    </w:p>
    <w:p>
      <w:pPr>
        <w:snapToGrid w:val="0"/>
        <w:ind w:firstLine="0" w:firstLineChars="0"/>
      </w:pPr>
      <w:r>
        <w:t>【条文说明】</w:t>
      </w:r>
    </w:p>
    <w:p>
      <w:pPr>
        <w:ind w:firstLine="420"/>
      </w:pPr>
      <w:r>
        <w:rPr>
          <w:rFonts w:hint="eastAsia" w:cs="Times New Roman"/>
          <w:bCs/>
          <w:szCs w:val="24"/>
          <w:lang w:val="zh-CN" w:bidi="ar"/>
        </w:rPr>
        <w:t>7.2.</w:t>
      </w:r>
      <w:r>
        <w:rPr>
          <w:rFonts w:hint="eastAsia" w:cs="Times New Roman"/>
          <w:bCs/>
          <w:szCs w:val="24"/>
          <w:lang w:bidi="ar"/>
        </w:rPr>
        <w:t>8</w:t>
      </w:r>
      <w:r>
        <w:rPr>
          <w:rFonts w:hint="eastAsia"/>
        </w:rPr>
        <w:t>机电系统施工除应符合国家现行施工质量验收规范外，还应重点控制以下环节：</w:t>
      </w:r>
    </w:p>
    <w:p>
      <w:pPr>
        <w:ind w:firstLine="420"/>
      </w:pPr>
      <w:r>
        <w:rPr>
          <w:rFonts w:hint="eastAsia"/>
        </w:rPr>
        <w:t>1穿出气密区域的管道和电线等均应预留并做好断桥和气密性处理，避免因机电系统施工产生新热桥和影响围护结构的气密性。水系统管道、管件等均应做良好保温，尤其应做好三通、紧固件和阀门等部位的保温，避免产生热桥。</w:t>
      </w:r>
      <w:r>
        <w:rPr>
          <w:rFonts w:hint="eastAsia"/>
        </w:rPr>
        <w:br w:type="textWrapping"/>
      </w:r>
      <w:r>
        <w:rPr>
          <w:rFonts w:hint="eastAsia"/>
        </w:rPr>
        <w:t xml:space="preserve">    2施工期间风系统所有敞开部位均应做防尘保护，包括风道、新风机组和过滤器。施工时需严格把控以下环节：</w:t>
      </w:r>
    </w:p>
    <w:p>
      <w:pPr>
        <w:ind w:firstLine="420"/>
      </w:pPr>
      <w:r>
        <w:rPr>
          <w:rFonts w:hint="eastAsia"/>
        </w:rPr>
        <w:t>1）防尘保护：</w:t>
      </w:r>
    </w:p>
    <w:p>
      <w:pPr>
        <w:ind w:firstLine="420"/>
      </w:pPr>
      <w:r>
        <w:rPr>
          <w:rFonts w:hint="eastAsia"/>
        </w:rPr>
        <w:t>所有敞开部位（如风道接口、新风机组的进出风口、过滤器安装口等）应采用防尘罩、密封胶带或临时封板进行封闭，避免灰尘、杂物进入系统内部；过滤器应在系统调试前安装，安装前需清洁风道内壁，防止积尘影响过滤效率及设备寿命。</w:t>
      </w:r>
    </w:p>
    <w:p>
      <w:pPr>
        <w:ind w:firstLine="420"/>
      </w:pPr>
      <w:r>
        <w:rPr>
          <w:rFonts w:hint="eastAsia"/>
        </w:rPr>
        <w:t>2）消声隔振：</w:t>
      </w:r>
    </w:p>
    <w:p>
      <w:pPr>
        <w:ind w:firstLine="420"/>
      </w:pPr>
      <w:r>
        <w:rPr>
          <w:rFonts w:hint="eastAsia"/>
        </w:rPr>
        <w:t>风机、水泵等动力设备应采用弹性减震支座或隔振基座，风管与设备连接处设置防火软接或消声软管，避免振动传递至建筑结构，降低噪声污染；风管弯头、变径处应加装消声导流片，减少气流噪声。</w:t>
      </w:r>
      <w:r>
        <w:rPr>
          <w:rFonts w:hint="eastAsia"/>
        </w:rPr>
        <w:br w:type="textWrapping"/>
      </w:r>
      <w:r>
        <w:rPr>
          <w:rFonts w:hint="eastAsia"/>
        </w:rPr>
        <w:t xml:space="preserve">    3  新风机安装应固定平稳，并有防松动措施，吊装时应有减振措施。风管与新风机应采用软管连接。室内管道固定支架与管道接触处应设置隔声垫，防止噪声产生及扩散，也可避免产生热桥。管道接头、阀门等连接部位易因施工误差或材料老化导致漏气或渗漏，造成能量损失（如冷热量流失）及室内空气质量下降。可采用柔性密封材料（如三元乙丙橡胶垫片、硅酮密封胶等）进行多层密封处理。</w:t>
      </w:r>
    </w:p>
    <w:p>
      <w:pPr>
        <w:ind w:firstLine="420"/>
      </w:pPr>
      <w:r>
        <w:rPr>
          <w:rFonts w:hint="eastAsia"/>
        </w:rPr>
        <w:t>室内排水管道及其透气管均应进行隔声处理，可采用外包保温材料的方式进行隔声。</w:t>
      </w:r>
    </w:p>
    <w:p>
      <w:pPr>
        <w:ind w:firstLine="420"/>
        <w:rPr>
          <w:lang w:val="zh-CN" w:bidi="ar"/>
        </w:rPr>
      </w:pPr>
    </w:p>
    <w:p>
      <w:pPr>
        <w:widowControl/>
        <w:ind w:firstLine="0" w:firstLineChars="0"/>
        <w:jc w:val="left"/>
        <w:outlineLvl w:val="2"/>
        <w:rPr>
          <w:rFonts w:cs="Times New Roman"/>
          <w:bCs/>
          <w:szCs w:val="24"/>
          <w:lang w:val="zh-CN" w:bidi="ar"/>
        </w:rPr>
      </w:pPr>
      <w:r>
        <w:rPr>
          <w:rFonts w:hint="eastAsia" w:cs="Times New Roman"/>
          <w:bCs/>
          <w:szCs w:val="24"/>
          <w:lang w:val="zh-CN" w:bidi="ar"/>
        </w:rPr>
        <w:t>7.2.</w:t>
      </w:r>
      <w:r>
        <w:rPr>
          <w:rFonts w:hint="eastAsia" w:cs="Times New Roman"/>
          <w:bCs/>
          <w:szCs w:val="24"/>
          <w:lang w:bidi="ar"/>
        </w:rPr>
        <w:t>9</w:t>
      </w:r>
      <w:r>
        <w:rPr>
          <w:rFonts w:hint="eastAsia" w:cs="Times New Roman"/>
          <w:bCs/>
          <w:szCs w:val="24"/>
          <w:lang w:val="zh-CN" w:bidi="ar"/>
        </w:rPr>
        <w:t xml:space="preserve"> 主要材料及设备进场时，应进行质量检查和验收，其检测报告结果应满足相关规范及设计要求。主要材料及设备宜包括下列内容：</w:t>
      </w:r>
    </w:p>
    <w:p>
      <w:pPr>
        <w:ind w:firstLine="420"/>
      </w:pPr>
      <w:r>
        <w:rPr>
          <w:rFonts w:hint="eastAsia"/>
        </w:rPr>
        <w:t>1保温材料；</w:t>
      </w:r>
    </w:p>
    <w:p>
      <w:pPr>
        <w:ind w:firstLine="420"/>
      </w:pPr>
      <w:r>
        <w:rPr>
          <w:rFonts w:hint="eastAsia"/>
        </w:rPr>
        <w:t>2外门窗、建筑幕墙（含采光顶）及外遮阳设施；</w:t>
      </w:r>
    </w:p>
    <w:p>
      <w:pPr>
        <w:ind w:firstLine="420"/>
      </w:pPr>
      <w:r>
        <w:rPr>
          <w:rFonts w:hint="eastAsia"/>
        </w:rPr>
        <w:t>3防水透汽材料、气密性材料；</w:t>
      </w:r>
    </w:p>
    <w:p>
      <w:pPr>
        <w:ind w:firstLine="420"/>
      </w:pPr>
      <w:r>
        <w:rPr>
          <w:rFonts w:hint="eastAsia"/>
        </w:rPr>
        <w:t>4供暖与空调系统设备；</w:t>
      </w:r>
    </w:p>
    <w:p>
      <w:pPr>
        <w:ind w:firstLine="420"/>
      </w:pPr>
      <w:r>
        <w:rPr>
          <w:rFonts w:hint="eastAsia"/>
        </w:rPr>
        <w:t>5照明设备；</w:t>
      </w:r>
    </w:p>
    <w:p>
      <w:pPr>
        <w:ind w:firstLine="420"/>
      </w:pPr>
      <w:r>
        <w:rPr>
          <w:rFonts w:hint="eastAsia"/>
        </w:rPr>
        <w:t>6太阳能热利用或太阳能光伏发电系统设备等。</w:t>
      </w:r>
    </w:p>
    <w:p>
      <w:pPr>
        <w:snapToGrid w:val="0"/>
        <w:ind w:firstLine="0" w:firstLineChars="0"/>
      </w:pPr>
      <w:r>
        <w:t>【条文说明】</w:t>
      </w:r>
    </w:p>
    <w:p>
      <w:pPr>
        <w:ind w:firstLine="420"/>
      </w:pPr>
      <w:r>
        <w:rPr>
          <w:rFonts w:hint="eastAsia" w:cs="Times New Roman"/>
          <w:bCs/>
          <w:szCs w:val="24"/>
          <w:lang w:val="zh-CN" w:bidi="ar"/>
        </w:rPr>
        <w:t>7.2.</w:t>
      </w:r>
      <w:r>
        <w:rPr>
          <w:rFonts w:hint="eastAsia" w:cs="Times New Roman"/>
          <w:bCs/>
          <w:szCs w:val="24"/>
          <w:lang w:bidi="ar"/>
        </w:rPr>
        <w:t xml:space="preserve">9  </w:t>
      </w:r>
      <w:r>
        <w:rPr>
          <w:rFonts w:hint="eastAsia"/>
        </w:rPr>
        <w:t>1</w:t>
      </w:r>
      <w:r>
        <w:t>.</w:t>
      </w:r>
      <w:r>
        <w:rPr>
          <w:rFonts w:hint="eastAsia"/>
        </w:rPr>
        <w:t>外墙保温材料进场检查项目见表3。</w:t>
      </w:r>
    </w:p>
    <w:p>
      <w:pPr>
        <w:snapToGrid w:val="0"/>
        <w:ind w:firstLine="420"/>
        <w:jc w:val="center"/>
        <w:rPr>
          <w:szCs w:val="21"/>
        </w:rPr>
      </w:pPr>
      <w:r>
        <w:rPr>
          <w:rFonts w:hint="eastAsia"/>
          <w:szCs w:val="21"/>
        </w:rPr>
        <w:t>表3外墙保温材料进场检查项目</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2063"/>
        <w:gridCol w:w="5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4" w:type="dxa"/>
          </w:tcPr>
          <w:p>
            <w:pPr>
              <w:snapToGrid w:val="0"/>
              <w:ind w:firstLine="0" w:firstLineChars="0"/>
              <w:rPr>
                <w:szCs w:val="21"/>
              </w:rPr>
            </w:pPr>
            <w:r>
              <w:rPr>
                <w:rFonts w:hint="eastAsia"/>
                <w:szCs w:val="21"/>
              </w:rPr>
              <w:t>序号</w:t>
            </w:r>
          </w:p>
        </w:tc>
        <w:tc>
          <w:tcPr>
            <w:tcW w:w="2063" w:type="dxa"/>
          </w:tcPr>
          <w:p>
            <w:pPr>
              <w:snapToGrid w:val="0"/>
              <w:ind w:firstLine="0" w:firstLineChars="0"/>
              <w:jc w:val="center"/>
              <w:rPr>
                <w:szCs w:val="21"/>
              </w:rPr>
            </w:pPr>
            <w:r>
              <w:rPr>
                <w:rFonts w:hint="eastAsia"/>
                <w:szCs w:val="21"/>
              </w:rPr>
              <w:t>材料名称</w:t>
            </w:r>
          </w:p>
        </w:tc>
        <w:tc>
          <w:tcPr>
            <w:tcW w:w="5813" w:type="dxa"/>
          </w:tcPr>
          <w:p>
            <w:pPr>
              <w:snapToGrid w:val="0"/>
              <w:ind w:firstLine="0" w:firstLineChars="0"/>
              <w:jc w:val="center"/>
              <w:rPr>
                <w:szCs w:val="21"/>
              </w:rPr>
            </w:pPr>
            <w:r>
              <w:rPr>
                <w:rFonts w:hint="eastAsia"/>
                <w:szCs w:val="21"/>
              </w:rPr>
              <w:t>检查项目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3" w:hRule="atLeast"/>
        </w:trPr>
        <w:tc>
          <w:tcPr>
            <w:tcW w:w="644" w:type="dxa"/>
            <w:vMerge w:val="restart"/>
          </w:tcPr>
          <w:p>
            <w:pPr>
              <w:snapToGrid w:val="0"/>
              <w:ind w:firstLine="0" w:firstLineChars="0"/>
              <w:rPr>
                <w:szCs w:val="21"/>
              </w:rPr>
            </w:pPr>
            <w:r>
              <w:rPr>
                <w:rFonts w:hint="eastAsia"/>
                <w:szCs w:val="21"/>
              </w:rPr>
              <w:t>1</w:t>
            </w:r>
          </w:p>
        </w:tc>
        <w:tc>
          <w:tcPr>
            <w:tcW w:w="2063" w:type="dxa"/>
          </w:tcPr>
          <w:p>
            <w:pPr>
              <w:snapToGrid w:val="0"/>
              <w:ind w:firstLine="0" w:firstLineChars="0"/>
              <w:rPr>
                <w:szCs w:val="21"/>
              </w:rPr>
            </w:pPr>
            <w:r>
              <w:rPr>
                <w:rFonts w:hint="eastAsia"/>
                <w:szCs w:val="21"/>
              </w:rPr>
              <w:t>模塑聚苯板、挤塑聚苯板、硬泡聚氨酯板</w:t>
            </w:r>
          </w:p>
        </w:tc>
        <w:tc>
          <w:tcPr>
            <w:tcW w:w="5813" w:type="dxa"/>
          </w:tcPr>
          <w:p>
            <w:pPr>
              <w:snapToGrid w:val="0"/>
              <w:ind w:firstLine="0" w:firstLineChars="0"/>
              <w:rPr>
                <w:szCs w:val="21"/>
              </w:rPr>
            </w:pPr>
            <w:r>
              <w:rPr>
                <w:rFonts w:hint="eastAsia"/>
                <w:szCs w:val="21"/>
              </w:rPr>
              <w:t>厚度、导热系数、表观密度、垂直于板面的抗拉强度(仅限墙体)、燃烧性能、压缩强度(仅限地面、屋面)、吸水率</w:t>
            </w:r>
          </w:p>
          <w:p>
            <w:pPr>
              <w:snapToGrid w:val="0"/>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3" w:hRule="atLeast"/>
        </w:trPr>
        <w:tc>
          <w:tcPr>
            <w:tcW w:w="644" w:type="dxa"/>
            <w:vMerge w:val="continue"/>
          </w:tcPr>
          <w:p>
            <w:pPr>
              <w:snapToGrid w:val="0"/>
              <w:ind w:firstLine="0" w:firstLineChars="0"/>
            </w:pPr>
          </w:p>
        </w:tc>
        <w:tc>
          <w:tcPr>
            <w:tcW w:w="2063" w:type="dxa"/>
          </w:tcPr>
          <w:p>
            <w:pPr>
              <w:snapToGrid w:val="0"/>
              <w:ind w:firstLine="0" w:firstLineChars="0"/>
              <w:rPr>
                <w:szCs w:val="21"/>
              </w:rPr>
            </w:pPr>
            <w:r>
              <w:rPr>
                <w:rFonts w:hint="eastAsia"/>
                <w:szCs w:val="21"/>
              </w:rPr>
              <w:t>岩棉带</w:t>
            </w:r>
          </w:p>
        </w:tc>
        <w:tc>
          <w:tcPr>
            <w:tcW w:w="5813" w:type="dxa"/>
          </w:tcPr>
          <w:p>
            <w:pPr>
              <w:snapToGrid w:val="0"/>
              <w:ind w:firstLine="0" w:firstLineChars="0"/>
              <w:rPr>
                <w:rFonts w:cs="Times New Roman"/>
                <w:szCs w:val="21"/>
              </w:rPr>
            </w:pPr>
            <w:r>
              <w:rPr>
                <w:rFonts w:hint="eastAsia" w:cs="Times New Roman"/>
                <w:szCs w:val="21"/>
              </w:rPr>
              <w:t>厚度、导热系数、表观密度、垂直于表面的抗拉强度、酸度系数、吸水率</w:t>
            </w:r>
          </w:p>
          <w:p>
            <w:pPr>
              <w:snapToGrid w:val="0"/>
              <w:ind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3" w:hRule="atLeast"/>
        </w:trPr>
        <w:tc>
          <w:tcPr>
            <w:tcW w:w="644" w:type="dxa"/>
            <w:vMerge w:val="continue"/>
          </w:tcPr>
          <w:p>
            <w:pPr>
              <w:snapToGrid w:val="0"/>
              <w:ind w:firstLine="0" w:firstLineChars="0"/>
              <w:rPr>
                <w:szCs w:val="21"/>
              </w:rPr>
            </w:pPr>
          </w:p>
        </w:tc>
        <w:tc>
          <w:tcPr>
            <w:tcW w:w="2063" w:type="dxa"/>
          </w:tcPr>
          <w:p>
            <w:pPr>
              <w:snapToGrid w:val="0"/>
              <w:ind w:firstLine="0" w:firstLineChars="0"/>
              <w:rPr>
                <w:szCs w:val="21"/>
              </w:rPr>
            </w:pPr>
            <w:r>
              <w:rPr>
                <w:rFonts w:hint="eastAsia"/>
                <w:szCs w:val="21"/>
              </w:rPr>
              <w:t>真空绝热板</w:t>
            </w:r>
          </w:p>
        </w:tc>
        <w:tc>
          <w:tcPr>
            <w:tcW w:w="5813" w:type="dxa"/>
          </w:tcPr>
          <w:p>
            <w:pPr>
              <w:snapToGrid w:val="0"/>
              <w:ind w:firstLine="0" w:firstLineChars="0"/>
              <w:rPr>
                <w:rFonts w:cs="Times New Roman"/>
                <w:szCs w:val="21"/>
              </w:rPr>
            </w:pPr>
            <w:r>
              <w:rPr>
                <w:rFonts w:hint="eastAsia" w:cs="Times New Roman"/>
                <w:szCs w:val="21"/>
              </w:rPr>
              <w:t>单位面积质量、导热系数、垂直于板面抗拉强度、吸水率</w:t>
            </w:r>
          </w:p>
          <w:p>
            <w:pPr>
              <w:snapToGrid w:val="0"/>
              <w:ind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4" w:type="dxa"/>
          </w:tcPr>
          <w:p>
            <w:pPr>
              <w:snapToGrid w:val="0"/>
              <w:ind w:firstLine="0" w:firstLineChars="0"/>
              <w:rPr>
                <w:szCs w:val="21"/>
              </w:rPr>
            </w:pPr>
            <w:r>
              <w:rPr>
                <w:rFonts w:hint="eastAsia"/>
                <w:szCs w:val="21"/>
              </w:rPr>
              <w:t>2</w:t>
            </w:r>
          </w:p>
        </w:tc>
        <w:tc>
          <w:tcPr>
            <w:tcW w:w="2063" w:type="dxa"/>
          </w:tcPr>
          <w:p>
            <w:pPr>
              <w:snapToGrid w:val="0"/>
              <w:ind w:firstLine="0" w:firstLineChars="0"/>
              <w:rPr>
                <w:szCs w:val="21"/>
              </w:rPr>
            </w:pPr>
            <w:r>
              <w:rPr>
                <w:rFonts w:hint="eastAsia"/>
                <w:szCs w:val="21"/>
              </w:rPr>
              <w:t>复合保温板等墙体节能定型产品</w:t>
            </w:r>
          </w:p>
        </w:tc>
        <w:tc>
          <w:tcPr>
            <w:tcW w:w="5813" w:type="dxa"/>
          </w:tcPr>
          <w:p>
            <w:pPr>
              <w:snapToGrid w:val="0"/>
              <w:ind w:firstLine="0" w:firstLineChars="0"/>
              <w:rPr>
                <w:rFonts w:cs="Times New Roman"/>
                <w:szCs w:val="21"/>
              </w:rPr>
            </w:pPr>
            <w:r>
              <w:rPr>
                <w:rFonts w:hint="eastAsia" w:cs="Times New Roman"/>
                <w:szCs w:val="21"/>
              </w:rPr>
              <w:t>传热系数或热阻、单位面积质量、拉伸粘结强度、燃烧性能(不燃材料除外)、吸水率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4" w:type="dxa"/>
          </w:tcPr>
          <w:p>
            <w:pPr>
              <w:snapToGrid w:val="0"/>
              <w:ind w:firstLine="0" w:firstLineChars="0"/>
              <w:rPr>
                <w:szCs w:val="21"/>
              </w:rPr>
            </w:pPr>
            <w:r>
              <w:rPr>
                <w:rFonts w:hint="eastAsia"/>
                <w:szCs w:val="21"/>
              </w:rPr>
              <w:t>3</w:t>
            </w:r>
          </w:p>
        </w:tc>
        <w:tc>
          <w:tcPr>
            <w:tcW w:w="2063" w:type="dxa"/>
          </w:tcPr>
          <w:p>
            <w:pPr>
              <w:snapToGrid w:val="0"/>
              <w:ind w:firstLine="0" w:firstLineChars="0"/>
              <w:rPr>
                <w:szCs w:val="21"/>
              </w:rPr>
            </w:pPr>
            <w:r>
              <w:rPr>
                <w:rFonts w:hint="eastAsia"/>
                <w:szCs w:val="21"/>
              </w:rPr>
              <w:t>保温砌块等墙体节能定型产品</w:t>
            </w:r>
          </w:p>
          <w:p>
            <w:pPr>
              <w:snapToGrid w:val="0"/>
              <w:ind w:firstLine="0" w:firstLineChars="0"/>
              <w:rPr>
                <w:szCs w:val="21"/>
              </w:rPr>
            </w:pPr>
          </w:p>
        </w:tc>
        <w:tc>
          <w:tcPr>
            <w:tcW w:w="5813" w:type="dxa"/>
          </w:tcPr>
          <w:p>
            <w:pPr>
              <w:snapToGrid w:val="0"/>
              <w:ind w:firstLine="0" w:firstLineChars="0"/>
              <w:rPr>
                <w:rFonts w:cs="Times New Roman"/>
                <w:szCs w:val="21"/>
              </w:rPr>
            </w:pPr>
            <w:r>
              <w:rPr>
                <w:rFonts w:hint="eastAsia" w:cs="Times New Roman"/>
                <w:szCs w:val="21"/>
              </w:rPr>
              <w:t>传热系数或热阻、抗压强度、吸水率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4" w:type="dxa"/>
          </w:tcPr>
          <w:p>
            <w:pPr>
              <w:snapToGrid w:val="0"/>
              <w:ind w:firstLine="0" w:firstLineChars="0"/>
              <w:rPr>
                <w:szCs w:val="21"/>
              </w:rPr>
            </w:pPr>
            <w:r>
              <w:rPr>
                <w:rFonts w:hint="eastAsia"/>
                <w:szCs w:val="21"/>
              </w:rPr>
              <w:t>4</w:t>
            </w:r>
          </w:p>
        </w:tc>
        <w:tc>
          <w:tcPr>
            <w:tcW w:w="2063" w:type="dxa"/>
          </w:tcPr>
          <w:p>
            <w:pPr>
              <w:snapToGrid w:val="0"/>
              <w:ind w:firstLine="0" w:firstLineChars="0"/>
              <w:rPr>
                <w:szCs w:val="21"/>
              </w:rPr>
            </w:pPr>
            <w:r>
              <w:rPr>
                <w:rFonts w:hint="eastAsia"/>
                <w:szCs w:val="21"/>
              </w:rPr>
              <w:t>反射隔热材料</w:t>
            </w:r>
          </w:p>
        </w:tc>
        <w:tc>
          <w:tcPr>
            <w:tcW w:w="5813" w:type="dxa"/>
          </w:tcPr>
          <w:p>
            <w:pPr>
              <w:snapToGrid w:val="0"/>
              <w:ind w:firstLine="0" w:firstLineChars="0"/>
              <w:rPr>
                <w:szCs w:val="21"/>
              </w:rPr>
            </w:pPr>
            <w:r>
              <w:rPr>
                <w:rFonts w:hint="eastAsia"/>
                <w:szCs w:val="21"/>
              </w:rPr>
              <w:t>太阳光反射比、半球发射率</w:t>
            </w:r>
          </w:p>
        </w:tc>
      </w:tr>
    </w:tbl>
    <w:p>
      <w:pPr>
        <w:snapToGrid w:val="0"/>
        <w:ind w:firstLine="420"/>
        <w:rPr>
          <w:szCs w:val="21"/>
        </w:rPr>
      </w:pPr>
    </w:p>
    <w:p>
      <w:pPr>
        <w:ind w:firstLine="420"/>
      </w:pPr>
      <w:r>
        <w:rPr>
          <w:rFonts w:hint="eastAsia"/>
        </w:rPr>
        <w:t>2</w:t>
      </w:r>
      <w:r>
        <w:t>.</w:t>
      </w:r>
      <w:r>
        <w:rPr>
          <w:rFonts w:hint="eastAsia"/>
        </w:rPr>
        <w:t>外门窗、建筑幕墙(含采光顶)及外遮阳设施进场检查见表4。</w:t>
      </w:r>
    </w:p>
    <w:p>
      <w:pPr>
        <w:snapToGrid w:val="0"/>
        <w:ind w:firstLine="0" w:firstLineChars="0"/>
        <w:jc w:val="center"/>
        <w:rPr>
          <w:szCs w:val="21"/>
        </w:rPr>
      </w:pPr>
      <w:r>
        <w:rPr>
          <w:rFonts w:hint="eastAsia"/>
          <w:szCs w:val="21"/>
        </w:rPr>
        <w:t>表4 外门窗、建筑幕墙(含采光顶)及外遮阳设施进场检查项目</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2450"/>
        <w:gridCol w:w="5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7" w:type="dxa"/>
          </w:tcPr>
          <w:p>
            <w:pPr>
              <w:snapToGrid w:val="0"/>
              <w:ind w:firstLine="0" w:firstLineChars="0"/>
              <w:rPr>
                <w:szCs w:val="21"/>
              </w:rPr>
            </w:pPr>
            <w:r>
              <w:rPr>
                <w:rFonts w:hint="eastAsia"/>
                <w:szCs w:val="21"/>
              </w:rPr>
              <w:t>序号</w:t>
            </w:r>
          </w:p>
        </w:tc>
        <w:tc>
          <w:tcPr>
            <w:tcW w:w="2450" w:type="dxa"/>
          </w:tcPr>
          <w:p>
            <w:pPr>
              <w:snapToGrid w:val="0"/>
              <w:ind w:firstLine="0" w:firstLineChars="0"/>
              <w:jc w:val="center"/>
              <w:rPr>
                <w:szCs w:val="21"/>
              </w:rPr>
            </w:pPr>
            <w:r>
              <w:rPr>
                <w:rFonts w:hint="eastAsia"/>
                <w:szCs w:val="21"/>
              </w:rPr>
              <w:t>材料名称</w:t>
            </w:r>
          </w:p>
        </w:tc>
        <w:tc>
          <w:tcPr>
            <w:tcW w:w="5463" w:type="dxa"/>
          </w:tcPr>
          <w:p>
            <w:pPr>
              <w:snapToGrid w:val="0"/>
              <w:ind w:firstLine="0" w:firstLineChars="0"/>
              <w:jc w:val="center"/>
              <w:rPr>
                <w:szCs w:val="21"/>
              </w:rPr>
            </w:pPr>
            <w:r>
              <w:rPr>
                <w:rFonts w:hint="eastAsia"/>
                <w:szCs w:val="21"/>
              </w:rPr>
              <w:t>检查项目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7" w:type="dxa"/>
          </w:tcPr>
          <w:p>
            <w:pPr>
              <w:snapToGrid w:val="0"/>
              <w:ind w:firstLine="0" w:firstLineChars="0"/>
              <w:rPr>
                <w:szCs w:val="21"/>
              </w:rPr>
            </w:pPr>
            <w:r>
              <w:rPr>
                <w:rFonts w:hint="eastAsia"/>
                <w:szCs w:val="21"/>
              </w:rPr>
              <w:t>1</w:t>
            </w:r>
          </w:p>
        </w:tc>
        <w:tc>
          <w:tcPr>
            <w:tcW w:w="2450" w:type="dxa"/>
          </w:tcPr>
          <w:p>
            <w:pPr>
              <w:snapToGrid w:val="0"/>
              <w:ind w:firstLine="0" w:firstLineChars="0"/>
              <w:rPr>
                <w:rFonts w:cs="Times New Roman"/>
                <w:szCs w:val="21"/>
              </w:rPr>
            </w:pPr>
            <w:r>
              <w:rPr>
                <w:rFonts w:hint="eastAsia" w:cs="Times New Roman"/>
                <w:szCs w:val="21"/>
              </w:rPr>
              <w:t xml:space="preserve">外门窗 </w:t>
            </w:r>
          </w:p>
        </w:tc>
        <w:tc>
          <w:tcPr>
            <w:tcW w:w="5463" w:type="dxa"/>
          </w:tcPr>
          <w:p>
            <w:pPr>
              <w:snapToGrid w:val="0"/>
              <w:ind w:firstLine="0" w:firstLineChars="0"/>
              <w:rPr>
                <w:rFonts w:cs="Times New Roman"/>
                <w:szCs w:val="21"/>
              </w:rPr>
            </w:pPr>
            <w:r>
              <w:rPr>
                <w:rFonts w:hint="eastAsia" w:cs="Times New Roman"/>
                <w:szCs w:val="21"/>
              </w:rPr>
              <w:t>抗风压性、空气声隔声性、水密性、气密性、传热系数、中空玻璃的密封性能及露点、玻璃的太阳得热系数、可见光透射比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7" w:type="dxa"/>
          </w:tcPr>
          <w:p>
            <w:pPr>
              <w:snapToGrid w:val="0"/>
              <w:ind w:firstLine="0" w:firstLineChars="0"/>
              <w:rPr>
                <w:szCs w:val="21"/>
              </w:rPr>
            </w:pPr>
            <w:r>
              <w:rPr>
                <w:rFonts w:hint="eastAsia"/>
                <w:szCs w:val="21"/>
              </w:rPr>
              <w:t>2</w:t>
            </w:r>
          </w:p>
        </w:tc>
        <w:tc>
          <w:tcPr>
            <w:tcW w:w="2450" w:type="dxa"/>
          </w:tcPr>
          <w:p>
            <w:pPr>
              <w:snapToGrid w:val="0"/>
              <w:ind w:firstLine="0" w:firstLineChars="0"/>
              <w:rPr>
                <w:rFonts w:cs="Times New Roman"/>
                <w:szCs w:val="21"/>
              </w:rPr>
            </w:pPr>
            <w:r>
              <w:rPr>
                <w:rFonts w:hint="eastAsia" w:cs="Times New Roman"/>
                <w:szCs w:val="21"/>
              </w:rPr>
              <w:t>建筑幕墙(含采光顶)</w:t>
            </w:r>
          </w:p>
          <w:p>
            <w:pPr>
              <w:snapToGrid w:val="0"/>
              <w:ind w:firstLine="0" w:firstLineChars="0"/>
              <w:rPr>
                <w:rFonts w:cs="Times New Roman"/>
                <w:szCs w:val="21"/>
              </w:rPr>
            </w:pPr>
          </w:p>
        </w:tc>
        <w:tc>
          <w:tcPr>
            <w:tcW w:w="5463" w:type="dxa"/>
          </w:tcPr>
          <w:p>
            <w:pPr>
              <w:snapToGrid w:val="0"/>
              <w:ind w:firstLine="0" w:firstLineChars="0"/>
              <w:rPr>
                <w:rFonts w:cs="Times New Roman"/>
                <w:szCs w:val="21"/>
              </w:rPr>
            </w:pPr>
            <w:r>
              <w:rPr>
                <w:rFonts w:hint="eastAsia" w:cs="Times New Roman"/>
                <w:szCs w:val="21"/>
              </w:rPr>
              <w:t>抗风压、空气声隔声性、水密性、气密性、幕墙玻璃的可见光透射比、传热系数、太阳得热系数，中空玻璃的露点；隔热型材的抗拉强度、抗剪强度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7" w:type="dxa"/>
          </w:tcPr>
          <w:p>
            <w:pPr>
              <w:snapToGrid w:val="0"/>
              <w:ind w:firstLine="0" w:firstLineChars="0"/>
              <w:rPr>
                <w:szCs w:val="21"/>
              </w:rPr>
            </w:pPr>
            <w:r>
              <w:rPr>
                <w:rFonts w:hint="eastAsia"/>
                <w:szCs w:val="21"/>
              </w:rPr>
              <w:t>3</w:t>
            </w:r>
          </w:p>
        </w:tc>
        <w:tc>
          <w:tcPr>
            <w:tcW w:w="2450" w:type="dxa"/>
          </w:tcPr>
          <w:p>
            <w:pPr>
              <w:snapToGrid w:val="0"/>
              <w:ind w:firstLine="0" w:firstLineChars="0"/>
              <w:rPr>
                <w:rFonts w:cs="Times New Roman"/>
                <w:szCs w:val="21"/>
              </w:rPr>
            </w:pPr>
            <w:r>
              <w:rPr>
                <w:rFonts w:hint="eastAsia" w:cs="Times New Roman"/>
                <w:szCs w:val="21"/>
              </w:rPr>
              <w:t xml:space="preserve">透光、部分透光遮阳材料 </w:t>
            </w:r>
          </w:p>
          <w:p>
            <w:pPr>
              <w:snapToGrid w:val="0"/>
              <w:ind w:firstLine="0" w:firstLineChars="0"/>
              <w:rPr>
                <w:rFonts w:cs="Times New Roman"/>
                <w:szCs w:val="21"/>
              </w:rPr>
            </w:pPr>
          </w:p>
        </w:tc>
        <w:tc>
          <w:tcPr>
            <w:tcW w:w="5463" w:type="dxa"/>
          </w:tcPr>
          <w:p>
            <w:pPr>
              <w:snapToGrid w:val="0"/>
              <w:ind w:firstLine="0" w:firstLineChars="0"/>
              <w:rPr>
                <w:rFonts w:cs="Times New Roman"/>
                <w:szCs w:val="21"/>
              </w:rPr>
            </w:pPr>
            <w:r>
              <w:rPr>
                <w:rFonts w:hint="eastAsia" w:cs="Times New Roman"/>
                <w:szCs w:val="21"/>
              </w:rPr>
              <w:t>太阳光透射比、太阳光反射比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7" w:type="dxa"/>
          </w:tcPr>
          <w:p>
            <w:pPr>
              <w:snapToGrid w:val="0"/>
              <w:ind w:firstLine="0" w:firstLineChars="0"/>
              <w:rPr>
                <w:szCs w:val="21"/>
              </w:rPr>
            </w:pPr>
            <w:r>
              <w:rPr>
                <w:rFonts w:hint="eastAsia"/>
                <w:szCs w:val="21"/>
              </w:rPr>
              <w:t>4</w:t>
            </w:r>
          </w:p>
        </w:tc>
        <w:tc>
          <w:tcPr>
            <w:tcW w:w="2450" w:type="dxa"/>
          </w:tcPr>
          <w:p>
            <w:pPr>
              <w:snapToGrid w:val="0"/>
              <w:ind w:firstLine="0" w:firstLineChars="0"/>
              <w:rPr>
                <w:szCs w:val="21"/>
              </w:rPr>
            </w:pPr>
            <w:r>
              <w:rPr>
                <w:rFonts w:hint="eastAsia"/>
                <w:szCs w:val="21"/>
              </w:rPr>
              <w:t xml:space="preserve">外遮阳设施 </w:t>
            </w:r>
          </w:p>
        </w:tc>
        <w:tc>
          <w:tcPr>
            <w:tcW w:w="5463" w:type="dxa"/>
          </w:tcPr>
          <w:p>
            <w:pPr>
              <w:snapToGrid w:val="0"/>
              <w:ind w:firstLine="0" w:firstLineChars="0"/>
              <w:rPr>
                <w:szCs w:val="21"/>
              </w:rPr>
            </w:pPr>
            <w:r>
              <w:rPr>
                <w:rFonts w:hint="eastAsia"/>
                <w:szCs w:val="21"/>
              </w:rPr>
              <w:t>遮阳系数、抗风荷载</w:t>
            </w:r>
          </w:p>
        </w:tc>
      </w:tr>
    </w:tbl>
    <w:p>
      <w:pPr>
        <w:snapToGrid w:val="0"/>
        <w:ind w:firstLine="0" w:firstLineChars="0"/>
        <w:rPr>
          <w:szCs w:val="21"/>
        </w:rPr>
      </w:pPr>
    </w:p>
    <w:p>
      <w:pPr>
        <w:ind w:firstLine="420"/>
      </w:pPr>
      <w:r>
        <w:rPr>
          <w:rFonts w:hint="eastAsia"/>
        </w:rPr>
        <w:t>3</w:t>
      </w:r>
      <w:r>
        <w:t>.</w:t>
      </w:r>
      <w:r>
        <w:rPr>
          <w:rFonts w:hint="eastAsia"/>
        </w:rPr>
        <w:t>重点检查外门窗用防水透汽膜、防水隔汽膜的类型、规格及性能是否符合设计或相关标准要求。</w:t>
      </w:r>
    </w:p>
    <w:p>
      <w:pPr>
        <w:ind w:firstLine="420"/>
      </w:pPr>
      <w:r>
        <w:rPr>
          <w:rFonts w:hint="eastAsia"/>
        </w:rPr>
        <w:t>4</w:t>
      </w:r>
      <w:r>
        <w:t>.</w:t>
      </w:r>
      <w:r>
        <w:rPr>
          <w:rFonts w:hint="eastAsia"/>
        </w:rPr>
        <w:t>需重点核查新风系统热回收装置、冷（热）源机组、空调（供暖）末端设备等产品的节能性能检测报告。</w:t>
      </w:r>
    </w:p>
    <w:p>
      <w:pPr>
        <w:ind w:firstLine="420"/>
      </w:pPr>
      <w:r>
        <w:rPr>
          <w:rFonts w:hint="eastAsia"/>
        </w:rPr>
        <w:t>5</w:t>
      </w:r>
      <w:r>
        <w:t>.</w:t>
      </w:r>
      <w:r>
        <w:rPr>
          <w:rFonts w:hint="eastAsia"/>
        </w:rPr>
        <w:t>照明设备进场检查项目包括：照明光源初始光效、照明灯具镇流器能效值、照明灯具效率、照明设备功率、功率因数和谐波含量值。</w:t>
      </w:r>
    </w:p>
    <w:p>
      <w:pPr>
        <w:ind w:firstLine="420"/>
      </w:pPr>
      <w:r>
        <w:rPr>
          <w:rFonts w:hint="eastAsia"/>
        </w:rPr>
        <w:t>6</w:t>
      </w:r>
      <w:r>
        <w:t>.</w:t>
      </w:r>
      <w:r>
        <w:rPr>
          <w:rFonts w:hint="eastAsia"/>
        </w:rPr>
        <w:t>太阳能热利用或太阳能光伏发电系统设备进场检查项目包括：太阳能集热器的安全性能及热性能、太阳能光伏电池的发电功率及发电效率，太阳能集热器和太阳能光伏发电系统产品及其配件材料的出厂合格证、具有资质的检测报告，有效期内的型式检验报告。</w:t>
      </w:r>
    </w:p>
    <w:p>
      <w:pPr>
        <w:snapToGrid w:val="0"/>
        <w:ind w:firstLine="420"/>
        <w:rPr>
          <w:szCs w:val="21"/>
        </w:rPr>
      </w:pPr>
    </w:p>
    <w:p>
      <w:pPr>
        <w:widowControl/>
        <w:ind w:firstLine="0" w:firstLineChars="0"/>
        <w:jc w:val="left"/>
        <w:outlineLvl w:val="2"/>
        <w:rPr>
          <w:rFonts w:cs="Times New Roman"/>
          <w:bCs/>
          <w:szCs w:val="24"/>
          <w:lang w:val="zh-CN" w:bidi="ar"/>
        </w:rPr>
      </w:pPr>
      <w:r>
        <w:rPr>
          <w:rFonts w:cs="Times New Roman"/>
          <w:bCs/>
          <w:szCs w:val="24"/>
          <w:lang w:val="zh-CN" w:bidi="ar"/>
        </w:rPr>
        <w:t>7.2.1</w:t>
      </w:r>
      <w:r>
        <w:rPr>
          <w:rFonts w:hint="eastAsia" w:cs="Times New Roman"/>
          <w:bCs/>
          <w:szCs w:val="24"/>
          <w:lang w:bidi="ar"/>
        </w:rPr>
        <w:t>0</w:t>
      </w:r>
      <w:r>
        <w:rPr>
          <w:rFonts w:cs="Times New Roman"/>
          <w:bCs/>
          <w:szCs w:val="24"/>
          <w:lang w:val="zh-CN" w:bidi="ar"/>
        </w:rPr>
        <w:t> 各道工序之间应进行交接检验，上道工序合格后方可进行下道工序，并做好隐蔽工程记录和影像资料。隐蔽工程检查应包括下列内容：</w:t>
      </w:r>
    </w:p>
    <w:p>
      <w:pPr>
        <w:ind w:firstLine="420"/>
      </w:pPr>
      <w:r>
        <w:t>1 外墙基层及其表面处理、保温层的敷设方式、厚度和板材缝隙填充情况；锚固件安装与热桥处理；网格布铺设情况；穿墙管线保温密封处理等。</w:t>
      </w:r>
    </w:p>
    <w:p>
      <w:pPr>
        <w:ind w:firstLine="420"/>
      </w:pPr>
      <w:r>
        <w:t>2 屋面、地面基层及其表面处理、保温层的敷设方式、厚度和板材缝隙填充质量；防水层（隔汽、透汽）设置；雨水口部位、出屋面管道、穿地面管道的处理等。</w:t>
      </w:r>
    </w:p>
    <w:p>
      <w:pPr>
        <w:ind w:firstLine="420"/>
      </w:pPr>
      <w:r>
        <w:t>3 门窗、遮阳系统安装方式；门窗框与墙体结构缝的保温处理；窗框周边气密性处理，连接件与基层墙体间的断热桥措施等。</w:t>
      </w:r>
    </w:p>
    <w:p>
      <w:pPr>
        <w:ind w:firstLine="420"/>
      </w:pPr>
      <w:r>
        <w:t>4 女儿墙、窗框周边、封闭阳台、出挑构件、预埋支架等重点部位的施工做法。</w:t>
      </w:r>
    </w:p>
    <w:p>
      <w:pPr>
        <w:ind w:firstLine="420"/>
      </w:pPr>
      <w:r>
        <w:rPr>
          <w:rFonts w:hint="eastAsia"/>
        </w:rPr>
        <w:t>5机电部分的水管及风管的敷设和连接方式、保温和气密性措施，设备安装的减震降噪措施等。</w:t>
      </w:r>
    </w:p>
    <w:p>
      <w:pPr>
        <w:snapToGrid w:val="0"/>
        <w:ind w:firstLine="420"/>
      </w:pPr>
    </w:p>
    <w:p>
      <w:pPr>
        <w:widowControl/>
        <w:ind w:firstLine="0" w:firstLineChars="0"/>
        <w:jc w:val="left"/>
        <w:outlineLvl w:val="2"/>
        <w:rPr>
          <w:rFonts w:cs="Times New Roman"/>
          <w:bCs/>
          <w:szCs w:val="24"/>
          <w:lang w:val="zh-CN" w:bidi="ar"/>
        </w:rPr>
      </w:pPr>
      <w:r>
        <w:rPr>
          <w:rFonts w:hint="eastAsia" w:cs="Times New Roman"/>
          <w:bCs/>
          <w:szCs w:val="24"/>
          <w:lang w:val="zh-CN" w:bidi="ar"/>
        </w:rPr>
        <w:t>7.2.</w:t>
      </w:r>
      <w:r>
        <w:rPr>
          <w:rFonts w:hint="eastAsia" w:cs="Times New Roman"/>
          <w:bCs/>
          <w:szCs w:val="24"/>
          <w:lang w:bidi="ar"/>
        </w:rPr>
        <w:t>11</w:t>
      </w:r>
      <w:r>
        <w:rPr>
          <w:rFonts w:hint="eastAsia" w:cs="Times New Roman"/>
          <w:bCs/>
          <w:szCs w:val="24"/>
          <w:lang w:val="zh-CN" w:bidi="ar"/>
        </w:rPr>
        <w:t xml:space="preserve"> </w:t>
      </w:r>
      <w:r>
        <w:rPr>
          <w:rFonts w:hint="eastAsia" w:cs="Times New Roman"/>
          <w:bCs/>
          <w:szCs w:val="24"/>
          <w:lang w:bidi="ar"/>
        </w:rPr>
        <w:t>建筑</w:t>
      </w:r>
      <w:r>
        <w:rPr>
          <w:rFonts w:hint="eastAsia" w:cs="Times New Roman"/>
          <w:bCs/>
          <w:szCs w:val="24"/>
          <w:lang w:val="zh-CN" w:bidi="ar"/>
        </w:rPr>
        <w:t>施工过程中宜对气密性关键部位进行气密性检测，查找漏点并应及时修补。在主体施工结束，门窗安装完毕，内外抹灰完成后，精装修施工开始前，应按设计图纸的气密层标注示意进行建筑气密性检测，检测结果应满足</w:t>
      </w:r>
      <w:r>
        <w:rPr>
          <w:rFonts w:hint="eastAsia" w:cs="Times New Roman"/>
          <w:bCs/>
          <w:szCs w:val="24"/>
          <w:lang w:val="en" w:eastAsia="zh-CN" w:bidi="ar"/>
        </w:rPr>
        <w:t>本标准</w:t>
      </w:r>
      <w:r>
        <w:rPr>
          <w:rFonts w:hint="eastAsia" w:cs="Times New Roman"/>
          <w:bCs/>
          <w:szCs w:val="24"/>
          <w:lang w:val="zh-CN" w:bidi="ar"/>
        </w:rPr>
        <w:t>气密性指标要求。</w:t>
      </w:r>
    </w:p>
    <w:p>
      <w:pPr>
        <w:snapToGrid w:val="0"/>
        <w:ind w:firstLine="0" w:firstLineChars="0"/>
      </w:pPr>
      <w:r>
        <w:t>【条文说明】</w:t>
      </w:r>
    </w:p>
    <w:p>
      <w:pPr>
        <w:ind w:firstLine="420"/>
      </w:pPr>
      <w:r>
        <w:rPr>
          <w:rFonts w:hint="eastAsia" w:cs="Times New Roman"/>
          <w:bCs/>
          <w:szCs w:val="24"/>
          <w:lang w:val="zh-CN" w:bidi="ar"/>
        </w:rPr>
        <w:t>7.2.</w:t>
      </w:r>
      <w:r>
        <w:rPr>
          <w:rFonts w:hint="eastAsia" w:cs="Times New Roman"/>
          <w:bCs/>
          <w:szCs w:val="24"/>
          <w:lang w:bidi="ar"/>
        </w:rPr>
        <w:t>11</w:t>
      </w:r>
      <w:r>
        <w:rPr>
          <w:rFonts w:hint="eastAsia"/>
        </w:rPr>
        <w:t>施工过程中，宜对门窗与墙连接等典型部位或典型房间进行局部气密性检测，及时发现薄弱环节，改善补救。施工过程中气密性检测可采用压差法或示踪气体法。</w:t>
      </w:r>
    </w:p>
    <w:p>
      <w:pPr>
        <w:ind w:firstLine="420"/>
      </w:pPr>
      <w:r>
        <w:rPr>
          <w:rFonts w:hint="eastAsia"/>
        </w:rPr>
        <w:t>下面对施工过程气密性关键检查部位进行了补充说明：</w:t>
      </w:r>
    </w:p>
    <w:p>
      <w:pPr>
        <w:pStyle w:val="61"/>
        <w:numPr>
          <w:ilvl w:val="0"/>
          <w:numId w:val="14"/>
        </w:numPr>
        <w:ind w:firstLineChars="0"/>
      </w:pPr>
      <w:r>
        <w:rPr>
          <w:rFonts w:hint="eastAsia"/>
        </w:rPr>
        <w:t>气密性关键检测部位:</w:t>
      </w:r>
    </w:p>
    <w:p>
      <w:pPr>
        <w:pStyle w:val="61"/>
        <w:numPr>
          <w:ilvl w:val="0"/>
          <w:numId w:val="14"/>
        </w:numPr>
        <w:ind w:firstLineChars="0"/>
      </w:pPr>
      <w:r>
        <w:rPr>
          <w:rFonts w:hint="eastAsia"/>
        </w:rPr>
        <w:t>窗框与墙体结合处</w:t>
      </w:r>
    </w:p>
    <w:p>
      <w:pPr>
        <w:pStyle w:val="61"/>
        <w:numPr>
          <w:ilvl w:val="0"/>
          <w:numId w:val="14"/>
        </w:numPr>
        <w:ind w:firstLineChars="0"/>
      </w:pPr>
      <w:r>
        <w:rPr>
          <w:rFonts w:hint="eastAsia"/>
        </w:rPr>
        <w:t>幕墙系统拼缝</w:t>
      </w:r>
    </w:p>
    <w:p>
      <w:pPr>
        <w:pStyle w:val="61"/>
        <w:numPr>
          <w:ilvl w:val="0"/>
          <w:numId w:val="14"/>
        </w:numPr>
        <w:ind w:firstLineChars="0"/>
      </w:pPr>
      <w:r>
        <w:rPr>
          <w:rFonts w:hint="eastAsia"/>
        </w:rPr>
        <w:t>穿墙管线孔洞</w:t>
      </w:r>
    </w:p>
    <w:p>
      <w:pPr>
        <w:pStyle w:val="61"/>
        <w:numPr>
          <w:ilvl w:val="0"/>
          <w:numId w:val="14"/>
        </w:numPr>
        <w:ind w:firstLineChars="0"/>
      </w:pPr>
      <w:r>
        <w:rPr>
          <w:rFonts w:hint="eastAsia"/>
        </w:rPr>
        <w:t>屋面与外墙交接处</w:t>
      </w:r>
    </w:p>
    <w:p>
      <w:pPr>
        <w:pStyle w:val="61"/>
        <w:numPr>
          <w:ilvl w:val="0"/>
          <w:numId w:val="14"/>
        </w:numPr>
        <w:tabs>
          <w:tab w:val="left" w:pos="312"/>
        </w:tabs>
        <w:ind w:firstLineChars="0"/>
      </w:pPr>
      <w:r>
        <w:rPr>
          <w:rFonts w:hint="eastAsia"/>
        </w:rPr>
        <w:t>预制构件拼缝</w:t>
      </w:r>
    </w:p>
    <w:p>
      <w:pPr>
        <w:ind w:firstLine="420"/>
      </w:pPr>
      <w:r>
        <w:t>建筑主体施工完成、门窗安装到位且内外抹灰结束后，精装修开始</w:t>
      </w:r>
      <w:r>
        <w:rPr>
          <w:rFonts w:hint="eastAsia"/>
        </w:rPr>
        <w:t>前，</w:t>
      </w:r>
      <w:r>
        <w:t>此</w:t>
      </w:r>
      <w:r>
        <w:rPr>
          <w:rFonts w:hint="eastAsia"/>
        </w:rPr>
        <w:t>阶段</w:t>
      </w:r>
      <w:r>
        <w:t>外围护结构（含气密层）已形成完整封闭体系，可避免后期施工破坏气密层，确保检测结果真实反映围护结构性能</w:t>
      </w:r>
      <w:r>
        <w:rPr>
          <w:rFonts w:hint="eastAsia"/>
        </w:rPr>
        <w:t>。检测前需确保所有门窗启闭正常、密封部位无缺损，内外抹灰层无开裂，并封堵地漏、穿墙管线等非围护结构渗漏源。检测结果需反馈至设计等相关方。</w:t>
      </w:r>
    </w:p>
    <w:p>
      <w:pPr>
        <w:snapToGrid w:val="0"/>
        <w:ind w:firstLine="420"/>
      </w:pPr>
    </w:p>
    <w:p>
      <w:pPr>
        <w:widowControl/>
        <w:ind w:firstLine="0" w:firstLineChars="0"/>
        <w:jc w:val="left"/>
        <w:outlineLvl w:val="2"/>
        <w:rPr>
          <w:rFonts w:cs="Times New Roman"/>
          <w:bCs/>
          <w:szCs w:val="24"/>
          <w:lang w:val="zh-CN" w:bidi="ar"/>
        </w:rPr>
      </w:pPr>
      <w:r>
        <w:rPr>
          <w:rFonts w:hint="eastAsia" w:cs="Times New Roman"/>
          <w:bCs/>
          <w:szCs w:val="24"/>
          <w:lang w:val="zh-CN" w:bidi="ar"/>
        </w:rPr>
        <w:t>7.2.1</w:t>
      </w:r>
      <w:r>
        <w:rPr>
          <w:rFonts w:hint="eastAsia" w:cs="Times New Roman"/>
          <w:bCs/>
          <w:szCs w:val="24"/>
          <w:lang w:bidi="ar"/>
        </w:rPr>
        <w:t>2</w:t>
      </w:r>
      <w:r>
        <w:rPr>
          <w:rFonts w:hint="eastAsia" w:cs="Times New Roman"/>
          <w:bCs/>
          <w:szCs w:val="24"/>
          <w:lang w:val="zh-CN" w:bidi="ar"/>
        </w:rPr>
        <w:t>设备系统安装前应对照图纸等设计对能效指标进行核查。文件设备系统施工完成后，应进行联合试运转和调试，</w:t>
      </w:r>
      <w:r>
        <w:rPr>
          <w:rFonts w:cs="Times New Roman"/>
          <w:bCs/>
          <w:szCs w:val="24"/>
          <w:lang w:val="zh-CN" w:bidi="ar"/>
        </w:rPr>
        <w:t>并应对通风空调与照明系统节能性能以及可再生能源系统性能进行检测</w:t>
      </w:r>
      <w:r>
        <w:rPr>
          <w:rFonts w:hint="eastAsia" w:cs="Times New Roman"/>
          <w:bCs/>
          <w:szCs w:val="24"/>
          <w:lang w:val="zh-CN" w:bidi="ar"/>
        </w:rPr>
        <w:t>，</w:t>
      </w:r>
      <w:r>
        <w:rPr>
          <w:rFonts w:cs="Times New Roman"/>
          <w:bCs/>
          <w:szCs w:val="24"/>
          <w:lang w:val="zh-CN" w:bidi="ar"/>
        </w:rPr>
        <w:t>且节能性能检测</w:t>
      </w:r>
      <w:r>
        <w:rPr>
          <w:rFonts w:hint="eastAsia" w:cs="Times New Roman"/>
          <w:bCs/>
          <w:szCs w:val="24"/>
          <w:lang w:val="zh-CN" w:bidi="ar"/>
        </w:rPr>
        <w:t>结果应符合</w:t>
      </w:r>
      <w:r>
        <w:rPr>
          <w:rFonts w:cs="Times New Roman"/>
          <w:bCs/>
          <w:szCs w:val="24"/>
          <w:lang w:val="zh-CN" w:bidi="ar"/>
        </w:rPr>
        <w:t>设计要求</w:t>
      </w:r>
      <w:r>
        <w:rPr>
          <w:rFonts w:hint="eastAsia" w:cs="Times New Roman"/>
          <w:bCs/>
          <w:szCs w:val="24"/>
          <w:lang w:val="zh-CN" w:bidi="ar"/>
        </w:rPr>
        <w:t>。</w:t>
      </w:r>
    </w:p>
    <w:p>
      <w:pPr>
        <w:snapToGrid w:val="0"/>
        <w:ind w:firstLine="0" w:firstLineChars="0"/>
      </w:pPr>
      <w:r>
        <w:t>【条文说明】</w:t>
      </w:r>
    </w:p>
    <w:p>
      <w:pPr>
        <w:ind w:firstLine="420"/>
      </w:pPr>
      <w:r>
        <w:rPr>
          <w:rFonts w:hint="eastAsia" w:cs="Times New Roman"/>
          <w:bCs/>
          <w:szCs w:val="24"/>
          <w:lang w:val="zh-CN" w:bidi="ar"/>
        </w:rPr>
        <w:t>7.2.1</w:t>
      </w:r>
      <w:r>
        <w:rPr>
          <w:rFonts w:hint="eastAsia" w:cs="Times New Roman"/>
          <w:bCs/>
          <w:szCs w:val="24"/>
          <w:lang w:bidi="ar"/>
        </w:rPr>
        <w:t>2</w:t>
      </w:r>
      <w:r>
        <w:t>通风与空调节能工程、照明节能工程安装调试完成后</w:t>
      </w:r>
      <w:r>
        <w:rPr>
          <w:rFonts w:hint="eastAsia"/>
        </w:rPr>
        <w:t>，</w:t>
      </w:r>
      <w:r>
        <w:t>应由建设单位委托具有相应</w:t>
      </w:r>
      <w:r>
        <w:rPr>
          <w:rFonts w:hint="eastAsia"/>
        </w:rPr>
        <w:t>资质</w:t>
      </w:r>
      <w:r>
        <w:t>的检测机构进行系统节能性能检验并出具报告。通风与空调节能工程、配电与照明节能工程的设备系统节能性能检测应包括下列内容：</w:t>
      </w:r>
    </w:p>
    <w:p>
      <w:pPr>
        <w:ind w:firstLine="420"/>
      </w:pPr>
      <w:r>
        <w:t xml:space="preserve">（1）室内平均温度； </w:t>
      </w:r>
    </w:p>
    <w:p>
      <w:pPr>
        <w:ind w:firstLine="420"/>
      </w:pPr>
      <w:r>
        <w:t xml:space="preserve">（2）供暖通风与空调系统水力平衡度； </w:t>
      </w:r>
    </w:p>
    <w:p>
      <w:pPr>
        <w:ind w:firstLine="420"/>
      </w:pPr>
      <w:r>
        <w:t>（3）照度与照明功率密度。</w:t>
      </w:r>
    </w:p>
    <w:p>
      <w:pPr>
        <w:ind w:firstLine="420"/>
      </w:pPr>
      <w:r>
        <w:t>可再生能源系统</w:t>
      </w:r>
      <w:r>
        <w:rPr>
          <w:rFonts w:hint="eastAsia"/>
        </w:rPr>
        <w:t>联合试运转和调试应符合下列规定：</w:t>
      </w:r>
    </w:p>
    <w:p>
      <w:pPr>
        <w:ind w:firstLine="420"/>
      </w:pPr>
      <w:r>
        <w:rPr>
          <w:rFonts w:hint="eastAsia"/>
        </w:rPr>
        <w:t>（1）太阳能光伏系统应按照国家标准《建筑光伏系统应用技术标准》和地方标准《海南省建筑光伏系统建设技术标准》进行调试。</w:t>
      </w:r>
    </w:p>
    <w:p>
      <w:pPr>
        <w:ind w:firstLine="420"/>
      </w:pPr>
      <w:r>
        <w:rPr>
          <w:rFonts w:hint="eastAsia"/>
        </w:rPr>
        <w:t>（2）太阳能集热水器应按国家标准《民用建筑太阳能热水系统应用技术标准》GB 50364《海南省太阳能热水系统与建筑一体化设计施工及验收标准》DBJ46-012进行调试。</w:t>
      </w:r>
    </w:p>
    <w:p>
      <w:pPr>
        <w:ind w:firstLine="420"/>
      </w:pPr>
      <w:r>
        <w:rPr>
          <w:rFonts w:hint="eastAsia"/>
        </w:rPr>
        <w:t>（3）地源热泵应按国家标准《地源热泵系统工程技术规范》GB 50366进行调试。</w:t>
      </w:r>
    </w:p>
    <w:p>
      <w:pPr>
        <w:ind w:firstLine="420"/>
      </w:pPr>
      <w:r>
        <w:rPr>
          <w:rFonts w:hint="eastAsia"/>
        </w:rPr>
        <w:t>（4）空气源热泵热水系统应按国家标准《空气源单元式空调（热泵）热水机组》GB/T 29031-2012进行调试。</w:t>
      </w:r>
    </w:p>
    <w:p>
      <w:pPr>
        <w:ind w:firstLine="420"/>
      </w:pPr>
      <w:r>
        <w:t>可再生能源系统性能检测应符合下列规定：</w:t>
      </w:r>
    </w:p>
    <w:p>
      <w:pPr>
        <w:ind w:firstLine="420"/>
      </w:pPr>
      <w:r>
        <w:t>（1）太阳能热利用系统的热工性能检验应包括太阳能集热系统得热量、太阳能集热系统效率、太阳能热利用系统的总能耗及太阳能热利用系统的太阳能保证率。太阳能热利用系统的集热系统效率应符合设计要求。</w:t>
      </w:r>
    </w:p>
    <w:p>
      <w:pPr>
        <w:ind w:firstLine="420"/>
      </w:pPr>
      <w:r>
        <w:t>（2）地源热泵系统整体验收前,应进行冬、夏两季运行测试,并对地源热泵系统的实测性能与设计要求进行比对作出评价。</w:t>
      </w:r>
    </w:p>
    <w:p>
      <w:pPr>
        <w:keepNext/>
        <w:keepLines/>
        <w:spacing w:before="312" w:after="312" w:line="413" w:lineRule="auto"/>
        <w:ind w:firstLine="0" w:firstLineChars="0"/>
        <w:jc w:val="center"/>
        <w:textAlignment w:val="center"/>
        <w:outlineLvl w:val="1"/>
        <w:rPr>
          <w:rFonts w:eastAsia="黑体" w:cs="Times New Roman"/>
          <w:kern w:val="44"/>
          <w:sz w:val="32"/>
          <w:szCs w:val="36"/>
        </w:rPr>
      </w:pPr>
      <w:bookmarkStart w:id="57" w:name="_Toc198125367"/>
      <w:r>
        <w:rPr>
          <w:rFonts w:hint="eastAsia" w:eastAsia="黑体" w:cs="Times New Roman"/>
          <w:kern w:val="44"/>
          <w:sz w:val="32"/>
          <w:szCs w:val="36"/>
        </w:rPr>
        <w:t>7.3 运行管理</w:t>
      </w:r>
      <w:bookmarkEnd w:id="57"/>
    </w:p>
    <w:p>
      <w:pPr>
        <w:widowControl/>
        <w:ind w:firstLine="0" w:firstLineChars="0"/>
        <w:jc w:val="left"/>
        <w:outlineLvl w:val="2"/>
        <w:rPr>
          <w:rFonts w:cs="Times New Roman"/>
          <w:bCs/>
          <w:szCs w:val="24"/>
          <w:lang w:val="zh-CN" w:bidi="ar"/>
        </w:rPr>
      </w:pPr>
      <w:bookmarkStart w:id="58" w:name="_Toc198125368"/>
      <w:bookmarkStart w:id="59" w:name="_Toc1072"/>
      <w:bookmarkStart w:id="60" w:name="_Toc193023031"/>
      <w:r>
        <w:rPr>
          <w:rFonts w:cs="Times New Roman"/>
          <w:bCs/>
          <w:szCs w:val="24"/>
          <w:lang w:val="zh-CN" w:bidi="ar"/>
        </w:rPr>
        <w:t>7.</w:t>
      </w:r>
      <w:r>
        <w:rPr>
          <w:rFonts w:hint="eastAsia" w:cs="Times New Roman"/>
          <w:bCs/>
          <w:szCs w:val="24"/>
          <w:lang w:val="zh-CN" w:bidi="ar"/>
        </w:rPr>
        <w:t>3</w:t>
      </w:r>
      <w:r>
        <w:rPr>
          <w:rFonts w:cs="Times New Roman"/>
          <w:bCs/>
          <w:szCs w:val="24"/>
          <w:lang w:val="zh-CN" w:bidi="ar"/>
        </w:rPr>
        <w:t>.1</w:t>
      </w:r>
      <w:r>
        <w:rPr>
          <w:rFonts w:hint="eastAsia" w:cs="Times New Roman"/>
          <w:bCs/>
          <w:szCs w:val="24"/>
          <w:lang w:val="zh-CN" w:bidi="ar"/>
        </w:rPr>
        <w:t xml:space="preserve"> 近零能耗建筑应采取全生命周期的管理理念实施运营管理，建筑运行管理单位宜在设计阶段开始介入项目的技术规划，应全程参与项目的调试、验收、交付与调适，并应编制相应运行管理手册。</w:t>
      </w:r>
      <w:bookmarkEnd w:id="58"/>
      <w:bookmarkEnd w:id="59"/>
      <w:bookmarkEnd w:id="60"/>
    </w:p>
    <w:p>
      <w:pPr>
        <w:ind w:firstLine="0" w:firstLineChars="0"/>
      </w:pPr>
      <w:r>
        <w:rPr>
          <w:rFonts w:hint="eastAsia"/>
        </w:rPr>
        <w:t>【条文说明】</w:t>
      </w:r>
    </w:p>
    <w:p>
      <w:pPr>
        <w:ind w:firstLine="420"/>
      </w:pPr>
      <w:r>
        <w:rPr>
          <w:rFonts w:hint="eastAsia"/>
        </w:rPr>
        <w:t>7</w:t>
      </w:r>
      <w:r>
        <w:t>.</w:t>
      </w:r>
      <w:r>
        <w:rPr>
          <w:rFonts w:hint="eastAsia"/>
        </w:rPr>
        <w:t>3</w:t>
      </w:r>
      <w:r>
        <w:t>.</w:t>
      </w:r>
      <w:r>
        <w:rPr>
          <w:rFonts w:hint="eastAsia"/>
        </w:rPr>
        <w:t>1</w:t>
      </w:r>
      <w:r>
        <w:t xml:space="preserve"> </w:t>
      </w:r>
      <w:r>
        <w:rPr>
          <w:rFonts w:hint="eastAsia"/>
        </w:rPr>
        <w:t>此条基于建筑全生命周期的运营管理理念。建筑的全生命周期分为规划设计、建造、运营和拆除四个阶段。建筑的根本是使用，性能化设计与结果导向的规划设计，需要运行专业人员参与，将运营过程中的需求体现在设计中。同时运营阶段也是全生命周期中时间最长的阶段，是充分展现近零能耗建筑所采用的技术措施产生成果的重要阶段。</w:t>
      </w:r>
    </w:p>
    <w:p>
      <w:pPr>
        <w:ind w:firstLine="420"/>
      </w:pPr>
      <w:r>
        <w:rPr>
          <w:rFonts w:hint="eastAsia"/>
        </w:rPr>
        <w:t>运行人员除在规划设计阶段介入外，调试验收阶段参与调试、验收、交付与调适工作出十分重要。运行维护手册应包含建筑围护结构构造特点及日常维护要求，设备系统的特点、使用条件、运行模式、参数记录及维护要求，二次装修应注意的事项等所有与建筑运行、维护、管理相关的信息。除满足本节要求外，还应满足现行国家标准《空调通风系统运行管理标准》GB50365 的规定。 根据建筑的使用情况可将手册涉及的工作内容分别落实于管理人员、用户或公共区域提示信息。</w:t>
      </w:r>
    </w:p>
    <w:p>
      <w:pPr>
        <w:ind w:firstLine="420"/>
      </w:pPr>
    </w:p>
    <w:p>
      <w:pPr>
        <w:widowControl/>
        <w:ind w:firstLine="0" w:firstLineChars="0"/>
        <w:jc w:val="left"/>
        <w:outlineLvl w:val="2"/>
        <w:rPr>
          <w:rFonts w:cs="Times New Roman"/>
          <w:bCs/>
          <w:szCs w:val="24"/>
          <w:lang w:val="zh-CN" w:bidi="ar"/>
        </w:rPr>
      </w:pPr>
      <w:bookmarkStart w:id="61" w:name="_Toc193023032"/>
      <w:bookmarkStart w:id="62" w:name="_Toc198125369"/>
      <w:bookmarkStart w:id="63" w:name="_Toc20065"/>
      <w:r>
        <w:rPr>
          <w:rFonts w:cs="Times New Roman"/>
          <w:bCs/>
          <w:szCs w:val="24"/>
          <w:lang w:val="zh-CN" w:bidi="ar"/>
        </w:rPr>
        <w:t>7.</w:t>
      </w:r>
      <w:r>
        <w:rPr>
          <w:rFonts w:hint="eastAsia" w:cs="Times New Roman"/>
          <w:bCs/>
          <w:szCs w:val="24"/>
          <w:lang w:val="zh-CN" w:bidi="ar"/>
        </w:rPr>
        <w:t>3</w:t>
      </w:r>
      <w:r>
        <w:rPr>
          <w:rFonts w:cs="Times New Roman"/>
          <w:bCs/>
          <w:szCs w:val="24"/>
          <w:lang w:val="zh-CN" w:bidi="ar"/>
        </w:rPr>
        <w:t>.2</w:t>
      </w:r>
      <w:r>
        <w:rPr>
          <w:rFonts w:hint="eastAsia" w:cs="Times New Roman"/>
          <w:bCs/>
          <w:szCs w:val="24"/>
          <w:lang w:val="zh-CN" w:bidi="ar"/>
        </w:rPr>
        <w:t xml:space="preserve"> </w:t>
      </w:r>
      <w:r>
        <w:rPr>
          <w:rFonts w:cs="Times New Roman"/>
          <w:bCs/>
          <w:szCs w:val="24"/>
          <w:lang w:val="zh-CN" w:bidi="ar"/>
        </w:rPr>
        <w:t>近零能耗建筑的运行与管理应在保证运行安全和满足室内环境设计参数的前提下，选择最利于建筑节能的运行方案，并应符合下列要求：</w:t>
      </w:r>
      <w:bookmarkEnd w:id="61"/>
      <w:bookmarkEnd w:id="62"/>
      <w:bookmarkEnd w:id="63"/>
    </w:p>
    <w:p>
      <w:pPr>
        <w:ind w:firstLine="420"/>
      </w:pPr>
      <w:r>
        <w:rPr>
          <w:rFonts w:hint="eastAsia"/>
        </w:rPr>
        <w:t>1 立足建筑设计，针对建筑在性能化设计、围护结构、空调与通风、电气系统、可再生能源等方面的特点进行运行、维护和管理；</w:t>
      </w:r>
    </w:p>
    <w:p>
      <w:pPr>
        <w:ind w:firstLine="420"/>
      </w:pPr>
      <w:r>
        <w:rPr>
          <w:rFonts w:hint="eastAsia"/>
        </w:rPr>
        <w:t>2 根据室外气象参数和建筑实际使用情况做出动态运行策略调整。</w:t>
      </w:r>
    </w:p>
    <w:p>
      <w:pPr>
        <w:ind w:firstLine="0" w:firstLineChars="0"/>
      </w:pPr>
      <w:bookmarkStart w:id="64" w:name="OLE_LINK2"/>
      <w:r>
        <w:rPr>
          <w:rFonts w:hint="eastAsia"/>
        </w:rPr>
        <w:t>【条文说明】</w:t>
      </w:r>
    </w:p>
    <w:bookmarkEnd w:id="64"/>
    <w:p>
      <w:pPr>
        <w:ind w:firstLine="420"/>
      </w:pPr>
      <w:r>
        <w:rPr>
          <w:rFonts w:hint="eastAsia"/>
        </w:rPr>
        <w:t>7</w:t>
      </w:r>
      <w:r>
        <w:t>.</w:t>
      </w:r>
      <w:r>
        <w:rPr>
          <w:rFonts w:hint="eastAsia"/>
        </w:rPr>
        <w:t>3</w:t>
      </w:r>
      <w:r>
        <w:t xml:space="preserve">.2 </w:t>
      </w:r>
      <w:r>
        <w:rPr>
          <w:rFonts w:hint="eastAsia"/>
        </w:rPr>
        <w:t>建筑的运行管理人员或使用者需要明确建筑设计中与节能和环境相关的各项设计意图，在不同季节、不同气候条件和使用情况下，制定并实施相应的运行策略，以保证建筑的运行的节能效果。需要强调的是，设备安全和建筑环境的保证是建筑运行的前提，建筑的运行管理的工作任务是在此前提基础上力求减少能源消耗。当室外温度不高于28℃，相对湿度不高于80%，可以采用开窗通风的方式代替空调工况。</w:t>
      </w:r>
    </w:p>
    <w:p>
      <w:pPr>
        <w:ind w:firstLine="0" w:firstLineChars="0"/>
      </w:pPr>
    </w:p>
    <w:p>
      <w:pPr>
        <w:widowControl/>
        <w:ind w:firstLine="0" w:firstLineChars="0"/>
        <w:jc w:val="left"/>
        <w:outlineLvl w:val="2"/>
        <w:rPr>
          <w:rFonts w:cs="Times New Roman"/>
          <w:bCs/>
          <w:szCs w:val="24"/>
          <w:lang w:val="zh-CN" w:bidi="ar"/>
        </w:rPr>
      </w:pPr>
      <w:bookmarkStart w:id="65" w:name="_Toc198125370"/>
      <w:bookmarkStart w:id="66" w:name="_Toc193023033"/>
      <w:bookmarkStart w:id="67" w:name="_Toc9892"/>
      <w:r>
        <w:rPr>
          <w:rFonts w:cs="Times New Roman"/>
          <w:bCs/>
          <w:szCs w:val="24"/>
          <w:lang w:val="zh-CN" w:bidi="ar"/>
        </w:rPr>
        <w:t>7.</w:t>
      </w:r>
      <w:r>
        <w:rPr>
          <w:rFonts w:hint="eastAsia" w:cs="Times New Roman"/>
          <w:bCs/>
          <w:szCs w:val="24"/>
          <w:lang w:val="zh-CN" w:bidi="ar"/>
        </w:rPr>
        <w:t>3</w:t>
      </w:r>
      <w:r>
        <w:rPr>
          <w:rFonts w:cs="Times New Roman"/>
          <w:bCs/>
          <w:szCs w:val="24"/>
          <w:lang w:val="zh-CN" w:bidi="ar"/>
        </w:rPr>
        <w:t>.3</w:t>
      </w:r>
      <w:r>
        <w:rPr>
          <w:rFonts w:hint="eastAsia" w:cs="Times New Roman"/>
          <w:bCs/>
          <w:szCs w:val="24"/>
          <w:lang w:val="zh-CN" w:bidi="ar"/>
        </w:rPr>
        <w:t>设置集中空调系统的近零能耗建筑正式投入使用的第一个年度，应进行建筑能源系统调适，系统调适应符合下列规定：</w:t>
      </w:r>
      <w:bookmarkEnd w:id="65"/>
      <w:bookmarkEnd w:id="66"/>
      <w:bookmarkEnd w:id="67"/>
    </w:p>
    <w:p>
      <w:pPr>
        <w:ind w:firstLine="420"/>
      </w:pPr>
      <w:r>
        <w:rPr>
          <w:rFonts w:hint="eastAsia"/>
        </w:rPr>
        <w:t>1 应覆盖主要的季节性工况和部分负荷工况；</w:t>
      </w:r>
    </w:p>
    <w:p>
      <w:pPr>
        <w:ind w:firstLine="420"/>
      </w:pPr>
      <w:r>
        <w:rPr>
          <w:rFonts w:hint="eastAsia"/>
        </w:rPr>
        <w:t>2 应覆盖中控系统及所有联动工作的用能系统和建筑构件；</w:t>
      </w:r>
    </w:p>
    <w:p>
      <w:pPr>
        <w:ind w:firstLine="420"/>
      </w:pPr>
      <w:r>
        <w:rPr>
          <w:rFonts w:hint="eastAsia"/>
        </w:rPr>
        <w:t>3 系统调适宜从正式投入使用开始延续至第三个完整年度结束；</w:t>
      </w:r>
    </w:p>
    <w:p>
      <w:pPr>
        <w:ind w:firstLine="420"/>
      </w:pPr>
      <w:r>
        <w:rPr>
          <w:rFonts w:hint="eastAsia"/>
        </w:rPr>
        <w:t>4 建筑使用过程中，当建筑使用功能发生重大改变，或对用能系统进行改造后，应在建筑恢复使用的第一个年度重新进行系统调适。</w:t>
      </w:r>
    </w:p>
    <w:p>
      <w:pPr>
        <w:ind w:firstLine="0" w:firstLineChars="0"/>
      </w:pPr>
      <w:r>
        <w:rPr>
          <w:rFonts w:hint="eastAsia"/>
        </w:rPr>
        <w:t>【条文说明】</w:t>
      </w:r>
    </w:p>
    <w:p>
      <w:pPr>
        <w:ind w:firstLine="420"/>
      </w:pPr>
      <w:r>
        <w:rPr>
          <w:rFonts w:hint="eastAsia"/>
        </w:rPr>
        <w:t>7</w:t>
      </w:r>
      <w:r>
        <w:t>.</w:t>
      </w:r>
      <w:r>
        <w:rPr>
          <w:rFonts w:hint="eastAsia"/>
        </w:rPr>
        <w:t>3</w:t>
      </w:r>
      <w:r>
        <w:t xml:space="preserve">.3 </w:t>
      </w:r>
      <w:r>
        <w:rPr>
          <w:rFonts w:hint="eastAsia"/>
        </w:rPr>
        <w:t>近零能耗建筑立足精细化设计，正式投入使用之后，建筑是否能够按设计意图实现高舒适度低能源消耗，取决于能否在最初投入使用的几年进行持续的系统调适。</w:t>
      </w:r>
    </w:p>
    <w:p>
      <w:pPr>
        <w:ind w:firstLine="420"/>
      </w:pPr>
      <w:r>
        <w:rPr>
          <w:rFonts w:hint="eastAsia"/>
        </w:rPr>
        <w:t>本条文所指的“调适”包含了建筑竣工验收后的初步“调试”。 “调试”是工程竣工后确认系统各部分联合运转正常的工作环节，即对各个系统在安装、单机试运转、性能测试、系统联合试运转的整个过程中，采用规定的方法完成测试、调整和平衡工作。除此之外， “调适”的重点工作在于建筑正常投入使用后在各典型季节性工况和部分负荷工况下，通过验证和调整，确保各用能系统可以按设计实现相应的控制动作，保证建筑正常高效运转。</w:t>
      </w:r>
    </w:p>
    <w:p>
      <w:pPr>
        <w:ind w:firstLine="420"/>
      </w:pPr>
      <w:r>
        <w:rPr>
          <w:rFonts w:hint="eastAsia"/>
        </w:rPr>
        <w:t>建筑是一个非常复杂的系统，近零能耗建筑更是要求多系统联动控制，因此，建筑最初投入使用的阶段对系统的持续调适是保证近零能耗建筑正常运行必不可少的重要环节。调适工作贯穿建筑使用的全过程， 初次调适工作应以建筑各系统达到或接近设计预期为目标。</w:t>
      </w:r>
    </w:p>
    <w:p>
      <w:pPr>
        <w:ind w:firstLine="420"/>
      </w:pPr>
      <w:r>
        <w:rPr>
          <w:rFonts w:hint="eastAsia"/>
        </w:rPr>
        <w:t>当近零能耗建筑的建筑功能发生变化，意味着房间冷热负荷、使用时间表都发生了改变，此时必须对系统进行重新调适，如果有必要，还应对系统进行局部功能的增减。</w:t>
      </w:r>
      <w:bookmarkStart w:id="68" w:name="_Toc198125371"/>
      <w:bookmarkStart w:id="69" w:name="_Toc5447"/>
      <w:bookmarkStart w:id="70" w:name="_Toc193023034"/>
    </w:p>
    <w:p>
      <w:pPr>
        <w:pStyle w:val="2"/>
        <w:ind w:firstLine="420"/>
      </w:pPr>
    </w:p>
    <w:p>
      <w:pPr>
        <w:widowControl/>
        <w:ind w:firstLine="0" w:firstLineChars="0"/>
        <w:jc w:val="left"/>
        <w:outlineLvl w:val="2"/>
        <w:rPr>
          <w:rFonts w:cs="Times New Roman"/>
          <w:bCs/>
          <w:szCs w:val="24"/>
          <w:lang w:val="zh-CN" w:bidi="ar"/>
        </w:rPr>
      </w:pPr>
      <w:r>
        <w:rPr>
          <w:rFonts w:cs="Times New Roman"/>
          <w:bCs/>
          <w:szCs w:val="24"/>
          <w:lang w:val="zh-CN" w:bidi="ar"/>
        </w:rPr>
        <w:t>7.</w:t>
      </w:r>
      <w:r>
        <w:rPr>
          <w:rFonts w:hint="eastAsia" w:cs="Times New Roman"/>
          <w:bCs/>
          <w:szCs w:val="24"/>
          <w:lang w:val="zh-CN" w:bidi="ar"/>
        </w:rPr>
        <w:t>3</w:t>
      </w:r>
      <w:r>
        <w:rPr>
          <w:rFonts w:cs="Times New Roman"/>
          <w:bCs/>
          <w:szCs w:val="24"/>
          <w:lang w:val="zh-CN" w:bidi="ar"/>
        </w:rPr>
        <w:t>.4近零能耗建筑运行时应充分利用建筑的气候响应设计措施，在运行中利用自然条件改善室内环境，降低能源消耗：</w:t>
      </w:r>
      <w:bookmarkEnd w:id="68"/>
      <w:bookmarkEnd w:id="69"/>
      <w:bookmarkEnd w:id="70"/>
    </w:p>
    <w:p>
      <w:pPr>
        <w:ind w:firstLine="420"/>
      </w:pPr>
      <w:r>
        <w:rPr>
          <w:rFonts w:hint="eastAsia"/>
        </w:rPr>
        <w:t>1 当室外温度、湿度处于舒适区域，且空气质量较好时，应开窗通风，充分利用自然通风；</w:t>
      </w:r>
    </w:p>
    <w:p>
      <w:pPr>
        <w:ind w:firstLine="420"/>
      </w:pPr>
      <w:r>
        <w:rPr>
          <w:rFonts w:hint="eastAsia"/>
        </w:rPr>
        <w:t>2 对于室内天然采光良好的区域，应加强照明控制系统的管理，充分利用自然光，减少照明的开启。</w:t>
      </w:r>
    </w:p>
    <w:p>
      <w:pPr>
        <w:ind w:firstLine="0" w:firstLineChars="0"/>
      </w:pPr>
      <w:r>
        <w:rPr>
          <w:rFonts w:hint="eastAsia"/>
        </w:rPr>
        <w:t>【条文说明】</w:t>
      </w:r>
    </w:p>
    <w:p>
      <w:pPr>
        <w:ind w:firstLine="420"/>
      </w:pPr>
      <w:bookmarkStart w:id="71" w:name="_Toc193023036"/>
      <w:bookmarkStart w:id="72" w:name="_Toc198125373"/>
      <w:bookmarkStart w:id="73" w:name="_Toc2815"/>
      <w:r>
        <w:rPr>
          <w:rFonts w:hint="eastAsia"/>
        </w:rPr>
        <w:t>7</w:t>
      </w:r>
      <w:r>
        <w:t>.</w:t>
      </w:r>
      <w:r>
        <w:rPr>
          <w:rFonts w:hint="eastAsia"/>
        </w:rPr>
        <w:t>3</w:t>
      </w:r>
      <w:r>
        <w:t xml:space="preserve">.4 </w:t>
      </w:r>
      <w:r>
        <w:rPr>
          <w:rFonts w:hint="eastAsia"/>
        </w:rPr>
        <w:t>近零能耗建筑运行时应利用有利自然条件，在不降低室内舒适度的情况下，尽可能地应用自然通风和采光。</w:t>
      </w:r>
    </w:p>
    <w:p>
      <w:pPr>
        <w:pStyle w:val="2"/>
        <w:ind w:firstLine="199" w:firstLineChars="95"/>
      </w:pPr>
    </w:p>
    <w:p>
      <w:pPr>
        <w:widowControl/>
        <w:ind w:firstLine="0" w:firstLineChars="0"/>
        <w:jc w:val="left"/>
        <w:outlineLvl w:val="2"/>
        <w:rPr>
          <w:rFonts w:cs="Times New Roman"/>
          <w:bCs/>
          <w:szCs w:val="24"/>
          <w:lang w:val="zh-CN" w:bidi="ar"/>
        </w:rPr>
      </w:pPr>
      <w:r>
        <w:rPr>
          <w:rFonts w:cs="Times New Roman"/>
          <w:bCs/>
          <w:szCs w:val="24"/>
          <w:lang w:val="zh-CN" w:bidi="ar"/>
        </w:rPr>
        <w:t>7.</w:t>
      </w:r>
      <w:r>
        <w:rPr>
          <w:rFonts w:hint="eastAsia" w:cs="Times New Roman"/>
          <w:bCs/>
          <w:szCs w:val="24"/>
          <w:lang w:val="zh-CN" w:bidi="ar"/>
        </w:rPr>
        <w:t>3</w:t>
      </w:r>
      <w:r>
        <w:rPr>
          <w:rFonts w:cs="Times New Roman"/>
          <w:bCs/>
          <w:szCs w:val="24"/>
          <w:lang w:val="zh-CN" w:bidi="ar"/>
        </w:rPr>
        <w:t>.</w:t>
      </w:r>
      <w:r>
        <w:rPr>
          <w:rFonts w:hint="eastAsia" w:cs="Times New Roman"/>
          <w:bCs/>
          <w:szCs w:val="24"/>
          <w:lang w:val="zh-CN" w:bidi="ar"/>
        </w:rPr>
        <w:t>5近零能耗建筑构件的维护和保养应满足以下要求：</w:t>
      </w:r>
      <w:bookmarkEnd w:id="71"/>
      <w:bookmarkEnd w:id="72"/>
      <w:bookmarkEnd w:id="73"/>
    </w:p>
    <w:p>
      <w:pPr>
        <w:ind w:firstLine="420"/>
      </w:pPr>
      <w:r>
        <w:rPr>
          <w:rFonts w:hint="eastAsia"/>
        </w:rPr>
        <w:t>1 应对建筑围护结构隔热系统等关键部位进行定期维护和保养，如发现故障，应及时进行维修；</w:t>
      </w:r>
    </w:p>
    <w:p>
      <w:pPr>
        <w:ind w:firstLine="420"/>
      </w:pPr>
      <w:r>
        <w:rPr>
          <w:rFonts w:hint="eastAsia"/>
        </w:rPr>
        <w:t>2 应定期对太阳能光热、光伏组件表面进行清洁，保障太阳能的使用效果；</w:t>
      </w:r>
    </w:p>
    <w:p>
      <w:pPr>
        <w:ind w:firstLine="420"/>
      </w:pPr>
      <w:r>
        <w:rPr>
          <w:rFonts w:hint="eastAsia"/>
        </w:rPr>
        <w:t>3</w:t>
      </w:r>
      <w:r>
        <w:t xml:space="preserve">. </w:t>
      </w:r>
      <w:r>
        <w:rPr>
          <w:rFonts w:hint="eastAsia"/>
        </w:rPr>
        <w:t>应定期检查太阳能光热、光伏系统支架，保障系统在台风天气下的安全性。</w:t>
      </w:r>
    </w:p>
    <w:p>
      <w:pPr>
        <w:ind w:firstLine="0" w:firstLineChars="0"/>
      </w:pPr>
      <w:r>
        <w:rPr>
          <w:rFonts w:hint="eastAsia"/>
        </w:rPr>
        <w:t>【条文说明】</w:t>
      </w:r>
    </w:p>
    <w:p>
      <w:pPr>
        <w:ind w:firstLine="420"/>
      </w:pPr>
      <w:r>
        <w:rPr>
          <w:rFonts w:hint="eastAsia"/>
        </w:rPr>
        <w:t>7</w:t>
      </w:r>
      <w:r>
        <w:t>.</w:t>
      </w:r>
      <w:r>
        <w:rPr>
          <w:rFonts w:hint="eastAsia"/>
        </w:rPr>
        <w:t>3</w:t>
      </w:r>
      <w:r>
        <w:t>.</w:t>
      </w:r>
      <w:r>
        <w:rPr>
          <w:rFonts w:hint="eastAsia"/>
        </w:rPr>
        <w:t>5  1 海南地区属于夏热冬暖地区，室内外温差小。室内得热主要以对流和辐射为主，降低能耗的有效方式为减少热辐射和对流。保持建筑外围护结构隔热系统的正常使用状态是运行管理的关键。运行过程中定期对围护结构的隔热系统进行维护和保养，有利于维持其高性能水平。</w:t>
      </w:r>
    </w:p>
    <w:p>
      <w:pPr>
        <w:ind w:firstLine="420"/>
      </w:pPr>
      <w:r>
        <w:rPr>
          <w:rFonts w:hint="eastAsia"/>
        </w:rPr>
        <w:t>2 太阳能热水系统和太阳能光伏发电系统等能源利用措施中，光热组件与光伏组件是关键的部件，需要定期进行清洁维护，以获得更好的太阳能利用。</w:t>
      </w:r>
    </w:p>
    <w:p>
      <w:pPr>
        <w:ind w:firstLine="420"/>
      </w:pPr>
      <w:r>
        <w:rPr>
          <w:rFonts w:hint="eastAsia"/>
        </w:rPr>
        <w:t>3.海南地区高湿高盐气候，同时台风天气频发，太阳能光热、光伏系统的抗腐蚀性与抗风性能是运行安全的重要保障，在运行期间需定期对其进行检查。</w:t>
      </w:r>
    </w:p>
    <w:p>
      <w:pPr>
        <w:ind w:firstLine="420"/>
      </w:pPr>
    </w:p>
    <w:p>
      <w:pPr>
        <w:ind w:firstLine="420"/>
        <w:sectPr>
          <w:pgSz w:w="11906" w:h="16838"/>
          <w:pgMar w:top="1440" w:right="1800" w:bottom="1440" w:left="1800" w:header="851" w:footer="992" w:gutter="0"/>
          <w:cols w:space="425" w:num="1"/>
          <w:docGrid w:type="lines" w:linePitch="312" w:charSpace="0"/>
        </w:sectPr>
      </w:pPr>
    </w:p>
    <w:p>
      <w:pPr>
        <w:pStyle w:val="57"/>
        <w:numPr>
          <w:ilvl w:val="0"/>
          <w:numId w:val="15"/>
        </w:numPr>
        <w:tabs>
          <w:tab w:val="left" w:pos="0"/>
        </w:tabs>
        <w:snapToGrid w:val="0"/>
        <w:spacing w:before="156" w:beforeLines="50" w:after="156" w:afterLines="50" w:line="276" w:lineRule="auto"/>
        <w:rPr>
          <w:rFonts w:ascii="Times New Roman" w:hAnsi="Times New Roman"/>
          <w:b w:val="0"/>
          <w:color w:val="auto"/>
          <w:sz w:val="32"/>
          <w:lang w:eastAsia="zh-CN"/>
        </w:rPr>
      </w:pPr>
      <w:bookmarkStart w:id="74" w:name="_Toc26719"/>
      <w:bookmarkStart w:id="75" w:name="_Toc198125374"/>
      <w:r>
        <w:rPr>
          <w:rFonts w:hint="eastAsia" w:ascii="Times New Roman" w:hAnsi="Times New Roman"/>
          <w:b w:val="0"/>
          <w:color w:val="auto"/>
          <w:sz w:val="32"/>
          <w:lang w:eastAsia="zh-CN"/>
        </w:rPr>
        <w:t>评价方法与判定</w:t>
      </w:r>
      <w:bookmarkEnd w:id="74"/>
      <w:bookmarkEnd w:id="75"/>
    </w:p>
    <w:p>
      <w:pPr>
        <w:widowControl/>
        <w:ind w:firstLine="0" w:firstLineChars="0"/>
        <w:jc w:val="left"/>
        <w:outlineLvl w:val="2"/>
        <w:rPr>
          <w:rFonts w:cs="Times New Roman"/>
          <w:bCs/>
          <w:szCs w:val="24"/>
          <w:lang w:val="zh-CN" w:bidi="ar"/>
        </w:rPr>
      </w:pPr>
      <w:bookmarkStart w:id="76" w:name="_Toc30099"/>
      <w:bookmarkStart w:id="77" w:name="_Toc193023038"/>
      <w:bookmarkStart w:id="78" w:name="_Toc198125375"/>
      <w:r>
        <w:rPr>
          <w:rFonts w:cs="Times New Roman"/>
          <w:bCs/>
          <w:szCs w:val="24"/>
          <w:lang w:val="zh-CN" w:bidi="ar"/>
        </w:rPr>
        <w:t>8.0.1</w:t>
      </w:r>
      <w:r>
        <w:rPr>
          <w:rFonts w:hint="eastAsia" w:cs="Times New Roman"/>
          <w:bCs/>
          <w:szCs w:val="24"/>
          <w:lang w:val="zh-CN" w:bidi="ar"/>
        </w:rPr>
        <w:t>近零能耗建筑评价应以单栋建筑为对象，以年为周期。</w:t>
      </w:r>
      <w:bookmarkEnd w:id="76"/>
      <w:r>
        <w:rPr>
          <w:rFonts w:hint="eastAsia" w:cs="Times New Roman"/>
          <w:bCs/>
          <w:szCs w:val="24"/>
          <w:lang w:val="zh-CN" w:bidi="ar"/>
        </w:rPr>
        <w:t>评价分为设计阶段、施工阶段、运行阶段。</w:t>
      </w:r>
      <w:bookmarkEnd w:id="77"/>
      <w:bookmarkEnd w:id="78"/>
    </w:p>
    <w:p>
      <w:pPr>
        <w:widowControl/>
        <w:ind w:firstLine="0" w:firstLineChars="0"/>
        <w:jc w:val="left"/>
        <w:textAlignment w:val="center"/>
      </w:pPr>
      <w:r>
        <w:rPr>
          <w:rFonts w:hint="eastAsia"/>
        </w:rPr>
        <w:t>【条文说明】</w:t>
      </w:r>
    </w:p>
    <w:p>
      <w:pPr>
        <w:ind w:firstLine="420"/>
      </w:pPr>
      <w:r>
        <w:rPr>
          <w:rFonts w:hint="eastAsia"/>
        </w:rPr>
        <w:t>8.0.1 建筑的能效指标是以单栋建筑为基准设计和确定的，因此相关评价也应基于整栋建筑，具体可参照中国建筑节能协会团体标准《近零能耗建筑测评标准》T/CABEE 003-2025。近零能耗建筑的设计、施工、运行均对能耗产生较大影响，为有效控制各个环节质量，近零能耗建筑评价分为设计阶段、施工阶段、运行阶段。</w:t>
      </w:r>
    </w:p>
    <w:p>
      <w:pPr>
        <w:ind w:firstLine="0" w:firstLineChars="0"/>
        <w:rPr>
          <w:sz w:val="24"/>
        </w:rPr>
      </w:pPr>
    </w:p>
    <w:p>
      <w:pPr>
        <w:widowControl/>
        <w:ind w:firstLine="0" w:firstLineChars="0"/>
        <w:jc w:val="left"/>
        <w:outlineLvl w:val="2"/>
        <w:rPr>
          <w:rFonts w:cs="Times New Roman"/>
          <w:bCs/>
          <w:szCs w:val="24"/>
          <w:lang w:val="zh-CN" w:bidi="ar"/>
        </w:rPr>
      </w:pPr>
      <w:bookmarkStart w:id="79" w:name="_Toc6440"/>
      <w:bookmarkStart w:id="80" w:name="_Toc198125376"/>
      <w:bookmarkStart w:id="81" w:name="_Toc193023039"/>
      <w:r>
        <w:rPr>
          <w:rFonts w:cs="Times New Roman"/>
          <w:bCs/>
          <w:szCs w:val="24"/>
          <w:lang w:val="zh-CN" w:bidi="ar"/>
        </w:rPr>
        <w:t>8.0.2</w:t>
      </w:r>
      <w:r>
        <w:rPr>
          <w:rFonts w:hint="eastAsia" w:cs="Times New Roman"/>
          <w:bCs/>
          <w:szCs w:val="24"/>
          <w:lang w:val="zh-CN" w:bidi="ar"/>
        </w:rPr>
        <w:t>近零能耗建筑设计评价应在施工图设计文件完成后进行。施工评价应在建筑竣工验收后进行。运行评价应在建筑投入正常使用至少一年且空置率不高于2</w:t>
      </w:r>
      <w:r>
        <w:rPr>
          <w:rFonts w:cs="Times New Roman"/>
          <w:bCs/>
          <w:szCs w:val="24"/>
          <w:lang w:val="zh-CN" w:bidi="ar"/>
        </w:rPr>
        <w:t>5</w:t>
      </w:r>
      <w:r>
        <w:rPr>
          <w:rFonts w:hint="eastAsia" w:cs="Times New Roman"/>
          <w:bCs/>
          <w:szCs w:val="24"/>
          <w:lang w:val="zh-CN" w:bidi="ar"/>
        </w:rPr>
        <w:t>%后进行。</w:t>
      </w:r>
      <w:bookmarkEnd w:id="79"/>
      <w:bookmarkEnd w:id="80"/>
      <w:bookmarkEnd w:id="81"/>
    </w:p>
    <w:p>
      <w:pPr>
        <w:ind w:firstLine="0" w:firstLineChars="0"/>
      </w:pPr>
      <w:r>
        <w:t>【条文说明】</w:t>
      </w:r>
    </w:p>
    <w:p>
      <w:pPr>
        <w:ind w:firstLine="420"/>
      </w:pPr>
      <w:r>
        <w:rPr>
          <w:rFonts w:hint="eastAsia"/>
        </w:rPr>
        <w:t>8.0.2 为保障各阶段评价的准确性，本条给出了近零能耗建筑各阶段评价前提条件。在设计评价前进行施工图审查可保证设计图纸质量，为近零能耗建筑建设提供基础保障。在运行评估的过程中，可使用建筑投人使用1年内的数据，对于评价数据不完善的建筑需要通过测试得到相应数据。</w:t>
      </w:r>
    </w:p>
    <w:p>
      <w:pPr>
        <w:ind w:firstLine="0" w:firstLineChars="0"/>
        <w:rPr>
          <w:sz w:val="24"/>
        </w:rPr>
      </w:pPr>
    </w:p>
    <w:p>
      <w:pPr>
        <w:widowControl/>
        <w:ind w:firstLine="0" w:firstLineChars="0"/>
        <w:jc w:val="left"/>
        <w:outlineLvl w:val="2"/>
        <w:rPr>
          <w:rFonts w:cs="Times New Roman"/>
          <w:bCs/>
          <w:szCs w:val="24"/>
          <w:lang w:val="zh-CN" w:bidi="ar"/>
        </w:rPr>
      </w:pPr>
      <w:bookmarkStart w:id="82" w:name="_Toc193023040"/>
      <w:bookmarkStart w:id="83" w:name="_Toc23367"/>
      <w:bookmarkStart w:id="84" w:name="_Toc198125377"/>
      <w:r>
        <w:rPr>
          <w:rFonts w:cs="Times New Roman"/>
          <w:bCs/>
          <w:szCs w:val="24"/>
          <w:lang w:val="zh-CN" w:bidi="ar"/>
        </w:rPr>
        <w:t xml:space="preserve">8.0.3 </w:t>
      </w:r>
      <w:r>
        <w:rPr>
          <w:rFonts w:hint="eastAsia" w:cs="Times New Roman"/>
          <w:bCs/>
          <w:szCs w:val="24"/>
          <w:lang w:val="zh-CN" w:bidi="ar"/>
        </w:rPr>
        <w:t>近零能耗公共建筑运行阶段应进行室内环境检测和运行能效指标评估。近零能耗居住建筑宜进行室内环境检测和运行能效指标评估。</w:t>
      </w:r>
      <w:bookmarkEnd w:id="82"/>
      <w:bookmarkEnd w:id="83"/>
      <w:bookmarkEnd w:id="84"/>
    </w:p>
    <w:p>
      <w:pPr>
        <w:ind w:firstLine="0" w:firstLineChars="0"/>
      </w:pPr>
      <w:r>
        <w:t>【条文说明】</w:t>
      </w:r>
    </w:p>
    <w:p>
      <w:pPr>
        <w:ind w:firstLine="420"/>
      </w:pPr>
      <w:r>
        <w:rPr>
          <w:rFonts w:hint="eastAsia"/>
        </w:rPr>
        <w:t>8</w:t>
      </w:r>
      <w:r>
        <w:t xml:space="preserve">.0.3 </w:t>
      </w:r>
      <w:r>
        <w:rPr>
          <w:rFonts w:hint="eastAsia"/>
        </w:rPr>
        <w:t>近零能耗建筑运行评价包含室内环境与运行能效两部分，因此在评价中应对室内环境进行检测并评估运行能效指标，考虑到居住建筑存在较多业主的情况，进行室内环境检测有一定难度，在条件允许的情况下，近零能耗居住建筑宜进行室内环境检测和运行能效指标评估。</w:t>
      </w:r>
    </w:p>
    <w:p>
      <w:pPr>
        <w:ind w:firstLine="420"/>
      </w:pPr>
    </w:p>
    <w:p>
      <w:pPr>
        <w:widowControl/>
        <w:ind w:firstLine="0" w:firstLineChars="0"/>
        <w:jc w:val="left"/>
        <w:outlineLvl w:val="2"/>
        <w:rPr>
          <w:rFonts w:cs="Times New Roman"/>
          <w:bCs/>
          <w:szCs w:val="24"/>
          <w:lang w:val="zh-CN" w:bidi="ar"/>
        </w:rPr>
      </w:pPr>
      <w:bookmarkStart w:id="85" w:name="_Toc198125378"/>
      <w:bookmarkStart w:id="86" w:name="_Toc8962"/>
      <w:bookmarkStart w:id="87" w:name="_Toc193023041"/>
      <w:r>
        <w:rPr>
          <w:rFonts w:cs="Times New Roman"/>
          <w:bCs/>
          <w:szCs w:val="24"/>
          <w:lang w:val="zh-CN" w:bidi="ar"/>
        </w:rPr>
        <w:t xml:space="preserve">8.0.4 </w:t>
      </w:r>
      <w:r>
        <w:rPr>
          <w:rFonts w:hint="eastAsia" w:cs="Times New Roman"/>
          <w:bCs/>
          <w:szCs w:val="24"/>
          <w:lang w:val="zh-CN" w:bidi="ar"/>
        </w:rPr>
        <w:t>室内环境检测参数应包括室内温度、湿度、新风量和室内环境噪声。检测结果应符合设计要求。</w:t>
      </w:r>
      <w:bookmarkEnd w:id="85"/>
      <w:bookmarkEnd w:id="86"/>
      <w:bookmarkEnd w:id="87"/>
    </w:p>
    <w:p>
      <w:pPr>
        <w:ind w:firstLine="0" w:firstLineChars="0"/>
      </w:pPr>
      <w:r>
        <w:t>【条文说明】</w:t>
      </w:r>
    </w:p>
    <w:p>
      <w:pPr>
        <w:ind w:firstLine="420"/>
      </w:pPr>
      <w:r>
        <w:rPr>
          <w:rFonts w:hint="eastAsia"/>
        </w:rPr>
        <w:t>8</w:t>
      </w:r>
      <w:r>
        <w:t>.0.4</w:t>
      </w:r>
      <w:r>
        <w:rPr>
          <w:rFonts w:hint="eastAsia"/>
        </w:rPr>
        <w:t>相关参数检测应按《公共建筑节能检测标准》 JGJ/T 177、《居住建筑节能检测标准》 JGJ/T 132、《民用建筑隔声设计规范》 GB 50118、《民用建筑供暖通风与空气调节设计规范》 GB50736及其它相关标准要求进行。</w:t>
      </w:r>
    </w:p>
    <w:p>
      <w:pPr>
        <w:ind w:firstLine="420"/>
      </w:pPr>
    </w:p>
    <w:p>
      <w:pPr>
        <w:widowControl/>
        <w:ind w:firstLine="0" w:firstLineChars="0"/>
        <w:jc w:val="left"/>
        <w:outlineLvl w:val="2"/>
        <w:rPr>
          <w:rFonts w:cs="Times New Roman"/>
          <w:bCs/>
          <w:szCs w:val="24"/>
          <w:lang w:val="zh-CN" w:bidi="ar"/>
        </w:rPr>
      </w:pPr>
      <w:bookmarkStart w:id="88" w:name="_Toc198125379"/>
      <w:bookmarkStart w:id="89" w:name="_Toc193023042"/>
      <w:r>
        <w:rPr>
          <w:rFonts w:cs="Times New Roman"/>
          <w:bCs/>
          <w:szCs w:val="24"/>
          <w:lang w:val="zh-CN" w:bidi="ar"/>
        </w:rPr>
        <w:t xml:space="preserve">8.0.5 </w:t>
      </w:r>
      <w:r>
        <w:rPr>
          <w:rFonts w:hint="eastAsia" w:cs="Times New Roman"/>
          <w:bCs/>
          <w:szCs w:val="24"/>
          <w:lang w:val="zh-CN" w:bidi="ar"/>
        </w:rPr>
        <w:t>近零能耗建筑施工评价应对建筑外遮阳、光伏系统等构件的安全性进行评估。</w:t>
      </w:r>
      <w:bookmarkEnd w:id="88"/>
      <w:bookmarkEnd w:id="89"/>
    </w:p>
    <w:p>
      <w:pPr>
        <w:ind w:firstLine="0" w:firstLineChars="0"/>
        <w:rPr>
          <w:szCs w:val="21"/>
        </w:rPr>
      </w:pPr>
      <w:r>
        <w:t>【条文说明】</w:t>
      </w:r>
    </w:p>
    <w:p>
      <w:pPr>
        <w:ind w:firstLine="420"/>
      </w:pPr>
      <w:r>
        <w:rPr>
          <w:rFonts w:hint="eastAsia"/>
        </w:rPr>
        <w:t>8</w:t>
      </w:r>
      <w:r>
        <w:t xml:space="preserve">.0.5 </w:t>
      </w:r>
      <w:r>
        <w:rPr>
          <w:rFonts w:hint="eastAsia"/>
        </w:rPr>
        <w:t>考虑到海南省高湿、高盐气候类型，同时台风频发，在近零能耗建筑施工阶段应充分考虑建筑外遮阳、光伏系统长期安全性，针对该种气候条件采用合理的施工技术与工艺，保障构件长期安全稳定运行。</w:t>
      </w:r>
    </w:p>
    <w:p>
      <w:pPr>
        <w:ind w:firstLine="420"/>
      </w:pPr>
    </w:p>
    <w:p>
      <w:pPr>
        <w:widowControl/>
        <w:ind w:firstLine="0" w:firstLineChars="0"/>
        <w:jc w:val="left"/>
        <w:outlineLvl w:val="2"/>
        <w:rPr>
          <w:rFonts w:cs="Times New Roman"/>
          <w:bCs/>
          <w:szCs w:val="24"/>
          <w:lang w:val="zh-CN" w:bidi="ar"/>
        </w:rPr>
      </w:pPr>
      <w:bookmarkStart w:id="90" w:name="_Toc9081"/>
      <w:bookmarkStart w:id="91" w:name="_Toc193023043"/>
      <w:bookmarkStart w:id="92" w:name="_Toc198125380"/>
      <w:r>
        <w:rPr>
          <w:rFonts w:cs="Times New Roman"/>
          <w:bCs/>
          <w:szCs w:val="24"/>
          <w:lang w:val="zh-CN" w:bidi="ar"/>
        </w:rPr>
        <w:t>8.0.6</w:t>
      </w:r>
      <w:r>
        <w:rPr>
          <w:rFonts w:hint="eastAsia" w:cs="Times New Roman"/>
          <w:bCs/>
          <w:szCs w:val="24"/>
          <w:lang w:val="zh-CN" w:bidi="ar"/>
        </w:rPr>
        <w:t>建筑设计评价应符合下列规定：</w:t>
      </w:r>
      <w:bookmarkEnd w:id="90"/>
      <w:bookmarkEnd w:id="91"/>
      <w:bookmarkEnd w:id="92"/>
    </w:p>
    <w:p>
      <w:pPr>
        <w:ind w:firstLine="420"/>
      </w:pPr>
      <w:r>
        <w:rPr>
          <w:rFonts w:hint="eastAsia"/>
        </w:rPr>
        <w:t>1 施工图审核应重点核查围护结构关键节点构造及做法和可再生能源布置等；</w:t>
      </w:r>
    </w:p>
    <w:p>
      <w:pPr>
        <w:ind w:firstLine="420"/>
      </w:pPr>
      <w:r>
        <w:rPr>
          <w:rFonts w:hint="eastAsia"/>
        </w:rPr>
        <w:t>2</w:t>
      </w:r>
      <w:r>
        <w:t>.</w:t>
      </w:r>
      <w:r>
        <w:rPr>
          <w:rFonts w:hint="eastAsia"/>
        </w:rPr>
        <w:t xml:space="preserve"> 居住建筑应计算供冷年耗冷量、换气次数 N50、建筑能耗综合值和碳排放强度，室内环境应满足</w:t>
      </w:r>
      <w:r>
        <w:rPr>
          <w:rFonts w:hint="eastAsia"/>
          <w:lang w:val="en" w:eastAsia="zh-CN"/>
        </w:rPr>
        <w:t>本标准</w:t>
      </w:r>
      <w:r>
        <w:rPr>
          <w:rFonts w:hint="eastAsia"/>
        </w:rPr>
        <w:t>4</w:t>
      </w:r>
      <w:r>
        <w:t>.0.1</w:t>
      </w:r>
      <w:r>
        <w:rPr>
          <w:rFonts w:hint="eastAsia"/>
        </w:rPr>
        <w:t>~</w:t>
      </w:r>
      <w:r>
        <w:t>4.0.</w:t>
      </w:r>
      <w:r>
        <w:rPr>
          <w:rFonts w:hint="eastAsia"/>
        </w:rPr>
        <w:t>3条的要求，超低能耗居住建筑能耗指标应满足</w:t>
      </w:r>
      <w:r>
        <w:rPr>
          <w:rFonts w:hint="eastAsia"/>
          <w:lang w:val="en" w:eastAsia="zh-CN"/>
        </w:rPr>
        <w:t>本标准</w:t>
      </w:r>
      <w:r>
        <w:rPr>
          <w:rFonts w:hint="eastAsia"/>
        </w:rPr>
        <w:t>5.0.1条的要求，近零能耗居住建筑能耗指标应满足</w:t>
      </w:r>
      <w:r>
        <w:rPr>
          <w:rFonts w:hint="eastAsia"/>
          <w:lang w:val="en" w:eastAsia="zh-CN"/>
        </w:rPr>
        <w:t>本标准</w:t>
      </w:r>
      <w:r>
        <w:rPr>
          <w:rFonts w:hint="eastAsia"/>
        </w:rPr>
        <w:t>5.0.2条的要求，零能耗居住建筑能耗指标应满足</w:t>
      </w:r>
      <w:r>
        <w:rPr>
          <w:rFonts w:hint="eastAsia"/>
          <w:lang w:val="en" w:eastAsia="zh-CN"/>
        </w:rPr>
        <w:t>本标准</w:t>
      </w:r>
      <w:r>
        <w:rPr>
          <w:rFonts w:hint="eastAsia"/>
        </w:rPr>
        <w:t>5.0.3条的要求；</w:t>
      </w:r>
    </w:p>
    <w:p>
      <w:pPr>
        <w:ind w:firstLine="420"/>
      </w:pPr>
      <w:r>
        <w:rPr>
          <w:rFonts w:hint="eastAsia"/>
        </w:rPr>
        <w:t>3</w:t>
      </w:r>
      <w:r>
        <w:t>.</w:t>
      </w:r>
      <w:r>
        <w:rPr>
          <w:rFonts w:hint="eastAsia"/>
        </w:rPr>
        <w:t xml:space="preserve"> 公共建筑应计算建筑本体节能率、建筑综合节能率和建筑综合减碳率，室内环境应满足</w:t>
      </w:r>
      <w:r>
        <w:rPr>
          <w:rFonts w:hint="eastAsia"/>
          <w:lang w:val="en" w:eastAsia="zh-CN"/>
        </w:rPr>
        <w:t>本标准</w:t>
      </w:r>
      <w:r>
        <w:rPr>
          <w:rFonts w:hint="eastAsia"/>
        </w:rPr>
        <w:t>4</w:t>
      </w:r>
      <w:r>
        <w:t>.0.1</w:t>
      </w:r>
      <w:r>
        <w:rPr>
          <w:rFonts w:hint="eastAsia"/>
        </w:rPr>
        <w:t>~</w:t>
      </w:r>
      <w:r>
        <w:t>4.0.</w:t>
      </w:r>
      <w:r>
        <w:rPr>
          <w:rFonts w:hint="eastAsia"/>
        </w:rPr>
        <w:t>3条的要求，超低能耗公共建筑能耗指标应满足</w:t>
      </w:r>
      <w:r>
        <w:rPr>
          <w:rFonts w:hint="eastAsia"/>
          <w:lang w:val="en" w:eastAsia="zh-CN"/>
        </w:rPr>
        <w:t>本标准</w:t>
      </w:r>
      <w:r>
        <w:rPr>
          <w:rFonts w:hint="eastAsia"/>
        </w:rPr>
        <w:t>5.0.4条的要求，近零能耗公共建筑能耗指标应满足</w:t>
      </w:r>
      <w:r>
        <w:rPr>
          <w:rFonts w:hint="eastAsia"/>
          <w:lang w:val="en" w:eastAsia="zh-CN"/>
        </w:rPr>
        <w:t>本标准</w:t>
      </w:r>
      <w:r>
        <w:rPr>
          <w:rFonts w:hint="eastAsia"/>
        </w:rPr>
        <w:t>5.0.5条的要求，零能耗公共建筑能耗指标应满足</w:t>
      </w:r>
      <w:r>
        <w:rPr>
          <w:rFonts w:hint="eastAsia"/>
          <w:lang w:val="en" w:eastAsia="zh-CN"/>
        </w:rPr>
        <w:t>本标准</w:t>
      </w:r>
      <w:r>
        <w:rPr>
          <w:rFonts w:hint="eastAsia"/>
        </w:rPr>
        <w:t>5.0.6条的要求。</w:t>
      </w:r>
    </w:p>
    <w:p>
      <w:pPr>
        <w:ind w:firstLine="0" w:firstLineChars="0"/>
      </w:pPr>
      <w:r>
        <w:t>【条文说明】</w:t>
      </w:r>
    </w:p>
    <w:p>
      <w:pPr>
        <w:ind w:firstLine="420"/>
      </w:pPr>
      <w:r>
        <w:rPr>
          <w:rFonts w:hint="eastAsia"/>
        </w:rPr>
        <w:t>8</w:t>
      </w:r>
      <w:r>
        <w:t xml:space="preserve">.0.6 </w:t>
      </w:r>
      <w:r>
        <w:rPr>
          <w:rFonts w:hint="eastAsia"/>
        </w:rPr>
        <w:t>围护结构关键节点包括外保温构造、 无热桥处理方法、门窗洞口密封、气密层保护措施等；可再生能源包含太阳能光热、光伏系统。</w:t>
      </w:r>
    </w:p>
    <w:p>
      <w:pPr>
        <w:ind w:firstLine="420"/>
      </w:pPr>
      <w:r>
        <w:rPr>
          <w:rFonts w:hint="eastAsia"/>
        </w:rPr>
        <w:t>评价中能效指标的核算应以近零能耗建筑软件模拟计算的结果为基础，计算软件应与性能化设计采用的计算软件相同，并提供相应计算报告。</w:t>
      </w:r>
    </w:p>
    <w:p>
      <w:pPr>
        <w:ind w:firstLine="420"/>
        <w:rPr>
          <w:bCs/>
        </w:rPr>
      </w:pPr>
    </w:p>
    <w:p>
      <w:pPr>
        <w:widowControl/>
        <w:ind w:firstLine="0" w:firstLineChars="0"/>
        <w:jc w:val="left"/>
        <w:outlineLvl w:val="2"/>
        <w:rPr>
          <w:rFonts w:cs="Times New Roman"/>
          <w:bCs/>
          <w:szCs w:val="24"/>
          <w:lang w:val="zh-CN" w:bidi="ar"/>
        </w:rPr>
      </w:pPr>
      <w:bookmarkStart w:id="93" w:name="_Toc198125381"/>
      <w:bookmarkStart w:id="94" w:name="_Toc21835"/>
      <w:bookmarkStart w:id="95" w:name="_Toc193023044"/>
      <w:r>
        <w:rPr>
          <w:rFonts w:cs="Times New Roman"/>
          <w:bCs/>
          <w:szCs w:val="24"/>
          <w:lang w:val="zh-CN" w:bidi="ar"/>
        </w:rPr>
        <w:t>8.0.7</w:t>
      </w:r>
      <w:r>
        <w:rPr>
          <w:rFonts w:hint="eastAsia" w:cs="Times New Roman"/>
          <w:bCs/>
          <w:szCs w:val="24"/>
          <w:lang w:val="zh-CN" w:bidi="ar"/>
        </w:rPr>
        <w:t>建筑施工评价应符合下列规定：</w:t>
      </w:r>
      <w:bookmarkEnd w:id="93"/>
      <w:bookmarkEnd w:id="94"/>
      <w:bookmarkEnd w:id="95"/>
    </w:p>
    <w:p>
      <w:pPr>
        <w:ind w:firstLine="420"/>
      </w:pPr>
      <w:r>
        <w:rPr>
          <w:rFonts w:hint="eastAsia"/>
        </w:rPr>
        <w:t>1</w:t>
      </w:r>
      <w:r>
        <w:t>.</w:t>
      </w:r>
      <w:r>
        <w:rPr>
          <w:rFonts w:hint="eastAsia"/>
        </w:rPr>
        <w:t xml:space="preserve"> 应按现行国家标准《建筑节能施工质量验收标准》 GB50411 对外墙保温材料、门窗等关键产品（部品）进行现场抽检，其性能应符合设计要求。 对获得高性能节能标识（ 或认证）且在标识（ 或认证）有效期内的产品，提供证书可免于现场抽检。</w:t>
      </w:r>
    </w:p>
    <w:p>
      <w:pPr>
        <w:ind w:firstLine="420"/>
      </w:pPr>
      <w:r>
        <w:rPr>
          <w:rFonts w:hint="eastAsia"/>
        </w:rPr>
        <w:t>2</w:t>
      </w:r>
      <w:r>
        <w:t>.</w:t>
      </w:r>
      <w:r>
        <w:rPr>
          <w:rFonts w:hint="eastAsia"/>
        </w:rPr>
        <w:t xml:space="preserve"> 居住建筑应核算供冷年耗冷量、换气次数 N50、建筑能耗综合值和碳排放强度，室内环境应满足</w:t>
      </w:r>
      <w:r>
        <w:rPr>
          <w:rFonts w:hint="eastAsia"/>
          <w:lang w:val="en" w:eastAsia="zh-CN"/>
        </w:rPr>
        <w:t>本标准</w:t>
      </w:r>
      <w:r>
        <w:rPr>
          <w:rFonts w:hint="eastAsia"/>
        </w:rPr>
        <w:t>4</w:t>
      </w:r>
      <w:r>
        <w:t>.0.1</w:t>
      </w:r>
      <w:r>
        <w:rPr>
          <w:rFonts w:hint="eastAsia"/>
        </w:rPr>
        <w:t>~</w:t>
      </w:r>
      <w:r>
        <w:t>4.0.</w:t>
      </w:r>
      <w:r>
        <w:rPr>
          <w:rFonts w:hint="eastAsia"/>
        </w:rPr>
        <w:t>3条的要求，超低能耗居住建筑能耗指标应满足</w:t>
      </w:r>
      <w:r>
        <w:rPr>
          <w:rFonts w:hint="eastAsia"/>
          <w:lang w:val="en" w:eastAsia="zh-CN"/>
        </w:rPr>
        <w:t>本标准</w:t>
      </w:r>
      <w:r>
        <w:rPr>
          <w:rFonts w:hint="eastAsia"/>
        </w:rPr>
        <w:t>5.0.1条的要求，近零能耗居住建筑能耗指标应满足</w:t>
      </w:r>
      <w:r>
        <w:rPr>
          <w:rFonts w:hint="eastAsia"/>
          <w:lang w:val="en" w:eastAsia="zh-CN"/>
        </w:rPr>
        <w:t>本标准</w:t>
      </w:r>
      <w:r>
        <w:rPr>
          <w:rFonts w:hint="eastAsia"/>
        </w:rPr>
        <w:t>5.0.2条的要求，零能耗居住建筑能耗指标应满足</w:t>
      </w:r>
      <w:r>
        <w:rPr>
          <w:rFonts w:hint="eastAsia"/>
          <w:lang w:val="en" w:eastAsia="zh-CN"/>
        </w:rPr>
        <w:t>本标准</w:t>
      </w:r>
      <w:r>
        <w:rPr>
          <w:rFonts w:hint="eastAsia"/>
        </w:rPr>
        <w:t>5.0.3条的要求；</w:t>
      </w:r>
    </w:p>
    <w:p>
      <w:pPr>
        <w:ind w:firstLine="420"/>
      </w:pPr>
      <w:r>
        <w:rPr>
          <w:rFonts w:hint="eastAsia"/>
        </w:rPr>
        <w:t>3</w:t>
      </w:r>
      <w:r>
        <w:t>.</w:t>
      </w:r>
      <w:r>
        <w:rPr>
          <w:rFonts w:hint="eastAsia"/>
        </w:rPr>
        <w:t xml:space="preserve"> 公共建筑应核算建筑本体节能率、建筑综合节能率和建筑综合减碳率，室内环境应满足</w:t>
      </w:r>
      <w:r>
        <w:rPr>
          <w:rFonts w:hint="eastAsia"/>
          <w:lang w:val="en" w:eastAsia="zh-CN"/>
        </w:rPr>
        <w:t>本标准</w:t>
      </w:r>
      <w:r>
        <w:rPr>
          <w:rFonts w:hint="eastAsia"/>
        </w:rPr>
        <w:t>4</w:t>
      </w:r>
      <w:r>
        <w:t>.0.1</w:t>
      </w:r>
      <w:r>
        <w:rPr>
          <w:rFonts w:hint="eastAsia"/>
        </w:rPr>
        <w:t>~</w:t>
      </w:r>
      <w:r>
        <w:t>4.0.</w:t>
      </w:r>
      <w:r>
        <w:rPr>
          <w:rFonts w:hint="eastAsia"/>
        </w:rPr>
        <w:t>3条的要求，超低能耗公共建筑能耗指标应满足</w:t>
      </w:r>
      <w:r>
        <w:rPr>
          <w:rFonts w:hint="eastAsia"/>
          <w:lang w:val="en" w:eastAsia="zh-CN"/>
        </w:rPr>
        <w:t>本标准</w:t>
      </w:r>
      <w:r>
        <w:rPr>
          <w:rFonts w:hint="eastAsia"/>
        </w:rPr>
        <w:t>5.0.4条的要求，近零能耗公共建筑能耗指标应满足</w:t>
      </w:r>
      <w:r>
        <w:rPr>
          <w:rFonts w:hint="eastAsia"/>
          <w:lang w:val="en" w:eastAsia="zh-CN"/>
        </w:rPr>
        <w:t>本标准</w:t>
      </w:r>
      <w:r>
        <w:rPr>
          <w:rFonts w:hint="eastAsia"/>
        </w:rPr>
        <w:t>5.0.5条的要求，零能耗公共建筑能耗指标应满足</w:t>
      </w:r>
      <w:r>
        <w:rPr>
          <w:rFonts w:hint="eastAsia"/>
          <w:lang w:val="en" w:eastAsia="zh-CN"/>
        </w:rPr>
        <w:t>本标准</w:t>
      </w:r>
      <w:r>
        <w:rPr>
          <w:rFonts w:hint="eastAsia"/>
        </w:rPr>
        <w:t>5.0.6条的要求。</w:t>
      </w:r>
    </w:p>
    <w:p>
      <w:pPr>
        <w:ind w:firstLine="0" w:firstLineChars="0"/>
      </w:pPr>
      <w:r>
        <w:t>【条文说明】</w:t>
      </w:r>
    </w:p>
    <w:p>
      <w:pPr>
        <w:ind w:firstLine="420"/>
      </w:pPr>
      <w:r>
        <w:t>8.0.7</w:t>
      </w:r>
      <w:r>
        <w:rPr>
          <w:rFonts w:hint="eastAsia"/>
        </w:rPr>
        <w:t>竣工验收后应对建造质量进行评价，评价采用性能检测与相关资料的核验结合的方式。高性能节能产品是指满足国家相关产品标准且主要节能性能指标达到国际领先水平的产品。对采用获得高性能节能标识（认证）或绿色建材标识（认证）且在有效期内的产品，在评价时，可直接认可其产品性能。</w:t>
      </w:r>
    </w:p>
    <w:p>
      <w:pPr>
        <w:ind w:firstLine="420"/>
        <w:rPr>
          <w:bCs/>
        </w:rPr>
      </w:pPr>
    </w:p>
    <w:p>
      <w:pPr>
        <w:widowControl/>
        <w:ind w:firstLine="0" w:firstLineChars="0"/>
        <w:jc w:val="left"/>
        <w:outlineLvl w:val="2"/>
        <w:rPr>
          <w:rFonts w:cs="Times New Roman"/>
          <w:bCs/>
          <w:szCs w:val="24"/>
          <w:lang w:val="zh-CN" w:bidi="ar"/>
        </w:rPr>
      </w:pPr>
      <w:bookmarkStart w:id="96" w:name="_Toc14245"/>
      <w:bookmarkStart w:id="97" w:name="_Toc198125382"/>
      <w:bookmarkStart w:id="98" w:name="_Toc193023045"/>
      <w:r>
        <w:rPr>
          <w:rFonts w:cs="Times New Roman"/>
          <w:bCs/>
          <w:szCs w:val="24"/>
          <w:lang w:val="zh-CN" w:bidi="ar"/>
        </w:rPr>
        <w:t>8.0.8</w:t>
      </w:r>
      <w:r>
        <w:rPr>
          <w:rFonts w:hint="eastAsia" w:cs="Times New Roman"/>
          <w:bCs/>
          <w:szCs w:val="24"/>
          <w:lang w:val="zh-CN" w:bidi="ar"/>
        </w:rPr>
        <w:t>建筑运行评价应符合下列规定：</w:t>
      </w:r>
      <w:bookmarkEnd w:id="96"/>
      <w:bookmarkEnd w:id="97"/>
      <w:bookmarkEnd w:id="98"/>
    </w:p>
    <w:p>
      <w:pPr>
        <w:ind w:firstLine="420"/>
      </w:pPr>
      <w:r>
        <w:rPr>
          <w:rFonts w:hint="eastAsia"/>
        </w:rPr>
        <w:t>1.居住建筑应以建筑能耗综合值为评估指标，并以栋或典型用户电表、气表等计量仪表的实测数据为依据，经计算分析后采用，室内环境应满足</w:t>
      </w:r>
      <w:r>
        <w:rPr>
          <w:rFonts w:hint="eastAsia"/>
          <w:lang w:val="en" w:eastAsia="zh-CN"/>
        </w:rPr>
        <w:t>本标准</w:t>
      </w:r>
      <w:r>
        <w:rPr>
          <w:rFonts w:hint="eastAsia"/>
        </w:rPr>
        <w:t>4</w:t>
      </w:r>
      <w:r>
        <w:t>.0.1</w:t>
      </w:r>
      <w:r>
        <w:rPr>
          <w:rFonts w:hint="eastAsia"/>
        </w:rPr>
        <w:t>~</w:t>
      </w:r>
      <w:r>
        <w:t>4.0.</w:t>
      </w:r>
      <w:r>
        <w:rPr>
          <w:rFonts w:hint="eastAsia"/>
        </w:rPr>
        <w:t>3条的要求，超低能耗居住建筑能耗指标应满足</w:t>
      </w:r>
      <w:r>
        <w:rPr>
          <w:rFonts w:hint="eastAsia"/>
          <w:lang w:val="en" w:eastAsia="zh-CN"/>
        </w:rPr>
        <w:t>本标准</w:t>
      </w:r>
      <w:r>
        <w:rPr>
          <w:rFonts w:hint="eastAsia"/>
        </w:rPr>
        <w:t>5.0.1条的要求，近零能耗居住建筑能耗指标应满足</w:t>
      </w:r>
      <w:r>
        <w:rPr>
          <w:rFonts w:hint="eastAsia"/>
          <w:lang w:val="en" w:eastAsia="zh-CN"/>
        </w:rPr>
        <w:t>本标准</w:t>
      </w:r>
      <w:r>
        <w:rPr>
          <w:rFonts w:hint="eastAsia"/>
        </w:rPr>
        <w:t>5.0.2条的要求，零能耗居住建筑能耗指标应满足</w:t>
      </w:r>
      <w:r>
        <w:rPr>
          <w:rFonts w:hint="eastAsia"/>
          <w:lang w:val="en" w:eastAsia="zh-CN"/>
        </w:rPr>
        <w:t>本标准</w:t>
      </w:r>
      <w:r>
        <w:rPr>
          <w:rFonts w:hint="eastAsia"/>
        </w:rPr>
        <w:t>5.0.3条的要求；</w:t>
      </w:r>
    </w:p>
    <w:p>
      <w:pPr>
        <w:ind w:firstLine="420"/>
      </w:pPr>
      <w:r>
        <w:rPr>
          <w:rFonts w:hint="eastAsia"/>
        </w:rPr>
        <w:t>2.公共建筑应以建筑综合节能率为评估指标，且应直接采用分项计量的能耗数据，并对其计量仪表进行校核后采用，室内环境应满足</w:t>
      </w:r>
      <w:r>
        <w:rPr>
          <w:rFonts w:hint="eastAsia"/>
          <w:lang w:val="en" w:eastAsia="zh-CN"/>
        </w:rPr>
        <w:t>本标准</w:t>
      </w:r>
      <w:r>
        <w:rPr>
          <w:rFonts w:hint="eastAsia"/>
        </w:rPr>
        <w:t>4</w:t>
      </w:r>
      <w:r>
        <w:t>.0.1</w:t>
      </w:r>
      <w:r>
        <w:rPr>
          <w:rFonts w:hint="eastAsia"/>
        </w:rPr>
        <w:t>~</w:t>
      </w:r>
      <w:r>
        <w:t>4.0.</w:t>
      </w:r>
      <w:r>
        <w:rPr>
          <w:rFonts w:hint="eastAsia"/>
        </w:rPr>
        <w:t>3条的要求，超低能耗公共建筑能耗指标应满足</w:t>
      </w:r>
      <w:r>
        <w:rPr>
          <w:rFonts w:hint="eastAsia"/>
          <w:lang w:val="en" w:eastAsia="zh-CN"/>
        </w:rPr>
        <w:t>本标准</w:t>
      </w:r>
      <w:r>
        <w:rPr>
          <w:rFonts w:hint="eastAsia"/>
        </w:rPr>
        <w:t>5.0.4条的要求，近零能耗公共建筑能耗指标应满足</w:t>
      </w:r>
      <w:r>
        <w:rPr>
          <w:rFonts w:hint="eastAsia"/>
          <w:lang w:val="en" w:eastAsia="zh-CN"/>
        </w:rPr>
        <w:t>本标准</w:t>
      </w:r>
      <w:r>
        <w:rPr>
          <w:rFonts w:hint="eastAsia"/>
        </w:rPr>
        <w:t>5.0.5条的要求，零能耗公共建筑能耗指标应满足</w:t>
      </w:r>
      <w:r>
        <w:rPr>
          <w:rFonts w:hint="eastAsia"/>
          <w:lang w:val="en" w:eastAsia="zh-CN"/>
        </w:rPr>
        <w:t>本标准</w:t>
      </w:r>
      <w:r>
        <w:rPr>
          <w:rFonts w:hint="eastAsia"/>
        </w:rPr>
        <w:t>5.0.6条的要求。</w:t>
      </w:r>
    </w:p>
    <w:p>
      <w:pPr>
        <w:ind w:firstLine="0" w:firstLineChars="0"/>
      </w:pPr>
      <w:r>
        <w:t>【条文说明】</w:t>
      </w:r>
    </w:p>
    <w:p>
      <w:pPr>
        <w:ind w:firstLine="420"/>
      </w:pPr>
      <w:r>
        <w:rPr>
          <w:rFonts w:hint="eastAsia"/>
        </w:rPr>
        <w:t>8</w:t>
      </w:r>
      <w:r>
        <w:t xml:space="preserve">.0.8 </w:t>
      </w:r>
      <w:r>
        <w:rPr>
          <w:rFonts w:hint="eastAsia"/>
        </w:rPr>
        <w:t>对住宅建筑，每户电表难以做到分项计量，可参照以下方式进行拆分：</w:t>
      </w:r>
    </w:p>
    <w:p>
      <w:pPr>
        <w:ind w:firstLine="420"/>
      </w:pPr>
      <w:r>
        <w:rPr>
          <w:rFonts w:hint="eastAsia"/>
        </w:rPr>
        <w:t>对于独立空调系统，年供冷空调能耗以栋或户用电表数据为依据，以过渡季耗电量计算得到基准耗电量，供冷季耗电量减去供冷季的基准耗电量即为供冷耗电量。</w:t>
      </w:r>
    </w:p>
    <w:p>
      <w:pPr>
        <w:ind w:firstLine="420"/>
        <w:rPr>
          <w:bCs/>
        </w:rPr>
      </w:pPr>
    </w:p>
    <w:p>
      <w:pPr>
        <w:widowControl/>
        <w:ind w:firstLine="0" w:firstLineChars="0"/>
        <w:jc w:val="left"/>
        <w:outlineLvl w:val="2"/>
        <w:rPr>
          <w:rFonts w:cs="Times New Roman"/>
          <w:bCs/>
          <w:szCs w:val="24"/>
          <w:lang w:val="zh-CN" w:bidi="ar"/>
        </w:rPr>
      </w:pPr>
      <w:bookmarkStart w:id="99" w:name="_Toc193023046"/>
      <w:bookmarkStart w:id="100" w:name="_Toc13527"/>
      <w:bookmarkStart w:id="101" w:name="_Toc198125383"/>
      <w:r>
        <w:rPr>
          <w:rFonts w:cs="Times New Roman"/>
          <w:bCs/>
          <w:szCs w:val="24"/>
          <w:lang w:val="zh-CN" w:bidi="ar"/>
        </w:rPr>
        <w:t>8.0.9</w:t>
      </w:r>
      <w:r>
        <w:rPr>
          <w:rFonts w:hint="eastAsia" w:cs="Times New Roman"/>
          <w:bCs/>
          <w:szCs w:val="24"/>
          <w:lang w:val="zh-CN" w:bidi="ar"/>
        </w:rPr>
        <w:t>设计评价所需提交技术材料:</w:t>
      </w:r>
      <w:bookmarkEnd w:id="99"/>
      <w:bookmarkEnd w:id="100"/>
      <w:bookmarkEnd w:id="101"/>
    </w:p>
    <w:p>
      <w:pPr>
        <w:ind w:firstLine="420"/>
      </w:pPr>
      <w:r>
        <w:t>1</w:t>
      </w:r>
      <w:r>
        <w:rPr>
          <w:rFonts w:hint="eastAsia"/>
        </w:rPr>
        <w:t xml:space="preserve"> 项目技术方案。包括但不限于：项目概述、效果图、能效控制目标、建筑设计(整体布局、体形系数、窗墙比)、围护结构设计(保温及门窗性能)、气密性及无热桥设计、冷热源及末端设计和控制策略、生活热水系统、电气节能系统、可再生能源应用等;</w:t>
      </w:r>
    </w:p>
    <w:p>
      <w:pPr>
        <w:ind w:firstLine="420"/>
      </w:pPr>
      <w:r>
        <w:t>2</w:t>
      </w:r>
      <w:r>
        <w:rPr>
          <w:rFonts w:hint="eastAsia"/>
        </w:rPr>
        <w:t>建筑能效指标计算报告。包括但不限于：软件介绍、建模方法、关键参数设置、系统建模、负荷/能耗模拟计算结果及分析;</w:t>
      </w:r>
    </w:p>
    <w:p>
      <w:pPr>
        <w:ind w:firstLine="420"/>
      </w:pPr>
      <w:r>
        <w:t>3</w:t>
      </w:r>
      <w:r>
        <w:rPr>
          <w:rFonts w:hint="eastAsia"/>
        </w:rPr>
        <w:t>主要施工图。包括但不限于：总平面图、建筑立面/剖面/典型层平面图、建筑设计说明、工程做法表、关键节点大样图、热桥计算、防结露和防冷凝计算、暖通设计说明、暖通系统图和设备列表、可再生能源系统设计资料、电气设计说明、照明节能设计、能耗监测等图纸。</w:t>
      </w:r>
    </w:p>
    <w:p>
      <w:pPr>
        <w:ind w:firstLine="0" w:firstLineChars="0"/>
      </w:pPr>
      <w:r>
        <w:t>【条文说明】</w:t>
      </w:r>
    </w:p>
    <w:p>
      <w:pPr>
        <w:ind w:firstLine="420"/>
      </w:pPr>
      <w:r>
        <w:rPr>
          <w:rFonts w:hint="eastAsia"/>
        </w:rPr>
        <w:t>8</w:t>
      </w:r>
      <w:r>
        <w:t xml:space="preserve">.0.9 </w:t>
      </w:r>
      <w:r>
        <w:rPr>
          <w:rFonts w:hint="eastAsia"/>
        </w:rPr>
        <w:t>建筑能效指标计算报告是近零能耗建筑设计评价的核心技术文件。近零能耗建筑以室内环境参数和能效指标作为评价的指标，为建筑设计方案的多样性和创新提供创作空间，这是一种性能化设计方法。</w:t>
      </w:r>
    </w:p>
    <w:p>
      <w:pPr>
        <w:ind w:firstLine="420"/>
        <w:rPr>
          <w:bCs/>
        </w:rPr>
      </w:pPr>
    </w:p>
    <w:p>
      <w:pPr>
        <w:widowControl/>
        <w:ind w:firstLine="0" w:firstLineChars="0"/>
        <w:jc w:val="left"/>
        <w:outlineLvl w:val="2"/>
        <w:rPr>
          <w:rFonts w:cs="Times New Roman"/>
          <w:bCs/>
          <w:szCs w:val="24"/>
          <w:lang w:val="zh-CN" w:bidi="ar"/>
        </w:rPr>
      </w:pPr>
      <w:bookmarkStart w:id="102" w:name="_Toc28010"/>
      <w:bookmarkStart w:id="103" w:name="_Toc193023047"/>
      <w:bookmarkStart w:id="104" w:name="_Toc198125384"/>
      <w:r>
        <w:rPr>
          <w:rFonts w:cs="Times New Roman"/>
          <w:bCs/>
          <w:szCs w:val="24"/>
          <w:lang w:val="zh-CN" w:bidi="ar"/>
        </w:rPr>
        <w:t>8.0.10</w:t>
      </w:r>
      <w:r>
        <w:rPr>
          <w:rFonts w:hint="eastAsia" w:cs="Times New Roman"/>
          <w:bCs/>
          <w:szCs w:val="24"/>
          <w:lang w:val="zh-CN" w:bidi="ar"/>
        </w:rPr>
        <w:t>施工评价所需提交技术材料</w:t>
      </w:r>
      <w:bookmarkEnd w:id="102"/>
      <w:r>
        <w:rPr>
          <w:rFonts w:hint="eastAsia" w:cs="Times New Roman"/>
          <w:bCs/>
          <w:szCs w:val="24"/>
          <w:lang w:val="zh-CN" w:bidi="ar"/>
        </w:rPr>
        <w:t>：</w:t>
      </w:r>
      <w:bookmarkEnd w:id="103"/>
      <w:bookmarkEnd w:id="104"/>
    </w:p>
    <w:p>
      <w:pPr>
        <w:ind w:firstLine="420"/>
      </w:pPr>
      <w:r>
        <w:t>1</w:t>
      </w:r>
      <w:r>
        <w:rPr>
          <w:rFonts w:hint="eastAsia"/>
        </w:rPr>
        <w:t>高性能节能标识产品合格证明，包括门窗产品、保温材料、照明灯具、冷热源机组、采暖空调末端设备、环控一体机和遮阳设施等；</w:t>
      </w:r>
    </w:p>
    <w:p>
      <w:pPr>
        <w:ind w:firstLine="420"/>
      </w:pPr>
      <w:r>
        <w:t>2</w:t>
      </w:r>
      <w:r>
        <w:rPr>
          <w:rFonts w:hint="eastAsia"/>
        </w:rPr>
        <w:t xml:space="preserve"> 专项施工方案；</w:t>
      </w:r>
    </w:p>
    <w:p>
      <w:pPr>
        <w:ind w:firstLine="420"/>
      </w:pPr>
      <w:r>
        <w:t>3</w:t>
      </w:r>
      <w:r>
        <w:rPr>
          <w:rFonts w:hint="eastAsia"/>
        </w:rPr>
        <w:t>主材进场质量检查和验收文件；</w:t>
      </w:r>
    </w:p>
    <w:p>
      <w:pPr>
        <w:ind w:firstLine="420"/>
      </w:pPr>
      <w:r>
        <w:t>4</w:t>
      </w:r>
      <w:r>
        <w:rPr>
          <w:rFonts w:hint="eastAsia"/>
        </w:rPr>
        <w:t xml:space="preserve"> 隐蔽工程记录和影像资料；</w:t>
      </w:r>
    </w:p>
    <w:p>
      <w:pPr>
        <w:ind w:firstLine="420"/>
      </w:pPr>
      <w:r>
        <w:t>5</w:t>
      </w:r>
      <w:r>
        <w:rPr>
          <w:rFonts w:hint="eastAsia"/>
        </w:rPr>
        <w:t>建筑气密性测试报告；</w:t>
      </w:r>
    </w:p>
    <w:p>
      <w:pPr>
        <w:ind w:firstLine="420"/>
      </w:pPr>
      <w:r>
        <w:t>6</w:t>
      </w:r>
      <w:r>
        <w:rPr>
          <w:rFonts w:hint="eastAsia"/>
        </w:rPr>
        <w:t xml:space="preserve"> 排风热回收装置性能现场检测报告；</w:t>
      </w:r>
    </w:p>
    <w:p>
      <w:pPr>
        <w:ind w:firstLine="420"/>
      </w:pPr>
      <w:r>
        <w:t>7</w:t>
      </w:r>
      <w:r>
        <w:rPr>
          <w:rFonts w:hint="eastAsia"/>
        </w:rPr>
        <w:t>能源系统调适报告。</w:t>
      </w:r>
    </w:p>
    <w:p>
      <w:pPr>
        <w:ind w:firstLine="0" w:firstLineChars="0"/>
      </w:pPr>
      <w:r>
        <w:t>【条文说明】</w:t>
      </w:r>
    </w:p>
    <w:p>
      <w:pPr>
        <w:ind w:firstLine="420"/>
      </w:pPr>
      <w:r>
        <w:rPr>
          <w:rFonts w:hint="eastAsia"/>
        </w:rPr>
        <w:t>8</w:t>
      </w:r>
      <w:r>
        <w:t xml:space="preserve">.0.10 </w:t>
      </w:r>
      <w:r>
        <w:rPr>
          <w:rFonts w:hint="eastAsia"/>
        </w:rPr>
        <w:t>1. 高性能节能产品是指满足国家相关产品标准目主要节能性能指标达到国际领先水平的产品。对采用获得绿色建材标识(认证)或高性能节能标识(认证)且在有效期内的产品，在评价时，可直接认可其产品性能，由于外窗性能对海南地区建筑能耗影响较大，现场应对外窗做热工测试。</w:t>
      </w:r>
    </w:p>
    <w:p>
      <w:pPr>
        <w:ind w:firstLine="420"/>
      </w:pPr>
      <w:r>
        <w:rPr>
          <w:rFonts w:hint="eastAsia"/>
        </w:rPr>
        <w:t>2. 近零能耗建筑的设计和施工标准高于普通建筑，每个细部节点需要针对性的精细化设计与更专业化的施工水平，相对于传统施工方式工艺更加复杂，对施工程序和质量的要求也更加严格，需要选择施工经验丰富、技术能力强的专业队伍承担并制定专项施工方案。专项施工方案应包括外门窗安装、地面保温施工、外墙外保温施工、屋面保温施工、暖通空调系统安装、气密性措施施工(包括因施工工艺选择产生的可能影响房屋气密性的孔洞的处理方案)等技术内容，重点包括外墙和屋面保温做法、外门窗安装方法及其与墙体连接部位的处理方法，以及外挑结构、女儿墙、穿外墙和屋面的管道、外围护结构上固定件的安装等部位的处理措施。</w:t>
      </w:r>
    </w:p>
    <w:p>
      <w:pPr>
        <w:ind w:firstLine="420"/>
      </w:pPr>
      <w:r>
        <w:rPr>
          <w:rFonts w:hint="eastAsia"/>
        </w:rPr>
        <w:t>3. 主要材料及设备包括下列内容</w:t>
      </w:r>
    </w:p>
    <w:p>
      <w:pPr>
        <w:ind w:firstLine="420"/>
      </w:pPr>
      <w:r>
        <w:rPr>
          <w:rFonts w:hint="eastAsia"/>
        </w:rPr>
        <w:t>(1)保温材料</w:t>
      </w:r>
    </w:p>
    <w:p>
      <w:pPr>
        <w:ind w:firstLine="420"/>
      </w:pPr>
      <w:r>
        <w:rPr>
          <w:rFonts w:hint="eastAsia"/>
        </w:rPr>
        <w:t>(2)外门窗、建筑幕墙(含采光顶)及外遮阳设施</w:t>
      </w:r>
    </w:p>
    <w:p>
      <w:pPr>
        <w:ind w:firstLine="420"/>
      </w:pPr>
      <w:r>
        <w:rPr>
          <w:rFonts w:hint="eastAsia"/>
        </w:rPr>
        <w:t>(3)防水透汽材料、气密性材料</w:t>
      </w:r>
    </w:p>
    <w:p>
      <w:pPr>
        <w:ind w:firstLine="420"/>
      </w:pPr>
      <w:r>
        <w:rPr>
          <w:rFonts w:hint="eastAsia"/>
        </w:rPr>
        <w:t>(4)空调系统设备</w:t>
      </w:r>
    </w:p>
    <w:p>
      <w:pPr>
        <w:ind w:firstLine="420"/>
      </w:pPr>
      <w:r>
        <w:rPr>
          <w:rFonts w:hint="eastAsia"/>
        </w:rPr>
        <w:t>(5)照明设备</w:t>
      </w:r>
    </w:p>
    <w:p>
      <w:pPr>
        <w:ind w:firstLine="420"/>
      </w:pPr>
      <w:r>
        <w:rPr>
          <w:rFonts w:hint="eastAsia"/>
        </w:rPr>
        <w:t>(6)太阳能热利用或太阳能光伏发电系统设备等。</w:t>
      </w:r>
    </w:p>
    <w:p>
      <w:pPr>
        <w:ind w:firstLine="420"/>
      </w:pPr>
      <w:r>
        <w:rPr>
          <w:rFonts w:hint="eastAsia"/>
        </w:rPr>
        <w:t>4. 隐蔽工程检查应包括下列内容:</w:t>
      </w:r>
    </w:p>
    <w:p>
      <w:pPr>
        <w:ind w:firstLine="420"/>
      </w:pPr>
      <w:r>
        <w:rPr>
          <w:rFonts w:hint="eastAsia"/>
        </w:rPr>
        <w:t>(1)外墙基层及其表面处理、保温层的敷设方式、厚度和板材缝隙填充情况;锚固件安装与热桥处理;网格布铺设情况:穿墙管线保温密封处理等。</w:t>
      </w:r>
    </w:p>
    <w:p>
      <w:pPr>
        <w:ind w:firstLine="420"/>
      </w:pPr>
      <w:r>
        <w:rPr>
          <w:rFonts w:hint="eastAsia"/>
        </w:rPr>
        <w:t>(2)屋面、地面基层及其表面处理、保温层的敷设方式、厚度和板材缝隙填充质量:防水层(隔汽、透汽)设置:雨水口部位、出屋面管道、穿地面管道的处理等。</w:t>
      </w:r>
    </w:p>
    <w:p>
      <w:pPr>
        <w:ind w:firstLine="420"/>
      </w:pPr>
      <w:r>
        <w:rPr>
          <w:rFonts w:hint="eastAsia"/>
        </w:rPr>
        <w:t>(3)门窗、遮阳系统安装方式;门窗框与墙体结构缝的保温处理;窗框周边气密性处理，连接件与基层墙体间的断热桥措施等。</w:t>
      </w:r>
    </w:p>
    <w:p>
      <w:pPr>
        <w:ind w:firstLine="420"/>
      </w:pPr>
      <w:r>
        <w:rPr>
          <w:rFonts w:hint="eastAsia"/>
        </w:rPr>
        <w:t>(4)女儿墙、窗框周边、封闭阳台、出挑构件、预埋支架等重点部位的施工做法。</w:t>
      </w:r>
    </w:p>
    <w:p>
      <w:pPr>
        <w:ind w:firstLine="420"/>
      </w:pPr>
      <w:r>
        <w:rPr>
          <w:rFonts w:hint="eastAsia"/>
        </w:rPr>
        <w:t>5. 建筑气密性能对于实现近零能耗目标非常重要，良好的气密性可以减少冬季冷风渗透，降低夏季非受控通风导致的供冷需求增加，避免湿气侵入造成的建筑发霉、结露和损坏，减少室外噪声和空气污染等不良因素对室内环境的影响，提高居住者的生活品质。根据《近零能耗建筑技术标准》GB/T51350-2019的规定，夏热冬暖地区的公共建筑对建筑气密性无要求。</w:t>
      </w:r>
    </w:p>
    <w:p>
      <w:pPr>
        <w:ind w:firstLine="420"/>
      </w:pPr>
      <w:r>
        <w:rPr>
          <w:rFonts w:hint="eastAsia"/>
        </w:rPr>
        <w:t>气密性保障应贯穿整个施工过程，在施工工法、施工程序、材料选择等各环节均应考虑，尤其应注意外门窗安装、围护结构洞口部位、砌体与结构间缝隙、屋面檐角等关键部位的气密性处理。施工过程中应尽量避免在外墙面和屋面上开口，如必须开口，应尽量减小开口面积，并应协商设计制定气密性保障方案，保证气密性。</w:t>
      </w:r>
    </w:p>
    <w:p>
      <w:pPr>
        <w:ind w:firstLine="420"/>
      </w:pPr>
      <w:r>
        <w:rPr>
          <w:rFonts w:hint="eastAsia"/>
        </w:rPr>
        <w:t>对非全装修的项目，气密性测试应在主体施工结束、门窗安装完毕、内外抹灰完成后进行气密性测试报告作为评价依据。对于全装修项目，应以全装修工程完毕后进行的气密性测试报告作为评价的依据。</w:t>
      </w:r>
    </w:p>
    <w:p>
      <w:pPr>
        <w:ind w:firstLine="420"/>
      </w:pPr>
      <w:r>
        <w:rPr>
          <w:rFonts w:hint="eastAsia"/>
        </w:rPr>
        <w:t>居住建筑应选取位于不同楼层的不同户型的单元房作为测试样本。首层、顶层的抽检样本不得少于1套，抽检单元房的样本量不得少于整栋建筑住宅总量的5%，且不得少于3套。抽检楼梯间的样本量不得少于整栋建筑楼梯间总量的10%，且不得少于1个:建筑面积小于5000m2公共建筑应进行建筑整体气密性测试，建筑面积大于5000m2公共建筑应对其主要功能区或主要房间进行气密性测试，主要功能区的抽检样本面积不应少于整栋建筑面积 10%，主要房间样本量不得少于整栋建筑同类房间的20%。</w:t>
      </w:r>
    </w:p>
    <w:p>
      <w:pPr>
        <w:ind w:firstLine="420"/>
      </w:pPr>
      <w:r>
        <w:rPr>
          <w:rFonts w:hint="eastAsia"/>
        </w:rPr>
        <w:t>6. 对于额定风量大于3000m3/h的热回收装置，应进行现场检测。对于额定风量小于或等于3000m3/h的热回收装置应进行现场抽检，同型号、同规格的产品抽检数量不得少于1台。获得高性能节能标识产品合格证明的额定风量小于或等于3000m3/h的热回收装置可不进行现场抽检。</w:t>
      </w:r>
    </w:p>
    <w:p>
      <w:pPr>
        <w:ind w:firstLine="420"/>
        <w:rPr>
          <w:bCs/>
        </w:rPr>
      </w:pPr>
    </w:p>
    <w:p>
      <w:pPr>
        <w:widowControl/>
        <w:ind w:firstLine="0" w:firstLineChars="0"/>
        <w:jc w:val="left"/>
        <w:outlineLvl w:val="2"/>
        <w:rPr>
          <w:rFonts w:cs="Times New Roman"/>
          <w:bCs/>
          <w:szCs w:val="24"/>
          <w:lang w:val="zh-CN" w:bidi="ar"/>
        </w:rPr>
      </w:pPr>
      <w:bookmarkStart w:id="105" w:name="_Toc198125385"/>
      <w:bookmarkStart w:id="106" w:name="_Toc193023048"/>
      <w:bookmarkStart w:id="107" w:name="_Toc7272"/>
      <w:r>
        <w:rPr>
          <w:rFonts w:cs="Times New Roman"/>
          <w:bCs/>
          <w:szCs w:val="24"/>
          <w:lang w:val="zh-CN" w:bidi="ar"/>
        </w:rPr>
        <w:t>8.0.11</w:t>
      </w:r>
      <w:r>
        <w:rPr>
          <w:rFonts w:hint="eastAsia" w:cs="Times New Roman"/>
          <w:bCs/>
          <w:szCs w:val="24"/>
          <w:lang w:val="zh-CN" w:bidi="ar"/>
        </w:rPr>
        <w:t>运行评价所需提交技术材料:</w:t>
      </w:r>
      <w:bookmarkEnd w:id="105"/>
      <w:bookmarkEnd w:id="106"/>
      <w:bookmarkEnd w:id="107"/>
    </w:p>
    <w:p>
      <w:pPr>
        <w:ind w:firstLine="420"/>
      </w:pPr>
      <w:r>
        <w:t>1</w:t>
      </w:r>
      <w:r>
        <w:rPr>
          <w:rFonts w:hint="eastAsia"/>
        </w:rPr>
        <w:t>室内环境检测分析报告。室内环境检测参数应包括室内温度、湿度、新风量、室内PM2.5浓度、室内环境噪声，以及检测同时段的室外气象条件；公共建筑室内环境检测参数还宜包括 CO</w:t>
      </w:r>
      <w:r>
        <w:rPr>
          <w:rFonts w:hint="eastAsia" w:cs="宋体"/>
          <w:kern w:val="0"/>
          <w:szCs w:val="21"/>
          <w:vertAlign w:val="subscript"/>
          <w:lang w:bidi="ar"/>
        </w:rPr>
        <w:t>2</w:t>
      </w:r>
      <w:r>
        <w:rPr>
          <w:rFonts w:hint="eastAsia"/>
        </w:rPr>
        <w:t>浓度和室内照度；</w:t>
      </w:r>
    </w:p>
    <w:p>
      <w:pPr>
        <w:ind w:firstLine="420"/>
      </w:pPr>
      <w:r>
        <w:t>2</w:t>
      </w:r>
      <w:r>
        <w:rPr>
          <w:rFonts w:hint="eastAsia"/>
        </w:rPr>
        <w:t xml:space="preserve"> 建筑运行能耗与能效指标分析报告。包括但不限于：建筑使用情况，建筑全年能耗分析报告，太阳能光伏发电、太阳能光热系统、地源热泵、空气源热泵等能源系统运行效率检测与分析报告和建筑使用人员后评估报告。</w:t>
      </w:r>
    </w:p>
    <w:p>
      <w:pPr>
        <w:ind w:firstLine="0" w:firstLineChars="0"/>
      </w:pPr>
      <w:r>
        <w:t>【条文说明】</w:t>
      </w:r>
    </w:p>
    <w:p>
      <w:pPr>
        <w:ind w:firstLine="420"/>
      </w:pPr>
      <w:r>
        <w:rPr>
          <w:rFonts w:hint="eastAsia"/>
        </w:rPr>
        <w:t>8</w:t>
      </w:r>
      <w:r>
        <w:t xml:space="preserve">.0.11 </w:t>
      </w:r>
      <w:r>
        <w:rPr>
          <w:rFonts w:hint="eastAsia"/>
        </w:rPr>
        <w:t>1室内温度、湿度检测持续时间宜与冷热源系统运行同步，在建筑物达到热稳定后，应在最冷月和最热月进行，测试时间不得少于6h，且数据记录时间间隔最长不得超过30min测试期间的室外温度、湿度测试应与室内温度、湿度的测试同步进行。室内温度、湿度检测按采暖空调系统形式抽测。当系统形式不同时，每种系统形式均应检测。相同形式系统应按系统数量的10%的比例进行抽测。同一系统检测数量不应少于总房间数量的10%，且不应少于1间房间。</w:t>
      </w:r>
    </w:p>
    <w:p>
      <w:pPr>
        <w:ind w:firstLine="420"/>
      </w:pPr>
      <w:r>
        <w:rPr>
          <w:rFonts w:hint="eastAsia"/>
        </w:rPr>
        <w:t>2 新风量的检测应在新风系统或全空气空调系统调试完成后，在空调通风系统正常运行1h后进行，所有风口应处于正常开启状态。新风量检测按空调面积比例抽测。当系统形式不同时，每种系统形式均应检测。相同形式系统应按空调覆盖面积的10%的比例进行抽测。同一系统检测数量不应少于总房间数量的10%，且不应少于1间房间。</w:t>
      </w:r>
    </w:p>
    <w:p>
      <w:pPr>
        <w:ind w:firstLine="420"/>
      </w:pPr>
      <w:r>
        <w:rPr>
          <w:rFonts w:hint="eastAsia"/>
        </w:rPr>
        <w:t>3 建筑室内PM2.5浓度、CO</w:t>
      </w:r>
      <w:r>
        <w:rPr>
          <w:rFonts w:hint="eastAsia" w:cs="宋体"/>
          <w:kern w:val="0"/>
          <w:szCs w:val="21"/>
          <w:vertAlign w:val="subscript"/>
          <w:lang w:bidi="ar"/>
        </w:rPr>
        <w:t>2</w:t>
      </w:r>
      <w:r>
        <w:rPr>
          <w:rFonts w:hint="eastAsia"/>
        </w:rPr>
        <w:t>浓度检测应在暖通空调系统正常运行1h后进行。</w:t>
      </w:r>
    </w:p>
    <w:p>
      <w:pPr>
        <w:ind w:firstLine="420"/>
        <w:rPr>
          <w:bCs/>
        </w:rPr>
      </w:pPr>
    </w:p>
    <w:p>
      <w:pPr>
        <w:widowControl/>
        <w:ind w:firstLine="0" w:firstLineChars="0"/>
        <w:jc w:val="left"/>
        <w:outlineLvl w:val="2"/>
        <w:rPr>
          <w:rFonts w:cs="Times New Roman"/>
          <w:bCs/>
          <w:szCs w:val="24"/>
          <w:lang w:val="zh-CN" w:bidi="ar"/>
        </w:rPr>
      </w:pPr>
      <w:bookmarkStart w:id="108" w:name="_Toc193023049"/>
      <w:bookmarkStart w:id="109" w:name="_Toc2490"/>
      <w:bookmarkStart w:id="110" w:name="_Toc198125386"/>
      <w:r>
        <w:rPr>
          <w:rFonts w:cs="Times New Roman"/>
          <w:bCs/>
          <w:szCs w:val="24"/>
          <w:lang w:val="zh-CN" w:bidi="ar"/>
        </w:rPr>
        <w:t>8.0.12</w:t>
      </w:r>
      <w:r>
        <w:rPr>
          <w:rFonts w:hint="eastAsia" w:cs="Times New Roman"/>
          <w:bCs/>
          <w:szCs w:val="24"/>
          <w:lang w:val="zh-CN" w:bidi="ar"/>
        </w:rPr>
        <w:t>当符合</w:t>
      </w:r>
      <w:r>
        <w:rPr>
          <w:rFonts w:hint="eastAsia" w:cs="Times New Roman"/>
          <w:bCs/>
          <w:szCs w:val="24"/>
          <w:lang w:val="en" w:eastAsia="zh-CN" w:bidi="ar"/>
        </w:rPr>
        <w:t>本标准</w:t>
      </w:r>
      <w:r>
        <w:rPr>
          <w:rFonts w:hint="eastAsia" w:cs="Times New Roman"/>
          <w:bCs/>
          <w:szCs w:val="24"/>
          <w:lang w:val="zh-CN" w:bidi="ar"/>
        </w:rPr>
        <w:t>第 8.</w:t>
      </w:r>
      <w:r>
        <w:rPr>
          <w:rFonts w:cs="Times New Roman"/>
          <w:bCs/>
          <w:szCs w:val="24"/>
          <w:lang w:val="zh-CN" w:bidi="ar"/>
        </w:rPr>
        <w:t>0.</w:t>
      </w:r>
      <w:r>
        <w:rPr>
          <w:rFonts w:hint="eastAsia" w:cs="Times New Roman"/>
          <w:bCs/>
          <w:szCs w:val="24"/>
          <w:lang w:val="zh-CN" w:bidi="ar"/>
        </w:rPr>
        <w:t>6 条规定时，可判定建筑设计阶段达到</w:t>
      </w:r>
      <w:r>
        <w:rPr>
          <w:rFonts w:hint="eastAsia" w:cs="Times New Roman"/>
          <w:bCs/>
          <w:szCs w:val="24"/>
          <w:lang w:val="en" w:eastAsia="zh-CN" w:bidi="ar"/>
        </w:rPr>
        <w:t>本标准</w:t>
      </w:r>
      <w:r>
        <w:rPr>
          <w:rFonts w:hint="eastAsia" w:cs="Times New Roman"/>
          <w:bCs/>
          <w:szCs w:val="24"/>
          <w:lang w:val="zh-CN" w:bidi="ar"/>
        </w:rPr>
        <w:t>要求；当符合</w:t>
      </w:r>
      <w:r>
        <w:rPr>
          <w:rFonts w:hint="eastAsia" w:cs="Times New Roman"/>
          <w:bCs/>
          <w:szCs w:val="24"/>
          <w:lang w:val="en" w:eastAsia="zh-CN" w:bidi="ar"/>
        </w:rPr>
        <w:t>本标准</w:t>
      </w:r>
      <w:r>
        <w:rPr>
          <w:rFonts w:hint="eastAsia" w:cs="Times New Roman"/>
          <w:bCs/>
          <w:szCs w:val="24"/>
          <w:lang w:val="zh-CN" w:bidi="ar"/>
        </w:rPr>
        <w:t>第 8.</w:t>
      </w:r>
      <w:r>
        <w:rPr>
          <w:rFonts w:cs="Times New Roman"/>
          <w:bCs/>
          <w:szCs w:val="24"/>
          <w:lang w:val="zh-CN" w:bidi="ar"/>
        </w:rPr>
        <w:t>0.</w:t>
      </w:r>
      <w:r>
        <w:rPr>
          <w:rFonts w:hint="eastAsia" w:cs="Times New Roman"/>
          <w:bCs/>
          <w:szCs w:val="24"/>
          <w:lang w:val="zh-CN" w:bidi="ar"/>
        </w:rPr>
        <w:t>7 条规定，可判定建筑施工阶段达到</w:t>
      </w:r>
      <w:r>
        <w:rPr>
          <w:rFonts w:hint="eastAsia" w:cs="Times New Roman"/>
          <w:bCs/>
          <w:szCs w:val="24"/>
          <w:lang w:val="en" w:eastAsia="zh-CN" w:bidi="ar"/>
        </w:rPr>
        <w:t>本标准</w:t>
      </w:r>
      <w:r>
        <w:rPr>
          <w:rFonts w:hint="eastAsia" w:cs="Times New Roman"/>
          <w:bCs/>
          <w:szCs w:val="24"/>
          <w:lang w:val="zh-CN" w:bidi="ar"/>
        </w:rPr>
        <w:t>要求；当符合</w:t>
      </w:r>
      <w:r>
        <w:rPr>
          <w:rFonts w:hint="eastAsia" w:cs="Times New Roman"/>
          <w:bCs/>
          <w:szCs w:val="24"/>
          <w:lang w:val="en" w:eastAsia="zh-CN" w:bidi="ar"/>
        </w:rPr>
        <w:t>本标准</w:t>
      </w:r>
      <w:r>
        <w:rPr>
          <w:rFonts w:hint="eastAsia" w:cs="Times New Roman"/>
          <w:bCs/>
          <w:szCs w:val="24"/>
          <w:lang w:val="zh-CN" w:bidi="ar"/>
        </w:rPr>
        <w:t>第 8.</w:t>
      </w:r>
      <w:r>
        <w:rPr>
          <w:rFonts w:cs="Times New Roman"/>
          <w:bCs/>
          <w:szCs w:val="24"/>
          <w:lang w:val="zh-CN" w:bidi="ar"/>
        </w:rPr>
        <w:t>0.</w:t>
      </w:r>
      <w:r>
        <w:rPr>
          <w:rFonts w:hint="eastAsia" w:cs="Times New Roman"/>
          <w:bCs/>
          <w:szCs w:val="24"/>
          <w:lang w:val="zh-CN" w:bidi="ar"/>
        </w:rPr>
        <w:t>8 条规定，可判定该建筑运行阶段达到</w:t>
      </w:r>
      <w:r>
        <w:rPr>
          <w:rFonts w:hint="eastAsia" w:cs="Times New Roman"/>
          <w:bCs/>
          <w:szCs w:val="24"/>
          <w:lang w:val="en" w:eastAsia="zh-CN" w:bidi="ar"/>
        </w:rPr>
        <w:t>本标准</w:t>
      </w:r>
      <w:r>
        <w:rPr>
          <w:rFonts w:hint="eastAsia" w:cs="Times New Roman"/>
          <w:bCs/>
          <w:szCs w:val="24"/>
          <w:lang w:val="zh-CN" w:bidi="ar"/>
        </w:rPr>
        <w:t>要求。</w:t>
      </w:r>
      <w:bookmarkEnd w:id="108"/>
      <w:bookmarkEnd w:id="109"/>
      <w:bookmarkEnd w:id="110"/>
    </w:p>
    <w:p>
      <w:pPr>
        <w:ind w:firstLine="0" w:firstLineChars="0"/>
      </w:pPr>
      <w:r>
        <w:t>【条文说明】</w:t>
      </w:r>
    </w:p>
    <w:p>
      <w:pPr>
        <w:ind w:firstLine="420"/>
      </w:pPr>
      <w:r>
        <w:rPr>
          <w:rFonts w:hint="eastAsia"/>
        </w:rPr>
        <w:t>8</w:t>
      </w:r>
      <w:r>
        <w:t xml:space="preserve">.0.12 </w:t>
      </w:r>
      <w:r>
        <w:rPr>
          <w:rFonts w:hint="eastAsia"/>
        </w:rPr>
        <w:t>施工图设计审查完成后应进行设计判定；竣工验收后，应结合设计判定进行施工判定；投入正常使用一年后，应进行运行判定。判定时，应根据标准第四章、第五章规定进行判断。</w:t>
      </w:r>
    </w:p>
    <w:p>
      <w:pPr>
        <w:ind w:firstLine="0" w:firstLineChars="0"/>
      </w:pPr>
    </w:p>
    <w:p>
      <w:pPr>
        <w:ind w:firstLine="420"/>
      </w:pPr>
    </w:p>
    <w:p>
      <w:pPr>
        <w:ind w:firstLine="420"/>
      </w:pPr>
    </w:p>
    <w:p>
      <w:pPr>
        <w:ind w:firstLine="420"/>
        <w:sectPr>
          <w:pgSz w:w="11906" w:h="16838"/>
          <w:pgMar w:top="1440" w:right="1800" w:bottom="1440" w:left="1800" w:header="851" w:footer="992" w:gutter="0"/>
          <w:cols w:space="425" w:num="1"/>
          <w:docGrid w:type="lines" w:linePitch="312" w:charSpace="0"/>
        </w:sectPr>
      </w:pPr>
    </w:p>
    <w:p>
      <w:pPr>
        <w:pStyle w:val="57"/>
        <w:tabs>
          <w:tab w:val="left" w:pos="0"/>
        </w:tabs>
        <w:snapToGrid w:val="0"/>
        <w:spacing w:before="156" w:beforeLines="50" w:after="156" w:afterLines="50" w:line="276" w:lineRule="auto"/>
        <w:rPr>
          <w:rFonts w:ascii="Times New Roman" w:hAnsi="Times New Roman"/>
          <w:b w:val="0"/>
          <w:color w:val="auto"/>
          <w:sz w:val="32"/>
          <w:lang w:eastAsia="zh-CN"/>
        </w:rPr>
      </w:pPr>
      <w:bookmarkStart w:id="111" w:name="_Toc198125387"/>
      <w:r>
        <w:rPr>
          <w:rFonts w:hint="eastAsia" w:ascii="Times New Roman" w:hAnsi="Times New Roman"/>
          <w:b w:val="0"/>
          <w:color w:val="auto"/>
          <w:sz w:val="32"/>
          <w:lang w:eastAsia="zh-CN"/>
        </w:rPr>
        <w:t>附录A</w:t>
      </w:r>
      <w:r>
        <w:rPr>
          <w:rFonts w:ascii="Times New Roman" w:hAnsi="Times New Roman"/>
          <w:b w:val="0"/>
          <w:color w:val="auto"/>
          <w:sz w:val="32"/>
          <w:lang w:eastAsia="zh-CN"/>
        </w:rPr>
        <w:t xml:space="preserve"> </w:t>
      </w:r>
      <w:r>
        <w:rPr>
          <w:rFonts w:hint="eastAsia" w:ascii="Times New Roman" w:hAnsi="Times New Roman"/>
          <w:b w:val="0"/>
          <w:color w:val="auto"/>
          <w:sz w:val="32"/>
          <w:lang w:eastAsia="zh-CN"/>
        </w:rPr>
        <w:t>能耗计算参数</w:t>
      </w:r>
      <w:bookmarkEnd w:id="111"/>
    </w:p>
    <w:p>
      <w:pPr>
        <w:pStyle w:val="217"/>
        <w:spacing w:line="276" w:lineRule="auto"/>
        <w:ind w:firstLine="420"/>
        <w:rPr>
          <w:b w:val="0"/>
          <w:szCs w:val="24"/>
        </w:rPr>
      </w:pPr>
      <w:bookmarkStart w:id="112" w:name="_Toc198125388"/>
      <w:r>
        <w:rPr>
          <w:rFonts w:hint="eastAsia"/>
          <w:b w:val="0"/>
          <w:szCs w:val="24"/>
        </w:rPr>
        <w:t>A.1一般规定</w:t>
      </w:r>
      <w:bookmarkEnd w:id="112"/>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.1.1能</w:t>
      </w:r>
      <w:r>
        <w:rPr>
          <w:rFonts w:hint="eastAsia" w:cs="Times New Roman"/>
          <w:bCs/>
          <w:szCs w:val="24"/>
          <w:lang w:val="zh-CN" w:bidi="ar"/>
        </w:rPr>
        <w:t>耗</w:t>
      </w:r>
      <w:r>
        <w:rPr>
          <w:rFonts w:cs="Times New Roman"/>
          <w:bCs/>
          <w:szCs w:val="24"/>
          <w:lang w:val="zh-CN" w:bidi="ar"/>
        </w:rPr>
        <w:t xml:space="preserve">指标计算所采用的软件应满足下列规定： </w:t>
      </w:r>
    </w:p>
    <w:p>
      <w:pPr>
        <w:ind w:firstLine="420"/>
      </w:pPr>
      <w:r>
        <w:t>1 能计算围护结构（包括热桥部位）传热、太阳辐射得热、建筑内部得热、通风热损失四部分形成的负荷，计算中应能考虑建筑热惰性对负荷的影响；</w:t>
      </w:r>
    </w:p>
    <w:p>
      <w:pPr>
        <w:ind w:firstLine="420"/>
      </w:pPr>
      <w:r>
        <w:t>2 能计算10个以上的建筑分区；</w:t>
      </w:r>
    </w:p>
    <w:p>
      <w:pPr>
        <w:ind w:firstLine="420"/>
      </w:pPr>
      <w:r>
        <w:t>3 能计算建筑</w:t>
      </w:r>
      <w:r>
        <w:rPr>
          <w:rFonts w:hint="eastAsia"/>
        </w:rPr>
        <w:t>暖通</w:t>
      </w:r>
      <w:r>
        <w:t>、照明、生活热水、电梯系统的能耗和可再生能源系统的</w:t>
      </w:r>
      <w:r>
        <w:rPr>
          <w:rFonts w:hint="eastAsia"/>
        </w:rPr>
        <w:t>利用量及发电量</w:t>
      </w:r>
      <w:r>
        <w:t>；</w:t>
      </w:r>
    </w:p>
    <w:p>
      <w:pPr>
        <w:ind w:firstLine="420"/>
      </w:pPr>
      <w:r>
        <w:t>4 采用月平均动态计算方法；</w:t>
      </w:r>
    </w:p>
    <w:p>
      <w:pPr>
        <w:ind w:firstLine="420"/>
      </w:pPr>
      <w:r>
        <w:t>5 能计算</w:t>
      </w:r>
      <w:r>
        <w:rPr>
          <w:rFonts w:hint="eastAsia"/>
        </w:rPr>
        <w:t>新风</w:t>
      </w:r>
      <w:r>
        <w:t>热回收和气密性对建筑能耗的影响。</w:t>
      </w:r>
    </w:p>
    <w:p>
      <w:pPr>
        <w:ind w:firstLine="0" w:firstLineChars="0"/>
      </w:pPr>
      <w:r>
        <w:t>【条文说明】</w:t>
      </w:r>
    </w:p>
    <w:p>
      <w:pPr>
        <w:ind w:firstLine="420"/>
      </w:pPr>
      <w:r>
        <w:t>ISO 52016‑1:2017《建筑能效-供暖和供冷需求、室内温度、潜热和显热负荷计算》（《Energy performance of buildings – Energy needs for heating and cooling, internal temperatures and sensible and latent heat loads》）</w:t>
      </w:r>
      <w:r>
        <w:rPr>
          <w:rFonts w:hint="eastAsia"/>
        </w:rPr>
        <w:t>中</w:t>
      </w:r>
      <w:r>
        <w:t>提供了国际公认的</w:t>
      </w:r>
      <w:r>
        <w:rPr>
          <w:rFonts w:hint="eastAsia"/>
        </w:rPr>
        <w:t>能耗</w:t>
      </w:r>
      <w:r>
        <w:t>计算方法，包括逐时和逐月计算方法。在</w:t>
      </w:r>
      <w:r>
        <w:rPr>
          <w:rFonts w:hint="eastAsia"/>
        </w:rPr>
        <w:t>德国</w:t>
      </w:r>
      <w:r>
        <w:t>、英国</w:t>
      </w:r>
      <w:r>
        <w:rPr>
          <w:rFonts w:hint="eastAsia"/>
        </w:rPr>
        <w:t>、</w:t>
      </w:r>
      <w:r>
        <w:t>美国的建筑</w:t>
      </w:r>
      <w:r>
        <w:rPr>
          <w:rFonts w:hint="eastAsia"/>
        </w:rPr>
        <w:t>能效</w:t>
      </w:r>
      <w:r>
        <w:t>评价体系的实践中，表明采用</w:t>
      </w:r>
      <w:r>
        <w:rPr>
          <w:rFonts w:hint="eastAsia"/>
        </w:rPr>
        <w:t>月平均</w:t>
      </w:r>
      <w:r>
        <w:t>动态计算方法</w:t>
      </w:r>
      <w:r>
        <w:rPr>
          <w:rFonts w:hint="eastAsia"/>
        </w:rPr>
        <w:t>的</w:t>
      </w:r>
      <w:r>
        <w:t>计算精度已经满足</w:t>
      </w:r>
      <w:r>
        <w:rPr>
          <w:rFonts w:hint="eastAsia"/>
        </w:rPr>
        <w:t>建筑能效</w:t>
      </w:r>
      <w:r>
        <w:t>评价的需求，同时计算速度和计算效率都有较大的提升，</w:t>
      </w:r>
      <w:r>
        <w:rPr>
          <w:rFonts w:hint="eastAsia"/>
        </w:rPr>
        <w:t>一致性</w:t>
      </w:r>
      <w:r>
        <w:t>较好，可以较好地满足工程需要，因此</w:t>
      </w:r>
      <w:r>
        <w:rPr>
          <w:rFonts w:hint="eastAsia"/>
          <w:lang w:val="en" w:eastAsia="zh-CN"/>
        </w:rPr>
        <w:t>本标准</w:t>
      </w:r>
      <w:r>
        <w:t>推荐</w:t>
      </w:r>
      <w:r>
        <w:rPr>
          <w:rFonts w:hint="eastAsia"/>
        </w:rPr>
        <w:t>采用</w:t>
      </w:r>
      <w:r>
        <w:t>其中的月平均计算方法。</w:t>
      </w:r>
    </w:p>
    <w:p>
      <w:pPr>
        <w:ind w:firstLine="420"/>
        <w:rPr>
          <w:rFonts w:cs="Times New Roman"/>
          <w:szCs w:val="24"/>
        </w:rPr>
      </w:pP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.1.2能</w:t>
      </w:r>
      <w:r>
        <w:rPr>
          <w:rFonts w:hint="eastAsia" w:cs="Times New Roman"/>
          <w:bCs/>
          <w:szCs w:val="24"/>
          <w:lang w:val="zh-CN" w:bidi="ar"/>
        </w:rPr>
        <w:t>耗</w:t>
      </w:r>
      <w:r>
        <w:rPr>
          <w:rFonts w:cs="Times New Roman"/>
          <w:bCs/>
          <w:szCs w:val="24"/>
          <w:lang w:val="zh-CN" w:bidi="ar"/>
        </w:rPr>
        <w:t>指标的计算应符合下列规定 :</w:t>
      </w:r>
    </w:p>
    <w:p>
      <w:pPr>
        <w:ind w:firstLine="420"/>
      </w:pPr>
      <w:r>
        <w:rPr>
          <w:rFonts w:hint="eastAsia"/>
        </w:rPr>
        <w:t>1 气象参数应按行业标准《建筑节能气象参数标准》JGJ/T 346确定；</w:t>
      </w:r>
    </w:p>
    <w:p>
      <w:pPr>
        <w:ind w:firstLine="420"/>
      </w:pPr>
      <w:r>
        <w:rPr>
          <w:rFonts w:hint="eastAsia"/>
        </w:rPr>
        <w:t>2供冷年耗冷量应包括围护结构的热损失和处理新风的热（或冷）需求；处理新风的热（冷）需求应扣除从排风中回收的热量（或冷量）；</w:t>
      </w:r>
    </w:p>
    <w:p>
      <w:pPr>
        <w:ind w:firstLine="420"/>
      </w:pPr>
      <w:r>
        <w:t>3. 当室外温度≤28℃、相对湿度≤80%、室内平均风速在0.3m/s~0.5 m/s或室外温度≤26℃、相对湿度≤80%、室内平均风速＜0.3m/s时，利用自然通风，不计算供冷需求；</w:t>
      </w:r>
      <w:r>
        <w:rPr>
          <w:rFonts w:hint="eastAsia"/>
        </w:rPr>
        <w:t>当室内温度</w:t>
      </w:r>
      <w:r>
        <w:t>≤29℃、相对湿度≤80%、室内</w:t>
      </w:r>
      <w:r>
        <w:rPr>
          <w:rFonts w:hint="eastAsia"/>
        </w:rPr>
        <w:t>最大</w:t>
      </w:r>
      <w:r>
        <w:t>风速＜0.3m/s时，</w:t>
      </w:r>
      <w:r>
        <w:rPr>
          <w:rFonts w:hint="eastAsia"/>
        </w:rPr>
        <w:t>利用风扇降温，仅计算风扇电耗</w:t>
      </w:r>
      <w:r>
        <w:t>；</w:t>
      </w:r>
    </w:p>
    <w:p>
      <w:pPr>
        <w:ind w:firstLine="420"/>
      </w:pPr>
      <w:r>
        <w:t xml:space="preserve">4. </w:t>
      </w:r>
      <w:r>
        <w:rPr>
          <w:rFonts w:hint="eastAsia"/>
        </w:rPr>
        <w:t>暖通</w:t>
      </w:r>
      <w:r>
        <w:t>系统能耗计算时应能考虑部分负荷及间歇使用的影响；</w:t>
      </w:r>
    </w:p>
    <w:p>
      <w:pPr>
        <w:ind w:firstLine="420"/>
      </w:pPr>
      <w:r>
        <w:t>5 照明能耗的计算应考虑天然采光和自动控制的影响 。</w:t>
      </w:r>
    </w:p>
    <w:p>
      <w:pPr>
        <w:ind w:firstLine="420"/>
      </w:pPr>
      <w:r>
        <w:t>6. 应计算可再生能源利用量。</w:t>
      </w:r>
    </w:p>
    <w:p>
      <w:pPr>
        <w:ind w:firstLine="0" w:firstLineChars="0"/>
        <w:rPr>
          <w:sz w:val="24"/>
        </w:rPr>
      </w:pP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.1.3 设计建筑能</w:t>
      </w:r>
      <w:r>
        <w:rPr>
          <w:rFonts w:hint="eastAsia" w:cs="Times New Roman"/>
          <w:bCs/>
          <w:szCs w:val="24"/>
          <w:lang w:val="zh-CN" w:bidi="ar"/>
        </w:rPr>
        <w:t>耗</w:t>
      </w:r>
      <w:r>
        <w:rPr>
          <w:rFonts w:cs="Times New Roman"/>
          <w:bCs/>
          <w:szCs w:val="24"/>
          <w:lang w:val="zh-CN" w:bidi="ar"/>
        </w:rPr>
        <w:t>指标计算参数设置应符合下列规定：</w:t>
      </w:r>
    </w:p>
    <w:p>
      <w:pPr>
        <w:ind w:firstLine="420"/>
      </w:pPr>
      <w:r>
        <w:t>1 建筑的形状、大小、朝向、内部的空间划分和使用功能、建筑构造尺寸、建筑围护结构传热系数、做法、外窗（包括透光幕墙）太阳得热系数、窗墙面积比、屋面开窗面积应与建筑设计文件一致；</w:t>
      </w:r>
    </w:p>
    <w:p>
      <w:pPr>
        <w:ind w:firstLine="420"/>
      </w:pPr>
      <w:r>
        <w:t xml:space="preserve">2 </w:t>
      </w:r>
      <w:r>
        <w:rPr>
          <w:rFonts w:hint="eastAsia"/>
        </w:rPr>
        <w:t>建筑功能区除设计文件中已明确的非</w:t>
      </w:r>
      <w:r>
        <w:t>供暖</w:t>
      </w:r>
      <w:r>
        <w:rPr>
          <w:rFonts w:hint="eastAsia"/>
        </w:rPr>
        <w:t>和供冷区外，均应按设置供暖和供冷的区域计算；</w:t>
      </w:r>
      <w:r>
        <w:t>供暖和</w:t>
      </w:r>
      <w:r>
        <w:rPr>
          <w:rFonts w:hint="eastAsia"/>
        </w:rPr>
        <w:t>供冷</w:t>
      </w:r>
      <w:r>
        <w:t>系统运行时间按表</w:t>
      </w:r>
      <w:r>
        <w:rPr>
          <w:rFonts w:hint="eastAsia" w:cs="Times New Roman"/>
          <w:bCs/>
          <w:szCs w:val="24"/>
          <w:lang w:val="zh-CN" w:bidi="ar"/>
        </w:rPr>
        <w:t>A</w:t>
      </w:r>
      <w:r>
        <w:t>.1.3-1设置；</w:t>
      </w:r>
    </w:p>
    <w:p>
      <w:pPr>
        <w:ind w:firstLine="420"/>
      </w:pPr>
      <w:r>
        <w:rPr>
          <w:rFonts w:hint="eastAsia"/>
        </w:rPr>
        <w:t>3 当</w:t>
      </w:r>
      <w:r>
        <w:t>设计建筑</w:t>
      </w:r>
      <w:r>
        <w:rPr>
          <w:rFonts w:hint="eastAsia"/>
        </w:rPr>
        <w:t>采用活动遮阳装置</w:t>
      </w:r>
      <w:r>
        <w:t>时，</w:t>
      </w:r>
      <w:r>
        <w:rPr>
          <w:rFonts w:hint="eastAsia"/>
        </w:rPr>
        <w:t>供暖季</w:t>
      </w:r>
      <w:r>
        <w:t>和</w:t>
      </w:r>
      <w:r>
        <w:rPr>
          <w:rFonts w:hint="eastAsia"/>
        </w:rPr>
        <w:t>供冷</w:t>
      </w:r>
      <w:r>
        <w:t>季的</w:t>
      </w:r>
      <w:r>
        <w:rPr>
          <w:rFonts w:hint="eastAsia"/>
        </w:rPr>
        <w:t>遮阳系数</w:t>
      </w:r>
      <w:r>
        <w:t>按</w:t>
      </w:r>
      <w:r>
        <w:rPr>
          <w:rFonts w:hint="eastAsia"/>
        </w:rPr>
        <w:t>表</w:t>
      </w:r>
      <w:r>
        <w:rPr>
          <w:rFonts w:hint="eastAsia" w:cs="Times New Roman"/>
          <w:bCs/>
          <w:szCs w:val="24"/>
          <w:lang w:val="zh-CN" w:bidi="ar"/>
        </w:rPr>
        <w:t>A</w:t>
      </w:r>
      <w:r>
        <w:t>.1.3-2</w:t>
      </w:r>
      <w:r>
        <w:rPr>
          <w:rFonts w:hint="eastAsia"/>
        </w:rPr>
        <w:t>确定</w:t>
      </w:r>
      <w:r>
        <w:t>；</w:t>
      </w:r>
    </w:p>
    <w:p>
      <w:pPr>
        <w:ind w:firstLine="420"/>
      </w:pPr>
      <w:r>
        <w:t>4 房间人员密度及在室率、电器设备功率密度及使用率、照明开启时间按表</w:t>
      </w:r>
      <w:r>
        <w:rPr>
          <w:rFonts w:hint="eastAsia" w:cs="Times New Roman"/>
          <w:bCs/>
          <w:szCs w:val="24"/>
          <w:lang w:val="zh-CN" w:bidi="ar"/>
        </w:rPr>
        <w:t>A</w:t>
      </w:r>
      <w:r>
        <w:t>.1.3-3</w:t>
      </w:r>
      <w:r>
        <w:rPr>
          <w:rFonts w:hint="eastAsia"/>
        </w:rPr>
        <w:t>设置</w:t>
      </w:r>
      <w:r>
        <w:t>，新风开启率按人员在室率计算</w:t>
      </w:r>
      <w:r>
        <w:rPr>
          <w:rFonts w:hint="eastAsia"/>
        </w:rPr>
        <w:t>；</w:t>
      </w:r>
    </w:p>
    <w:p>
      <w:pPr>
        <w:ind w:firstLine="420"/>
      </w:pPr>
      <w:r>
        <w:t>5 照明系统的照明功率密度值应与建筑设计文件一致；</w:t>
      </w:r>
    </w:p>
    <w:p>
      <w:pPr>
        <w:ind w:firstLine="420"/>
      </w:pPr>
      <w:r>
        <w:t>6 供暖、</w:t>
      </w:r>
      <w:r>
        <w:rPr>
          <w:rFonts w:hint="eastAsia"/>
        </w:rPr>
        <w:t>通风</w:t>
      </w:r>
      <w:r>
        <w:t>、空调、生活热水、电梯系统的系统形式和能效应与设计文件一致；生活热水系统的用水量应与设计文件一致，并满足国家标准《民用建筑节水设计标准》GB50555的规定；</w:t>
      </w:r>
    </w:p>
    <w:p>
      <w:pPr>
        <w:ind w:firstLine="420"/>
      </w:pPr>
      <w:r>
        <w:t>7 可再生能源系统形式及效率应与设计文件一致。</w:t>
      </w:r>
    </w:p>
    <w:p>
      <w:pPr>
        <w:autoSpaceDE w:val="0"/>
        <w:autoSpaceDN w:val="0"/>
        <w:adjustRightInd w:val="0"/>
        <w:spacing w:line="276" w:lineRule="auto"/>
        <w:ind w:firstLine="420"/>
        <w:jc w:val="center"/>
        <w:rPr>
          <w:rFonts w:eastAsia="黑体" w:cs="Times New Roman"/>
          <w:szCs w:val="21"/>
        </w:rPr>
      </w:pPr>
    </w:p>
    <w:p>
      <w:pPr>
        <w:autoSpaceDE w:val="0"/>
        <w:autoSpaceDN w:val="0"/>
        <w:adjustRightInd w:val="0"/>
        <w:spacing w:line="276" w:lineRule="auto"/>
        <w:ind w:firstLine="420"/>
        <w:jc w:val="center"/>
        <w:rPr>
          <w:rFonts w:eastAsia="黑体" w:cs="Times New Roman"/>
          <w:szCs w:val="21"/>
        </w:rPr>
      </w:pPr>
      <w:r>
        <w:rPr>
          <w:rFonts w:eastAsia="黑体" w:cs="Times New Roman"/>
          <w:szCs w:val="21"/>
        </w:rPr>
        <w:t>表</w:t>
      </w:r>
      <w:r>
        <w:rPr>
          <w:rFonts w:hint="eastAsia" w:cs="Times New Roman"/>
          <w:bCs/>
          <w:szCs w:val="24"/>
          <w:lang w:val="zh-CN" w:bidi="ar"/>
        </w:rPr>
        <w:t>A</w:t>
      </w:r>
      <w:r>
        <w:rPr>
          <w:rFonts w:eastAsia="黑体" w:cs="Times New Roman"/>
          <w:szCs w:val="21"/>
        </w:rPr>
        <w:t>.1.3-1 建筑的日运行时间</w:t>
      </w:r>
    </w:p>
    <w:tbl>
      <w:tblPr>
        <w:tblStyle w:val="44"/>
        <w:tblW w:w="49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676"/>
        <w:gridCol w:w="1873"/>
        <w:gridCol w:w="3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2784" w:type="pct"/>
            <w:gridSpan w:val="2"/>
            <w:vAlign w:val="center"/>
          </w:tcPr>
          <w:p>
            <w:pPr>
              <w:spacing w:line="276" w:lineRule="auto"/>
              <w:ind w:firstLine="420"/>
              <w:jc w:val="center"/>
              <w:rPr>
                <w:rFonts w:cs="Times New Roman"/>
                <w:szCs w:val="21"/>
              </w:rPr>
            </w:pPr>
            <w:r>
              <w:rPr>
                <w:rFonts w:cs="Times New Roman"/>
                <w:kern w:val="0"/>
                <w:szCs w:val="21"/>
              </w:rPr>
              <w:t>类别</w:t>
            </w:r>
          </w:p>
        </w:tc>
        <w:tc>
          <w:tcPr>
            <w:tcW w:w="2216" w:type="pct"/>
            <w:vAlign w:val="center"/>
          </w:tcPr>
          <w:p>
            <w:pPr>
              <w:spacing w:line="276" w:lineRule="auto"/>
              <w:ind w:firstLine="420"/>
              <w:jc w:val="center"/>
              <w:rPr>
                <w:rFonts w:cs="Times New Roman"/>
                <w:szCs w:val="21"/>
              </w:rPr>
            </w:pPr>
            <w:r>
              <w:rPr>
                <w:rFonts w:cs="Times New Roman"/>
                <w:kern w:val="0"/>
                <w:szCs w:val="21"/>
              </w:rPr>
              <w:t>系统工作时间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Align w:val="center"/>
          </w:tcPr>
          <w:p>
            <w:pPr>
              <w:spacing w:line="276" w:lineRule="auto"/>
              <w:ind w:firstLine="420"/>
              <w:jc w:val="center"/>
              <w:rPr>
                <w:rFonts w:cs="Times New Roman"/>
                <w:kern w:val="0"/>
                <w:szCs w:val="21"/>
              </w:rPr>
            </w:pPr>
            <w:r>
              <w:rPr>
                <w:rFonts w:cs="Times New Roman"/>
                <w:kern w:val="0"/>
                <w:szCs w:val="21"/>
              </w:rPr>
              <w:t>住宅建筑</w:t>
            </w:r>
          </w:p>
        </w:tc>
        <w:tc>
          <w:tcPr>
            <w:tcW w:w="1146" w:type="pct"/>
            <w:vAlign w:val="center"/>
          </w:tcPr>
          <w:p>
            <w:pPr>
              <w:spacing w:line="276" w:lineRule="auto"/>
              <w:ind w:firstLine="420"/>
              <w:jc w:val="center"/>
              <w:rPr>
                <w:rFonts w:cs="Times New Roman"/>
                <w:kern w:val="0"/>
                <w:szCs w:val="21"/>
              </w:rPr>
            </w:pPr>
            <w:r>
              <w:rPr>
                <w:rFonts w:cs="Times New Roman"/>
                <w:kern w:val="0"/>
                <w:szCs w:val="21"/>
              </w:rPr>
              <w:t>全年</w:t>
            </w:r>
          </w:p>
        </w:tc>
        <w:tc>
          <w:tcPr>
            <w:tcW w:w="2216" w:type="pct"/>
            <w:vAlign w:val="center"/>
          </w:tcPr>
          <w:p>
            <w:pPr>
              <w:spacing w:line="276" w:lineRule="auto"/>
              <w:ind w:firstLine="420"/>
              <w:jc w:val="center"/>
              <w:rPr>
                <w:rFonts w:cs="Times New Roman"/>
                <w:kern w:val="0"/>
                <w:szCs w:val="21"/>
              </w:rPr>
            </w:pPr>
            <w:r>
              <w:rPr>
                <w:rFonts w:cs="Times New Roman"/>
                <w:kern w:val="0"/>
                <w:szCs w:val="21"/>
              </w:rPr>
              <w:t>0：00～24：00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Merge w:val="restart"/>
            <w:vAlign w:val="center"/>
          </w:tcPr>
          <w:p>
            <w:pPr>
              <w:spacing w:line="276" w:lineRule="auto"/>
              <w:ind w:firstLine="420"/>
              <w:jc w:val="center"/>
              <w:rPr>
                <w:rFonts w:cs="Times New Roman"/>
                <w:szCs w:val="21"/>
              </w:rPr>
            </w:pPr>
            <w:r>
              <w:rPr>
                <w:rFonts w:cs="Times New Roman"/>
                <w:kern w:val="0"/>
                <w:szCs w:val="21"/>
              </w:rPr>
              <w:t>办公建筑</w:t>
            </w:r>
          </w:p>
        </w:tc>
        <w:tc>
          <w:tcPr>
            <w:tcW w:w="1146" w:type="pct"/>
            <w:vAlign w:val="center"/>
          </w:tcPr>
          <w:p>
            <w:pPr>
              <w:spacing w:line="276" w:lineRule="auto"/>
              <w:ind w:firstLine="420"/>
              <w:jc w:val="center"/>
              <w:rPr>
                <w:rFonts w:cs="Times New Roman"/>
                <w:szCs w:val="21"/>
              </w:rPr>
            </w:pPr>
            <w:r>
              <w:rPr>
                <w:rFonts w:cs="Times New Roman"/>
                <w:kern w:val="0"/>
                <w:szCs w:val="21"/>
              </w:rPr>
              <w:t>工作日</w:t>
            </w:r>
          </w:p>
        </w:tc>
        <w:tc>
          <w:tcPr>
            <w:tcW w:w="2216" w:type="pct"/>
            <w:vAlign w:val="center"/>
          </w:tcPr>
          <w:p>
            <w:pPr>
              <w:spacing w:line="276" w:lineRule="auto"/>
              <w:ind w:firstLine="420"/>
              <w:jc w:val="center"/>
              <w:rPr>
                <w:rFonts w:cs="Times New Roman"/>
                <w:szCs w:val="21"/>
              </w:rPr>
            </w:pPr>
            <w:r>
              <w:rPr>
                <w:rFonts w:cs="Times New Roman"/>
                <w:kern w:val="0"/>
                <w:szCs w:val="21"/>
              </w:rPr>
              <w:t>8：00～18：00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Merge w:val="continue"/>
            <w:vAlign w:val="center"/>
          </w:tcPr>
          <w:p>
            <w:pPr>
              <w:spacing w:line="276" w:lineRule="auto"/>
              <w:ind w:firstLine="420"/>
              <w:jc w:val="center"/>
              <w:rPr>
                <w:rFonts w:cs="Times New Roman"/>
                <w:kern w:val="0"/>
                <w:szCs w:val="21"/>
              </w:rPr>
            </w:pPr>
          </w:p>
        </w:tc>
        <w:tc>
          <w:tcPr>
            <w:tcW w:w="1146" w:type="pct"/>
            <w:vAlign w:val="center"/>
          </w:tcPr>
          <w:p>
            <w:pPr>
              <w:spacing w:line="276" w:lineRule="auto"/>
              <w:ind w:firstLine="420"/>
              <w:jc w:val="center"/>
              <w:rPr>
                <w:rFonts w:cs="Times New Roman"/>
                <w:szCs w:val="21"/>
              </w:rPr>
            </w:pPr>
            <w:r>
              <w:rPr>
                <w:rFonts w:cs="Times New Roman"/>
                <w:kern w:val="0"/>
                <w:szCs w:val="21"/>
              </w:rPr>
              <w:t>节假日</w:t>
            </w:r>
          </w:p>
        </w:tc>
        <w:tc>
          <w:tcPr>
            <w:tcW w:w="2216" w:type="pct"/>
            <w:vAlign w:val="center"/>
          </w:tcPr>
          <w:p>
            <w:pPr>
              <w:spacing w:line="276" w:lineRule="auto"/>
              <w:ind w:firstLine="420"/>
              <w:jc w:val="center"/>
              <w:rPr>
                <w:rFonts w:cs="Times New Roman"/>
                <w:szCs w:val="21"/>
              </w:rPr>
            </w:pPr>
            <w:r>
              <w:rPr>
                <w:rFonts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Align w:val="center"/>
          </w:tcPr>
          <w:p>
            <w:pPr>
              <w:spacing w:line="276" w:lineRule="auto"/>
              <w:ind w:firstLine="420"/>
              <w:jc w:val="center"/>
              <w:rPr>
                <w:rFonts w:cs="Times New Roman"/>
                <w:szCs w:val="21"/>
              </w:rPr>
            </w:pPr>
            <w:r>
              <w:rPr>
                <w:rFonts w:cs="Times New Roman"/>
                <w:kern w:val="0"/>
                <w:szCs w:val="21"/>
              </w:rPr>
              <w:t>酒店建筑</w:t>
            </w:r>
          </w:p>
        </w:tc>
        <w:tc>
          <w:tcPr>
            <w:tcW w:w="1146" w:type="pct"/>
            <w:vAlign w:val="center"/>
          </w:tcPr>
          <w:p>
            <w:pPr>
              <w:spacing w:line="276" w:lineRule="auto"/>
              <w:ind w:firstLine="420"/>
              <w:jc w:val="center"/>
              <w:rPr>
                <w:rFonts w:cs="Times New Roman"/>
                <w:szCs w:val="21"/>
              </w:rPr>
            </w:pPr>
            <w:r>
              <w:rPr>
                <w:rFonts w:cs="Times New Roman"/>
                <w:kern w:val="0"/>
                <w:szCs w:val="21"/>
              </w:rPr>
              <w:t>全年</w:t>
            </w:r>
          </w:p>
        </w:tc>
        <w:tc>
          <w:tcPr>
            <w:tcW w:w="2216" w:type="pct"/>
            <w:vAlign w:val="center"/>
          </w:tcPr>
          <w:p>
            <w:pPr>
              <w:spacing w:line="276" w:lineRule="auto"/>
              <w:ind w:firstLine="420"/>
              <w:jc w:val="center"/>
              <w:rPr>
                <w:rFonts w:cs="Times New Roman"/>
                <w:szCs w:val="21"/>
              </w:rPr>
            </w:pPr>
            <w:r>
              <w:rPr>
                <w:rFonts w:cs="Times New Roman"/>
                <w:kern w:val="0"/>
                <w:szCs w:val="21"/>
              </w:rPr>
              <w:t>0：00～24：00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Merge w:val="restart"/>
            <w:vAlign w:val="center"/>
          </w:tcPr>
          <w:p>
            <w:pPr>
              <w:spacing w:line="276" w:lineRule="auto"/>
              <w:ind w:firstLine="420"/>
              <w:jc w:val="center"/>
              <w:rPr>
                <w:rFonts w:cs="Times New Roman"/>
                <w:kern w:val="0"/>
                <w:szCs w:val="21"/>
              </w:rPr>
            </w:pPr>
            <w:r>
              <w:rPr>
                <w:rFonts w:cs="Times New Roman"/>
                <w:kern w:val="0"/>
                <w:szCs w:val="21"/>
              </w:rPr>
              <w:t>学校建筑</w:t>
            </w:r>
          </w:p>
        </w:tc>
        <w:tc>
          <w:tcPr>
            <w:tcW w:w="1146" w:type="pct"/>
            <w:vAlign w:val="center"/>
          </w:tcPr>
          <w:p>
            <w:pPr>
              <w:spacing w:line="276" w:lineRule="auto"/>
              <w:ind w:firstLine="420"/>
              <w:jc w:val="center"/>
              <w:rPr>
                <w:rFonts w:cs="Times New Roman"/>
                <w:kern w:val="0"/>
                <w:szCs w:val="21"/>
              </w:rPr>
            </w:pPr>
            <w:r>
              <w:rPr>
                <w:rFonts w:cs="Times New Roman"/>
                <w:kern w:val="0"/>
                <w:szCs w:val="21"/>
              </w:rPr>
              <w:t>工作日</w:t>
            </w:r>
          </w:p>
        </w:tc>
        <w:tc>
          <w:tcPr>
            <w:tcW w:w="2216" w:type="pct"/>
            <w:vAlign w:val="center"/>
          </w:tcPr>
          <w:p>
            <w:pPr>
              <w:spacing w:line="276" w:lineRule="auto"/>
              <w:ind w:firstLine="420"/>
              <w:jc w:val="center"/>
              <w:rPr>
                <w:rFonts w:cs="Times New Roman"/>
                <w:kern w:val="0"/>
                <w:szCs w:val="21"/>
              </w:rPr>
            </w:pPr>
            <w:r>
              <w:rPr>
                <w:rFonts w:cs="Times New Roman"/>
                <w:kern w:val="0"/>
                <w:szCs w:val="21"/>
              </w:rPr>
              <w:t>8：00～18：00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Merge w:val="continue"/>
            <w:vAlign w:val="center"/>
          </w:tcPr>
          <w:p>
            <w:pPr>
              <w:spacing w:line="276" w:lineRule="auto"/>
              <w:ind w:firstLine="420"/>
              <w:jc w:val="center"/>
              <w:rPr>
                <w:rFonts w:cs="Times New Roman"/>
                <w:kern w:val="0"/>
                <w:szCs w:val="21"/>
              </w:rPr>
            </w:pPr>
          </w:p>
        </w:tc>
        <w:tc>
          <w:tcPr>
            <w:tcW w:w="1146" w:type="pct"/>
            <w:vAlign w:val="center"/>
          </w:tcPr>
          <w:p>
            <w:pPr>
              <w:spacing w:line="276" w:lineRule="auto"/>
              <w:ind w:firstLine="420"/>
              <w:jc w:val="center"/>
              <w:rPr>
                <w:rFonts w:cs="Times New Roman"/>
                <w:kern w:val="0"/>
                <w:szCs w:val="21"/>
              </w:rPr>
            </w:pPr>
            <w:r>
              <w:rPr>
                <w:rFonts w:cs="Times New Roman"/>
                <w:kern w:val="0"/>
                <w:szCs w:val="21"/>
              </w:rPr>
              <w:t>节假日</w:t>
            </w:r>
          </w:p>
        </w:tc>
        <w:tc>
          <w:tcPr>
            <w:tcW w:w="2216" w:type="pct"/>
            <w:vAlign w:val="center"/>
          </w:tcPr>
          <w:p>
            <w:pPr>
              <w:spacing w:line="276" w:lineRule="auto"/>
              <w:ind w:firstLine="420"/>
              <w:jc w:val="center"/>
              <w:rPr>
                <w:rFonts w:cs="Times New Roman"/>
                <w:kern w:val="0"/>
                <w:szCs w:val="21"/>
              </w:rPr>
            </w:pPr>
            <w:r>
              <w:rPr>
                <w:rFonts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Align w:val="center"/>
          </w:tcPr>
          <w:p>
            <w:pPr>
              <w:spacing w:line="276" w:lineRule="auto"/>
              <w:ind w:firstLine="420"/>
              <w:jc w:val="center"/>
              <w:rPr>
                <w:rFonts w:cs="Times New Roman"/>
                <w:szCs w:val="21"/>
              </w:rPr>
            </w:pPr>
            <w:r>
              <w:rPr>
                <w:rFonts w:cs="Times New Roman"/>
                <w:kern w:val="0"/>
                <w:szCs w:val="21"/>
              </w:rPr>
              <w:t>商场建筑</w:t>
            </w:r>
          </w:p>
        </w:tc>
        <w:tc>
          <w:tcPr>
            <w:tcW w:w="1146" w:type="pct"/>
            <w:vAlign w:val="center"/>
          </w:tcPr>
          <w:p>
            <w:pPr>
              <w:spacing w:line="276" w:lineRule="auto"/>
              <w:ind w:firstLine="420"/>
              <w:jc w:val="center"/>
              <w:rPr>
                <w:rFonts w:cs="Times New Roman"/>
                <w:szCs w:val="21"/>
              </w:rPr>
            </w:pPr>
            <w:r>
              <w:rPr>
                <w:rFonts w:cs="Times New Roman"/>
                <w:kern w:val="0"/>
                <w:szCs w:val="21"/>
              </w:rPr>
              <w:t>全年</w:t>
            </w:r>
          </w:p>
        </w:tc>
        <w:tc>
          <w:tcPr>
            <w:tcW w:w="2216" w:type="pct"/>
            <w:vAlign w:val="center"/>
          </w:tcPr>
          <w:p>
            <w:pPr>
              <w:spacing w:line="276" w:lineRule="auto"/>
              <w:ind w:firstLine="420"/>
              <w:jc w:val="center"/>
              <w:rPr>
                <w:rFonts w:cs="Times New Roman"/>
                <w:szCs w:val="21"/>
              </w:rPr>
            </w:pPr>
            <w:r>
              <w:rPr>
                <w:rFonts w:cs="Times New Roman"/>
                <w:kern w:val="0"/>
                <w:szCs w:val="21"/>
              </w:rPr>
              <w:t>9：00～21：00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Align w:val="center"/>
          </w:tcPr>
          <w:p>
            <w:pPr>
              <w:spacing w:line="276" w:lineRule="auto"/>
              <w:ind w:firstLine="420"/>
              <w:jc w:val="center"/>
              <w:rPr>
                <w:rFonts w:cs="Times New Roman"/>
                <w:kern w:val="0"/>
                <w:szCs w:val="21"/>
              </w:rPr>
            </w:pPr>
            <w:r>
              <w:rPr>
                <w:rFonts w:cs="Times New Roman"/>
                <w:color w:val="000000"/>
                <w:kern w:val="0"/>
                <w:szCs w:val="21"/>
              </w:rPr>
              <w:t>影剧院</w:t>
            </w:r>
          </w:p>
        </w:tc>
        <w:tc>
          <w:tcPr>
            <w:tcW w:w="1146" w:type="pct"/>
            <w:vAlign w:val="center"/>
          </w:tcPr>
          <w:p>
            <w:pPr>
              <w:spacing w:line="276" w:lineRule="auto"/>
              <w:ind w:firstLine="420"/>
              <w:jc w:val="center"/>
              <w:rPr>
                <w:rFonts w:cs="Times New Roman"/>
                <w:kern w:val="0"/>
                <w:szCs w:val="21"/>
              </w:rPr>
            </w:pPr>
            <w:r>
              <w:rPr>
                <w:rFonts w:cs="Times New Roman"/>
                <w:kern w:val="0"/>
                <w:szCs w:val="21"/>
              </w:rPr>
              <w:t>全年</w:t>
            </w:r>
          </w:p>
        </w:tc>
        <w:tc>
          <w:tcPr>
            <w:tcW w:w="2216" w:type="pct"/>
            <w:vAlign w:val="center"/>
          </w:tcPr>
          <w:p>
            <w:pPr>
              <w:spacing w:line="276" w:lineRule="auto"/>
              <w:ind w:firstLine="420"/>
              <w:jc w:val="center"/>
              <w:rPr>
                <w:rFonts w:cs="Times New Roman"/>
                <w:kern w:val="0"/>
                <w:szCs w:val="21"/>
              </w:rPr>
            </w:pPr>
            <w:r>
              <w:rPr>
                <w:rFonts w:cs="Times New Roman"/>
                <w:kern w:val="0"/>
                <w:szCs w:val="21"/>
              </w:rPr>
              <w:t>9：00～21：00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jc w:val="center"/>
        </w:trPr>
        <w:tc>
          <w:tcPr>
            <w:tcW w:w="1638" w:type="pct"/>
            <w:vAlign w:val="center"/>
          </w:tcPr>
          <w:p>
            <w:pPr>
              <w:spacing w:line="276" w:lineRule="auto"/>
              <w:ind w:firstLine="420"/>
              <w:jc w:val="center"/>
              <w:rPr>
                <w:rFonts w:cs="Times New Roman"/>
                <w:szCs w:val="21"/>
              </w:rPr>
            </w:pPr>
            <w:r>
              <w:rPr>
                <w:rFonts w:cs="Times New Roman"/>
                <w:kern w:val="0"/>
                <w:szCs w:val="21"/>
              </w:rPr>
              <w:t>医院建筑</w:t>
            </w:r>
          </w:p>
        </w:tc>
        <w:tc>
          <w:tcPr>
            <w:tcW w:w="1146" w:type="pct"/>
            <w:vAlign w:val="center"/>
          </w:tcPr>
          <w:p>
            <w:pPr>
              <w:spacing w:line="276" w:lineRule="auto"/>
              <w:ind w:firstLine="420"/>
              <w:jc w:val="center"/>
              <w:rPr>
                <w:rFonts w:cs="Times New Roman"/>
                <w:szCs w:val="21"/>
              </w:rPr>
            </w:pPr>
            <w:r>
              <w:rPr>
                <w:rFonts w:cs="Times New Roman"/>
                <w:kern w:val="0"/>
                <w:szCs w:val="21"/>
              </w:rPr>
              <w:t>全年</w:t>
            </w:r>
          </w:p>
        </w:tc>
        <w:tc>
          <w:tcPr>
            <w:tcW w:w="2216" w:type="pct"/>
            <w:vAlign w:val="center"/>
          </w:tcPr>
          <w:p>
            <w:pPr>
              <w:spacing w:line="276" w:lineRule="auto"/>
              <w:ind w:firstLine="420"/>
              <w:jc w:val="center"/>
              <w:rPr>
                <w:rFonts w:cs="Times New Roman"/>
                <w:szCs w:val="21"/>
              </w:rPr>
            </w:pPr>
            <w:r>
              <w:rPr>
                <w:rFonts w:cs="Times New Roman"/>
                <w:kern w:val="0"/>
                <w:szCs w:val="21"/>
              </w:rPr>
              <w:t>8：00～18：00</w:t>
            </w:r>
          </w:p>
        </w:tc>
      </w:tr>
    </w:tbl>
    <w:p>
      <w:pPr>
        <w:autoSpaceDE w:val="0"/>
        <w:autoSpaceDN w:val="0"/>
        <w:adjustRightInd w:val="0"/>
        <w:spacing w:line="276" w:lineRule="auto"/>
        <w:ind w:firstLine="420"/>
        <w:jc w:val="center"/>
        <w:rPr>
          <w:rFonts w:eastAsia="黑体" w:cs="Times New Roman"/>
          <w:szCs w:val="21"/>
        </w:rPr>
      </w:pPr>
    </w:p>
    <w:p>
      <w:pPr>
        <w:autoSpaceDE w:val="0"/>
        <w:autoSpaceDN w:val="0"/>
        <w:adjustRightInd w:val="0"/>
        <w:spacing w:line="276" w:lineRule="auto"/>
        <w:ind w:firstLine="420"/>
        <w:jc w:val="center"/>
        <w:rPr>
          <w:rFonts w:eastAsia="黑体" w:cs="Times New Roman"/>
          <w:szCs w:val="21"/>
        </w:rPr>
      </w:pPr>
      <w:r>
        <w:rPr>
          <w:rFonts w:eastAsia="黑体" w:cs="Times New Roman"/>
          <w:szCs w:val="21"/>
        </w:rPr>
        <w:t>表</w:t>
      </w:r>
      <w:r>
        <w:rPr>
          <w:rFonts w:hint="eastAsia" w:cs="Times New Roman"/>
          <w:bCs/>
          <w:szCs w:val="24"/>
          <w:lang w:val="zh-CN" w:bidi="ar"/>
        </w:rPr>
        <w:t>A</w:t>
      </w:r>
      <w:r>
        <w:rPr>
          <w:rFonts w:eastAsia="黑体" w:cs="Times New Roman"/>
          <w:szCs w:val="21"/>
        </w:rPr>
        <w:t xml:space="preserve">.1.3-2 </w:t>
      </w:r>
      <w:r>
        <w:rPr>
          <w:rFonts w:hint="eastAsia" w:eastAsia="黑体" w:cs="Times New Roman"/>
          <w:szCs w:val="21"/>
        </w:rPr>
        <w:t>活动遮阳</w:t>
      </w:r>
      <w:r>
        <w:rPr>
          <w:rFonts w:eastAsia="黑体" w:cs="Times New Roman"/>
          <w:szCs w:val="21"/>
        </w:rPr>
        <w:t>装置</w:t>
      </w:r>
      <w:r>
        <w:rPr>
          <w:rFonts w:hint="eastAsia" w:eastAsia="黑体" w:cs="Times New Roman"/>
          <w:szCs w:val="21"/>
        </w:rPr>
        <w:t>遮阳系数SC</w:t>
      </w:r>
      <w:r>
        <w:rPr>
          <w:rFonts w:eastAsia="黑体" w:cs="Times New Roman"/>
          <w:szCs w:val="21"/>
        </w:rPr>
        <w:t>的取值</w:t>
      </w:r>
    </w:p>
    <w:tbl>
      <w:tblPr>
        <w:tblStyle w:val="27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54"/>
        <w:gridCol w:w="4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496" w:type="pct"/>
          </w:tcPr>
          <w:p>
            <w:pPr>
              <w:autoSpaceDE w:val="0"/>
              <w:autoSpaceDN w:val="0"/>
              <w:adjustRightInd w:val="0"/>
              <w:spacing w:line="276" w:lineRule="auto"/>
              <w:ind w:firstLine="0" w:firstLineChars="0"/>
              <w:jc w:val="center"/>
              <w:rPr>
                <w:rFonts w:ascii="宋体" w:hAnsi="宋体" w:cs="宋体"/>
                <w:szCs w:val="21"/>
              </w:rPr>
            </w:pPr>
            <w:r>
              <w:rPr>
                <w:rFonts w:hint="eastAsia" w:ascii="宋体" w:hAnsi="宋体" w:cs="宋体"/>
                <w:szCs w:val="21"/>
              </w:rPr>
              <w:t>控制方式</w:t>
            </w:r>
          </w:p>
        </w:tc>
        <w:tc>
          <w:tcPr>
            <w:tcW w:w="2504" w:type="pct"/>
          </w:tcPr>
          <w:p>
            <w:pPr>
              <w:autoSpaceDE w:val="0"/>
              <w:autoSpaceDN w:val="0"/>
              <w:adjustRightInd w:val="0"/>
              <w:spacing w:line="276" w:lineRule="auto"/>
              <w:ind w:firstLine="0" w:firstLineChars="0"/>
              <w:jc w:val="center"/>
              <w:rPr>
                <w:rFonts w:ascii="宋体" w:hAnsi="宋体" w:cs="宋体"/>
                <w:szCs w:val="21"/>
              </w:rPr>
            </w:pPr>
            <w:r>
              <w:rPr>
                <w:rFonts w:hint="eastAsia" w:ascii="宋体" w:hAnsi="宋体" w:cs="宋体"/>
                <w:szCs w:val="21"/>
              </w:rPr>
              <w:t>供冷季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496" w:type="pct"/>
          </w:tcPr>
          <w:p>
            <w:pPr>
              <w:autoSpaceDE w:val="0"/>
              <w:autoSpaceDN w:val="0"/>
              <w:adjustRightInd w:val="0"/>
              <w:spacing w:line="276" w:lineRule="auto"/>
              <w:ind w:firstLine="0" w:firstLineChars="0"/>
              <w:jc w:val="center"/>
              <w:rPr>
                <w:rFonts w:ascii="宋体" w:hAnsi="宋体" w:cs="宋体"/>
                <w:szCs w:val="21"/>
              </w:rPr>
            </w:pPr>
            <w:r>
              <w:rPr>
                <w:rFonts w:hint="eastAsia" w:ascii="宋体" w:hAnsi="宋体" w:cs="宋体"/>
                <w:szCs w:val="21"/>
              </w:rPr>
              <w:t>手动控制</w:t>
            </w:r>
          </w:p>
        </w:tc>
        <w:tc>
          <w:tcPr>
            <w:tcW w:w="2504" w:type="pct"/>
          </w:tcPr>
          <w:p>
            <w:pPr>
              <w:autoSpaceDE w:val="0"/>
              <w:autoSpaceDN w:val="0"/>
              <w:adjustRightInd w:val="0"/>
              <w:spacing w:line="276" w:lineRule="auto"/>
              <w:ind w:firstLine="0" w:firstLineChars="0"/>
              <w:jc w:val="center"/>
              <w:rPr>
                <w:rFonts w:ascii="宋体" w:hAnsi="宋体" w:cs="宋体"/>
                <w:szCs w:val="21"/>
              </w:rPr>
            </w:pPr>
            <w:r>
              <w:rPr>
                <w:rFonts w:hint="eastAsia" w:ascii="宋体" w:hAnsi="宋体" w:cs="宋体"/>
                <w:szCs w:val="21"/>
              </w:rPr>
              <w:t>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496" w:type="pct"/>
          </w:tcPr>
          <w:p>
            <w:pPr>
              <w:autoSpaceDE w:val="0"/>
              <w:autoSpaceDN w:val="0"/>
              <w:adjustRightInd w:val="0"/>
              <w:spacing w:line="276" w:lineRule="auto"/>
              <w:ind w:firstLine="0" w:firstLineChars="0"/>
              <w:jc w:val="center"/>
              <w:rPr>
                <w:rFonts w:ascii="宋体" w:hAnsi="宋体" w:cs="宋体"/>
                <w:szCs w:val="21"/>
              </w:rPr>
            </w:pPr>
            <w:r>
              <w:rPr>
                <w:rFonts w:hint="eastAsia" w:ascii="宋体" w:hAnsi="宋体" w:cs="宋体"/>
                <w:szCs w:val="21"/>
              </w:rPr>
              <w:t>自动控制</w:t>
            </w:r>
          </w:p>
        </w:tc>
        <w:tc>
          <w:tcPr>
            <w:tcW w:w="2504" w:type="pct"/>
          </w:tcPr>
          <w:p>
            <w:pPr>
              <w:autoSpaceDE w:val="0"/>
              <w:autoSpaceDN w:val="0"/>
              <w:adjustRightInd w:val="0"/>
              <w:spacing w:line="276" w:lineRule="auto"/>
              <w:ind w:firstLine="0" w:firstLineChars="0"/>
              <w:jc w:val="center"/>
              <w:rPr>
                <w:rFonts w:ascii="宋体" w:hAnsi="宋体" w:cs="宋体"/>
                <w:szCs w:val="21"/>
              </w:rPr>
            </w:pPr>
            <w:r>
              <w:rPr>
                <w:rFonts w:hint="eastAsia" w:ascii="宋体" w:hAnsi="宋体" w:cs="宋体"/>
                <w:szCs w:val="21"/>
              </w:rPr>
              <w:t>0.35</w:t>
            </w:r>
          </w:p>
        </w:tc>
      </w:tr>
    </w:tbl>
    <w:p>
      <w:pPr>
        <w:autoSpaceDE w:val="0"/>
        <w:autoSpaceDN w:val="0"/>
        <w:adjustRightInd w:val="0"/>
        <w:spacing w:line="276" w:lineRule="auto"/>
        <w:ind w:firstLine="420"/>
        <w:jc w:val="center"/>
        <w:rPr>
          <w:rFonts w:eastAsia="黑体" w:cs="Times New Roman"/>
          <w:szCs w:val="21"/>
        </w:rPr>
      </w:pPr>
    </w:p>
    <w:p>
      <w:pPr>
        <w:autoSpaceDE w:val="0"/>
        <w:autoSpaceDN w:val="0"/>
        <w:adjustRightInd w:val="0"/>
        <w:spacing w:line="276" w:lineRule="auto"/>
        <w:ind w:firstLine="420"/>
        <w:jc w:val="center"/>
        <w:rPr>
          <w:rFonts w:eastAsia="黑体" w:cs="Times New Roman"/>
          <w:szCs w:val="21"/>
        </w:rPr>
      </w:pPr>
      <w:r>
        <w:rPr>
          <w:rFonts w:eastAsia="黑体" w:cs="Times New Roman"/>
          <w:szCs w:val="21"/>
        </w:rPr>
        <w:t>表</w:t>
      </w:r>
      <w:r>
        <w:rPr>
          <w:rFonts w:hint="eastAsia" w:cs="Times New Roman"/>
          <w:bCs/>
          <w:szCs w:val="24"/>
          <w:lang w:val="zh-CN" w:bidi="ar"/>
        </w:rPr>
        <w:t>A</w:t>
      </w:r>
      <w:r>
        <w:rPr>
          <w:rFonts w:eastAsia="黑体" w:cs="Times New Roman"/>
          <w:szCs w:val="21"/>
        </w:rPr>
        <w:t>.1.3-3 不同类型房间人员、设备、照明内热设置</w:t>
      </w:r>
    </w:p>
    <w:tbl>
      <w:tblPr>
        <w:tblStyle w:val="4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347"/>
        <w:gridCol w:w="1007"/>
        <w:gridCol w:w="1009"/>
        <w:gridCol w:w="1007"/>
        <w:gridCol w:w="1009"/>
        <w:gridCol w:w="1007"/>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建筑类型</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房间类型</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人均占地面积m</w:t>
            </w:r>
            <w:r>
              <w:rPr>
                <w:rFonts w:cs="Times New Roman"/>
                <w:color w:val="000000"/>
                <w:szCs w:val="21"/>
                <w:vertAlign w:val="superscript"/>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人员在室率</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设备功率密度W/m</w:t>
            </w:r>
            <w:r>
              <w:rPr>
                <w:rFonts w:cs="Times New Roman"/>
                <w:color w:val="000000"/>
                <w:szCs w:val="21"/>
                <w:vertAlign w:val="superscript"/>
              </w:rPr>
              <w:t>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设备使用率</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照明功率密度</w:t>
            </w:r>
          </w:p>
          <w:p>
            <w:pPr>
              <w:widowControl/>
              <w:spacing w:line="276" w:lineRule="auto"/>
              <w:ind w:firstLine="0" w:firstLineChars="0"/>
              <w:jc w:val="center"/>
              <w:rPr>
                <w:rFonts w:cs="Times New Roman"/>
                <w:color w:val="000000"/>
                <w:szCs w:val="21"/>
              </w:rPr>
            </w:pPr>
            <w:r>
              <w:rPr>
                <w:rFonts w:cs="Times New Roman"/>
                <w:color w:val="000000"/>
                <w:szCs w:val="21"/>
              </w:rPr>
              <w:t>W/m</w:t>
            </w:r>
            <w:r>
              <w:rPr>
                <w:rFonts w:cs="Times New Roman"/>
                <w:color w:val="000000"/>
                <w:szCs w:val="21"/>
                <w:vertAlign w:val="superscript"/>
              </w:rPr>
              <w:t>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照明开启时长</w:t>
            </w:r>
          </w:p>
          <w:p>
            <w:pPr>
              <w:widowControl/>
              <w:spacing w:line="276" w:lineRule="auto"/>
              <w:ind w:firstLine="0" w:firstLineChars="0"/>
              <w:jc w:val="center"/>
              <w:rPr>
                <w:rFonts w:cs="Times New Roman"/>
                <w:color w:val="000000"/>
                <w:szCs w:val="21"/>
              </w:rPr>
            </w:pPr>
            <w:r>
              <w:rPr>
                <w:rFonts w:cs="Times New Roman"/>
                <w:color w:val="000000"/>
                <w:szCs w:val="21"/>
              </w:rPr>
              <w:t>h/月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住宅建筑</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起居室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19.5%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39.4%</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卧室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35.4%</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19.6%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餐厅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19.5%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39.4%</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4.2%</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洗手间</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楼梯间</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大堂门厅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储物间</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车库</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办公建筑</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密集办公室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会议室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61.8%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大堂门厅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休息室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设备用房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库房、管道井</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车库</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25.0%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酒店建筑</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酒店客房</w:t>
            </w:r>
          </w:p>
          <w:p>
            <w:pPr>
              <w:widowControl/>
              <w:spacing w:line="276" w:lineRule="auto"/>
              <w:ind w:firstLine="0" w:firstLineChars="0"/>
              <w:jc w:val="center"/>
              <w:rPr>
                <w:rFonts w:cs="Times New Roman"/>
                <w:color w:val="000000"/>
                <w:kern w:val="0"/>
                <w:szCs w:val="21"/>
              </w:rPr>
            </w:pPr>
            <w:r>
              <w:rPr>
                <w:rFonts w:cs="Times New Roman"/>
                <w:color w:val="000000"/>
                <w:kern w:val="0"/>
                <w:szCs w:val="21"/>
              </w:rPr>
              <w:t>（三星以下）</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14.29</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28.8%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酒店客房（三星）</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28.8%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酒店客房（四星）</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28.8%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酒店客房（五星）</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28.8%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多功能厅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61.8%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一般商店、超市</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54.2%</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9</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高档商店</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54.2%</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14.5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中餐厅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西餐厅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火锅店</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快餐店</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酒吧、茶座</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27.9%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游泳池</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26.3%</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14.5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车库</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7</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密集办公室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会议室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61.8%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大堂门厅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休息室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设备用房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库房、管道井</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健身房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26.3%</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11</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保龄球房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40.4%</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14.5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台球房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40.4%</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14.5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学校建筑</w:t>
            </w:r>
          </w:p>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教室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1.12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26.8%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14.9%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阅览室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26.8%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14.9%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电脑机房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50.4%</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40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密集办公室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会议室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61.8%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大堂门厅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休息室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设备用房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库房、管道井</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车库</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商场建筑</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一般商店、超市</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54.2%</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9</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高档商店</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54.2%</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14.5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中餐厅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27.9%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西餐厅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火锅店</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17.7%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快餐店</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27.9%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酒吧、茶座</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27.9%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7</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密集办公室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32.7%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13.5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会议室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61.8%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7</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大堂门厅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54.6%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休息室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36.5%</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设备用房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库房、管道井</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影剧院</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影剧院</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34.6%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11</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舞台</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34.6%</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40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66.7%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11</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舞厅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35.8%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35.8%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11</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棋牌室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20.8%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11</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展览厅</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23.8%</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9</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restar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医院建筑</w:t>
            </w: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病房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手术室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52.9%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20</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候诊室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2</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47.9%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门诊办公室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6.67</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47.9%</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婴儿室</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3.33</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100.0%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6.5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药品储存库</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档案库房</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0</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0.0%</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1" w:type="pct"/>
            <w:vMerge w:val="continue"/>
            <w:noWrap/>
            <w:vAlign w:val="center"/>
          </w:tcPr>
          <w:p>
            <w:pPr>
              <w:widowControl/>
              <w:spacing w:line="276" w:lineRule="auto"/>
              <w:ind w:firstLine="0" w:firstLineChars="0"/>
              <w:jc w:val="center"/>
              <w:rPr>
                <w:rFonts w:cs="Times New Roman"/>
                <w:color w:val="000000"/>
                <w:kern w:val="0"/>
                <w:szCs w:val="21"/>
              </w:rPr>
            </w:pPr>
          </w:p>
        </w:tc>
        <w:tc>
          <w:tcPr>
            <w:tcW w:w="790" w:type="pct"/>
            <w:noWrap/>
            <w:vAlign w:val="center"/>
          </w:tcPr>
          <w:p>
            <w:pPr>
              <w:widowControl/>
              <w:spacing w:line="276" w:lineRule="auto"/>
              <w:ind w:firstLine="0" w:firstLineChars="0"/>
              <w:jc w:val="center"/>
              <w:rPr>
                <w:rFonts w:cs="Times New Roman"/>
                <w:color w:val="000000"/>
                <w:kern w:val="0"/>
                <w:szCs w:val="21"/>
              </w:rPr>
            </w:pPr>
            <w:r>
              <w:rPr>
                <w:rFonts w:cs="Times New Roman"/>
                <w:color w:val="000000"/>
                <w:kern w:val="0"/>
                <w:szCs w:val="21"/>
              </w:rPr>
              <w:t>美容院</w:t>
            </w:r>
          </w:p>
        </w:tc>
        <w:tc>
          <w:tcPr>
            <w:tcW w:w="591" w:type="pct"/>
            <w:vAlign w:val="center"/>
          </w:tcPr>
          <w:p>
            <w:pPr>
              <w:widowControl/>
              <w:spacing w:line="276" w:lineRule="auto"/>
              <w:ind w:firstLine="0" w:firstLineChars="0"/>
              <w:jc w:val="center"/>
              <w:rPr>
                <w:rFonts w:cs="Times New Roman"/>
                <w:kern w:val="0"/>
                <w:szCs w:val="21"/>
              </w:rPr>
            </w:pPr>
            <w:r>
              <w:rPr>
                <w:rFonts w:cs="Times New Roman"/>
                <w:color w:val="000000"/>
                <w:szCs w:val="21"/>
              </w:rPr>
              <w:t>4</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5</w:t>
            </w:r>
          </w:p>
        </w:tc>
        <w:tc>
          <w:tcPr>
            <w:tcW w:w="592" w:type="pct"/>
            <w:vAlign w:val="center"/>
          </w:tcPr>
          <w:p>
            <w:pPr>
              <w:widowControl/>
              <w:spacing w:line="276" w:lineRule="auto"/>
              <w:ind w:firstLine="0" w:firstLineChars="0"/>
              <w:jc w:val="center"/>
              <w:rPr>
                <w:rFonts w:cs="Times New Roman"/>
                <w:kern w:val="0"/>
                <w:szCs w:val="21"/>
              </w:rPr>
            </w:pPr>
            <w:r>
              <w:rPr>
                <w:rFonts w:cs="Times New Roman"/>
                <w:color w:val="000000"/>
                <w:szCs w:val="21"/>
              </w:rPr>
              <w:t>51.7%</w:t>
            </w:r>
          </w:p>
        </w:tc>
        <w:tc>
          <w:tcPr>
            <w:tcW w:w="591"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8</w:t>
            </w:r>
          </w:p>
        </w:tc>
        <w:tc>
          <w:tcPr>
            <w:tcW w:w="592" w:type="pct"/>
            <w:vAlign w:val="center"/>
          </w:tcPr>
          <w:p>
            <w:pPr>
              <w:widowControl/>
              <w:spacing w:line="276" w:lineRule="auto"/>
              <w:ind w:firstLine="0" w:firstLineChars="0"/>
              <w:jc w:val="center"/>
              <w:rPr>
                <w:rFonts w:cs="Times New Roman"/>
                <w:color w:val="000000"/>
                <w:szCs w:val="21"/>
              </w:rPr>
            </w:pPr>
            <w:r>
              <w:rPr>
                <w:rFonts w:cs="Times New Roman"/>
                <w:color w:val="000000"/>
                <w:szCs w:val="21"/>
              </w:rPr>
              <w:t>270</w:t>
            </w:r>
          </w:p>
        </w:tc>
      </w:tr>
    </w:tbl>
    <w:p>
      <w:pPr>
        <w:ind w:firstLine="0" w:firstLineChars="0"/>
      </w:pPr>
      <w:r>
        <w:t>【条文说明】</w:t>
      </w:r>
    </w:p>
    <w:p>
      <w:pPr>
        <w:ind w:firstLine="420"/>
      </w:pPr>
      <w:r>
        <w:rPr>
          <w:rFonts w:hint="eastAsia"/>
        </w:rPr>
        <w:t>表</w:t>
      </w:r>
      <w:r>
        <w:rPr>
          <w:rFonts w:hint="eastAsia" w:cs="Times New Roman"/>
          <w:bCs/>
          <w:szCs w:val="24"/>
          <w:lang w:val="zh-CN" w:bidi="ar"/>
        </w:rPr>
        <w:t>A</w:t>
      </w:r>
      <w:r>
        <w:t>.1.3-1</w:t>
      </w:r>
      <w:r>
        <w:rPr>
          <w:rFonts w:hint="eastAsia"/>
        </w:rPr>
        <w:t>中</w:t>
      </w:r>
      <w:r>
        <w:t>的</w:t>
      </w:r>
      <w:r>
        <w:rPr>
          <w:rFonts w:hint="eastAsia"/>
        </w:rPr>
        <w:t>节假日</w:t>
      </w:r>
      <w:r>
        <w:t>是指</w:t>
      </w:r>
      <w:r>
        <w:rPr>
          <w:rFonts w:hint="eastAsia"/>
        </w:rPr>
        <w:t>我国</w:t>
      </w:r>
      <w:r>
        <w:t>政府</w:t>
      </w:r>
      <w:r>
        <w:rPr>
          <w:rFonts w:hint="eastAsia"/>
        </w:rPr>
        <w:t>规定</w:t>
      </w:r>
      <w:r>
        <w:t>的法定假日，学校建筑</w:t>
      </w:r>
      <w:r>
        <w:rPr>
          <w:rFonts w:hint="eastAsia"/>
        </w:rPr>
        <w:t>还应</w:t>
      </w:r>
      <w:r>
        <w:t>包括寒假和暑假，其中</w:t>
      </w:r>
      <w:r>
        <w:rPr>
          <w:rFonts w:hint="eastAsia"/>
        </w:rPr>
        <w:t>暑假假期为</w:t>
      </w:r>
      <w:r>
        <w:t>7</w:t>
      </w:r>
      <w:r>
        <w:rPr>
          <w:rFonts w:hint="eastAsia"/>
        </w:rPr>
        <w:t>月</w:t>
      </w:r>
      <w:r>
        <w:t>15</w:t>
      </w:r>
      <w:r>
        <w:rPr>
          <w:rFonts w:hint="eastAsia"/>
        </w:rPr>
        <w:t>日至</w:t>
      </w:r>
      <w:r>
        <w:t>8</w:t>
      </w:r>
      <w:r>
        <w:rPr>
          <w:rFonts w:hint="eastAsia"/>
        </w:rPr>
        <w:t>月</w:t>
      </w:r>
      <w:r>
        <w:t>25</w:t>
      </w:r>
      <w:r>
        <w:rPr>
          <w:rFonts w:hint="eastAsia"/>
        </w:rPr>
        <w:t>日，寒假假期为</w:t>
      </w:r>
      <w:r>
        <w:t>1</w:t>
      </w:r>
      <w:r>
        <w:rPr>
          <w:rFonts w:hint="eastAsia"/>
        </w:rPr>
        <w:t>月</w:t>
      </w:r>
      <w:r>
        <w:t>15</w:t>
      </w:r>
      <w:r>
        <w:rPr>
          <w:rFonts w:hint="eastAsia"/>
        </w:rPr>
        <w:t>日至次年</w:t>
      </w:r>
      <w:r>
        <w:t>3</w:t>
      </w:r>
      <w:r>
        <w:rPr>
          <w:rFonts w:hint="eastAsia"/>
        </w:rPr>
        <w:t>月</w:t>
      </w:r>
      <w:r>
        <w:t>1</w:t>
      </w:r>
      <w:r>
        <w:rPr>
          <w:rFonts w:hint="eastAsia"/>
        </w:rPr>
        <w:t>日。</w:t>
      </w:r>
    </w:p>
    <w:p>
      <w:pPr>
        <w:adjustRightInd w:val="0"/>
        <w:snapToGrid w:val="0"/>
        <w:spacing w:after="78" w:line="276" w:lineRule="auto"/>
        <w:ind w:left="368" w:hanging="367" w:hangingChars="175"/>
        <w:rPr>
          <w:rFonts w:cs="Times New Roman"/>
          <w:szCs w:val="21"/>
        </w:rPr>
      </w:pP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.1.4 基准建筑能</w:t>
      </w:r>
      <w:r>
        <w:rPr>
          <w:rFonts w:hint="eastAsia" w:cs="Times New Roman"/>
          <w:bCs/>
          <w:szCs w:val="24"/>
          <w:lang w:val="zh-CN" w:bidi="ar"/>
        </w:rPr>
        <w:t>耗</w:t>
      </w:r>
      <w:r>
        <w:rPr>
          <w:rFonts w:cs="Times New Roman"/>
          <w:bCs/>
          <w:szCs w:val="24"/>
          <w:lang w:val="zh-CN" w:bidi="ar"/>
        </w:rPr>
        <w:t>指标计算参数设置应符合下列规定：</w:t>
      </w:r>
    </w:p>
    <w:p>
      <w:pPr>
        <w:ind w:firstLine="420"/>
      </w:pPr>
      <w:r>
        <w:t>1 建筑的形状、大小、内部的空间划分和使用功能、建筑构造、围护结构做法应与设计建筑一致；</w:t>
      </w:r>
    </w:p>
    <w:p>
      <w:pPr>
        <w:ind w:firstLine="420"/>
      </w:pPr>
      <w:r>
        <w:t xml:space="preserve">2 </w:t>
      </w:r>
      <w:r>
        <w:rPr>
          <w:rFonts w:hint="eastAsia"/>
        </w:rPr>
        <w:t>供冷</w:t>
      </w:r>
      <w:r>
        <w:t>系统的运行时间、室内温度、照明开关时间、电梯系统运行时间、房间人均占有的空调面积及在室率、人员新风量及新风机组运行时间表、及电器设备功率密度及使用率应与设计建筑一致；照明功率密度值应按表</w:t>
      </w:r>
      <w:r>
        <w:rPr>
          <w:rFonts w:hint="eastAsia" w:cs="Times New Roman"/>
          <w:bCs/>
          <w:szCs w:val="24"/>
          <w:lang w:val="zh-CN" w:bidi="ar"/>
        </w:rPr>
        <w:t>A</w:t>
      </w:r>
      <w:r>
        <w:t>.1.3-3确定。</w:t>
      </w:r>
    </w:p>
    <w:p>
      <w:pPr>
        <w:ind w:firstLine="420"/>
      </w:pPr>
      <w:r>
        <w:t>3围护结构热工性能和冷热源性能应满足国家标准</w:t>
      </w:r>
      <w:r>
        <w:rPr>
          <w:rFonts w:hint="eastAsia"/>
        </w:rPr>
        <w:t>《建筑节能与可再生能源利用通用规范》 GB55015-2021的规定</w:t>
      </w:r>
      <w:r>
        <w:t>，未规定的围护结构热工性能和冷热源性能的相关参数应与设计建筑一致；</w:t>
      </w:r>
    </w:p>
    <w:p>
      <w:pPr>
        <w:ind w:firstLine="420"/>
      </w:pPr>
      <w:r>
        <w:t>4按设计建筑实际朝向建立基准建筑模型，并将建筑依次旋转90°、180°、270°，将四个不同方向的模型负荷计算结果的平均值，作为基准建筑负荷；</w:t>
      </w:r>
    </w:p>
    <w:p>
      <w:pPr>
        <w:ind w:firstLine="420"/>
      </w:pPr>
      <w:r>
        <w:t>5基准建筑</w:t>
      </w:r>
      <w:r>
        <w:rPr>
          <w:rFonts w:hint="eastAsia"/>
        </w:rPr>
        <w:t>无活动</w:t>
      </w:r>
      <w:r>
        <w:t>遮阳装置，其基准建筑窗墙面积比按表</w:t>
      </w:r>
      <w:r>
        <w:rPr>
          <w:rFonts w:hint="eastAsia" w:cs="Times New Roman"/>
          <w:bCs/>
          <w:szCs w:val="24"/>
          <w:lang w:val="zh-CN" w:bidi="ar"/>
        </w:rPr>
        <w:t>A</w:t>
      </w:r>
      <w:r>
        <w:t>.1.4-1</w:t>
      </w:r>
      <w:r>
        <w:rPr>
          <w:rFonts w:hint="eastAsia"/>
        </w:rPr>
        <w:t>选取</w:t>
      </w:r>
      <w:r>
        <w:t>，对于表中未包含的建筑类型，基准建筑窗墙比与设计建筑一致；</w:t>
      </w:r>
    </w:p>
    <w:p>
      <w:pPr>
        <w:ind w:firstLine="420"/>
      </w:pPr>
      <w:r>
        <w:t>6基准建筑的</w:t>
      </w:r>
      <w:r>
        <w:rPr>
          <w:rFonts w:hint="eastAsia"/>
        </w:rPr>
        <w:t>供冷</w:t>
      </w:r>
      <w:r>
        <w:t>系统形式按表</w:t>
      </w:r>
      <w:r>
        <w:rPr>
          <w:rFonts w:hint="eastAsia" w:cs="Times New Roman"/>
          <w:bCs/>
          <w:szCs w:val="24"/>
          <w:lang w:val="zh-CN" w:bidi="ar"/>
        </w:rPr>
        <w:t>A</w:t>
      </w:r>
      <w:r>
        <w:t>.1.4-2确定；基准建筑的生活热水系统形式</w:t>
      </w:r>
      <w:r>
        <w:rPr>
          <w:rFonts w:hint="eastAsia"/>
        </w:rPr>
        <w:t>和</w:t>
      </w:r>
      <w:r>
        <w:t>用水定额</w:t>
      </w:r>
      <w:r>
        <w:rPr>
          <w:rFonts w:hint="eastAsia"/>
        </w:rPr>
        <w:t>应</w:t>
      </w:r>
      <w:r>
        <w:t>与设计建筑一致</w:t>
      </w:r>
      <w:r>
        <w:rPr>
          <w:rFonts w:hint="eastAsia"/>
        </w:rPr>
        <w:t>；</w:t>
      </w:r>
    </w:p>
    <w:p>
      <w:pPr>
        <w:ind w:firstLine="420"/>
      </w:pPr>
      <w:r>
        <w:t>7</w:t>
      </w:r>
      <w:r>
        <w:rPr>
          <w:rFonts w:hint="eastAsia"/>
        </w:rPr>
        <w:t>基准建筑</w:t>
      </w:r>
      <w:r>
        <w:t>的电梯系统形式、类型</w:t>
      </w:r>
      <w:r>
        <w:rPr>
          <w:rFonts w:hint="eastAsia"/>
        </w:rPr>
        <w:t>、</w:t>
      </w:r>
      <w:r>
        <w:t>台数</w:t>
      </w:r>
      <w:r>
        <w:rPr>
          <w:rFonts w:hint="eastAsia"/>
        </w:rPr>
        <w:t>、设计</w:t>
      </w:r>
      <w:r>
        <w:t>速度、</w:t>
      </w:r>
      <w:r>
        <w:rPr>
          <w:rFonts w:hint="eastAsia"/>
        </w:rPr>
        <w:t>额定载客人数</w:t>
      </w:r>
      <w:r>
        <w:t>应与设计建筑</w:t>
      </w:r>
      <w:r>
        <w:rPr>
          <w:rFonts w:hint="eastAsia"/>
        </w:rPr>
        <w:t>一致，</w:t>
      </w:r>
      <w:r>
        <w:t>电梯</w:t>
      </w:r>
      <w:r>
        <w:rPr>
          <w:rFonts w:hint="eastAsia"/>
        </w:rPr>
        <w:t>待机时</w:t>
      </w:r>
      <w:r>
        <w:t>的能量需求</w:t>
      </w:r>
      <w:r>
        <w:rPr>
          <w:rFonts w:hint="eastAsia"/>
        </w:rPr>
        <w:t>（输出）</w:t>
      </w:r>
      <w:r>
        <w:t>为2</w:t>
      </w:r>
      <w:r>
        <w:rPr>
          <w:rFonts w:hint="eastAsia"/>
        </w:rPr>
        <w:t>00</w:t>
      </w:r>
      <w:r>
        <w:t>W</w:t>
      </w:r>
      <w:r>
        <w:rPr>
          <w:rFonts w:hint="eastAsia"/>
        </w:rPr>
        <w:t>，</w:t>
      </w:r>
      <w:r>
        <w:t>运行时的特定能量</w:t>
      </w:r>
      <w:r>
        <w:rPr>
          <w:rFonts w:hint="eastAsia"/>
        </w:rPr>
        <w:t>消耗</w:t>
      </w:r>
      <w:r>
        <w:t>为1.26mWh/kgm。</w:t>
      </w:r>
    </w:p>
    <w:p>
      <w:pPr>
        <w:widowControl/>
        <w:ind w:firstLine="420"/>
        <w:rPr>
          <w:rFonts w:cs="Times New Roman"/>
          <w:szCs w:val="21"/>
        </w:rPr>
      </w:pPr>
    </w:p>
    <w:p>
      <w:pPr>
        <w:spacing w:line="276" w:lineRule="auto"/>
        <w:ind w:firstLine="420"/>
        <w:jc w:val="center"/>
        <w:rPr>
          <w:rFonts w:eastAsia="黑体" w:cs="Times New Roman"/>
          <w:szCs w:val="21"/>
        </w:rPr>
      </w:pPr>
      <w:r>
        <w:rPr>
          <w:rFonts w:eastAsia="黑体" w:cs="Times New Roman"/>
          <w:szCs w:val="21"/>
        </w:rPr>
        <w:t>表</w:t>
      </w:r>
      <w:r>
        <w:rPr>
          <w:rFonts w:hint="eastAsia" w:cs="Times New Roman"/>
          <w:bCs/>
          <w:szCs w:val="24"/>
          <w:lang w:val="zh-CN" w:bidi="ar"/>
        </w:rPr>
        <w:t>A</w:t>
      </w:r>
      <w:r>
        <w:rPr>
          <w:rFonts w:eastAsia="黑体" w:cs="Times New Roman"/>
          <w:szCs w:val="21"/>
        </w:rPr>
        <w:t>.1.4-1基准建筑窗墙面积比</w:t>
      </w:r>
    </w:p>
    <w:tbl>
      <w:tblPr>
        <w:tblStyle w:val="44"/>
        <w:tblW w:w="0" w:type="auto"/>
        <w:jc w:val="center"/>
        <w:tblLayout w:type="autofit"/>
        <w:tblCellMar>
          <w:top w:w="15" w:type="dxa"/>
          <w:left w:w="15" w:type="dxa"/>
          <w:bottom w:w="15" w:type="dxa"/>
          <w:right w:w="15" w:type="dxa"/>
        </w:tblCellMar>
      </w:tblPr>
      <w:tblGrid>
        <w:gridCol w:w="3334"/>
        <w:gridCol w:w="2284"/>
      </w:tblGrid>
      <w:tr>
        <w:tblPrEx>
          <w:tblCellMar>
            <w:top w:w="15" w:type="dxa"/>
            <w:left w:w="15" w:type="dxa"/>
            <w:bottom w:w="15" w:type="dxa"/>
            <w:right w:w="15" w:type="dxa"/>
          </w:tblCellMar>
        </w:tblPrEx>
        <w:trPr>
          <w:trHeight w:val="454"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建筑类型</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窗墙面积比（%）</w:t>
            </w:r>
          </w:p>
        </w:tc>
      </w:tr>
      <w:tr>
        <w:tblPrEx>
          <w:tblCellMar>
            <w:top w:w="15" w:type="dxa"/>
            <w:left w:w="15" w:type="dxa"/>
            <w:bottom w:w="15" w:type="dxa"/>
            <w:right w:w="15" w:type="dxa"/>
          </w:tblCellMar>
        </w:tblPrEx>
        <w:trPr>
          <w:trHeight w:val="11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零售小超市</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7</w:t>
            </w:r>
          </w:p>
        </w:tc>
      </w:tr>
      <w:tr>
        <w:tblPrEx>
          <w:tblCellMar>
            <w:top w:w="15" w:type="dxa"/>
            <w:left w:w="15" w:type="dxa"/>
            <w:bottom w:w="15" w:type="dxa"/>
            <w:right w:w="15" w:type="dxa"/>
          </w:tblCellMar>
        </w:tblPrEx>
        <w:trPr>
          <w:trHeight w:val="52"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医院建筑</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27</w:t>
            </w:r>
          </w:p>
        </w:tc>
      </w:tr>
      <w:tr>
        <w:trPr>
          <w:trHeight w:val="269"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酒店建筑（房间数≤75间）</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24</w:t>
            </w:r>
          </w:p>
        </w:tc>
      </w:tr>
      <w:tr>
        <w:tblPrEx>
          <w:tblCellMar>
            <w:top w:w="15" w:type="dxa"/>
            <w:left w:w="15" w:type="dxa"/>
            <w:bottom w:w="15" w:type="dxa"/>
            <w:right w:w="15" w:type="dxa"/>
          </w:tblCellMar>
        </w:tblPrEx>
        <w:trPr>
          <w:trHeight w:val="189"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酒店建筑（房间数＞75间）</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34</w:t>
            </w:r>
          </w:p>
        </w:tc>
      </w:tr>
      <w:tr>
        <w:tblPrEx>
          <w:tblCellMar>
            <w:top w:w="15" w:type="dxa"/>
            <w:left w:w="15" w:type="dxa"/>
            <w:bottom w:w="15" w:type="dxa"/>
            <w:right w:w="15" w:type="dxa"/>
          </w:tblCellMar>
        </w:tblPrEx>
        <w:trPr>
          <w:trHeight w:val="13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办公建筑（面积≤10000㎡）</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31</w:t>
            </w:r>
          </w:p>
        </w:tc>
      </w:tr>
      <w:tr>
        <w:tblPrEx>
          <w:tblCellMar>
            <w:top w:w="15" w:type="dxa"/>
            <w:left w:w="15" w:type="dxa"/>
            <w:bottom w:w="15" w:type="dxa"/>
            <w:right w:w="15" w:type="dxa"/>
          </w:tblCellMar>
        </w:tblPrEx>
        <w:trPr>
          <w:trHeight w:val="56"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办公建筑（面积＞10000㎡）</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40</w:t>
            </w:r>
          </w:p>
        </w:tc>
      </w:tr>
      <w:tr>
        <w:trPr>
          <w:trHeight w:val="130"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餐饮建筑</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34</w:t>
            </w:r>
          </w:p>
        </w:tc>
      </w:tr>
      <w:tr>
        <w:tblPrEx>
          <w:tblCellMar>
            <w:top w:w="15" w:type="dxa"/>
            <w:left w:w="15" w:type="dxa"/>
            <w:bottom w:w="15" w:type="dxa"/>
            <w:right w:w="15" w:type="dxa"/>
          </w:tblCellMar>
        </w:tblPrEx>
        <w:trPr>
          <w:trHeight w:val="208"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商场建筑</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20</w:t>
            </w:r>
          </w:p>
        </w:tc>
      </w:tr>
      <w:tr>
        <w:tblPrEx>
          <w:tblCellMar>
            <w:top w:w="15" w:type="dxa"/>
            <w:left w:w="15" w:type="dxa"/>
            <w:bottom w:w="15" w:type="dxa"/>
            <w:right w:w="15" w:type="dxa"/>
          </w:tblCellMar>
        </w:tblPrEx>
        <w:trPr>
          <w:trHeight w:val="23"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学校建筑</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szCs w:val="21"/>
              </w:rPr>
            </w:pPr>
            <w:r>
              <w:rPr>
                <w:rFonts w:cs="Times New Roman"/>
                <w:color w:val="000000"/>
                <w:kern w:val="0"/>
                <w:szCs w:val="21"/>
                <w:lang w:bidi="ar"/>
              </w:rPr>
              <w:t>25</w:t>
            </w:r>
          </w:p>
        </w:tc>
      </w:tr>
      <w:tr>
        <w:tblPrEx>
          <w:tblCellMar>
            <w:top w:w="15" w:type="dxa"/>
            <w:left w:w="15" w:type="dxa"/>
            <w:bottom w:w="15" w:type="dxa"/>
            <w:right w:w="15" w:type="dxa"/>
          </w:tblCellMar>
        </w:tblPrEx>
        <w:trPr>
          <w:trHeight w:val="23"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居住建筑</w:t>
            </w:r>
          </w:p>
        </w:tc>
        <w:tc>
          <w:tcPr>
            <w:tcW w:w="2284"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leftChars="-6" w:hanging="12" w:hangingChars="6"/>
              <w:jc w:val="center"/>
              <w:textAlignment w:val="center"/>
              <w:rPr>
                <w:rFonts w:cs="Times New Roman"/>
                <w:color w:val="000000"/>
                <w:kern w:val="0"/>
                <w:szCs w:val="21"/>
                <w:lang w:bidi="ar"/>
              </w:rPr>
            </w:pPr>
            <w:r>
              <w:rPr>
                <w:rFonts w:hint="eastAsia" w:cs="Times New Roman"/>
                <w:color w:val="000000"/>
                <w:kern w:val="0"/>
                <w:szCs w:val="21"/>
                <w:lang w:bidi="ar"/>
              </w:rPr>
              <w:t>35</w:t>
            </w:r>
          </w:p>
        </w:tc>
      </w:tr>
    </w:tbl>
    <w:p>
      <w:pPr>
        <w:spacing w:before="240" w:line="276" w:lineRule="auto"/>
        <w:ind w:firstLine="420"/>
        <w:jc w:val="center"/>
        <w:rPr>
          <w:rFonts w:eastAsia="黑体" w:cs="Times New Roman"/>
          <w:szCs w:val="21"/>
        </w:rPr>
      </w:pPr>
      <w:r>
        <w:rPr>
          <w:rFonts w:eastAsia="黑体" w:cs="Times New Roman"/>
          <w:szCs w:val="21"/>
        </w:rPr>
        <w:t>表</w:t>
      </w:r>
      <w:r>
        <w:rPr>
          <w:rFonts w:hint="eastAsia" w:cs="Times New Roman"/>
          <w:bCs/>
          <w:szCs w:val="24"/>
          <w:lang w:val="zh-CN" w:bidi="ar"/>
        </w:rPr>
        <w:t>A</w:t>
      </w:r>
      <w:r>
        <w:rPr>
          <w:rFonts w:eastAsia="黑体" w:cs="Times New Roman"/>
          <w:szCs w:val="21"/>
        </w:rPr>
        <w:t>.1.4-2 基准建筑</w:t>
      </w:r>
      <w:r>
        <w:rPr>
          <w:rFonts w:hint="eastAsia" w:eastAsia="黑体" w:cs="Times New Roman"/>
          <w:szCs w:val="21"/>
        </w:rPr>
        <w:t>供冷</w:t>
      </w:r>
      <w:r>
        <w:rPr>
          <w:rFonts w:eastAsia="黑体" w:cs="Times New Roman"/>
          <w:szCs w:val="21"/>
        </w:rPr>
        <w:t>系统形式</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288"/>
        <w:gridCol w:w="2281"/>
        <w:gridCol w:w="4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8" w:hRule="atLeast"/>
          <w:jc w:val="center"/>
        </w:trPr>
        <w:tc>
          <w:tcPr>
            <w:tcW w:w="2141" w:type="pct"/>
            <w:gridSpan w:val="2"/>
            <w:vAlign w:val="center"/>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建筑类型</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hint="eastAsia" w:cs="Times New Roman"/>
                <w:color w:val="000000"/>
                <w:szCs w:val="21"/>
              </w:rPr>
              <w:t>海南省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2"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居住建筑</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8"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color w:val="000000"/>
                <w:kern w:val="0"/>
                <w:szCs w:val="21"/>
                <w:lang w:bidi="ar"/>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vAlign w:val="center"/>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3"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办公建筑</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风机盘管系统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szCs w:val="21"/>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vAlign w:val="center"/>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2"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酒店建筑</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风机盘管系统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szCs w:val="21"/>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vAlign w:val="center"/>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3"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学校</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szCs w:val="21"/>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vAlign w:val="center"/>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分体式空调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商场</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全空气定风量系统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2"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szCs w:val="21"/>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7"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医院</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全空气系统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3"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szCs w:val="21"/>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电制冷机组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1" w:hRule="atLeast"/>
          <w:jc w:val="center"/>
        </w:trPr>
        <w:tc>
          <w:tcPr>
            <w:tcW w:w="773" w:type="pct"/>
            <w:vMerge w:val="restar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其他类型</w:t>
            </w:r>
          </w:p>
        </w:tc>
        <w:tc>
          <w:tcPr>
            <w:tcW w:w="1368" w:type="pct"/>
          </w:tcPr>
          <w:p>
            <w:pPr>
              <w:widowControl/>
              <w:adjustRightInd w:val="0"/>
              <w:spacing w:before="156" w:beforeLines="50"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末端形式</w:t>
            </w:r>
          </w:p>
        </w:tc>
        <w:tc>
          <w:tcPr>
            <w:tcW w:w="2859" w:type="pct"/>
            <w:vAlign w:val="center"/>
          </w:tcPr>
          <w:p>
            <w:pPr>
              <w:widowControl/>
              <w:adjustRightInd w:val="0"/>
              <w:spacing w:line="276" w:lineRule="auto"/>
              <w:ind w:firstLine="0" w:firstLineChars="0"/>
              <w:jc w:val="center"/>
              <w:textAlignment w:val="center"/>
              <w:rPr>
                <w:rFonts w:cs="Times New Roman"/>
                <w:color w:val="000000"/>
                <w:szCs w:val="21"/>
              </w:rPr>
            </w:pPr>
            <w:r>
              <w:rPr>
                <w:rFonts w:cs="Times New Roman"/>
                <w:color w:val="000000"/>
                <w:kern w:val="0"/>
                <w:szCs w:val="21"/>
                <w:lang w:bidi="ar"/>
              </w:rPr>
              <w:t>风机盘管系统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hRule="atLeast"/>
          <w:jc w:val="center"/>
        </w:trPr>
        <w:tc>
          <w:tcPr>
            <w:tcW w:w="773" w:type="pct"/>
            <w:vMerge w:val="continue"/>
            <w:vAlign w:val="center"/>
          </w:tcPr>
          <w:p>
            <w:pPr>
              <w:widowControl/>
              <w:adjustRightInd w:val="0"/>
              <w:spacing w:line="276" w:lineRule="auto"/>
              <w:ind w:firstLine="0" w:firstLineChars="0"/>
              <w:jc w:val="center"/>
              <w:textAlignment w:val="center"/>
              <w:rPr>
                <w:rFonts w:cs="Times New Roman"/>
                <w:szCs w:val="21"/>
              </w:rPr>
            </w:pPr>
          </w:p>
        </w:tc>
        <w:tc>
          <w:tcPr>
            <w:tcW w:w="1368"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冷源</w:t>
            </w:r>
          </w:p>
        </w:tc>
        <w:tc>
          <w:tcPr>
            <w:tcW w:w="2859" w:type="pct"/>
          </w:tcPr>
          <w:p>
            <w:pPr>
              <w:widowControl/>
              <w:adjustRightInd w:val="0"/>
              <w:spacing w:line="276" w:lineRule="auto"/>
              <w:ind w:firstLine="0" w:firstLineChars="0"/>
              <w:jc w:val="center"/>
              <w:textAlignment w:val="center"/>
              <w:rPr>
                <w:rFonts w:cs="Times New Roman"/>
                <w:color w:val="000000"/>
                <w:kern w:val="0"/>
                <w:szCs w:val="21"/>
                <w:lang w:bidi="ar"/>
              </w:rPr>
            </w:pPr>
            <w:r>
              <w:rPr>
                <w:rFonts w:cs="Times New Roman"/>
                <w:color w:val="000000"/>
                <w:kern w:val="0"/>
                <w:szCs w:val="21"/>
                <w:lang w:bidi="ar"/>
              </w:rPr>
              <w:t>电制冷机组</w:t>
            </w:r>
          </w:p>
        </w:tc>
      </w:tr>
    </w:tbl>
    <w:p>
      <w:pPr>
        <w:ind w:firstLine="0" w:firstLineChars="0"/>
      </w:pPr>
      <w:r>
        <w:t>【条文说明】</w:t>
      </w:r>
    </w:p>
    <w:p>
      <w:pPr>
        <w:ind w:firstLine="420"/>
      </w:pPr>
      <w:r>
        <w:rPr>
          <w:rFonts w:hint="eastAsia" w:cs="Times New Roman"/>
          <w:bCs/>
          <w:szCs w:val="24"/>
          <w:lang w:val="zh-CN" w:bidi="ar"/>
        </w:rPr>
        <w:t>A</w:t>
      </w:r>
      <w:r>
        <w:t>.1.4</w:t>
      </w:r>
      <w:r>
        <w:rPr>
          <w:rFonts w:hint="eastAsia"/>
        </w:rPr>
        <w:t>随着</w:t>
      </w:r>
      <w:r>
        <w:t>社会经济的快速发展，电梯的使用量急剧增长，</w:t>
      </w:r>
      <w:r>
        <w:rPr>
          <w:rFonts w:hint="eastAsia"/>
        </w:rPr>
        <w:t>电梯的</w:t>
      </w:r>
      <w:r>
        <w:t>能耗强度大，其能耗受使用时间影响较</w:t>
      </w:r>
      <w:r>
        <w:rPr>
          <w:rFonts w:hint="eastAsia"/>
        </w:rPr>
        <w:t>大。随着电梯</w:t>
      </w:r>
      <w:r>
        <w:t>技术，尤其是驱动技术的发展，除了大吨位货梯，永磁同步</w:t>
      </w:r>
      <w:r>
        <w:rPr>
          <w:rFonts w:hint="eastAsia"/>
        </w:rPr>
        <w:t>曳引机</w:t>
      </w:r>
      <w:r>
        <w:t>驱动的曳引电梯已经成为新装电梯的标准配置。电梯的能耗情况不仅与电梯自身的配置情况有关；而且还与建筑的结构、电梯的数量和布局、建筑内客流情况以及电梯的调度情况有关</w:t>
      </w:r>
      <w:r>
        <w:rPr>
          <w:rFonts w:hint="eastAsia"/>
        </w:rPr>
        <w:t>，因此</w:t>
      </w:r>
      <w:r>
        <w:t>电梯的能耗计算复杂，准确计算需要建立能耗仿真模型等方式计算电梯的耗电量。</w:t>
      </w:r>
      <w:r>
        <w:rPr>
          <w:rFonts w:hint="eastAsia"/>
        </w:rPr>
        <w:t>电梯能耗的</w:t>
      </w:r>
      <w:r>
        <w:t>计算可参照国际</w:t>
      </w:r>
      <w:r>
        <w:rPr>
          <w:rFonts w:hint="eastAsia"/>
        </w:rPr>
        <w:t>标准</w:t>
      </w:r>
      <w:r>
        <w:t>ISO/DIS25745-2008</w:t>
      </w:r>
      <w:r>
        <w:rPr>
          <w:rFonts w:hint="eastAsia"/>
        </w:rPr>
        <w:t>中的</w:t>
      </w:r>
      <w:r>
        <w:t>计算方法。</w:t>
      </w:r>
      <w:r>
        <w:rPr>
          <w:rFonts w:hint="eastAsia"/>
        </w:rPr>
        <w:t>电梯</w:t>
      </w:r>
      <w:r>
        <w:t>在使用过程中，能量消耗主要体现在运行能耗和</w:t>
      </w:r>
      <w:r>
        <w:rPr>
          <w:rFonts w:hint="eastAsia"/>
        </w:rPr>
        <w:t>待机</w:t>
      </w:r>
      <w:r>
        <w:t>能耗两部分</w:t>
      </w:r>
      <w:r>
        <w:rPr>
          <w:rFonts w:hint="eastAsia"/>
        </w:rPr>
        <w:t>。</w:t>
      </w:r>
      <w:r>
        <w:t xml:space="preserve">VD14707 Part1 </w:t>
      </w:r>
      <w:r>
        <w:rPr>
          <w:rFonts w:hint="eastAsia"/>
        </w:rPr>
        <w:t>电梯能效标准是国际</w:t>
      </w:r>
      <w:r>
        <w:t>上通用</w:t>
      </w:r>
      <w:r>
        <w:rPr>
          <w:rFonts w:hint="eastAsia"/>
        </w:rPr>
        <w:t>电梯</w:t>
      </w:r>
      <w:r>
        <w:t>能效</w:t>
      </w:r>
      <w:r>
        <w:rPr>
          <w:rFonts w:hint="eastAsia"/>
        </w:rPr>
        <w:t>标识</w:t>
      </w:r>
      <w:r>
        <w:t>系统，</w:t>
      </w:r>
      <w:r>
        <w:rPr>
          <w:rFonts w:hint="eastAsia"/>
        </w:rPr>
        <w:t>该</w:t>
      </w:r>
      <w:r>
        <w:t>标准是一项自愿性质的</w:t>
      </w:r>
      <w:r>
        <w:rPr>
          <w:rFonts w:hint="eastAsia"/>
        </w:rPr>
        <w:t>标准</w:t>
      </w:r>
      <w:r>
        <w:t>，</w:t>
      </w:r>
      <w:r>
        <w:rPr>
          <w:rFonts w:hint="eastAsia"/>
        </w:rPr>
        <w:t>在我国</w:t>
      </w:r>
      <w:r>
        <w:t>商业电梯的招标文件中</w:t>
      </w:r>
      <w:r>
        <w:rPr>
          <w:rFonts w:hint="eastAsia"/>
        </w:rPr>
        <w:t>普遍参考该标准，</w:t>
      </w:r>
      <w:r>
        <w:t>我国</w:t>
      </w:r>
      <w:r>
        <w:rPr>
          <w:rFonts w:hint="eastAsia"/>
        </w:rPr>
        <w:t>检测机构</w:t>
      </w:r>
      <w:r>
        <w:t>已经</w:t>
      </w:r>
      <w:r>
        <w:rPr>
          <w:rFonts w:hint="eastAsia"/>
        </w:rPr>
        <w:t>依据该</w:t>
      </w:r>
      <w:r>
        <w:t>标准</w:t>
      </w:r>
      <w:r>
        <w:rPr>
          <w:rFonts w:hint="eastAsia"/>
        </w:rPr>
        <w:t>开展</w:t>
      </w:r>
      <w:r>
        <w:t>相关</w:t>
      </w:r>
      <w:r>
        <w:rPr>
          <w:rFonts w:hint="eastAsia"/>
        </w:rPr>
        <w:t>测试</w:t>
      </w:r>
      <w:r>
        <w:t>和认证工作</w:t>
      </w:r>
      <w:r>
        <w:rPr>
          <w:rFonts w:hint="eastAsia"/>
        </w:rPr>
        <w:t>。</w:t>
      </w:r>
      <w:r>
        <w:t>标准中</w:t>
      </w:r>
      <w:r>
        <w:rPr>
          <w:rFonts w:hint="eastAsia"/>
        </w:rPr>
        <w:t>待机</w:t>
      </w:r>
      <w:r>
        <w:t>的能量需求等级和</w:t>
      </w:r>
      <w:r>
        <w:rPr>
          <w:rFonts w:hint="eastAsia"/>
        </w:rPr>
        <w:t>运行时</w:t>
      </w:r>
      <w:r>
        <w:t>的能量需求等级见表</w:t>
      </w:r>
      <w:r>
        <w:rPr>
          <w:rFonts w:hint="eastAsia"/>
        </w:rPr>
        <w:t>5和</w:t>
      </w:r>
      <w:r>
        <w:t>表</w:t>
      </w:r>
      <w:r>
        <w:rPr>
          <w:rFonts w:hint="eastAsia"/>
        </w:rPr>
        <w:t>6。</w:t>
      </w:r>
    </w:p>
    <w:p>
      <w:pPr>
        <w:spacing w:line="240" w:lineRule="auto"/>
        <w:ind w:firstLine="0" w:firstLineChars="0"/>
        <w:jc w:val="center"/>
        <w:rPr>
          <w:rFonts w:ascii="黑体" w:hAnsi="黑体" w:eastAsia="黑体" w:cs="Times New Roman"/>
          <w:szCs w:val="21"/>
        </w:rPr>
      </w:pPr>
      <w:r>
        <w:rPr>
          <w:rFonts w:hint="eastAsia" w:ascii="黑体" w:hAnsi="黑体" w:eastAsia="黑体" w:cs="Times New Roman"/>
          <w:szCs w:val="21"/>
        </w:rPr>
        <w:t>表5</w:t>
      </w:r>
      <w:r>
        <w:rPr>
          <w:rFonts w:ascii="黑体" w:hAnsi="黑体" w:eastAsia="黑体" w:cs="Times New Roman"/>
          <w:szCs w:val="21"/>
        </w:rPr>
        <w:t xml:space="preserve"> </w:t>
      </w:r>
      <w:r>
        <w:rPr>
          <w:rFonts w:hint="eastAsia" w:ascii="黑体" w:hAnsi="黑体" w:eastAsia="黑体" w:cs="Times New Roman"/>
          <w:szCs w:val="21"/>
        </w:rPr>
        <w:t>待机时</w:t>
      </w:r>
      <w:r>
        <w:rPr>
          <w:rFonts w:ascii="黑体" w:hAnsi="黑体" w:eastAsia="黑体" w:cs="Times New Roman"/>
          <w:szCs w:val="21"/>
        </w:rPr>
        <w:t>的能量需求</w:t>
      </w:r>
    </w:p>
    <w:tbl>
      <w:tblPr>
        <w:tblStyle w:val="28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5"/>
        <w:gridCol w:w="744"/>
        <w:gridCol w:w="1134"/>
        <w:gridCol w:w="1317"/>
        <w:gridCol w:w="1065"/>
        <w:gridCol w:w="1065"/>
        <w:gridCol w:w="1066"/>
        <w:gridCol w:w="1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输出（W）</w:t>
            </w:r>
          </w:p>
        </w:tc>
        <w:tc>
          <w:tcPr>
            <w:tcW w:w="744" w:type="dxa"/>
            <w:vAlign w:val="center"/>
          </w:tcPr>
          <w:p>
            <w:pPr>
              <w:tabs>
                <w:tab w:val="left" w:pos="5220"/>
              </w:tabs>
              <w:spacing w:line="276" w:lineRule="auto"/>
              <w:ind w:firstLine="0" w:firstLineChars="0"/>
              <w:jc w:val="center"/>
              <w:rPr>
                <w:rFonts w:ascii="Calibri" w:hAnsi="Calibri" w:cs="Times New Roman"/>
                <w:szCs w:val="21"/>
              </w:rPr>
            </w:pPr>
            <w:r>
              <w:rPr>
                <w:rFonts w:ascii="宋体" w:hAnsi="宋体" w:eastAsia="楷体" w:cs="Times New Roman"/>
                <w:szCs w:val="21"/>
              </w:rPr>
              <w:t>≤</w:t>
            </w:r>
            <w:r>
              <w:rPr>
                <w:rFonts w:ascii="Calibri" w:hAnsi="Calibri" w:cs="Times New Roman"/>
                <w:szCs w:val="21"/>
              </w:rPr>
              <w:t>50</w:t>
            </w:r>
          </w:p>
        </w:tc>
        <w:tc>
          <w:tcPr>
            <w:tcW w:w="1134" w:type="dxa"/>
            <w:vAlign w:val="center"/>
          </w:tcPr>
          <w:p>
            <w:pPr>
              <w:tabs>
                <w:tab w:val="left" w:pos="5220"/>
              </w:tabs>
              <w:spacing w:line="276"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50,100</w:t>
            </w:r>
            <w:r>
              <w:rPr>
                <w:rFonts w:hint="eastAsia" w:ascii="Calibri" w:hAnsi="楷体" w:eastAsia="楷体" w:cs="Arial"/>
                <w:color w:val="333333"/>
                <w:szCs w:val="21"/>
              </w:rPr>
              <w:t>]</w:t>
            </w:r>
          </w:p>
        </w:tc>
        <w:tc>
          <w:tcPr>
            <w:tcW w:w="1317" w:type="dxa"/>
            <w:vAlign w:val="center"/>
          </w:tcPr>
          <w:p>
            <w:pPr>
              <w:tabs>
                <w:tab w:val="left" w:pos="5220"/>
              </w:tabs>
              <w:spacing w:line="276"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100,200</w:t>
            </w:r>
            <w:r>
              <w:rPr>
                <w:rFonts w:hint="eastAsia" w:ascii="Calibri" w:hAnsi="楷体" w:eastAsia="楷体" w:cs="Arial"/>
                <w:color w:val="333333"/>
                <w:szCs w:val="21"/>
              </w:rPr>
              <w:t>]</w:t>
            </w:r>
          </w:p>
        </w:tc>
        <w:tc>
          <w:tcPr>
            <w:tcW w:w="1065" w:type="dxa"/>
            <w:vAlign w:val="center"/>
          </w:tcPr>
          <w:p>
            <w:pPr>
              <w:tabs>
                <w:tab w:val="left" w:pos="5220"/>
              </w:tabs>
              <w:spacing w:line="276"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200,</w:t>
            </w:r>
          </w:p>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400</w:t>
            </w:r>
            <w:r>
              <w:rPr>
                <w:rFonts w:hint="eastAsia" w:ascii="Calibri" w:hAnsi="楷体" w:eastAsia="楷体" w:cs="Arial"/>
                <w:color w:val="333333"/>
                <w:szCs w:val="21"/>
              </w:rPr>
              <w:t>]</w:t>
            </w:r>
          </w:p>
        </w:tc>
        <w:tc>
          <w:tcPr>
            <w:tcW w:w="1065" w:type="dxa"/>
            <w:vAlign w:val="center"/>
          </w:tcPr>
          <w:p>
            <w:pPr>
              <w:tabs>
                <w:tab w:val="left" w:pos="5220"/>
              </w:tabs>
              <w:spacing w:line="276"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400,</w:t>
            </w:r>
          </w:p>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800</w:t>
            </w:r>
            <w:r>
              <w:rPr>
                <w:rFonts w:hint="eastAsia" w:ascii="Calibri" w:hAnsi="楷体" w:eastAsia="楷体" w:cs="Arial"/>
                <w:color w:val="333333"/>
                <w:szCs w:val="21"/>
              </w:rPr>
              <w:t>]</w:t>
            </w:r>
          </w:p>
        </w:tc>
        <w:tc>
          <w:tcPr>
            <w:tcW w:w="1066" w:type="dxa"/>
            <w:vAlign w:val="center"/>
          </w:tcPr>
          <w:p>
            <w:pPr>
              <w:tabs>
                <w:tab w:val="left" w:pos="5220"/>
              </w:tabs>
              <w:spacing w:line="276"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800,</w:t>
            </w:r>
          </w:p>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1600</w:t>
            </w:r>
            <w:r>
              <w:rPr>
                <w:rFonts w:hint="eastAsia" w:ascii="Calibri" w:hAnsi="楷体" w:eastAsia="楷体" w:cs="Arial"/>
                <w:color w:val="333333"/>
                <w:szCs w:val="21"/>
              </w:rPr>
              <w:t>]</w:t>
            </w:r>
          </w:p>
        </w:tc>
        <w:tc>
          <w:tcPr>
            <w:tcW w:w="1066"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＞1600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等级</w:t>
            </w:r>
          </w:p>
        </w:tc>
        <w:tc>
          <w:tcPr>
            <w:tcW w:w="744"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A</w:t>
            </w:r>
          </w:p>
        </w:tc>
        <w:tc>
          <w:tcPr>
            <w:tcW w:w="1134"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B</w:t>
            </w:r>
          </w:p>
        </w:tc>
        <w:tc>
          <w:tcPr>
            <w:tcW w:w="1317"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C</w:t>
            </w:r>
          </w:p>
        </w:tc>
        <w:tc>
          <w:tcPr>
            <w:tcW w:w="1065"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D</w:t>
            </w:r>
          </w:p>
        </w:tc>
        <w:tc>
          <w:tcPr>
            <w:tcW w:w="1065"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E</w:t>
            </w:r>
          </w:p>
        </w:tc>
        <w:tc>
          <w:tcPr>
            <w:tcW w:w="1066"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F</w:t>
            </w:r>
          </w:p>
        </w:tc>
        <w:tc>
          <w:tcPr>
            <w:tcW w:w="1066"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G</w:t>
            </w:r>
          </w:p>
        </w:tc>
      </w:tr>
    </w:tbl>
    <w:p>
      <w:pPr>
        <w:spacing w:before="156" w:beforeLines="50" w:line="240" w:lineRule="auto"/>
        <w:ind w:firstLine="0" w:firstLineChars="0"/>
        <w:jc w:val="center"/>
        <w:rPr>
          <w:rFonts w:ascii="黑体" w:hAnsi="黑体" w:eastAsia="黑体" w:cs="Times New Roman"/>
          <w:szCs w:val="21"/>
        </w:rPr>
      </w:pPr>
      <w:r>
        <w:rPr>
          <w:rFonts w:hint="eastAsia" w:ascii="黑体" w:hAnsi="黑体" w:eastAsia="黑体" w:cs="Times New Roman"/>
          <w:szCs w:val="21"/>
        </w:rPr>
        <w:t>表6运行时</w:t>
      </w:r>
      <w:r>
        <w:rPr>
          <w:rFonts w:ascii="黑体" w:hAnsi="黑体" w:eastAsia="黑体" w:cs="Times New Roman"/>
          <w:szCs w:val="21"/>
        </w:rPr>
        <w:t>的能量需求等级</w:t>
      </w:r>
    </w:p>
    <w:tbl>
      <w:tblPr>
        <w:tblStyle w:val="28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5"/>
        <w:gridCol w:w="1000"/>
        <w:gridCol w:w="1001"/>
        <w:gridCol w:w="1001"/>
        <w:gridCol w:w="1001"/>
        <w:gridCol w:w="1001"/>
        <w:gridCol w:w="1002"/>
        <w:gridCol w:w="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1535" w:type="dxa"/>
            <w:vAlign w:val="center"/>
          </w:tcPr>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特定能量消耗（mWh/kgm）</w:t>
            </w:r>
          </w:p>
        </w:tc>
        <w:tc>
          <w:tcPr>
            <w:tcW w:w="1000" w:type="dxa"/>
            <w:vAlign w:val="center"/>
          </w:tcPr>
          <w:p>
            <w:pPr>
              <w:tabs>
                <w:tab w:val="left" w:pos="5220"/>
              </w:tabs>
              <w:spacing w:line="240" w:lineRule="auto"/>
              <w:ind w:firstLine="0" w:firstLineChars="0"/>
              <w:jc w:val="center"/>
              <w:rPr>
                <w:rFonts w:ascii="Calibri" w:hAnsi="Calibri" w:cs="Times New Roman"/>
                <w:szCs w:val="21"/>
              </w:rPr>
            </w:pPr>
            <w:r>
              <w:rPr>
                <w:rFonts w:ascii="宋体" w:hAnsi="宋体" w:eastAsia="楷体" w:cs="Times New Roman"/>
                <w:szCs w:val="21"/>
              </w:rPr>
              <w:t>≤</w:t>
            </w:r>
            <w:r>
              <w:rPr>
                <w:rFonts w:ascii="Calibri" w:hAnsi="Calibri" w:cs="Times New Roman"/>
                <w:szCs w:val="21"/>
              </w:rPr>
              <w:t>0.56</w:t>
            </w:r>
          </w:p>
        </w:tc>
        <w:tc>
          <w:tcPr>
            <w:tcW w:w="1001" w:type="dxa"/>
            <w:vAlign w:val="center"/>
          </w:tcPr>
          <w:p>
            <w:pPr>
              <w:tabs>
                <w:tab w:val="left" w:pos="5220"/>
              </w:tabs>
              <w:spacing w:line="240" w:lineRule="auto"/>
              <w:ind w:firstLine="0" w:firstLineChars="0"/>
              <w:jc w:val="center"/>
              <w:rPr>
                <w:rFonts w:ascii="Calibri" w:hAnsi="Calibri" w:cs="Times New Roman"/>
                <w:szCs w:val="21"/>
              </w:rPr>
            </w:pPr>
            <w:r>
              <w:rPr>
                <w:rFonts w:hint="eastAsia" w:ascii="Calibri" w:hAnsi="Calibri" w:cs="Times New Roman"/>
                <w:szCs w:val="21"/>
              </w:rPr>
              <w:t>（0.56,</w:t>
            </w:r>
          </w:p>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0.84</w:t>
            </w:r>
            <w:r>
              <w:rPr>
                <w:rFonts w:hint="eastAsia" w:ascii="Calibri" w:hAnsi="楷体" w:eastAsia="楷体" w:cs="Arial"/>
                <w:color w:val="333333"/>
                <w:szCs w:val="21"/>
              </w:rPr>
              <w:t>]</w:t>
            </w:r>
          </w:p>
        </w:tc>
        <w:tc>
          <w:tcPr>
            <w:tcW w:w="1001" w:type="dxa"/>
            <w:vAlign w:val="center"/>
          </w:tcPr>
          <w:p>
            <w:pPr>
              <w:tabs>
                <w:tab w:val="left" w:pos="5220"/>
              </w:tabs>
              <w:spacing w:line="240"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0.84</w:t>
            </w:r>
            <w:r>
              <w:rPr>
                <w:rFonts w:hint="eastAsia" w:ascii="Calibri" w:hAnsi="Calibri" w:cs="Times New Roman"/>
                <w:szCs w:val="21"/>
              </w:rPr>
              <w:t>,</w:t>
            </w:r>
          </w:p>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1.26</w:t>
            </w:r>
            <w:r>
              <w:rPr>
                <w:rFonts w:hint="eastAsia" w:ascii="Calibri" w:hAnsi="楷体" w:eastAsia="楷体" w:cs="Arial"/>
                <w:color w:val="333333"/>
                <w:szCs w:val="21"/>
              </w:rPr>
              <w:t>]</w:t>
            </w:r>
          </w:p>
        </w:tc>
        <w:tc>
          <w:tcPr>
            <w:tcW w:w="1001" w:type="dxa"/>
            <w:vAlign w:val="center"/>
          </w:tcPr>
          <w:p>
            <w:pPr>
              <w:tabs>
                <w:tab w:val="left" w:pos="5220"/>
              </w:tabs>
              <w:spacing w:line="240"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1.26,</w:t>
            </w:r>
          </w:p>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1.89</w:t>
            </w:r>
            <w:r>
              <w:rPr>
                <w:rFonts w:hint="eastAsia" w:ascii="Calibri" w:hAnsi="楷体" w:eastAsia="楷体" w:cs="Arial"/>
                <w:color w:val="333333"/>
                <w:szCs w:val="21"/>
              </w:rPr>
              <w:t>]</w:t>
            </w:r>
          </w:p>
        </w:tc>
        <w:tc>
          <w:tcPr>
            <w:tcW w:w="1001" w:type="dxa"/>
            <w:vAlign w:val="center"/>
          </w:tcPr>
          <w:p>
            <w:pPr>
              <w:tabs>
                <w:tab w:val="left" w:pos="5220"/>
              </w:tabs>
              <w:spacing w:line="240"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1.89,</w:t>
            </w:r>
          </w:p>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2.80</w:t>
            </w:r>
            <w:r>
              <w:rPr>
                <w:rFonts w:hint="eastAsia" w:ascii="Calibri" w:hAnsi="楷体" w:eastAsia="楷体" w:cs="Arial"/>
                <w:color w:val="333333"/>
                <w:szCs w:val="21"/>
              </w:rPr>
              <w:t>]</w:t>
            </w:r>
          </w:p>
        </w:tc>
        <w:tc>
          <w:tcPr>
            <w:tcW w:w="1002" w:type="dxa"/>
            <w:vAlign w:val="center"/>
          </w:tcPr>
          <w:p>
            <w:pPr>
              <w:tabs>
                <w:tab w:val="left" w:pos="5220"/>
              </w:tabs>
              <w:spacing w:line="240" w:lineRule="auto"/>
              <w:ind w:firstLine="0" w:firstLineChars="0"/>
              <w:jc w:val="center"/>
              <w:rPr>
                <w:rFonts w:ascii="Calibri" w:hAnsi="Calibri" w:cs="Times New Roman"/>
                <w:szCs w:val="21"/>
              </w:rPr>
            </w:pPr>
            <w:r>
              <w:rPr>
                <w:rFonts w:hint="eastAsia" w:ascii="Calibri" w:hAnsi="Calibri" w:cs="Times New Roman"/>
                <w:szCs w:val="21"/>
              </w:rPr>
              <w:t>（</w:t>
            </w:r>
            <w:r>
              <w:rPr>
                <w:rFonts w:ascii="Calibri" w:hAnsi="Calibri" w:cs="Times New Roman"/>
                <w:szCs w:val="21"/>
              </w:rPr>
              <w:t>2.80,</w:t>
            </w:r>
          </w:p>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4.20</w:t>
            </w:r>
            <w:r>
              <w:rPr>
                <w:rFonts w:hint="eastAsia" w:ascii="Calibri" w:hAnsi="楷体" w:eastAsia="楷体" w:cs="Arial"/>
                <w:color w:val="333333"/>
                <w:szCs w:val="21"/>
              </w:rPr>
              <w:t>]</w:t>
            </w:r>
          </w:p>
        </w:tc>
        <w:tc>
          <w:tcPr>
            <w:tcW w:w="981" w:type="dxa"/>
            <w:vAlign w:val="center"/>
          </w:tcPr>
          <w:p>
            <w:pPr>
              <w:tabs>
                <w:tab w:val="left" w:pos="5220"/>
              </w:tabs>
              <w:spacing w:line="240" w:lineRule="auto"/>
              <w:ind w:firstLine="0" w:firstLineChars="0"/>
              <w:jc w:val="center"/>
              <w:rPr>
                <w:rFonts w:ascii="Calibri" w:hAnsi="Calibri" w:cs="Times New Roman"/>
                <w:szCs w:val="21"/>
              </w:rPr>
            </w:pPr>
            <w:r>
              <w:rPr>
                <w:rFonts w:ascii="Calibri" w:hAnsi="Calibri" w:cs="Times New Roman"/>
                <w:szCs w:val="21"/>
              </w:rPr>
              <w:t>＞4.20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35"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等级</w:t>
            </w:r>
          </w:p>
        </w:tc>
        <w:tc>
          <w:tcPr>
            <w:tcW w:w="1000"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A</w:t>
            </w:r>
          </w:p>
        </w:tc>
        <w:tc>
          <w:tcPr>
            <w:tcW w:w="1001"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B</w:t>
            </w:r>
          </w:p>
        </w:tc>
        <w:tc>
          <w:tcPr>
            <w:tcW w:w="1001"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C</w:t>
            </w:r>
          </w:p>
        </w:tc>
        <w:tc>
          <w:tcPr>
            <w:tcW w:w="1001"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D</w:t>
            </w:r>
          </w:p>
        </w:tc>
        <w:tc>
          <w:tcPr>
            <w:tcW w:w="1001"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E</w:t>
            </w:r>
          </w:p>
        </w:tc>
        <w:tc>
          <w:tcPr>
            <w:tcW w:w="1002"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F</w:t>
            </w:r>
          </w:p>
        </w:tc>
        <w:tc>
          <w:tcPr>
            <w:tcW w:w="981" w:type="dxa"/>
            <w:vAlign w:val="center"/>
          </w:tcPr>
          <w:p>
            <w:pPr>
              <w:tabs>
                <w:tab w:val="left" w:pos="5220"/>
              </w:tabs>
              <w:spacing w:line="276" w:lineRule="auto"/>
              <w:ind w:firstLine="0" w:firstLineChars="0"/>
              <w:jc w:val="center"/>
              <w:rPr>
                <w:rFonts w:ascii="Calibri" w:hAnsi="Calibri" w:cs="Times New Roman"/>
                <w:szCs w:val="21"/>
              </w:rPr>
            </w:pPr>
            <w:r>
              <w:rPr>
                <w:rFonts w:ascii="Calibri" w:hAnsi="Calibri" w:cs="Times New Roman"/>
                <w:szCs w:val="21"/>
              </w:rPr>
              <w:t>G</w:t>
            </w:r>
          </w:p>
        </w:tc>
      </w:tr>
    </w:tbl>
    <w:p>
      <w:pPr>
        <w:ind w:firstLine="0" w:firstLineChars="0"/>
        <w:rPr>
          <w:rFonts w:cs="Times New Roman"/>
          <w:szCs w:val="21"/>
        </w:rPr>
      </w:pPr>
      <w:r>
        <w:rPr>
          <w:rFonts w:hint="eastAsia" w:cs="Times New Roman"/>
          <w:szCs w:val="21"/>
        </w:rPr>
        <w:t>基准建筑的</w:t>
      </w:r>
      <w:r>
        <w:rPr>
          <w:rFonts w:cs="Times New Roman"/>
          <w:szCs w:val="21"/>
        </w:rPr>
        <w:t>电梯</w:t>
      </w:r>
      <w:r>
        <w:rPr>
          <w:rFonts w:hint="eastAsia" w:cs="Times New Roman"/>
          <w:szCs w:val="21"/>
        </w:rPr>
        <w:t>能效等级按照《电梯能源效率》VDI</w:t>
      </w:r>
      <w:r>
        <w:rPr>
          <w:rFonts w:cs="Times New Roman"/>
          <w:szCs w:val="21"/>
        </w:rPr>
        <w:t>4707</w:t>
      </w:r>
      <w:r>
        <w:rPr>
          <w:rFonts w:hint="eastAsia" w:cs="Times New Roman"/>
          <w:szCs w:val="21"/>
        </w:rPr>
        <w:t>中</w:t>
      </w:r>
      <w:r>
        <w:rPr>
          <w:rFonts w:cs="Times New Roman"/>
          <w:szCs w:val="21"/>
        </w:rPr>
        <w:t>C级</w:t>
      </w:r>
      <w:r>
        <w:rPr>
          <w:rFonts w:hint="eastAsia" w:cs="Times New Roman"/>
          <w:szCs w:val="21"/>
        </w:rPr>
        <w:t>确定</w:t>
      </w:r>
      <w:r>
        <w:rPr>
          <w:rFonts w:cs="Times New Roman"/>
          <w:szCs w:val="21"/>
        </w:rPr>
        <w:t>。</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.1.5建筑能耗综合值应按下式计算：</w:t>
      </w:r>
    </w:p>
    <w:p>
      <w:pPr>
        <w:wordWrap w:val="0"/>
        <w:spacing w:line="312" w:lineRule="auto"/>
        <w:ind w:firstLine="420"/>
        <w:jc w:val="right"/>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ctrlPr>
              <w:rPr>
                <w:rFonts w:ascii="Cambria Math" w:hAnsi="Cambria Math" w:cs="Times New Roman"/>
                <w:i/>
                <w:szCs w:val="21"/>
              </w:rPr>
            </m:ctrlPr>
          </m:sub>
        </m:sSub>
        <m:r>
          <m:rPr/>
          <w:rPr>
            <w:rFonts w:ascii="Cambria Math" w:hAnsi="Cambria Math" w:cs="Times New Roman"/>
            <w:szCs w:val="21"/>
            <w:vertAlign w:val="subscript"/>
          </w:rPr>
          <m:t xml:space="preserve"> </m:t>
        </m:r>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r>
          <m:rPr/>
          <w:rPr>
            <w:rFonts w:ascii="Cambria Math" w:hAnsi="Cambria Math" w:cs="Times New Roman"/>
            <w:szCs w:val="21"/>
          </w:rPr>
          <m:t>−</m:t>
        </m:r>
        <m:f>
          <m:fPr>
            <m:ctrlPr>
              <w:rPr>
                <w:rFonts w:ascii="Cambria Math" w:hAnsi="Cambria Math" w:cs="Times New Roman"/>
                <w:i/>
                <w:szCs w:val="21"/>
              </w:rPr>
            </m:ctrlPr>
          </m:fPr>
          <m:num>
            <m:nary>
              <m:naryPr>
                <m:chr m:val="∑"/>
                <m:limLoc m:val="subSup"/>
                <m:supHide m:val="true"/>
                <m:ctrlPr>
                  <w:rPr>
                    <w:rFonts w:ascii="Cambria Math" w:hAnsi="Cambria Math" w:cs="Times New Roman"/>
                    <w:i/>
                    <w:szCs w:val="21"/>
                  </w:rPr>
                </m:ctrlPr>
              </m:naryPr>
              <m:sub>
                <m:ctrlPr>
                  <w:rPr>
                    <w:rFonts w:ascii="Cambria Math" w:hAnsi="Cambria Math" w:cs="Times New Roman"/>
                    <w:i/>
                    <w:szCs w:val="21"/>
                  </w:rPr>
                </m:ctrlPr>
              </m:sub>
              <m:sup>
                <m:ctrlPr>
                  <w:rPr>
                    <w:rFonts w:ascii="Cambria Math" w:hAnsi="Cambria Math" w:cs="Times New Roman"/>
                    <w:i/>
                    <w:szCs w:val="21"/>
                  </w:rPr>
                </m:ctrlPr>
              </m:sup>
              <m:e>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nary>
                  <m:naryPr>
                    <m:chr m:val="∑"/>
                    <m:limLoc m:val="subSup"/>
                    <m:supHide m:val="true"/>
                    <m:ctrlPr>
                      <w:rPr>
                        <w:rFonts w:ascii="Cambria Math" w:hAnsi="Cambria Math" w:cs="Times New Roman"/>
                        <w:i/>
                        <w:szCs w:val="21"/>
                      </w:rPr>
                    </m:ctrlPr>
                  </m:naryPr>
                  <m:sub>
                    <m:ctrlPr>
                      <w:rPr>
                        <w:rFonts w:ascii="Cambria Math" w:hAnsi="Cambria Math" w:cs="Times New Roman"/>
                        <w:i/>
                        <w:szCs w:val="21"/>
                      </w:rPr>
                    </m:ctrlPr>
                  </m:sub>
                  <m:sup>
                    <m:ctrlPr>
                      <w:rPr>
                        <w:rFonts w:ascii="Cambria Math" w:hAnsi="Cambria Math" w:cs="Times New Roman"/>
                        <w:i/>
                        <w:szCs w:val="21"/>
                      </w:rPr>
                    </m:ctrlPr>
                  </m:sup>
                  <m:e>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rd,i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ctrlPr>
                      <w:rPr>
                        <w:rFonts w:ascii="Cambria Math" w:hAnsi="Cambria Math" w:cs="Times New Roman"/>
                        <w:i/>
                        <w:szCs w:val="21"/>
                      </w:rPr>
                    </m:ctrlPr>
                  </m:e>
                </m:nary>
                <m:ctrlPr>
                  <w:rPr>
                    <w:rFonts w:ascii="Cambria Math" w:hAnsi="Cambria Math" w:cs="Times New Roman"/>
                    <w:i/>
                    <w:szCs w:val="21"/>
                  </w:rPr>
                </m:ctrlPr>
              </m:e>
            </m:nary>
            <m:ctrlPr>
              <w:rPr>
                <w:rFonts w:ascii="Cambria Math" w:hAnsi="Cambria Math" w:cs="Times New Roman"/>
                <w:i/>
                <w:szCs w:val="21"/>
              </w:rPr>
            </m:ctrlPr>
          </m:num>
          <m:den>
            <m:r>
              <m:rPr/>
              <w:rPr>
                <w:rFonts w:ascii="Cambria Math" w:hAnsi="Cambria Math" w:cs="Times New Roman"/>
                <w:szCs w:val="21"/>
              </w:rPr>
              <m:t>A</m:t>
            </m:r>
            <m:ctrlPr>
              <w:rPr>
                <w:rFonts w:ascii="Cambria Math" w:hAnsi="Cambria Math" w:cs="Times New Roman"/>
                <w:i/>
                <w:szCs w:val="21"/>
              </w:rPr>
            </m:ctrlPr>
          </m:den>
        </m:f>
      </m:oMath>
      <w:r>
        <w:rPr>
          <w:rFonts w:cs="Times New Roman"/>
          <w:szCs w:val="21"/>
        </w:rPr>
        <w:t xml:space="preserve">                     （</w:t>
      </w:r>
      <w:r>
        <w:rPr>
          <w:rFonts w:hint="eastAsia" w:cs="Times New Roman"/>
          <w:bCs/>
          <w:szCs w:val="24"/>
          <w:lang w:bidi="ar"/>
        </w:rPr>
        <w:t>A</w:t>
      </w:r>
      <w:r>
        <w:rPr>
          <w:rFonts w:cs="Times New Roman"/>
          <w:szCs w:val="21"/>
        </w:rPr>
        <w:t>.1.5）</w:t>
      </w:r>
    </w:p>
    <w:p>
      <w:pPr>
        <w:snapToGrid w:val="0"/>
        <w:spacing w:line="276" w:lineRule="auto"/>
        <w:ind w:firstLine="420"/>
        <w:rPr>
          <w:rFonts w:cs="Times New Roman"/>
          <w:szCs w:val="21"/>
        </w:rPr>
      </w:pPr>
      <w:r>
        <w:rPr>
          <w:rFonts w:cs="Times New Roman"/>
          <w:szCs w:val="21"/>
        </w:rPr>
        <w:t>式中：</w:t>
      </w:r>
      <m:oMath>
        <m:sSub>
          <m:sSubPr>
            <m:ctrlPr>
              <w:rPr>
                <w:rFonts w:ascii="Cambria Math" w:hAnsi="Cambria Math" w:cs="Times New Roman"/>
                <w:szCs w:val="21"/>
              </w:rPr>
            </m:ctrlPr>
          </m:sSubPr>
          <m:e>
            <m:r>
              <m:rPr>
                <m:sty m:val="p"/>
              </m:rPr>
              <w:rPr>
                <w:rFonts w:ascii="Cambria Math" w:hAnsi="Cambria Math" w:cs="Times New Roman"/>
                <w:szCs w:val="21"/>
              </w:rPr>
              <m:t>E</m:t>
            </m:r>
            <m:ctrlPr>
              <w:rPr>
                <w:rFonts w:ascii="Cambria Math" w:hAnsi="Cambria Math" w:cs="Times New Roman"/>
                <w:szCs w:val="21"/>
              </w:rPr>
            </m:ctrlPr>
          </m:e>
          <m:sub>
            <m:ctrlPr>
              <w:rPr>
                <w:rFonts w:ascii="Cambria Math" w:hAnsi="Cambria Math" w:cs="Times New Roman"/>
                <w:szCs w:val="21"/>
              </w:rPr>
            </m:ctrlPr>
          </m:sub>
        </m:sSub>
      </m:oMath>
      <w:r>
        <w:rPr>
          <w:rFonts w:cs="Times New Roman"/>
          <w:szCs w:val="21"/>
        </w:rPr>
        <w:t>——建筑能耗综合值，kWh/（m</w:t>
      </w:r>
      <w:r>
        <w:rPr>
          <w:rFonts w:cs="Times New Roman"/>
          <w:szCs w:val="21"/>
          <w:vertAlign w:val="superscript"/>
        </w:rPr>
        <w:t>2</w:t>
      </w:r>
      <w:r>
        <w:rPr>
          <w:rFonts w:cs="Times New Roman"/>
          <w:szCs w:val="21"/>
        </w:rPr>
        <w:t>·a）；</w:t>
      </w:r>
    </w:p>
    <w:p>
      <w:pPr>
        <w:snapToGrid w:val="0"/>
        <w:spacing w:line="276" w:lineRule="auto"/>
        <w:ind w:firstLine="1050" w:firstLineChars="50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m:t>
            </m:r>
            <m:ctrlPr>
              <w:rPr>
                <w:rFonts w:ascii="Cambria Math" w:hAnsi="Cambria Math" w:cs="Times New Roman"/>
                <w:szCs w:val="21"/>
              </w:rPr>
            </m:ctrlPr>
          </m:e>
          <m:sub>
            <m:r>
              <m:rPr/>
              <w:rPr>
                <w:rFonts w:ascii="Cambria Math" w:hAnsi="Cambria Math" w:cs="Times New Roman"/>
                <w:szCs w:val="21"/>
              </w:rPr>
              <m:t>E</m:t>
            </m:r>
            <m:ctrlPr>
              <w:rPr>
                <w:rFonts w:ascii="Cambria Math" w:hAnsi="Cambria Math" w:cs="Times New Roman"/>
                <w:szCs w:val="21"/>
              </w:rPr>
            </m:ctrlPr>
          </m:sub>
        </m:sSub>
      </m:oMath>
      <w:r>
        <w:rPr>
          <w:rFonts w:cs="Times New Roman"/>
          <w:szCs w:val="21"/>
        </w:rPr>
        <w:t>——不含可再生能源发电的建筑能耗综合值，kWh/（m</w:t>
      </w:r>
      <w:r>
        <w:rPr>
          <w:rFonts w:cs="Times New Roman"/>
          <w:szCs w:val="21"/>
          <w:vertAlign w:val="superscript"/>
        </w:rPr>
        <w:t>2</w:t>
      </w:r>
      <w:r>
        <w:rPr>
          <w:rFonts w:cs="Times New Roman"/>
          <w:szCs w:val="21"/>
        </w:rPr>
        <w:t>·a）；</w:t>
      </w:r>
    </w:p>
    <w:p>
      <w:pPr>
        <w:snapToGrid w:val="0"/>
        <w:spacing w:line="276" w:lineRule="auto"/>
        <w:ind w:left="105" w:leftChars="50" w:firstLine="1010" w:firstLineChars="481"/>
        <w:rPr>
          <w:rFonts w:cs="Times New Roman"/>
          <w:szCs w:val="21"/>
        </w:rPr>
      </w:pPr>
      <w:r>
        <w:rPr>
          <w:rFonts w:cs="Times New Roman"/>
          <w:i/>
          <w:szCs w:val="21"/>
        </w:rPr>
        <w:t>A</w:t>
      </w:r>
      <w:r>
        <w:rPr>
          <w:rFonts w:cs="Times New Roman"/>
          <w:szCs w:val="21"/>
        </w:rPr>
        <w:t>——住宅类建筑为套内空调面积，非住宅类为建筑面积；</w:t>
      </w:r>
    </w:p>
    <w:p>
      <w:pPr>
        <w:snapToGrid w:val="0"/>
        <w:spacing w:line="276" w:lineRule="auto"/>
        <w:ind w:firstLine="743" w:firstLineChars="354"/>
        <w:rPr>
          <w:rFonts w:cs="Times New Roman"/>
          <w:szCs w:val="21"/>
        </w:rPr>
      </w:pPr>
      <w:r>
        <w:rPr>
          <w:rFonts w:cs="Times New Roman"/>
          <w:szCs w:val="21"/>
        </w:rPr>
        <w:t xml:space="preserve">   </w:t>
      </w:r>
      <m:oMath>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oMath>
      <w:r>
        <w:rPr>
          <w:rFonts w:cs="Times New Roman"/>
          <w:szCs w:val="21"/>
        </w:rPr>
        <w:t xml:space="preserve"> ——</w:t>
      </w:r>
      <m:oMath>
        <m:r>
          <m:rPr/>
          <w:rPr>
            <w:rFonts w:ascii="Cambria Math" w:hAnsi="Cambria Math" w:cs="Times New Roman"/>
            <w:szCs w:val="21"/>
          </w:rPr>
          <m:t>i</m:t>
        </m:r>
      </m:oMath>
      <w:r>
        <w:rPr>
          <w:rFonts w:cs="Times New Roman"/>
          <w:szCs w:val="21"/>
        </w:rPr>
        <w:t>类型能源的能源换算系数，按</w:t>
      </w:r>
      <w:r>
        <w:rPr>
          <w:rFonts w:hint="eastAsia" w:cs="Times New Roman"/>
          <w:szCs w:val="21"/>
          <w:lang w:val="en" w:eastAsia="zh-CN"/>
        </w:rPr>
        <w:t>本标准</w:t>
      </w:r>
      <w:r>
        <w:rPr>
          <w:rFonts w:hint="eastAsia" w:cs="Times New Roman"/>
          <w:szCs w:val="21"/>
        </w:rPr>
        <w:t>表</w:t>
      </w:r>
      <w:r>
        <w:rPr>
          <w:rFonts w:cs="Times New Roman"/>
          <w:szCs w:val="21"/>
        </w:rPr>
        <w:t>A.1.</w:t>
      </w:r>
      <w:r>
        <w:rPr>
          <w:rFonts w:hint="eastAsia" w:cs="Times New Roman"/>
          <w:szCs w:val="21"/>
        </w:rPr>
        <w:t>1</w:t>
      </w:r>
      <w:r>
        <w:rPr>
          <w:rFonts w:cs="Times New Roman"/>
          <w:szCs w:val="21"/>
        </w:rPr>
        <w:t>1</w:t>
      </w:r>
      <w:r>
        <w:rPr>
          <w:rFonts w:hint="eastAsia" w:cs="Times New Roman"/>
          <w:szCs w:val="21"/>
        </w:rPr>
        <w:t>选取</w:t>
      </w:r>
      <w:r>
        <w:rPr>
          <w:rFonts w:cs="Times New Roman"/>
          <w:szCs w:val="21"/>
        </w:rPr>
        <w:t>；</w:t>
      </w:r>
    </w:p>
    <w:p>
      <w:pPr>
        <w:snapToGrid w:val="0"/>
        <w:spacing w:line="276" w:lineRule="auto"/>
        <w:ind w:firstLine="743" w:firstLineChars="354"/>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 xml:space="preserve">    E</m:t>
            </m:r>
            <m:ctrlPr>
              <w:rPr>
                <w:rFonts w:ascii="Cambria Math" w:hAnsi="Cambria Math" w:cs="Times New Roman"/>
                <w:i/>
                <w:szCs w:val="21"/>
              </w:rPr>
            </m:ctrlPr>
          </m:e>
          <m:sub>
            <m:r>
              <m:rPr/>
              <w:rPr>
                <w:rFonts w:ascii="Cambria Math" w:hAnsi="Cambria Math" w:cs="Times New Roman"/>
                <w:szCs w:val="21"/>
              </w:rPr>
              <m:t>r,i</m:t>
            </m:r>
            <m:ctrlPr>
              <w:rPr>
                <w:rFonts w:ascii="Cambria Math" w:hAnsi="Cambria Math" w:cs="Times New Roman"/>
                <w:i/>
                <w:szCs w:val="21"/>
              </w:rPr>
            </m:ctrlPr>
          </m:sub>
        </m:sSub>
      </m:oMath>
      <w:r>
        <w:rPr>
          <w:rFonts w:cs="Times New Roman"/>
          <w:szCs w:val="21"/>
        </w:rPr>
        <w:t xml:space="preserve"> ——年</w:t>
      </w:r>
      <w:r>
        <w:rPr>
          <w:rFonts w:hint="eastAsia" w:cs="Times New Roman"/>
          <w:szCs w:val="21"/>
        </w:rPr>
        <w:t>本体</w:t>
      </w:r>
      <w:r>
        <w:rPr>
          <w:rFonts w:cs="Times New Roman"/>
          <w:szCs w:val="21"/>
        </w:rPr>
        <w:t>产生的</w:t>
      </w:r>
      <m:oMath>
        <m:r>
          <m:rPr/>
          <w:rPr>
            <w:rFonts w:ascii="Cambria Math" w:hAnsi="Cambria Math" w:cs="Times New Roman"/>
            <w:szCs w:val="21"/>
          </w:rPr>
          <m:t>i</m:t>
        </m:r>
      </m:oMath>
      <w:r>
        <w:rPr>
          <w:rFonts w:cs="Times New Roman"/>
          <w:szCs w:val="21"/>
        </w:rPr>
        <w:t>类型可再生能源</w:t>
      </w:r>
      <w:r>
        <w:rPr>
          <w:rFonts w:hint="eastAsia" w:cs="Times New Roman"/>
          <w:szCs w:val="21"/>
        </w:rPr>
        <w:t>发电</w:t>
      </w:r>
      <w:r>
        <w:rPr>
          <w:rFonts w:cs="Times New Roman"/>
          <w:szCs w:val="21"/>
        </w:rPr>
        <w:t>量</w:t>
      </w:r>
      <w:r>
        <w:rPr>
          <w:rFonts w:hint="eastAsia" w:cs="Times New Roman"/>
          <w:szCs w:val="21"/>
        </w:rPr>
        <w:t>，</w:t>
      </w:r>
      <w:r>
        <w:rPr>
          <w:rFonts w:cs="Times New Roman"/>
          <w:szCs w:val="21"/>
        </w:rPr>
        <w:t>kWh；</w:t>
      </w:r>
    </w:p>
    <w:p>
      <w:pPr>
        <w:spacing w:line="312" w:lineRule="auto"/>
        <w:ind w:firstLine="420"/>
        <w:rPr>
          <w:rFonts w:cs="Times New Roman"/>
          <w:szCs w:val="21"/>
        </w:rPr>
      </w:pPr>
      <w:r>
        <w:rPr>
          <w:rFonts w:cs="Times New Roman"/>
          <w:szCs w:val="21"/>
        </w:rPr>
        <w:t xml:space="preserve"> </w:t>
      </w:r>
      <m:oMath>
        <m:r>
          <m:rPr>
            <m:sty m:val="p"/>
          </m:rPr>
          <w:rPr>
            <w:rFonts w:ascii="Cambria Math" w:hAnsi="Cambria Math" w:cs="Times New Roman"/>
            <w:szCs w:val="21"/>
          </w:rPr>
          <m:t xml:space="preserve">  </m:t>
        </m:r>
        <m:sSub>
          <m:sSubPr>
            <m:ctrlPr>
              <w:rPr>
                <w:rFonts w:ascii="Cambria Math" w:hAnsi="Cambria Math" w:cs="Times New Roman"/>
                <w:i/>
                <w:szCs w:val="21"/>
              </w:rPr>
            </m:ctrlPr>
          </m:sSubPr>
          <m:e>
            <m:r>
              <m:rPr/>
              <w:rPr>
                <w:rFonts w:ascii="Cambria Math" w:hAnsi="Cambria Math" w:cs="Times New Roman"/>
                <w:szCs w:val="21"/>
              </w:rPr>
              <m:t xml:space="preserve">      E</m:t>
            </m:r>
            <m:ctrlPr>
              <w:rPr>
                <w:rFonts w:ascii="Cambria Math" w:hAnsi="Cambria Math" w:cs="Times New Roman"/>
                <w:i/>
                <w:szCs w:val="21"/>
              </w:rPr>
            </m:ctrlPr>
          </m:e>
          <m:sub>
            <m:r>
              <m:rPr/>
              <w:rPr>
                <w:rFonts w:ascii="Cambria Math" w:hAnsi="Cambria Math" w:cs="Times New Roman"/>
                <w:szCs w:val="21"/>
              </w:rPr>
              <m:t>rd,i</m:t>
            </m:r>
            <m:ctrlPr>
              <w:rPr>
                <w:rFonts w:ascii="Cambria Math" w:hAnsi="Cambria Math" w:cs="Times New Roman"/>
                <w:i/>
                <w:szCs w:val="21"/>
              </w:rPr>
            </m:ctrlPr>
          </m:sub>
        </m:sSub>
      </m:oMath>
      <w:r>
        <w:rPr>
          <w:rFonts w:cs="Times New Roman"/>
          <w:szCs w:val="21"/>
        </w:rPr>
        <w:t xml:space="preserve"> ——</w:t>
      </w:r>
      <w:r>
        <w:rPr>
          <w:rFonts w:hint="eastAsia" w:cs="Times New Roman"/>
          <w:szCs w:val="21"/>
        </w:rPr>
        <w:t>年周边</w:t>
      </w:r>
      <w:r>
        <w:rPr>
          <w:rFonts w:cs="Times New Roman"/>
          <w:szCs w:val="21"/>
        </w:rPr>
        <w:t>产生的的</w:t>
      </w:r>
      <m:oMath>
        <m:r>
          <m:rPr/>
          <w:rPr>
            <w:rFonts w:ascii="Cambria Math" w:hAnsi="Cambria Math" w:cs="Times New Roman"/>
            <w:szCs w:val="21"/>
          </w:rPr>
          <m:t>i</m:t>
        </m:r>
      </m:oMath>
      <w:r>
        <w:rPr>
          <w:rFonts w:cs="Times New Roman"/>
          <w:szCs w:val="21"/>
        </w:rPr>
        <w:t>类型可再生能源发电量</w:t>
      </w:r>
      <w:r>
        <w:rPr>
          <w:rFonts w:hint="eastAsia" w:cs="Times New Roman"/>
          <w:szCs w:val="21"/>
        </w:rPr>
        <w:t>，</w:t>
      </w:r>
      <w:r>
        <w:rPr>
          <w:rFonts w:cs="Times New Roman"/>
          <w:szCs w:val="21"/>
        </w:rPr>
        <w:t>kWh。</w:t>
      </w:r>
    </w:p>
    <w:p>
      <w:pPr>
        <w:widowControl/>
        <w:ind w:firstLine="0" w:firstLineChars="0"/>
        <w:jc w:val="left"/>
        <w:outlineLvl w:val="2"/>
        <w:rPr>
          <w:rFonts w:cs="Times New Roman"/>
          <w:szCs w:val="21"/>
        </w:rPr>
      </w:pPr>
      <w:r>
        <w:rPr>
          <w:rFonts w:hint="eastAsia" w:cs="Times New Roman"/>
          <w:bCs/>
          <w:szCs w:val="24"/>
          <w:lang w:val="zh-CN" w:bidi="ar"/>
        </w:rPr>
        <w:t>A</w:t>
      </w:r>
      <w:r>
        <w:rPr>
          <w:rFonts w:cs="Times New Roman"/>
          <w:bCs/>
          <w:szCs w:val="24"/>
          <w:lang w:val="zh-CN" w:bidi="ar"/>
        </w:rPr>
        <w:t>.1.6不含可再生能源发电的建筑能耗综合值应按下式计算：</w:t>
      </w:r>
    </w:p>
    <w:p>
      <w:pPr>
        <w:spacing w:line="312" w:lineRule="auto"/>
        <w:ind w:firstLine="420"/>
        <w:rPr>
          <w:rFonts w:cs="Times New Roman"/>
          <w:i/>
          <w:szCs w:val="21"/>
        </w:rPr>
      </w:pPr>
      <m:oMathPara>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r>
            <m:rPr/>
            <w:rPr>
              <w:rFonts w:ascii="Cambria Math" w:hAnsi="Cambria Math" w:cs="Times New Roman"/>
              <w:szCs w:val="21"/>
              <w:vertAlign w:val="subscript"/>
            </w:rPr>
            <m:t xml:space="preserve"> </m:t>
          </m:r>
          <m:r>
            <m:rPr/>
            <w:rPr>
              <w:rFonts w:ascii="Cambria Math" w:hAnsi="Cambria Math" w:cs="Times New Roman"/>
              <w:szCs w:val="21"/>
            </w:rPr>
            <m:t>=</m:t>
          </m:r>
          <m:f>
            <m:fPr>
              <m:ctrlPr>
                <w:rPr>
                  <w:rFonts w:ascii="Cambria Math" w:hAnsi="Cambria Math" w:cs="Times New Roman"/>
                  <w:i/>
                  <w:szCs w:val="21"/>
                </w:rPr>
              </m:ctrlPr>
            </m:fPr>
            <m:num>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ℎ</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c</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l</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w</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ctrlPr>
                <w:rPr>
                  <w:rFonts w:ascii="Cambria Math" w:hAnsi="Cambria Math" w:cs="Times New Roman"/>
                  <w:i/>
                  <w:szCs w:val="21"/>
                </w:rPr>
              </m:ctrlPr>
            </m:num>
            <m:den>
              <m:r>
                <m:rPr/>
                <w:rPr>
                  <w:rFonts w:ascii="Cambria Math" w:hAnsi="Cambria Math" w:cs="Times New Roman"/>
                  <w:szCs w:val="21"/>
                </w:rPr>
                <m:t>A</m:t>
              </m:r>
              <m:ctrlPr>
                <w:rPr>
                  <w:rFonts w:ascii="Cambria Math" w:hAnsi="Cambria Math" w:cs="Times New Roman"/>
                  <w:i/>
                  <w:szCs w:val="21"/>
                </w:rPr>
              </m:ctrlPr>
            </m:den>
          </m:f>
        </m:oMath>
      </m:oMathPara>
    </w:p>
    <w:p>
      <w:pPr>
        <w:spacing w:line="276" w:lineRule="auto"/>
        <w:ind w:firstLine="420"/>
        <w:jc w:val="right"/>
        <w:rPr>
          <w:rFonts w:cs="Times New Roman"/>
          <w:szCs w:val="21"/>
        </w:rPr>
      </w:pPr>
      <w:r>
        <w:rPr>
          <w:rFonts w:cs="Times New Roman"/>
          <w:szCs w:val="21"/>
        </w:rPr>
        <w:t xml:space="preserve">      （</w:t>
      </w:r>
      <w:r>
        <w:rPr>
          <w:rFonts w:hint="eastAsia" w:cs="Times New Roman"/>
          <w:bCs/>
          <w:szCs w:val="24"/>
          <w:lang w:val="zh-CN" w:bidi="ar"/>
        </w:rPr>
        <w:t>A</w:t>
      </w:r>
      <w:r>
        <w:rPr>
          <w:rFonts w:cs="Times New Roman"/>
          <w:szCs w:val="21"/>
        </w:rPr>
        <w:t>.1.6）</w:t>
      </w:r>
    </w:p>
    <w:p>
      <w:pPr>
        <w:snapToGrid w:val="0"/>
        <w:spacing w:line="276" w:lineRule="auto"/>
        <w:ind w:firstLine="420"/>
        <w:rPr>
          <w:rFonts w:cs="Times New Roman"/>
          <w:szCs w:val="21"/>
        </w:rPr>
      </w:pPr>
      <w:r>
        <w:rPr>
          <w:rFonts w:cs="Times New Roman"/>
          <w:szCs w:val="21"/>
        </w:rPr>
        <w:t>式中：</w:t>
      </w: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ℎ</m:t>
            </m:r>
            <m:ctrlPr>
              <w:rPr>
                <w:rFonts w:ascii="Cambria Math" w:hAnsi="Cambria Math" w:cs="Times New Roman"/>
                <w:i/>
                <w:szCs w:val="21"/>
              </w:rPr>
            </m:ctrlPr>
          </m:sub>
        </m:sSub>
      </m:oMath>
      <w:r>
        <w:rPr>
          <w:rFonts w:cs="Times New Roman"/>
          <w:szCs w:val="21"/>
        </w:rPr>
        <w:t>——年供暖系统能源消耗，kWh；</w:t>
      </w:r>
    </w:p>
    <w:p>
      <w:pPr>
        <w:snapToGrid w:val="0"/>
        <w:spacing w:line="276" w:lineRule="auto"/>
        <w:ind w:firstLine="1010" w:firstLineChars="481"/>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c</m:t>
            </m:r>
            <m:ctrlPr>
              <w:rPr>
                <w:rFonts w:ascii="Cambria Math" w:hAnsi="Cambria Math" w:cs="Times New Roman"/>
                <w:i/>
                <w:szCs w:val="21"/>
              </w:rPr>
            </m:ctrlPr>
          </m:sub>
        </m:sSub>
      </m:oMath>
      <w:r>
        <w:rPr>
          <w:rFonts w:cs="Times New Roman"/>
          <w:szCs w:val="21"/>
        </w:rPr>
        <w:t>——年供冷系统能源消耗，kWh；</w:t>
      </w:r>
    </w:p>
    <w:p>
      <w:pPr>
        <w:snapToGrid w:val="0"/>
        <w:spacing w:line="276" w:lineRule="auto"/>
        <w:ind w:firstLine="1010" w:firstLineChars="481"/>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l</m:t>
            </m:r>
            <m:ctrlPr>
              <w:rPr>
                <w:rFonts w:ascii="Cambria Math" w:hAnsi="Cambria Math" w:cs="Times New Roman"/>
                <w:i/>
                <w:szCs w:val="21"/>
              </w:rPr>
            </m:ctrlPr>
          </m:sub>
        </m:sSub>
      </m:oMath>
      <w:r>
        <w:rPr>
          <w:rFonts w:cs="Times New Roman"/>
          <w:szCs w:val="21"/>
        </w:rPr>
        <w:t>——年照明系统能源消耗，kWh；</w:t>
      </w:r>
    </w:p>
    <w:p>
      <w:pPr>
        <w:snapToGrid w:val="0"/>
        <w:spacing w:line="276" w:lineRule="auto"/>
        <w:ind w:firstLine="1010" w:firstLineChars="481"/>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w</m:t>
            </m:r>
            <m:ctrlPr>
              <w:rPr>
                <w:rFonts w:ascii="Cambria Math" w:hAnsi="Cambria Math" w:cs="Times New Roman"/>
                <w:i/>
                <w:szCs w:val="21"/>
              </w:rPr>
            </m:ctrlPr>
          </m:sub>
        </m:sSub>
      </m:oMath>
      <w:r>
        <w:rPr>
          <w:rFonts w:cs="Times New Roman"/>
          <w:szCs w:val="21"/>
        </w:rPr>
        <w:t>——年生活热水系统能源消耗，kWh；</w:t>
      </w:r>
    </w:p>
    <w:p>
      <w:pPr>
        <w:snapToGrid w:val="0"/>
        <w:spacing w:line="276" w:lineRule="auto"/>
        <w:ind w:firstLine="1010" w:firstLineChars="481"/>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oMath>
      <w:r>
        <w:rPr>
          <w:rFonts w:cs="Times New Roman"/>
          <w:szCs w:val="21"/>
        </w:rPr>
        <w:t>——年电梯系统能源消耗，kWh。</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.1.7可再生能源利用率应按下式计算：</w:t>
      </w:r>
    </w:p>
    <w:p>
      <w:pPr>
        <w:spacing w:line="312"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REP</m:t>
            </m:r>
            <m:ctrlPr>
              <w:rPr>
                <w:rFonts w:ascii="Cambria Math" w:hAnsi="Cambria Math" w:cs="Times New Roman"/>
                <w:i/>
                <w:szCs w:val="21"/>
              </w:rPr>
            </m:ctrlPr>
          </m:e>
          <m:sub>
            <m:r>
              <m:rPr/>
              <w:rPr>
                <w:rFonts w:ascii="Cambria Math" w:hAnsi="Cambria Math" w:cs="Times New Roman"/>
                <w:szCs w:val="21"/>
              </w:rPr>
              <m:t>p</m:t>
            </m:r>
            <m:ctrlPr>
              <w:rPr>
                <w:rFonts w:ascii="Cambria Math" w:hAnsi="Cambria Math" w:cs="Times New Roman"/>
                <w:szCs w:val="21"/>
              </w:rPr>
            </m:ctrlPr>
          </m:sub>
        </m:sSub>
        <m:r>
          <m:rPr/>
          <w:rPr>
            <w:rFonts w:ascii="Cambria Math" w:hAnsi="Cambria Math" w:cs="Times New Roman"/>
            <w:szCs w:val="21"/>
          </w:rPr>
          <m:t>=</m:t>
        </m:r>
        <m:f>
          <m:fPr>
            <m:ctrlPr>
              <w:rPr>
                <w:rFonts w:ascii="Cambria Math" w:hAnsi="Cambria Math" w:cs="Times New Roman"/>
                <w:i/>
                <w:szCs w:val="21"/>
              </w:rPr>
            </m:ctrlPr>
          </m:fPr>
          <m:num>
            <m:sSub>
              <m:sSubPr>
                <m:ctrlPr>
                  <w:rPr>
                    <w:rFonts w:ascii="Cambria Math" w:hAnsi="Cambria Math" w:cs="Times New Roman"/>
                    <w:szCs w:val="21"/>
                  </w:rPr>
                </m:ctrlPr>
              </m:sSubPr>
              <m:e>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c</m:t>
                    </m:r>
                    <m:ctrlPr>
                      <w:rPr>
                        <w:rFonts w:ascii="Cambria Math" w:hAnsi="Cambria Math" w:cs="Times New Roman"/>
                        <w:szCs w:val="21"/>
                      </w:rPr>
                    </m:ctrlPr>
                  </m:sub>
                </m:sSub>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m:t>
                </m:r>
                <m:ctrlPr>
                  <w:rPr>
                    <w:rFonts w:ascii="Cambria Math" w:hAnsi="Cambria Math" w:cs="Times New Roman"/>
                    <w:szCs w:val="21"/>
                  </w:rPr>
                </m:ctrlPr>
              </m:sub>
            </m:sSub>
            <m:r>
              <m:rPr/>
              <w:rPr>
                <w:rFonts w:ascii="Cambria Math" w:hAnsi="Cambria Math" w:cs="Times New Roman"/>
                <w:szCs w:val="21"/>
              </w:rPr>
              <m:t>+</m:t>
            </m:r>
            <m:nary>
              <m:naryPr>
                <m:chr m:val="∑"/>
                <m:limLoc m:val="subSup"/>
                <m:supHide m:val="true"/>
                <m:ctrlPr>
                  <w:rPr>
                    <w:rFonts w:ascii="Cambria Math" w:hAnsi="Cambria Math" w:cs="Times New Roman"/>
                    <w:i/>
                    <w:szCs w:val="21"/>
                  </w:rPr>
                </m:ctrlPr>
              </m:naryPr>
              <m:sub>
                <m:ctrlPr>
                  <w:rPr>
                    <w:rFonts w:ascii="Cambria Math" w:hAnsi="Cambria Math" w:cs="Times New Roman"/>
                    <w:i/>
                    <w:szCs w:val="21"/>
                  </w:rPr>
                </m:ctrlPr>
              </m:sub>
              <m:sup>
                <m:ctrlPr>
                  <w:rPr>
                    <w:rFonts w:ascii="Cambria Math" w:hAnsi="Cambria Math" w:cs="Times New Roman"/>
                    <w:i/>
                    <w:szCs w:val="21"/>
                  </w:rPr>
                </m:ctrlPr>
              </m:sup>
              <m:e>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r,i</m:t>
                    </m:r>
                    <m:ctrlPr>
                      <w:rPr>
                        <w:rFonts w:ascii="Cambria Math" w:hAnsi="Cambria Math" w:cs="Times New Roman"/>
                        <w:i/>
                        <w:szCs w:val="21"/>
                      </w:rPr>
                    </m:ctrlPr>
                  </m:sub>
                </m:sSub>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nary>
                  <m:naryPr>
                    <m:chr m:val="∑"/>
                    <m:limLoc m:val="subSup"/>
                    <m:supHide m:val="true"/>
                    <m:ctrlPr>
                      <w:rPr>
                        <w:rFonts w:ascii="Cambria Math" w:hAnsi="Cambria Math" w:cs="Times New Roman"/>
                        <w:i/>
                        <w:szCs w:val="21"/>
                      </w:rPr>
                    </m:ctrlPr>
                  </m:naryPr>
                  <m:sub>
                    <m:ctrlPr>
                      <w:rPr>
                        <w:rFonts w:ascii="Cambria Math" w:hAnsi="Cambria Math" w:cs="Times New Roman"/>
                        <w:i/>
                        <w:szCs w:val="21"/>
                      </w:rPr>
                    </m:ctrlPr>
                  </m:sub>
                  <m:sup>
                    <m:ctrlPr>
                      <w:rPr>
                        <w:rFonts w:ascii="Cambria Math" w:hAnsi="Cambria Math" w:cs="Times New Roman"/>
                        <w:i/>
                        <w:szCs w:val="21"/>
                      </w:rPr>
                    </m:ctrlPr>
                  </m:sup>
                  <m:e>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rd,i</m:t>
                        </m:r>
                        <m:ctrlPr>
                          <w:rPr>
                            <w:rFonts w:ascii="Cambria Math" w:hAnsi="Cambria Math" w:cs="Times New Roman"/>
                            <w:i/>
                            <w:szCs w:val="21"/>
                          </w:rPr>
                        </m:ctrlPr>
                      </m:sub>
                    </m:sSub>
                    <m:ctrlPr>
                      <w:rPr>
                        <w:rFonts w:ascii="Cambria Math" w:hAnsi="Cambria Math" w:cs="Times New Roman"/>
                        <w:i/>
                        <w:szCs w:val="21"/>
                      </w:rPr>
                    </m:ctrlPr>
                  </m:e>
                </m:nary>
                <m:ctrlPr>
                  <w:rPr>
                    <w:rFonts w:ascii="Cambria Math" w:hAnsi="Cambria Math" w:cs="Times New Roman"/>
                    <w:i/>
                    <w:szCs w:val="21"/>
                  </w:rPr>
                </m:ctrlPr>
              </m:e>
            </m:nary>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ctrlPr>
              <w:rPr>
                <w:rFonts w:ascii="Cambria Math" w:hAnsi="Cambria Math" w:cs="Times New Roman"/>
                <w:i/>
                <w:szCs w:val="21"/>
              </w:rPr>
            </m:ctrlPr>
          </m:num>
          <m:den>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c</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l</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f</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ctrlPr>
              <w:rPr>
                <w:rFonts w:ascii="Cambria Math" w:hAnsi="Cambria Math" w:cs="Times New Roman"/>
                <w:i/>
                <w:szCs w:val="21"/>
              </w:rPr>
            </m:ctrlPr>
          </m:den>
        </m:f>
      </m:oMath>
      <w:r>
        <w:rPr>
          <w:rFonts w:cs="Times New Roman"/>
          <w:szCs w:val="21"/>
        </w:rPr>
        <w:t xml:space="preserve">                     （</w:t>
      </w:r>
      <w:r>
        <w:rPr>
          <w:rFonts w:hint="eastAsia" w:cs="Times New Roman"/>
          <w:bCs/>
          <w:szCs w:val="24"/>
          <w:lang w:bidi="ar"/>
        </w:rPr>
        <w:t>A</w:t>
      </w:r>
      <w:r>
        <w:rPr>
          <w:rFonts w:cs="Times New Roman"/>
          <w:szCs w:val="21"/>
        </w:rPr>
        <w:t>.1.7）</w:t>
      </w:r>
    </w:p>
    <w:p>
      <w:pPr>
        <w:spacing w:line="276" w:lineRule="auto"/>
        <w:ind w:firstLine="420"/>
        <w:rPr>
          <w:rFonts w:cs="Times New Roman"/>
          <w:szCs w:val="21"/>
        </w:rPr>
      </w:pPr>
      <w:r>
        <w:rPr>
          <w:rFonts w:cs="Times New Roman"/>
          <w:szCs w:val="21"/>
        </w:rPr>
        <w:t>式中：</w:t>
      </w:r>
    </w:p>
    <w:p>
      <w:pPr>
        <w:spacing w:line="276" w:lineRule="auto"/>
        <w:ind w:firstLine="420"/>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REP</m:t>
            </m:r>
            <m:ctrlPr>
              <w:rPr>
                <w:rFonts w:ascii="Cambria Math" w:hAnsi="Cambria Math" w:cs="Times New Roman"/>
                <w:szCs w:val="21"/>
              </w:rPr>
            </m:ctrlPr>
          </m:e>
          <m:sub>
            <m:r>
              <m:rPr/>
              <w:rPr>
                <w:rFonts w:ascii="Cambria Math" w:hAnsi="Cambria Math" w:cs="Times New Roman"/>
                <w:szCs w:val="21"/>
              </w:rPr>
              <m:t>p</m:t>
            </m:r>
            <m:ctrlPr>
              <w:rPr>
                <w:rFonts w:ascii="Cambria Math" w:hAnsi="Cambria Math" w:cs="Times New Roman"/>
                <w:szCs w:val="21"/>
              </w:rPr>
            </m:ctrlPr>
          </m:sub>
        </m:sSub>
      </m:oMath>
      <w:r>
        <w:rPr>
          <w:rFonts w:cs="Times New Roman"/>
          <w:szCs w:val="21"/>
        </w:rPr>
        <w:t>——可再生能源利用率</w:t>
      </w:r>
      <w:r>
        <w:rPr>
          <w:rFonts w:hint="eastAsia" w:cs="Times New Roman"/>
          <w:szCs w:val="21"/>
        </w:rPr>
        <w:t>，</w:t>
      </w:r>
      <w:r>
        <w:rPr>
          <w:rFonts w:cs="Times New Roman"/>
          <w:szCs w:val="21"/>
        </w:rPr>
        <w:t>%；</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h</m:t>
            </m:r>
            <m:ctrlPr>
              <w:rPr>
                <w:rFonts w:ascii="Cambria Math" w:hAnsi="Cambria Math" w:cs="Times New Roman"/>
                <w:szCs w:val="21"/>
              </w:rPr>
            </m:ctrlPr>
          </m:sub>
        </m:sSub>
      </m:oMath>
      <w:r>
        <w:rPr>
          <w:rFonts w:cs="Times New Roman"/>
          <w:szCs w:val="21"/>
        </w:rPr>
        <w:t>——供暖系统中可再生能源利用量，kWh；</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c</m:t>
            </m:r>
            <m:ctrlPr>
              <w:rPr>
                <w:rFonts w:ascii="Cambria Math" w:hAnsi="Cambria Math" w:cs="Times New Roman"/>
                <w:szCs w:val="21"/>
              </w:rPr>
            </m:ctrlPr>
          </m:sub>
        </m:sSub>
      </m:oMath>
      <w:r>
        <w:rPr>
          <w:rFonts w:cs="Times New Roman"/>
          <w:szCs w:val="21"/>
        </w:rPr>
        <w:t>——</w:t>
      </w:r>
      <w:r>
        <w:rPr>
          <w:rFonts w:hint="eastAsia" w:cs="Times New Roman"/>
          <w:szCs w:val="21"/>
        </w:rPr>
        <w:t>空调</w:t>
      </w:r>
      <w:r>
        <w:rPr>
          <w:rFonts w:cs="Times New Roman"/>
          <w:szCs w:val="21"/>
        </w:rPr>
        <w:t>系统中可再生能源利用量，kWh；</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w</m:t>
            </m:r>
            <m:ctrlPr>
              <w:rPr>
                <w:rFonts w:ascii="Cambria Math" w:hAnsi="Cambria Math" w:cs="Times New Roman"/>
                <w:szCs w:val="21"/>
              </w:rPr>
            </m:ctrlPr>
          </m:sub>
        </m:sSub>
      </m:oMath>
      <w:r>
        <w:rPr>
          <w:rFonts w:cs="Times New Roman"/>
          <w:szCs w:val="21"/>
        </w:rPr>
        <w:t>——生活热水系统中可再生能源利用量，kWh；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m:t>
            </m:r>
            <m:ctrlPr>
              <w:rPr>
                <w:rFonts w:ascii="Cambria Math" w:hAnsi="Cambria Math" w:cs="Times New Roman"/>
                <w:i/>
                <w:szCs w:val="21"/>
              </w:rPr>
            </m:ctrlPr>
          </m:sub>
        </m:sSub>
      </m:oMath>
      <w:r>
        <w:rPr>
          <w:rFonts w:cs="Times New Roman"/>
          <w:szCs w:val="21"/>
        </w:rPr>
        <w:t>——供暖年耗热量，kWh；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c</m:t>
            </m:r>
            <m:ctrlPr>
              <w:rPr>
                <w:rFonts w:ascii="Cambria Math" w:hAnsi="Cambria Math" w:cs="Times New Roman"/>
                <w:i/>
                <w:szCs w:val="21"/>
              </w:rPr>
            </m:ctrlPr>
          </m:sub>
        </m:sSub>
      </m:oMath>
      <w:r>
        <w:rPr>
          <w:rFonts w:cs="Times New Roman"/>
          <w:szCs w:val="21"/>
        </w:rPr>
        <w:t>——</w:t>
      </w:r>
      <w:r>
        <w:rPr>
          <w:rFonts w:hint="eastAsia" w:cs="Times New Roman"/>
          <w:szCs w:val="21"/>
        </w:rPr>
        <w:t>供冷</w:t>
      </w:r>
      <w:r>
        <w:rPr>
          <w:rFonts w:cs="Times New Roman"/>
          <w:szCs w:val="21"/>
        </w:rPr>
        <w:t>年耗</w:t>
      </w:r>
      <w:r>
        <w:rPr>
          <w:rFonts w:hint="eastAsia" w:cs="Times New Roman"/>
          <w:szCs w:val="21"/>
        </w:rPr>
        <w:t>冷</w:t>
      </w:r>
      <w:r>
        <w:rPr>
          <w:rFonts w:cs="Times New Roman"/>
          <w:szCs w:val="21"/>
        </w:rPr>
        <w:t>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m:t>
            </m:r>
            <m:ctrlPr>
              <w:rPr>
                <w:rFonts w:ascii="Cambria Math" w:hAnsi="Cambria Math" w:cs="Times New Roman"/>
                <w:i/>
                <w:szCs w:val="21"/>
              </w:rPr>
            </m:ctrlPr>
          </m:sub>
        </m:sSub>
      </m:oMath>
      <w:r>
        <w:rPr>
          <w:rFonts w:cs="Times New Roman"/>
          <w:szCs w:val="21"/>
        </w:rPr>
        <w:t>——年生活热水耗热量，kWh。</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.1.8供暖系统中可再生能源利用量应按下列公式计算：</w:t>
      </w:r>
    </w:p>
    <w:p>
      <w:pPr>
        <w:spacing w:line="312" w:lineRule="auto"/>
        <w:ind w:firstLine="1155" w:firstLineChars="550"/>
        <w:jc w:val="right"/>
        <w:rPr>
          <w:rFonts w:cs="Times New Roman"/>
          <w:i/>
          <w:szCs w:val="21"/>
        </w:rPr>
      </w:pPr>
      <m:oMath>
        <m:sSub>
          <m:sSubPr>
            <m:ctrlPr>
              <w:rPr>
                <w:rFonts w:ascii="Cambria Math" w:hAnsi="Cambria Math" w:cs="Times New Roman"/>
                <w:i/>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ℎ，geo</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ℎ，air</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ℎ，sol</m:t>
            </m:r>
            <m:ctrlPr>
              <w:rPr>
                <w:rFonts w:ascii="Cambria Math" w:hAnsi="Cambria Math" w:cs="Times New Roman"/>
                <w:i/>
                <w:szCs w:val="21"/>
              </w:rPr>
            </m:ctrlPr>
          </m:sub>
        </m:sSub>
        <m:sSub>
          <m:sSubPr>
            <m:ctrlPr>
              <w:rPr>
                <w:rFonts w:ascii="Cambria Math" w:hAnsi="Cambria Math" w:cs="Times New Roman"/>
                <w:i/>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ℎ，bio</m:t>
            </m:r>
            <m:ctrlPr>
              <w:rPr>
                <w:rFonts w:ascii="Cambria Math" w:hAnsi="Cambria Math" w:cs="Times New Roman"/>
                <w:i/>
                <w:szCs w:val="21"/>
              </w:rPr>
            </m:ctrlPr>
          </m:sub>
        </m:sSub>
      </m:oMath>
      <w:r>
        <w:rPr>
          <w:rFonts w:cs="Times New Roman"/>
          <w:i/>
          <w:szCs w:val="21"/>
        </w:rPr>
        <w:t xml:space="preserve">    </w:t>
      </w:r>
      <w:r>
        <w:rPr>
          <w:rFonts w:cs="Times New Roman"/>
          <w:szCs w:val="21"/>
        </w:rPr>
        <w:t xml:space="preserve">    （</w:t>
      </w:r>
      <w:r>
        <w:rPr>
          <w:rFonts w:hint="eastAsia" w:cs="Times New Roman"/>
          <w:bCs/>
          <w:szCs w:val="24"/>
          <w:lang w:bidi="ar"/>
        </w:rPr>
        <w:t>A</w:t>
      </w:r>
      <w:r>
        <w:rPr>
          <w:rFonts w:cs="Times New Roman"/>
          <w:szCs w:val="21"/>
        </w:rPr>
        <w:t>.1.8-1）</w:t>
      </w:r>
    </w:p>
    <w:p>
      <w:pPr>
        <w:spacing w:line="312" w:lineRule="auto"/>
        <w:ind w:firstLine="420"/>
        <w:jc w:val="right"/>
        <w:rPr>
          <w:rFonts w:cs="Times New Roman"/>
          <w:i/>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ℎ，geo</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ℎ，geo</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ℎ，geo</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.1.8-2）</w:t>
      </w:r>
    </w:p>
    <w:p>
      <w:pPr>
        <w:spacing w:line="312" w:lineRule="auto"/>
        <w:ind w:firstLine="420"/>
        <w:jc w:val="right"/>
        <w:rPr>
          <w:rFonts w:cs="Times New Roman"/>
          <w:i/>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ℎ，air</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ℎ，air</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ℎ，air</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.1.8-3）</w:t>
      </w:r>
    </w:p>
    <w:p>
      <w:pPr>
        <w:spacing w:line="312"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ℎ，sol</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ℎ，sol</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.1.8-4）</w:t>
      </w:r>
    </w:p>
    <w:p>
      <w:pPr>
        <w:spacing w:line="312"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ℎ，bio</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ℎ，bio</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.1.8-5）</w:t>
      </w:r>
    </w:p>
    <w:p>
      <w:pPr>
        <w:spacing w:line="312" w:lineRule="auto"/>
        <w:ind w:firstLine="420"/>
        <w:jc w:val="right"/>
        <w:rPr>
          <w:rFonts w:cs="Times New Roman"/>
          <w:szCs w:val="21"/>
        </w:rPr>
      </w:pPr>
    </w:p>
    <w:p>
      <w:pPr>
        <w:spacing w:line="276" w:lineRule="auto"/>
        <w:ind w:firstLine="420"/>
        <w:rPr>
          <w:rFonts w:cs="Times New Roman"/>
          <w:szCs w:val="21"/>
        </w:rPr>
      </w:pPr>
      <w:r>
        <w:rPr>
          <w:rFonts w:cs="Times New Roman"/>
          <w:szCs w:val="21"/>
        </w:rPr>
        <w:t>式中：</w:t>
      </w:r>
    </w:p>
    <w:p>
      <w:pPr>
        <w:spacing w:line="240" w:lineRule="auto"/>
        <w:ind w:firstLine="420"/>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ℎ，geo</m:t>
            </m:r>
            <m:ctrlPr>
              <w:rPr>
                <w:rFonts w:ascii="Cambria Math" w:hAnsi="Cambria Math" w:cs="Times New Roman"/>
                <w:szCs w:val="21"/>
              </w:rPr>
            </m:ctrlPr>
          </m:sub>
        </m:sSub>
      </m:oMath>
      <w:r>
        <w:rPr>
          <w:rFonts w:cs="Times New Roman"/>
          <w:szCs w:val="21"/>
        </w:rPr>
        <w:t>——地源热泵供暖系统的年可再生能源利用量，kWh；</w:t>
      </w:r>
    </w:p>
    <w:p>
      <w:pPr>
        <w:spacing w:line="240"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h，air</m:t>
            </m:r>
            <m:ctrlPr>
              <w:rPr>
                <w:rFonts w:ascii="Cambria Math" w:hAnsi="Cambria Math" w:cs="Times New Roman"/>
                <w:szCs w:val="21"/>
              </w:rPr>
            </m:ctrlPr>
          </m:sub>
        </m:sSub>
      </m:oMath>
      <w:r>
        <w:rPr>
          <w:rFonts w:cs="Times New Roman"/>
          <w:szCs w:val="21"/>
        </w:rPr>
        <w:t>——空气源热泵供暖系统的年可再生能源利用量，kWh；</w:t>
      </w:r>
    </w:p>
    <w:p>
      <w:pPr>
        <w:spacing w:line="240"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h，sol</m:t>
            </m:r>
            <m:ctrlPr>
              <w:rPr>
                <w:rFonts w:ascii="Cambria Math" w:hAnsi="Cambria Math" w:cs="Times New Roman"/>
                <w:szCs w:val="21"/>
              </w:rPr>
            </m:ctrlPr>
          </m:sub>
        </m:sSub>
      </m:oMath>
      <w:r>
        <w:rPr>
          <w:rFonts w:cs="Times New Roman"/>
          <w:szCs w:val="21"/>
        </w:rPr>
        <w:t>——太阳能热水供暖系统的年可再生能源利用量，kWh；</w:t>
      </w:r>
    </w:p>
    <w:p>
      <w:pPr>
        <w:spacing w:line="240"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h，bio</m:t>
            </m:r>
            <m:ctrlPr>
              <w:rPr>
                <w:rFonts w:ascii="Cambria Math" w:hAnsi="Cambria Math" w:cs="Times New Roman"/>
                <w:szCs w:val="21"/>
              </w:rPr>
            </m:ctrlPr>
          </m:sub>
        </m:sSub>
      </m:oMath>
      <w:r>
        <w:rPr>
          <w:rFonts w:cs="Times New Roman"/>
          <w:szCs w:val="21"/>
        </w:rPr>
        <w:t>——</w:t>
      </w:r>
      <w:r>
        <w:rPr>
          <w:rFonts w:hint="eastAsia" w:cs="Times New Roman"/>
          <w:szCs w:val="21"/>
        </w:rPr>
        <w:t>生物质</w:t>
      </w:r>
      <w:r>
        <w:rPr>
          <w:rFonts w:cs="Times New Roman"/>
          <w:szCs w:val="21"/>
        </w:rPr>
        <w:t>供暖系统的年可再生能源利用量，kWh；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m:t>
            </m:r>
            <m:r>
              <m:rPr>
                <m:sty m:val="p"/>
              </m:rPr>
              <w:rPr>
                <w:rFonts w:ascii="Cambria Math" w:hAnsi="Cambria Math" w:cs="Times New Roman"/>
                <w:szCs w:val="21"/>
              </w:rPr>
              <m:t>，geo</m:t>
            </m:r>
            <m:ctrlPr>
              <w:rPr>
                <w:rFonts w:ascii="Cambria Math" w:hAnsi="Cambria Math" w:cs="Times New Roman"/>
                <w:i/>
                <w:szCs w:val="21"/>
              </w:rPr>
            </m:ctrlPr>
          </m:sub>
        </m:sSub>
      </m:oMath>
      <w:r>
        <w:rPr>
          <w:rFonts w:cs="Times New Roman"/>
          <w:szCs w:val="21"/>
        </w:rPr>
        <w:t>——地源热泵系统的年供暖供热量，kWh；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m:t>
            </m:r>
            <m:r>
              <m:rPr>
                <m:sty m:val="p"/>
              </m:rPr>
              <w:rPr>
                <w:rFonts w:ascii="Cambria Math" w:hAnsi="Cambria Math" w:cs="Times New Roman"/>
                <w:szCs w:val="21"/>
              </w:rPr>
              <m:t>，air</m:t>
            </m:r>
            <m:ctrlPr>
              <w:rPr>
                <w:rFonts w:ascii="Cambria Math" w:hAnsi="Cambria Math" w:cs="Times New Roman"/>
                <w:i/>
                <w:szCs w:val="21"/>
              </w:rPr>
            </m:ctrlPr>
          </m:sub>
        </m:sSub>
      </m:oMath>
      <w:r>
        <w:rPr>
          <w:rFonts w:cs="Times New Roman"/>
          <w:szCs w:val="21"/>
        </w:rPr>
        <w:t>——空气源热泵系统的年供暖供热量，kWh；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m:t>
            </m:r>
            <m:r>
              <m:rPr>
                <m:sty m:val="p"/>
              </m:rPr>
              <w:rPr>
                <w:rFonts w:ascii="Cambria Math" w:hAnsi="Cambria Math" w:cs="Times New Roman"/>
                <w:szCs w:val="21"/>
              </w:rPr>
              <m:t>，sol</m:t>
            </m:r>
            <m:ctrlPr>
              <w:rPr>
                <w:rFonts w:ascii="Cambria Math" w:hAnsi="Cambria Math" w:cs="Times New Roman"/>
                <w:i/>
                <w:szCs w:val="21"/>
              </w:rPr>
            </m:ctrlPr>
          </m:sub>
        </m:sSub>
      </m:oMath>
      <w:r>
        <w:rPr>
          <w:rFonts w:cs="Times New Roman"/>
          <w:szCs w:val="21"/>
        </w:rPr>
        <w:t>——太阳能系统的年供暖供热量，kWh；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ℎ</m:t>
            </m:r>
            <m:r>
              <m:rPr>
                <m:sty m:val="p"/>
              </m:rPr>
              <w:rPr>
                <w:rFonts w:ascii="Cambria Math" w:hAnsi="Cambria Math" w:cs="Times New Roman"/>
                <w:szCs w:val="21"/>
              </w:rPr>
              <m:t>，bio</m:t>
            </m:r>
            <m:ctrlPr>
              <w:rPr>
                <w:rFonts w:ascii="Cambria Math" w:hAnsi="Cambria Math" w:cs="Times New Roman"/>
                <w:i/>
                <w:szCs w:val="21"/>
              </w:rPr>
            </m:ctrlPr>
          </m:sub>
        </m:sSub>
      </m:oMath>
      <w:r>
        <w:rPr>
          <w:rFonts w:cs="Times New Roman"/>
          <w:szCs w:val="21"/>
        </w:rPr>
        <w:t>——</w:t>
      </w:r>
      <w:r>
        <w:rPr>
          <w:rFonts w:hint="eastAsia" w:cs="Times New Roman"/>
          <w:szCs w:val="21"/>
        </w:rPr>
        <w:t>生物质供暖</w:t>
      </w:r>
      <w:r>
        <w:rPr>
          <w:rFonts w:cs="Times New Roman"/>
          <w:szCs w:val="21"/>
        </w:rPr>
        <w:t>系统的年供暖供热量，kWh；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ℎ</m:t>
            </m:r>
            <m:r>
              <m:rPr>
                <m:sty m:val="p"/>
              </m:rPr>
              <w:rPr>
                <w:rFonts w:ascii="Cambria Math" w:hAnsi="Cambria Math" w:cs="Times New Roman"/>
                <w:szCs w:val="21"/>
              </w:rPr>
              <m:t>，geo</m:t>
            </m:r>
            <m:ctrlPr>
              <w:rPr>
                <w:rFonts w:ascii="Cambria Math" w:hAnsi="Cambria Math" w:cs="Times New Roman"/>
                <w:i/>
                <w:szCs w:val="21"/>
              </w:rPr>
            </m:ctrlPr>
          </m:sub>
        </m:sSub>
      </m:oMath>
      <w:r>
        <w:rPr>
          <w:rFonts w:cs="Times New Roman"/>
          <w:szCs w:val="21"/>
        </w:rPr>
        <w:t>——地源热泵</w:t>
      </w:r>
      <w:r>
        <w:rPr>
          <w:rFonts w:hint="eastAsia" w:cs="Times New Roman"/>
          <w:szCs w:val="21"/>
        </w:rPr>
        <w:t>机组暖</w:t>
      </w:r>
      <w:r>
        <w:rPr>
          <w:rFonts w:cs="Times New Roman"/>
          <w:szCs w:val="21"/>
        </w:rPr>
        <w:t>年</w:t>
      </w:r>
      <w:r>
        <w:rPr>
          <w:rFonts w:hint="eastAsia" w:cs="Times New Roman"/>
          <w:szCs w:val="21"/>
        </w:rPr>
        <w:t>耗电</w:t>
      </w:r>
      <w:r>
        <w:rPr>
          <w:rFonts w:cs="Times New Roman"/>
          <w:szCs w:val="21"/>
        </w:rPr>
        <w:t>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ℎ</m:t>
            </m:r>
            <m:r>
              <m:rPr>
                <m:sty m:val="p"/>
              </m:rPr>
              <w:rPr>
                <w:rFonts w:ascii="Cambria Math" w:hAnsi="Cambria Math" w:cs="Times New Roman"/>
                <w:szCs w:val="21"/>
              </w:rPr>
              <m:t>，air</m:t>
            </m:r>
            <m:ctrlPr>
              <w:rPr>
                <w:rFonts w:ascii="Cambria Math" w:hAnsi="Cambria Math" w:cs="Times New Roman"/>
                <w:i/>
                <w:szCs w:val="21"/>
              </w:rPr>
            </m:ctrlPr>
          </m:sub>
        </m:sSub>
      </m:oMath>
      <w:r>
        <w:rPr>
          <w:rFonts w:cs="Times New Roman"/>
          <w:szCs w:val="21"/>
        </w:rPr>
        <w:t>——空气源热泵</w:t>
      </w:r>
      <w:r>
        <w:rPr>
          <w:rFonts w:hint="eastAsia" w:cs="Times New Roman"/>
          <w:szCs w:val="21"/>
        </w:rPr>
        <w:t>机组供暖</w:t>
      </w:r>
      <w:r>
        <w:rPr>
          <w:rFonts w:cs="Times New Roman"/>
          <w:szCs w:val="21"/>
        </w:rPr>
        <w:t>年</w:t>
      </w:r>
      <w:r>
        <w:rPr>
          <w:rFonts w:hint="eastAsia" w:cs="Times New Roman"/>
          <w:szCs w:val="21"/>
        </w:rPr>
        <w:t>耗电</w:t>
      </w:r>
      <w:r>
        <w:rPr>
          <w:rFonts w:cs="Times New Roman"/>
          <w:szCs w:val="21"/>
        </w:rPr>
        <w:t>量，kWh。</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.1.9生活热水系统中可再生能源利用量应按下列公式计算：</w:t>
      </w:r>
    </w:p>
    <w:p>
      <w:pPr>
        <w:spacing w:line="312" w:lineRule="auto"/>
        <w:ind w:firstLine="420"/>
        <w:jc w:val="right"/>
        <w:rPr>
          <w:rFonts w:cs="Times New Roman"/>
          <w:i/>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w，geo</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w，air</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w，sol</m:t>
            </m:r>
            <m:ctrlPr>
              <w:rPr>
                <w:rFonts w:ascii="Cambria Math" w:hAnsi="Cambria Math" w:cs="Times New Roman"/>
                <w:szCs w:val="21"/>
              </w:rPr>
            </m:ctrlPr>
          </m:sub>
        </m:sSub>
        <m:sSub>
          <m:sSubPr>
            <m:ctrlPr>
              <w:rPr>
                <w:rFonts w:ascii="Cambria Math" w:hAnsi="Cambria Math" w:cs="Times New Roman"/>
                <w:i/>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w，bio</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 xml:space="preserve">.1.9-1）                  </w:t>
      </w:r>
    </w:p>
    <w:p>
      <w:pPr>
        <w:spacing w:line="312" w:lineRule="auto"/>
        <w:ind w:firstLine="420"/>
        <w:jc w:val="right"/>
        <w:rPr>
          <w:rFonts w:cs="Times New Roman"/>
          <w:i/>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w，geo</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w，geo</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w，geo</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.1.9-2）</w:t>
      </w:r>
    </w:p>
    <w:p>
      <w:pPr>
        <w:spacing w:line="312" w:lineRule="auto"/>
        <w:ind w:firstLine="420"/>
        <w:jc w:val="right"/>
        <w:rPr>
          <w:rFonts w:cs="Times New Roman"/>
          <w:i/>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w，air</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w，air</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w，air</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.1.9-3）</w:t>
      </w:r>
    </w:p>
    <w:p>
      <w:pPr>
        <w:spacing w:line="312"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w，sol</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w，sol</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.1.9-4）</w:t>
      </w:r>
    </w:p>
    <w:p>
      <w:pPr>
        <w:spacing w:line="312"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w，bio</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w，bio</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.1.9-5）</w:t>
      </w:r>
    </w:p>
    <w:p>
      <w:pPr>
        <w:spacing w:line="312" w:lineRule="auto"/>
        <w:ind w:firstLine="420"/>
        <w:jc w:val="right"/>
        <w:rPr>
          <w:rFonts w:cs="Times New Roman"/>
          <w:szCs w:val="21"/>
        </w:rPr>
      </w:pPr>
    </w:p>
    <w:p>
      <w:pPr>
        <w:spacing w:line="276" w:lineRule="auto"/>
        <w:ind w:firstLine="420"/>
        <w:rPr>
          <w:rFonts w:cs="Times New Roman"/>
          <w:szCs w:val="21"/>
        </w:rPr>
      </w:pPr>
      <w:r>
        <w:rPr>
          <w:rFonts w:cs="Times New Roman"/>
          <w:szCs w:val="21"/>
        </w:rPr>
        <w:t>式中：</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w，geo</m:t>
            </m:r>
            <m:ctrlPr>
              <w:rPr>
                <w:rFonts w:ascii="Cambria Math" w:hAnsi="Cambria Math" w:cs="Times New Roman"/>
                <w:szCs w:val="21"/>
              </w:rPr>
            </m:ctrlPr>
          </m:sub>
        </m:sSub>
      </m:oMath>
      <w:r>
        <w:rPr>
          <w:rFonts w:cs="Times New Roman"/>
          <w:szCs w:val="21"/>
        </w:rPr>
        <w:t>——地源热泵生活热水系统的年可再生能源利用量，kWh；</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w，air</m:t>
            </m:r>
            <m:ctrlPr>
              <w:rPr>
                <w:rFonts w:ascii="Cambria Math" w:hAnsi="Cambria Math" w:cs="Times New Roman"/>
                <w:szCs w:val="21"/>
              </w:rPr>
            </m:ctrlPr>
          </m:sub>
        </m:sSub>
      </m:oMath>
      <w:r>
        <w:rPr>
          <w:rFonts w:cs="Times New Roman"/>
          <w:szCs w:val="21"/>
        </w:rPr>
        <w:t>——空气源热泵生活热水系统的年可再生能源利用量，kWh；</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w，sol</m:t>
            </m:r>
            <m:ctrlPr>
              <w:rPr>
                <w:rFonts w:ascii="Cambria Math" w:hAnsi="Cambria Math" w:cs="Times New Roman"/>
                <w:szCs w:val="21"/>
              </w:rPr>
            </m:ctrlPr>
          </m:sub>
        </m:sSub>
      </m:oMath>
      <w:r>
        <w:rPr>
          <w:rFonts w:cs="Times New Roman"/>
          <w:szCs w:val="21"/>
        </w:rPr>
        <w:t>——太阳能生活热水系统的年可再生能源利用量，kWh；</w:t>
      </w:r>
    </w:p>
    <w:p>
      <w:pPr>
        <w:spacing w:line="240"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h，bio</m:t>
            </m:r>
            <m:ctrlPr>
              <w:rPr>
                <w:rFonts w:ascii="Cambria Math" w:hAnsi="Cambria Math" w:cs="Times New Roman"/>
                <w:szCs w:val="21"/>
              </w:rPr>
            </m:ctrlPr>
          </m:sub>
        </m:sSub>
      </m:oMath>
      <w:r>
        <w:rPr>
          <w:rFonts w:cs="Times New Roman"/>
          <w:szCs w:val="21"/>
        </w:rPr>
        <w:t>——</w:t>
      </w:r>
      <w:r>
        <w:rPr>
          <w:rFonts w:hint="eastAsia" w:cs="Times New Roman"/>
          <w:szCs w:val="21"/>
        </w:rPr>
        <w:t>生物质生活热水</w:t>
      </w:r>
      <w:r>
        <w:rPr>
          <w:rFonts w:cs="Times New Roman"/>
          <w:szCs w:val="21"/>
        </w:rPr>
        <w:t>系统的年可再生能源利用量，kWh；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m:t>
            </m:r>
            <m:r>
              <m:rPr>
                <m:sty m:val="p"/>
              </m:rPr>
              <w:rPr>
                <w:rFonts w:ascii="Cambria Math" w:hAnsi="Cambria Math" w:cs="Times New Roman"/>
                <w:szCs w:val="21"/>
              </w:rPr>
              <m:t>，geo</m:t>
            </m:r>
            <m:ctrlPr>
              <w:rPr>
                <w:rFonts w:ascii="Cambria Math" w:hAnsi="Cambria Math" w:cs="Times New Roman"/>
                <w:i/>
                <w:szCs w:val="21"/>
              </w:rPr>
            </m:ctrlPr>
          </m:sub>
        </m:sSub>
      </m:oMath>
      <w:r>
        <w:rPr>
          <w:rFonts w:cs="Times New Roman"/>
          <w:szCs w:val="21"/>
        </w:rPr>
        <w:t>——地源热泵系统的年生活热水供热量，kWh；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m:t>
            </m:r>
            <m:r>
              <m:rPr>
                <m:sty m:val="p"/>
              </m:rPr>
              <w:rPr>
                <w:rFonts w:ascii="Cambria Math" w:hAnsi="Cambria Math" w:cs="Times New Roman"/>
                <w:szCs w:val="21"/>
              </w:rPr>
              <m:t>，air</m:t>
            </m:r>
            <m:ctrlPr>
              <w:rPr>
                <w:rFonts w:ascii="Cambria Math" w:hAnsi="Cambria Math" w:cs="Times New Roman"/>
                <w:i/>
                <w:szCs w:val="21"/>
              </w:rPr>
            </m:ctrlPr>
          </m:sub>
        </m:sSub>
      </m:oMath>
      <w:r>
        <w:rPr>
          <w:rFonts w:cs="Times New Roman"/>
          <w:szCs w:val="21"/>
        </w:rPr>
        <w:t>——空气源热泵系统的年生活热水供热量，kWh；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m:t>
            </m:r>
            <m:r>
              <m:rPr>
                <m:sty m:val="p"/>
              </m:rPr>
              <w:rPr>
                <w:rFonts w:ascii="Cambria Math" w:hAnsi="Cambria Math" w:cs="Times New Roman"/>
                <w:szCs w:val="21"/>
              </w:rPr>
              <m:t>，sol</m:t>
            </m:r>
            <m:ctrlPr>
              <w:rPr>
                <w:rFonts w:ascii="Cambria Math" w:hAnsi="Cambria Math" w:cs="Times New Roman"/>
                <w:i/>
                <w:szCs w:val="21"/>
              </w:rPr>
            </m:ctrlPr>
          </m:sub>
        </m:sSub>
      </m:oMath>
      <w:r>
        <w:rPr>
          <w:rFonts w:cs="Times New Roman"/>
          <w:szCs w:val="21"/>
        </w:rPr>
        <w:t>——太阳能系统的年生活热水供热量，kWh；</w:t>
      </w:r>
    </w:p>
    <w:p>
      <w:pPr>
        <w:spacing w:line="240"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w</m:t>
            </m:r>
            <m:r>
              <m:rPr>
                <m:sty m:val="p"/>
              </m:rPr>
              <w:rPr>
                <w:rFonts w:ascii="Cambria Math" w:hAnsi="Cambria Math" w:cs="Times New Roman"/>
                <w:szCs w:val="21"/>
              </w:rPr>
              <m:t>，bio</m:t>
            </m:r>
            <m:ctrlPr>
              <w:rPr>
                <w:rFonts w:ascii="Cambria Math" w:hAnsi="Cambria Math" w:cs="Times New Roman"/>
                <w:i/>
                <w:szCs w:val="21"/>
              </w:rPr>
            </m:ctrlPr>
          </m:sub>
        </m:sSub>
      </m:oMath>
      <w:r>
        <w:rPr>
          <w:rFonts w:cs="Times New Roman"/>
          <w:szCs w:val="21"/>
        </w:rPr>
        <w:t>——</w:t>
      </w:r>
      <w:r>
        <w:rPr>
          <w:rFonts w:hint="eastAsia" w:cs="Times New Roman"/>
          <w:szCs w:val="21"/>
        </w:rPr>
        <w:t>生物质生活热水</w:t>
      </w:r>
      <w:r>
        <w:rPr>
          <w:rFonts w:cs="Times New Roman"/>
          <w:szCs w:val="21"/>
        </w:rPr>
        <w:t>系统的年</w:t>
      </w:r>
      <w:r>
        <w:rPr>
          <w:rFonts w:hint="eastAsia" w:cs="Times New Roman"/>
          <w:szCs w:val="21"/>
        </w:rPr>
        <w:t>生活热水</w:t>
      </w:r>
      <w:r>
        <w:rPr>
          <w:rFonts w:cs="Times New Roman"/>
          <w:szCs w:val="21"/>
        </w:rPr>
        <w:t>供热量，kWh；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w</m:t>
            </m:r>
            <m:r>
              <m:rPr>
                <m:sty m:val="p"/>
              </m:rPr>
              <w:rPr>
                <w:rFonts w:ascii="Cambria Math" w:hAnsi="Cambria Math" w:cs="Times New Roman"/>
                <w:szCs w:val="21"/>
              </w:rPr>
              <m:t>，geo</m:t>
            </m:r>
            <m:ctrlPr>
              <w:rPr>
                <w:rFonts w:ascii="Cambria Math" w:hAnsi="Cambria Math" w:cs="Times New Roman"/>
                <w:i/>
                <w:szCs w:val="21"/>
              </w:rPr>
            </m:ctrlPr>
          </m:sub>
        </m:sSub>
      </m:oMath>
      <w:r>
        <w:rPr>
          <w:rFonts w:cs="Times New Roman"/>
          <w:szCs w:val="21"/>
        </w:rPr>
        <w:t>——地源热泵</w:t>
      </w:r>
      <w:r>
        <w:rPr>
          <w:rFonts w:hint="eastAsia" w:cs="Times New Roman"/>
          <w:szCs w:val="21"/>
        </w:rPr>
        <w:t>机组供</w:t>
      </w:r>
      <w:r>
        <w:rPr>
          <w:rFonts w:cs="Times New Roman"/>
          <w:szCs w:val="21"/>
        </w:rPr>
        <w:t>生活热水年</w:t>
      </w:r>
      <w:r>
        <w:rPr>
          <w:rFonts w:hint="eastAsia" w:cs="Times New Roman"/>
          <w:szCs w:val="21"/>
        </w:rPr>
        <w:t>耗电</w:t>
      </w:r>
      <w:r>
        <w:rPr>
          <w:rFonts w:cs="Times New Roman"/>
          <w:szCs w:val="21"/>
        </w:rPr>
        <w:t>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w</m:t>
            </m:r>
            <m:r>
              <m:rPr>
                <m:sty m:val="p"/>
              </m:rPr>
              <w:rPr>
                <w:rFonts w:ascii="Cambria Math" w:hAnsi="Cambria Math" w:cs="Times New Roman"/>
                <w:szCs w:val="21"/>
              </w:rPr>
              <m:t>，air</m:t>
            </m:r>
            <m:ctrlPr>
              <w:rPr>
                <w:rFonts w:ascii="Cambria Math" w:hAnsi="Cambria Math" w:cs="Times New Roman"/>
                <w:i/>
                <w:szCs w:val="21"/>
              </w:rPr>
            </m:ctrlPr>
          </m:sub>
        </m:sSub>
      </m:oMath>
      <w:r>
        <w:rPr>
          <w:rFonts w:cs="Times New Roman"/>
          <w:szCs w:val="21"/>
        </w:rPr>
        <w:t>——空气源热泵</w:t>
      </w:r>
      <w:r>
        <w:rPr>
          <w:rFonts w:hint="eastAsia" w:cs="Times New Roman"/>
          <w:szCs w:val="21"/>
        </w:rPr>
        <w:t>机组供</w:t>
      </w:r>
      <w:r>
        <w:rPr>
          <w:rFonts w:cs="Times New Roman"/>
          <w:szCs w:val="21"/>
        </w:rPr>
        <w:t>生活热水年</w:t>
      </w:r>
      <w:r>
        <w:rPr>
          <w:rFonts w:hint="eastAsia" w:cs="Times New Roman"/>
          <w:szCs w:val="21"/>
        </w:rPr>
        <w:t>耗电</w:t>
      </w:r>
      <w:r>
        <w:rPr>
          <w:rFonts w:cs="Times New Roman"/>
          <w:szCs w:val="21"/>
        </w:rPr>
        <w:t>量，kWh</w:t>
      </w:r>
      <w:r>
        <w:rPr>
          <w:rFonts w:hint="eastAsia" w:cs="Times New Roman"/>
          <w:szCs w:val="21"/>
        </w:rPr>
        <w:t>。</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.1.10</w:t>
      </w:r>
      <w:r>
        <w:rPr>
          <w:rFonts w:hint="eastAsia" w:cs="Times New Roman"/>
          <w:bCs/>
          <w:szCs w:val="24"/>
          <w:lang w:val="zh-CN" w:bidi="ar"/>
        </w:rPr>
        <w:t>供冷</w:t>
      </w:r>
      <w:r>
        <w:rPr>
          <w:rFonts w:cs="Times New Roman"/>
          <w:bCs/>
          <w:szCs w:val="24"/>
          <w:lang w:val="zh-CN" w:bidi="ar"/>
        </w:rPr>
        <w:t>系统中可再生能源利用量应按下列公式计算：</w:t>
      </w:r>
    </w:p>
    <w:p>
      <w:pPr>
        <w:wordWrap w:val="0"/>
        <w:spacing w:line="276"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c</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c，sol</m:t>
            </m:r>
            <m:ctrlPr>
              <w:rPr>
                <w:rFonts w:ascii="Cambria Math" w:hAnsi="Cambria Math" w:cs="Times New Roman"/>
                <w:szCs w:val="21"/>
              </w:rPr>
            </m:ctrlPr>
          </m:sub>
        </m:sSub>
      </m:oMath>
      <w:r>
        <w:rPr>
          <w:rFonts w:cs="Times New Roman"/>
          <w:szCs w:val="21"/>
        </w:rPr>
        <w:t xml:space="preserve">                        （</w:t>
      </w:r>
      <w:r>
        <w:rPr>
          <w:rFonts w:hint="eastAsia" w:cs="Times New Roman"/>
          <w:bCs/>
          <w:szCs w:val="24"/>
          <w:lang w:bidi="ar"/>
        </w:rPr>
        <w:t>A</w:t>
      </w:r>
      <w:r>
        <w:rPr>
          <w:rFonts w:cs="Times New Roman"/>
          <w:szCs w:val="21"/>
        </w:rPr>
        <w:t>.1.10-1）</w:t>
      </w:r>
    </w:p>
    <w:p>
      <w:pPr>
        <w:spacing w:line="312" w:lineRule="auto"/>
        <w:ind w:firstLine="420"/>
        <w:jc w:val="right"/>
        <w:rPr>
          <w:rFonts w:cs="Times New Roman"/>
          <w:szCs w:val="21"/>
        </w:rPr>
      </w:pPr>
      <m:oMath>
        <m:sSub>
          <m:sSubPr>
            <m:ctrlPr>
              <w:rPr>
                <w:rFonts w:ascii="Cambria Math" w:hAnsi="Cambria Math" w:cs="Times New Roman"/>
                <w:szCs w:val="21"/>
              </w:rPr>
            </m:ctrlPr>
          </m:sSubPr>
          <m:e>
            <m:r>
              <m:rPr/>
              <w:rPr>
                <w:rFonts w:ascii="Cambria Math" w:hAnsi="Cambria Math" w:cs="Times New Roman"/>
                <w:szCs w:val="21"/>
              </w:rPr>
              <m:t>EP</m:t>
            </m:r>
            <m:ctrlPr>
              <w:rPr>
                <w:rFonts w:ascii="Cambria Math" w:hAnsi="Cambria Math" w:cs="Times New Roman"/>
                <w:i/>
                <w:szCs w:val="21"/>
              </w:rPr>
            </m:ctrlPr>
          </m:e>
          <m:sub>
            <m:r>
              <m:rPr/>
              <w:rPr>
                <w:rFonts w:ascii="Cambria Math" w:hAnsi="Cambria Math" w:cs="Times New Roman"/>
                <w:szCs w:val="21"/>
              </w:rPr>
              <m:t>c，sol</m:t>
            </m:r>
            <m:ctrlPr>
              <w:rPr>
                <w:rFonts w:ascii="Cambria Math" w:hAnsi="Cambria Math" w:cs="Times New Roman"/>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c，sol</m:t>
            </m:r>
            <m:ctrlPr>
              <w:rPr>
                <w:rFonts w:ascii="Cambria Math" w:hAnsi="Cambria Math" w:cs="Times New Roman"/>
                <w:i/>
                <w:szCs w:val="21"/>
              </w:rPr>
            </m:ctrlPr>
          </m:sub>
        </m:sSub>
      </m:oMath>
      <w:r>
        <w:rPr>
          <w:rFonts w:cs="Times New Roman"/>
          <w:szCs w:val="21"/>
        </w:rPr>
        <w:t xml:space="preserve">                     （</w:t>
      </w:r>
      <w:r>
        <w:rPr>
          <w:rFonts w:hint="eastAsia" w:cs="Times New Roman"/>
          <w:bCs/>
          <w:szCs w:val="24"/>
          <w:lang w:bidi="ar"/>
        </w:rPr>
        <w:t>A</w:t>
      </w:r>
      <w:r>
        <w:rPr>
          <w:rFonts w:cs="Times New Roman"/>
          <w:szCs w:val="21"/>
        </w:rPr>
        <w:t>.1.10-2）</w:t>
      </w:r>
    </w:p>
    <w:p>
      <w:pPr>
        <w:spacing w:line="312" w:lineRule="auto"/>
        <w:ind w:firstLine="420"/>
        <w:jc w:val="right"/>
        <w:rPr>
          <w:rFonts w:cs="Times New Roman"/>
          <w:szCs w:val="21"/>
        </w:rPr>
      </w:pPr>
    </w:p>
    <w:p>
      <w:pPr>
        <w:spacing w:line="276" w:lineRule="auto"/>
        <w:ind w:firstLine="420"/>
        <w:rPr>
          <w:rFonts w:cs="Times New Roman"/>
          <w:szCs w:val="21"/>
        </w:rPr>
      </w:pPr>
      <w:r>
        <w:rPr>
          <w:rFonts w:cs="Times New Roman"/>
          <w:szCs w:val="21"/>
        </w:rPr>
        <w:t>式中：</w:t>
      </w:r>
    </w:p>
    <w:p>
      <w:pPr>
        <w:spacing w:line="276" w:lineRule="auto"/>
        <w:ind w:firstLine="420"/>
        <w:rPr>
          <w:rFonts w:cs="Times New Roman"/>
          <w:szCs w:val="21"/>
        </w:rPr>
      </w:pPr>
      <m:oMath>
        <m:sSub>
          <m:sSubPr>
            <m:ctrlPr>
              <w:rPr>
                <w:rFonts w:ascii="Cambria Math" w:hAnsi="Cambria Math" w:cs="Times New Roman"/>
                <w:szCs w:val="21"/>
              </w:rPr>
            </m:ctrlPr>
          </m:sSubPr>
          <m:e>
            <m:r>
              <m:rPr>
                <m:sty m:val="p"/>
              </m:rPr>
              <w:rPr>
                <w:rFonts w:ascii="Cambria Math" w:hAnsi="Cambria Math" w:cs="Times New Roman"/>
                <w:szCs w:val="21"/>
              </w:rPr>
              <m:t>EP</m:t>
            </m:r>
            <m:ctrlPr>
              <w:rPr>
                <w:rFonts w:ascii="Cambria Math" w:hAnsi="Cambria Math" w:cs="Times New Roman"/>
                <w:szCs w:val="21"/>
              </w:rPr>
            </m:ctrlPr>
          </m:e>
          <m:sub>
            <m:r>
              <m:rPr>
                <m:sty m:val="p"/>
              </m:rPr>
              <w:rPr>
                <w:rFonts w:ascii="Cambria Math" w:hAnsi="Cambria Math" w:cs="Times New Roman"/>
                <w:szCs w:val="21"/>
              </w:rPr>
              <m:t>c，sol</m:t>
            </m:r>
            <m:ctrlPr>
              <w:rPr>
                <w:rFonts w:ascii="Cambria Math" w:hAnsi="Cambria Math" w:cs="Times New Roman"/>
                <w:szCs w:val="21"/>
              </w:rPr>
            </m:ctrlPr>
          </m:sub>
        </m:sSub>
      </m:oMath>
      <w:r>
        <w:rPr>
          <w:rFonts w:cs="Times New Roman"/>
          <w:szCs w:val="21"/>
        </w:rPr>
        <w:t>——太阳能</w:t>
      </w:r>
      <w:r>
        <w:rPr>
          <w:rFonts w:hint="eastAsia" w:cs="Times New Roman"/>
          <w:szCs w:val="21"/>
        </w:rPr>
        <w:t>供冷</w:t>
      </w:r>
      <w:r>
        <w:rPr>
          <w:rFonts w:cs="Times New Roman"/>
          <w:szCs w:val="21"/>
        </w:rPr>
        <w:t>系统的年可再生能源利用量，kWh；</w:t>
      </w:r>
    </w:p>
    <w:p>
      <w:pPr>
        <w:spacing w:line="276" w:lineRule="auto"/>
        <w:ind w:firstLine="420"/>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Q</m:t>
            </m:r>
            <m:ctrlPr>
              <w:rPr>
                <w:rFonts w:ascii="Cambria Math" w:hAnsi="Cambria Math" w:cs="Times New Roman"/>
                <w:i/>
                <w:szCs w:val="21"/>
              </w:rPr>
            </m:ctrlPr>
          </m:e>
          <m:sub>
            <m:r>
              <m:rPr/>
              <w:rPr>
                <w:rFonts w:ascii="Cambria Math" w:hAnsi="Cambria Math" w:cs="Times New Roman"/>
                <w:szCs w:val="21"/>
              </w:rPr>
              <m:t>c</m:t>
            </m:r>
            <m:r>
              <m:rPr>
                <m:sty m:val="p"/>
              </m:rPr>
              <w:rPr>
                <w:rFonts w:ascii="Cambria Math" w:hAnsi="Cambria Math" w:cs="Times New Roman"/>
                <w:szCs w:val="21"/>
              </w:rPr>
              <m:t>，sol</m:t>
            </m:r>
            <m:ctrlPr>
              <w:rPr>
                <w:rFonts w:ascii="Cambria Math" w:hAnsi="Cambria Math" w:cs="Times New Roman"/>
                <w:i/>
                <w:szCs w:val="21"/>
              </w:rPr>
            </m:ctrlPr>
          </m:sub>
        </m:sSub>
      </m:oMath>
      <w:r>
        <w:rPr>
          <w:rFonts w:cs="Times New Roman"/>
          <w:szCs w:val="21"/>
        </w:rPr>
        <w:t>——太阳能</w:t>
      </w:r>
      <w:r>
        <w:rPr>
          <w:rFonts w:hint="eastAsia" w:cs="Times New Roman"/>
          <w:szCs w:val="21"/>
        </w:rPr>
        <w:t>供冷</w:t>
      </w:r>
      <w:r>
        <w:rPr>
          <w:rFonts w:cs="Times New Roman"/>
          <w:szCs w:val="21"/>
        </w:rPr>
        <w:t>系统的年</w:t>
      </w:r>
      <w:r>
        <w:rPr>
          <w:rFonts w:hint="eastAsia" w:cs="Times New Roman"/>
          <w:szCs w:val="21"/>
        </w:rPr>
        <w:t>供冷</w:t>
      </w:r>
      <w:r>
        <w:rPr>
          <w:rFonts w:cs="Times New Roman"/>
          <w:szCs w:val="21"/>
        </w:rPr>
        <w:t>量，kWh</w:t>
      </w:r>
      <w:r>
        <w:rPr>
          <w:rFonts w:hint="eastAsia" w:cs="Times New Roman"/>
          <w:szCs w:val="21"/>
        </w:rPr>
        <w:t>。</w:t>
      </w:r>
    </w:p>
    <w:p>
      <w:pPr>
        <w:ind w:firstLine="0" w:firstLineChars="0"/>
      </w:pPr>
      <w:r>
        <w:t>【条文说明】</w:t>
      </w:r>
    </w:p>
    <w:p>
      <w:pPr>
        <w:ind w:firstLine="420"/>
      </w:pPr>
      <w:r>
        <w:rPr>
          <w:rFonts w:hint="eastAsia" w:cs="Times New Roman"/>
          <w:bCs/>
          <w:szCs w:val="24"/>
          <w:lang w:val="zh-CN" w:bidi="ar"/>
        </w:rPr>
        <w:t>A</w:t>
      </w:r>
      <w:r>
        <w:t xml:space="preserve">.1.6-10 </w:t>
      </w:r>
      <w:r>
        <w:rPr>
          <w:rFonts w:hint="eastAsia"/>
        </w:rPr>
        <w:t>建筑</w:t>
      </w:r>
      <w:r>
        <w:t>中可再生能源系统形式多样，</w:t>
      </w:r>
      <w:r>
        <w:rPr>
          <w:rFonts w:hint="eastAsia"/>
          <w:lang w:val="en" w:eastAsia="zh-CN"/>
        </w:rPr>
        <w:t>本标准</w:t>
      </w:r>
      <w:r>
        <w:rPr>
          <w:rFonts w:hint="eastAsia"/>
        </w:rPr>
        <w:t>规定了</w:t>
      </w:r>
      <w:r>
        <w:t>常用的</w:t>
      </w:r>
      <w:r>
        <w:rPr>
          <w:rFonts w:hint="eastAsia"/>
        </w:rPr>
        <w:t>可再生能源</w:t>
      </w:r>
      <w:r>
        <w:t>系统的利用量计算方法，</w:t>
      </w:r>
      <w:r>
        <w:rPr>
          <w:rFonts w:hint="eastAsia"/>
        </w:rPr>
        <w:t>其他</w:t>
      </w:r>
      <w:r>
        <w:t>可再生能源系统</w:t>
      </w:r>
      <w:r>
        <w:rPr>
          <w:rFonts w:hint="eastAsia"/>
        </w:rPr>
        <w:t>，</w:t>
      </w:r>
      <w:r>
        <w:t>如</w:t>
      </w:r>
      <w:r>
        <w:rPr>
          <w:rFonts w:hint="eastAsia"/>
        </w:rPr>
        <w:t>吸收式热泵</w:t>
      </w:r>
      <w:r>
        <w:t>、太阳能光电空调</w:t>
      </w:r>
      <w:r>
        <w:rPr>
          <w:rFonts w:hint="eastAsia"/>
        </w:rPr>
        <w:t>等</w:t>
      </w:r>
      <w:r>
        <w:t>可参照</w:t>
      </w:r>
      <w:r>
        <w:rPr>
          <w:rFonts w:hint="eastAsia"/>
        </w:rPr>
        <w:t>A</w:t>
      </w:r>
      <w:r>
        <w:t>.1.7</w:t>
      </w:r>
      <w:r>
        <w:rPr>
          <w:rFonts w:hint="eastAsia"/>
        </w:rPr>
        <w:t>条</w:t>
      </w:r>
      <w:r>
        <w:t>的原则进行计算。</w:t>
      </w:r>
      <w:r>
        <w:rPr>
          <w:rFonts w:hint="eastAsia"/>
        </w:rPr>
        <w:t>可再生能源利用率计算</w:t>
      </w:r>
      <w:r>
        <w:t>公式</w:t>
      </w:r>
      <w:r>
        <w:rPr>
          <w:rFonts w:hint="eastAsia"/>
        </w:rPr>
        <w:t>中</w:t>
      </w:r>
      <w:r>
        <w:t>分子为建筑实际</w:t>
      </w:r>
      <w:r>
        <w:rPr>
          <w:rFonts w:hint="eastAsia"/>
        </w:rPr>
        <w:t>利用</w:t>
      </w:r>
      <w:r>
        <w:t>的可再生能源量，比如</w:t>
      </w:r>
      <w:r>
        <w:rPr>
          <w:rFonts w:hint="eastAsia"/>
        </w:rPr>
        <w:t>生物质</w:t>
      </w:r>
      <w:r>
        <w:t>锅炉</w:t>
      </w:r>
      <w:r>
        <w:rPr>
          <w:rFonts w:hint="eastAsia"/>
        </w:rPr>
        <w:t>，其</w:t>
      </w:r>
      <w:r>
        <w:t>可再生能源</w:t>
      </w:r>
      <w:r>
        <w:rPr>
          <w:rFonts w:hint="eastAsia"/>
        </w:rPr>
        <w:t>利用</w:t>
      </w:r>
      <w:r>
        <w:t>量应该是生物质锅炉</w:t>
      </w:r>
      <w:r>
        <w:rPr>
          <w:rFonts w:hint="eastAsia"/>
        </w:rPr>
        <w:t>提供给建筑的有效</w:t>
      </w:r>
      <w:r>
        <w:t>供热量，而不是生物质锅炉消耗</w:t>
      </w:r>
      <w:r>
        <w:rPr>
          <w:rFonts w:hint="eastAsia"/>
        </w:rPr>
        <w:t>的生物质燃料</w:t>
      </w:r>
      <w:r>
        <w:t>的热量</w:t>
      </w:r>
      <w:r>
        <w:rPr>
          <w:rFonts w:hint="eastAsia"/>
        </w:rPr>
        <w:t>；同样太阳能供热和供冷量，也是指其有效供热或供冷量，而不是太阳能集热器的集热量</w:t>
      </w:r>
      <w:r>
        <w:t>。</w:t>
      </w:r>
    </w:p>
    <w:p>
      <w:pPr>
        <w:ind w:firstLine="0" w:firstLineChars="0"/>
        <w:rPr>
          <w:rFonts w:cs="Times New Roman"/>
          <w:szCs w:val="21"/>
        </w:rPr>
      </w:pPr>
      <w:r>
        <w:rPr>
          <w:rFonts w:hint="eastAsia" w:cs="Times New Roman"/>
          <w:szCs w:val="21"/>
        </w:rPr>
        <w:t xml:space="preserve">    </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.1.11</w:t>
      </w:r>
      <w:r>
        <w:rPr>
          <w:rFonts w:hint="eastAsia" w:cs="Times New Roman"/>
          <w:bCs/>
          <w:szCs w:val="24"/>
          <w:lang w:val="zh-CN" w:bidi="ar"/>
        </w:rPr>
        <w:t xml:space="preserve"> </w:t>
      </w:r>
      <w:r>
        <w:rPr>
          <w:rFonts w:cs="Times New Roman"/>
          <w:bCs/>
          <w:szCs w:val="24"/>
          <w:lang w:val="zh-CN" w:bidi="ar"/>
        </w:rPr>
        <w:t>能源换算系数应</w:t>
      </w:r>
      <w:r>
        <w:rPr>
          <w:rFonts w:hint="eastAsia" w:cs="Times New Roman"/>
          <w:bCs/>
          <w:szCs w:val="24"/>
          <w:lang w:val="zh-CN" w:bidi="ar"/>
        </w:rPr>
        <w:t>符合表A</w:t>
      </w:r>
      <w:r>
        <w:rPr>
          <w:rFonts w:cs="Times New Roman"/>
          <w:bCs/>
          <w:szCs w:val="24"/>
          <w:lang w:val="zh-CN" w:bidi="ar"/>
        </w:rPr>
        <w:t>.1.11</w:t>
      </w:r>
      <w:r>
        <w:rPr>
          <w:rFonts w:hint="eastAsia" w:cs="Times New Roman"/>
          <w:bCs/>
          <w:szCs w:val="24"/>
          <w:lang w:val="zh-CN" w:bidi="ar"/>
        </w:rPr>
        <w:t>的规定</w:t>
      </w:r>
      <w:r>
        <w:rPr>
          <w:rFonts w:cs="Times New Roman"/>
          <w:bCs/>
          <w:szCs w:val="24"/>
          <w:lang w:val="zh-CN" w:bidi="ar"/>
        </w:rPr>
        <w:t>。</w:t>
      </w:r>
    </w:p>
    <w:p>
      <w:pPr>
        <w:autoSpaceDE w:val="0"/>
        <w:autoSpaceDN w:val="0"/>
        <w:adjustRightInd w:val="0"/>
        <w:spacing w:before="156" w:after="156" w:line="276" w:lineRule="auto"/>
        <w:ind w:left="900" w:firstLine="0" w:firstLineChars="0"/>
        <w:jc w:val="center"/>
        <w:rPr>
          <w:rFonts w:eastAsia="黑体" w:cs="Times New Roman"/>
          <w:szCs w:val="21"/>
        </w:rPr>
      </w:pPr>
      <w:r>
        <w:rPr>
          <w:rFonts w:eastAsia="黑体" w:cs="Times New Roman"/>
          <w:szCs w:val="21"/>
        </w:rPr>
        <w:t>表</w:t>
      </w:r>
      <w:r>
        <w:rPr>
          <w:rFonts w:hint="eastAsia" w:cs="Times New Roman"/>
          <w:bCs/>
          <w:szCs w:val="24"/>
          <w:lang w:val="zh-CN" w:bidi="ar"/>
        </w:rPr>
        <w:t>A</w:t>
      </w:r>
      <w:r>
        <w:rPr>
          <w:rFonts w:eastAsia="黑体" w:cs="Times New Roman"/>
          <w:szCs w:val="21"/>
        </w:rPr>
        <w:t>.1.11  能源换算系数</w:t>
      </w:r>
    </w:p>
    <w:tbl>
      <w:tblPr>
        <w:tblStyle w:val="44"/>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725"/>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410" w:type="dxa"/>
            <w:vAlign w:val="center"/>
          </w:tcPr>
          <w:p>
            <w:pPr>
              <w:spacing w:line="276" w:lineRule="auto"/>
              <w:ind w:firstLine="0" w:firstLineChars="0"/>
              <w:jc w:val="center"/>
              <w:rPr>
                <w:rFonts w:cs="Times New Roman"/>
                <w:szCs w:val="21"/>
              </w:rPr>
            </w:pPr>
            <w:r>
              <w:rPr>
                <w:rFonts w:cs="Times New Roman"/>
                <w:szCs w:val="21"/>
              </w:rPr>
              <w:t>能源类型</w:t>
            </w:r>
          </w:p>
        </w:tc>
        <w:tc>
          <w:tcPr>
            <w:tcW w:w="2725" w:type="dxa"/>
            <w:vAlign w:val="center"/>
          </w:tcPr>
          <w:p>
            <w:pPr>
              <w:spacing w:line="276" w:lineRule="auto"/>
              <w:ind w:firstLine="0" w:firstLineChars="0"/>
              <w:jc w:val="center"/>
              <w:rPr>
                <w:rFonts w:cs="Times New Roman"/>
                <w:szCs w:val="21"/>
              </w:rPr>
            </w:pPr>
            <w:r>
              <w:rPr>
                <w:rFonts w:cs="Times New Roman"/>
                <w:szCs w:val="21"/>
              </w:rPr>
              <w:t>换算单位</w:t>
            </w:r>
          </w:p>
        </w:tc>
        <w:tc>
          <w:tcPr>
            <w:tcW w:w="2945" w:type="dxa"/>
          </w:tcPr>
          <w:p>
            <w:pPr>
              <w:spacing w:line="276" w:lineRule="auto"/>
              <w:ind w:firstLine="0" w:firstLineChars="0"/>
              <w:jc w:val="center"/>
              <w:rPr>
                <w:rFonts w:cs="Times New Roman"/>
                <w:szCs w:val="21"/>
              </w:rPr>
            </w:pPr>
            <w:r>
              <w:rPr>
                <w:rFonts w:cs="Times New Roman"/>
                <w:szCs w:val="21"/>
              </w:rPr>
              <w:t>能源换算系数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2410" w:type="dxa"/>
            <w:vAlign w:val="center"/>
          </w:tcPr>
          <w:p>
            <w:pPr>
              <w:spacing w:line="276" w:lineRule="auto"/>
              <w:ind w:firstLine="0" w:firstLineChars="0"/>
              <w:jc w:val="center"/>
              <w:rPr>
                <w:rFonts w:cs="Times New Roman"/>
                <w:szCs w:val="21"/>
              </w:rPr>
            </w:pPr>
            <w:r>
              <w:rPr>
                <w:rFonts w:cs="Times New Roman"/>
                <w:szCs w:val="21"/>
              </w:rPr>
              <w:t>标准煤</w:t>
            </w:r>
          </w:p>
        </w:tc>
        <w:tc>
          <w:tcPr>
            <w:tcW w:w="2725" w:type="dxa"/>
            <w:vAlign w:val="center"/>
          </w:tcPr>
          <w:p>
            <w:pPr>
              <w:spacing w:line="276" w:lineRule="auto"/>
              <w:ind w:firstLine="0" w:firstLineChars="0"/>
              <w:jc w:val="center"/>
              <w:rPr>
                <w:rFonts w:cs="Times New Roman"/>
                <w:szCs w:val="21"/>
              </w:rPr>
            </w:pPr>
            <m:oMathPara>
              <m:oMath>
                <m:sSub>
                  <m:sSubPr>
                    <m:ctrlPr>
                      <w:rPr>
                        <w:rFonts w:ascii="Cambria Math" w:hAnsi="Cambria Math" w:cs="Times New Roman"/>
                        <w:szCs w:val="21"/>
                      </w:rPr>
                    </m:ctrlPr>
                  </m:sSubPr>
                  <m:e>
                    <m:sSub>
                      <m:sSubPr>
                        <m:ctrlPr>
                          <w:rPr>
                            <w:rFonts w:ascii="Cambria Math" w:hAnsi="Cambria Math" w:cs="Times New Roman"/>
                            <w:szCs w:val="21"/>
                          </w:rPr>
                        </m:ctrlPr>
                      </m:sSubPr>
                      <m:e>
                        <m:r>
                          <m:rPr>
                            <m:sty m:val="p"/>
                          </m:rPr>
                          <w:rPr>
                            <w:rFonts w:ascii="Cambria Math" w:hAnsi="Cambria Math" w:cs="Times New Roman"/>
                            <w:szCs w:val="21"/>
                          </w:rPr>
                          <m:t>kWh</m:t>
                        </m:r>
                        <m:ctrlPr>
                          <w:rPr>
                            <w:rFonts w:ascii="Cambria Math" w:hAnsi="Cambria Math" w:cs="Times New Roman"/>
                            <w:szCs w:val="21"/>
                          </w:rPr>
                        </m:ctrlPr>
                      </m:e>
                      <m:sub>
                        <m:ctrlPr>
                          <w:rPr>
                            <w:rFonts w:ascii="Cambria Math" w:hAnsi="Cambria Math" w:cs="Times New Roman"/>
                            <w:szCs w:val="21"/>
                          </w:rPr>
                        </m:ctrlPr>
                      </m:sub>
                    </m:sSub>
                    <m:r>
                      <m:rPr>
                        <m:sty m:val="p"/>
                      </m:rPr>
                      <w:rPr>
                        <w:rFonts w:ascii="Cambria Math" w:hAnsi="Cambria Math" w:cs="Times New Roman"/>
                        <w:szCs w:val="21"/>
                      </w:rPr>
                      <m:t>/kgce</m:t>
                    </m:r>
                    <m:ctrlPr>
                      <w:rPr>
                        <w:rFonts w:ascii="Cambria Math" w:hAnsi="Cambria Math" w:cs="Times New Roman"/>
                        <w:szCs w:val="21"/>
                      </w:rPr>
                    </m:ctrlPr>
                  </m:e>
                  <m:sub>
                    <m:r>
                      <m:rPr>
                        <m:sty m:val="p"/>
                      </m:rPr>
                      <w:rPr>
                        <w:rFonts w:ascii="Cambria Math" w:hAnsi="Cambria Math" w:cs="Times New Roman"/>
                        <w:szCs w:val="21"/>
                      </w:rPr>
                      <m:t>终端</m:t>
                    </m:r>
                    <m:ctrlPr>
                      <w:rPr>
                        <w:rFonts w:ascii="Cambria Math" w:hAnsi="Cambria Math" w:cs="Times New Roman"/>
                        <w:szCs w:val="21"/>
                      </w:rPr>
                    </m:ctrlPr>
                  </m:sub>
                </m:sSub>
              </m:oMath>
            </m:oMathPara>
          </w:p>
        </w:tc>
        <w:tc>
          <w:tcPr>
            <w:tcW w:w="2945" w:type="dxa"/>
          </w:tcPr>
          <w:p>
            <w:pPr>
              <w:spacing w:line="276" w:lineRule="auto"/>
              <w:ind w:firstLine="0" w:firstLineChars="0"/>
              <w:jc w:val="center"/>
              <w:rPr>
                <w:rFonts w:cs="Times New Roman"/>
                <w:szCs w:val="21"/>
              </w:rPr>
            </w:pPr>
            <w:r>
              <w:rPr>
                <w:rFonts w:cs="Times New Roman"/>
                <w:szCs w:val="21"/>
              </w:rPr>
              <w:t>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410" w:type="dxa"/>
            <w:vAlign w:val="center"/>
          </w:tcPr>
          <w:p>
            <w:pPr>
              <w:spacing w:line="276" w:lineRule="auto"/>
              <w:ind w:firstLine="0" w:firstLineChars="0"/>
              <w:jc w:val="center"/>
              <w:rPr>
                <w:rFonts w:cs="Times New Roman"/>
                <w:szCs w:val="21"/>
              </w:rPr>
            </w:pPr>
            <w:r>
              <w:rPr>
                <w:rFonts w:cs="Times New Roman"/>
                <w:szCs w:val="21"/>
              </w:rPr>
              <w:t>天然气</w:t>
            </w:r>
          </w:p>
        </w:tc>
        <w:tc>
          <w:tcPr>
            <w:tcW w:w="2725" w:type="dxa"/>
            <w:vAlign w:val="center"/>
          </w:tcPr>
          <w:p>
            <w:pPr>
              <w:spacing w:line="276" w:lineRule="auto"/>
              <w:ind w:firstLine="0" w:firstLineChars="0"/>
              <w:jc w:val="center"/>
              <w:rPr>
                <w:rFonts w:cs="Times New Roman"/>
                <w:szCs w:val="21"/>
              </w:rPr>
            </w:pPr>
            <m:oMathPara>
              <m:oMath>
                <m:sSub>
                  <m:sSubPr>
                    <m:ctrlPr>
                      <w:rPr>
                        <w:rFonts w:ascii="Cambria Math" w:hAnsi="Cambria Math" w:cs="Times New Roman"/>
                        <w:szCs w:val="21"/>
                      </w:rPr>
                    </m:ctrlPr>
                  </m:sSubPr>
                  <m:e>
                    <m:sSub>
                      <m:sSubPr>
                        <m:ctrlPr>
                          <w:rPr>
                            <w:rFonts w:ascii="Cambria Math" w:hAnsi="Cambria Math" w:cs="Times New Roman"/>
                            <w:szCs w:val="21"/>
                          </w:rPr>
                        </m:ctrlPr>
                      </m:sSubPr>
                      <m:e>
                        <m:r>
                          <m:rPr>
                            <m:sty m:val="p"/>
                          </m:rPr>
                          <w:rPr>
                            <w:rFonts w:ascii="Cambria Math" w:hAnsi="Cambria Math" w:cs="Times New Roman"/>
                            <w:szCs w:val="21"/>
                          </w:rPr>
                          <m:t>kWh</m:t>
                        </m:r>
                        <m:ctrlPr>
                          <w:rPr>
                            <w:rFonts w:ascii="Cambria Math" w:hAnsi="Cambria Math" w:cs="Times New Roman"/>
                            <w:szCs w:val="21"/>
                          </w:rPr>
                        </m:ctrlPr>
                      </m:e>
                      <m:sub>
                        <m:ctrlPr>
                          <w:rPr>
                            <w:rFonts w:ascii="Cambria Math" w:hAnsi="Cambria Math" w:cs="Times New Roman"/>
                            <w:szCs w:val="21"/>
                          </w:rPr>
                        </m:ctrlPr>
                      </m:sub>
                    </m:sSub>
                    <m:r>
                      <m:rPr>
                        <m:sty m:val="p"/>
                      </m:rPr>
                      <w:rPr>
                        <w:rFonts w:ascii="Cambria Math" w:hAnsi="Cambria Math" w:cs="Times New Roman"/>
                        <w:szCs w:val="21"/>
                      </w:rPr>
                      <m:t>/</m:t>
                    </m:r>
                    <m:sSubSup>
                      <m:sSubSupPr>
                        <m:ctrlPr>
                          <w:rPr>
                            <w:rFonts w:ascii="Cambria Math" w:hAnsi="Cambria Math" w:cs="Times New Roman"/>
                            <w:szCs w:val="21"/>
                          </w:rPr>
                        </m:ctrlPr>
                      </m:sSubSupPr>
                      <m:e>
                        <m:r>
                          <m:rPr>
                            <m:sty m:val="p"/>
                          </m:rPr>
                          <w:rPr>
                            <w:rFonts w:ascii="Cambria Math" w:hAnsi="Cambria Math" w:cs="Times New Roman"/>
                            <w:szCs w:val="21"/>
                          </w:rPr>
                          <m:t>m</m:t>
                        </m:r>
                        <m:ctrlPr>
                          <w:rPr>
                            <w:rFonts w:ascii="Cambria Math" w:hAnsi="Cambria Math" w:cs="Times New Roman"/>
                            <w:szCs w:val="21"/>
                          </w:rPr>
                        </m:ctrlPr>
                      </m:e>
                      <m:sub>
                        <m:r>
                          <m:rPr>
                            <m:sty m:val="p"/>
                          </m:rPr>
                          <w:rPr>
                            <w:rFonts w:ascii="Cambria Math" w:hAnsi="Cambria Math" w:cs="Times New Roman"/>
                            <w:szCs w:val="21"/>
                          </w:rPr>
                          <m:t>终端</m:t>
                        </m:r>
                        <m:ctrlPr>
                          <w:rPr>
                            <w:rFonts w:ascii="Cambria Math" w:hAnsi="Cambria Math" w:cs="Times New Roman"/>
                            <w:szCs w:val="21"/>
                          </w:rPr>
                        </m:ctrlPr>
                      </m:sub>
                      <m:sup>
                        <m:r>
                          <m:rPr>
                            <m:sty m:val="p"/>
                          </m:rPr>
                          <w:rPr>
                            <w:rFonts w:ascii="Cambria Math" w:hAnsi="Cambria Math" w:cs="Times New Roman"/>
                            <w:szCs w:val="21"/>
                          </w:rPr>
                          <m:t>3</m:t>
                        </m:r>
                        <m:ctrlPr>
                          <w:rPr>
                            <w:rFonts w:ascii="Cambria Math" w:hAnsi="Cambria Math" w:cs="Times New Roman"/>
                            <w:szCs w:val="21"/>
                          </w:rPr>
                        </m:ctrlPr>
                      </m:sup>
                    </m:sSubSup>
                    <m:ctrlPr>
                      <w:rPr>
                        <w:rFonts w:ascii="Cambria Math" w:hAnsi="Cambria Math" w:cs="Times New Roman"/>
                        <w:szCs w:val="21"/>
                      </w:rPr>
                    </m:ctrlPr>
                  </m:e>
                  <m:sub>
                    <m:ctrlPr>
                      <w:rPr>
                        <w:rFonts w:ascii="Cambria Math" w:hAnsi="Cambria Math" w:cs="Times New Roman"/>
                        <w:szCs w:val="21"/>
                      </w:rPr>
                    </m:ctrlPr>
                  </m:sub>
                </m:sSub>
              </m:oMath>
            </m:oMathPara>
          </w:p>
        </w:tc>
        <w:tc>
          <w:tcPr>
            <w:tcW w:w="2945" w:type="dxa"/>
          </w:tcPr>
          <w:p>
            <w:pPr>
              <w:spacing w:line="276" w:lineRule="auto"/>
              <w:ind w:firstLine="0" w:firstLineChars="0"/>
              <w:jc w:val="center"/>
              <w:rPr>
                <w:rFonts w:cs="Times New Roman"/>
                <w:szCs w:val="21"/>
              </w:rPr>
            </w:pPr>
            <w:r>
              <w:rPr>
                <w:rFonts w:cs="Times New Roman"/>
                <w:szCs w:val="21"/>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trPr>
        <w:tc>
          <w:tcPr>
            <w:tcW w:w="2410" w:type="dxa"/>
            <w:vAlign w:val="center"/>
          </w:tcPr>
          <w:p>
            <w:pPr>
              <w:spacing w:line="276" w:lineRule="auto"/>
              <w:ind w:firstLine="0" w:firstLineChars="0"/>
              <w:jc w:val="center"/>
              <w:rPr>
                <w:rFonts w:cs="Times New Roman"/>
                <w:szCs w:val="21"/>
              </w:rPr>
            </w:pPr>
            <w:r>
              <w:rPr>
                <w:rFonts w:cs="Times New Roman"/>
                <w:szCs w:val="21"/>
              </w:rPr>
              <w:t>热力</w:t>
            </w:r>
          </w:p>
        </w:tc>
        <w:tc>
          <w:tcPr>
            <w:tcW w:w="2725" w:type="dxa"/>
            <w:vAlign w:val="center"/>
          </w:tcPr>
          <w:p>
            <w:pPr>
              <w:spacing w:line="276" w:lineRule="auto"/>
              <w:ind w:firstLine="0" w:firstLineChars="0"/>
              <w:jc w:val="center"/>
              <w:rPr>
                <w:rFonts w:cs="Times New Roman"/>
                <w:szCs w:val="21"/>
              </w:rPr>
            </w:pPr>
            <m:oMathPara>
              <m:oMath>
                <m:sSub>
                  <m:sSubPr>
                    <m:ctrlPr>
                      <w:rPr>
                        <w:rFonts w:ascii="Cambria Math" w:hAnsi="Cambria Math" w:cs="Times New Roman"/>
                        <w:szCs w:val="21"/>
                      </w:rPr>
                    </m:ctrlPr>
                  </m:sSubPr>
                  <m:e>
                    <m:sSub>
                      <m:sSubPr>
                        <m:ctrlPr>
                          <w:rPr>
                            <w:rFonts w:ascii="Cambria Math" w:hAnsi="Cambria Math" w:cs="Times New Roman"/>
                            <w:szCs w:val="21"/>
                          </w:rPr>
                        </m:ctrlPr>
                      </m:sSubPr>
                      <m:e>
                        <m:r>
                          <m:rPr>
                            <m:sty m:val="p"/>
                          </m:rPr>
                          <w:rPr>
                            <w:rFonts w:ascii="Cambria Math" w:hAnsi="Cambria Math" w:cs="Times New Roman"/>
                            <w:szCs w:val="21"/>
                          </w:rPr>
                          <m:t>kWh</m:t>
                        </m:r>
                        <m:ctrlPr>
                          <w:rPr>
                            <w:rFonts w:ascii="Cambria Math" w:hAnsi="Cambria Math" w:cs="Times New Roman"/>
                            <w:szCs w:val="21"/>
                          </w:rPr>
                        </m:ctrlPr>
                      </m:e>
                      <m:sub>
                        <m:ctrlPr>
                          <w:rPr>
                            <w:rFonts w:ascii="Cambria Math" w:hAnsi="Cambria Math" w:cs="Times New Roman"/>
                            <w:szCs w:val="21"/>
                          </w:rPr>
                        </m:ctrlPr>
                      </m:sub>
                    </m:sSub>
                    <m:r>
                      <m:rPr>
                        <m:sty m:val="p"/>
                      </m:rPr>
                      <w:rPr>
                        <w:rFonts w:ascii="Cambria Math" w:hAnsi="Cambria Math" w:cs="Times New Roman"/>
                        <w:szCs w:val="21"/>
                      </w:rPr>
                      <m:t>/kWh</m:t>
                    </m:r>
                    <m:ctrlPr>
                      <w:rPr>
                        <w:rFonts w:ascii="Cambria Math" w:hAnsi="Cambria Math" w:cs="Times New Roman"/>
                        <w:szCs w:val="21"/>
                      </w:rPr>
                    </m:ctrlPr>
                  </m:e>
                  <m:sub>
                    <m:r>
                      <m:rPr>
                        <m:sty m:val="p"/>
                      </m:rPr>
                      <w:rPr>
                        <w:rFonts w:ascii="Cambria Math" w:hAnsi="Cambria Math" w:cs="Times New Roman"/>
                        <w:szCs w:val="21"/>
                      </w:rPr>
                      <m:t>终端</m:t>
                    </m:r>
                    <m:ctrlPr>
                      <w:rPr>
                        <w:rFonts w:ascii="Cambria Math" w:hAnsi="Cambria Math" w:cs="Times New Roman"/>
                        <w:szCs w:val="21"/>
                      </w:rPr>
                    </m:ctrlPr>
                  </m:sub>
                </m:sSub>
              </m:oMath>
            </m:oMathPara>
          </w:p>
        </w:tc>
        <w:tc>
          <w:tcPr>
            <w:tcW w:w="2945" w:type="dxa"/>
          </w:tcPr>
          <w:p>
            <w:pPr>
              <w:spacing w:line="276" w:lineRule="auto"/>
              <w:ind w:firstLine="0" w:firstLineChars="0"/>
              <w:jc w:val="center"/>
              <w:rPr>
                <w:rFonts w:cs="Times New Roman"/>
                <w:szCs w:val="21"/>
              </w:rPr>
            </w:pPr>
            <w:r>
              <w:rPr>
                <w:rFonts w:cs="Times New Roman"/>
                <w:szCs w:val="21"/>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410" w:type="dxa"/>
            <w:vAlign w:val="center"/>
          </w:tcPr>
          <w:p>
            <w:pPr>
              <w:spacing w:line="276" w:lineRule="auto"/>
              <w:ind w:firstLine="0" w:firstLineChars="0"/>
              <w:jc w:val="center"/>
              <w:rPr>
                <w:rFonts w:cs="Times New Roman"/>
                <w:szCs w:val="21"/>
              </w:rPr>
            </w:pPr>
            <w:r>
              <w:rPr>
                <w:rFonts w:cs="Times New Roman"/>
                <w:szCs w:val="21"/>
              </w:rPr>
              <w:t>电力</w:t>
            </w:r>
          </w:p>
        </w:tc>
        <w:tc>
          <w:tcPr>
            <w:tcW w:w="2725" w:type="dxa"/>
            <w:vAlign w:val="center"/>
          </w:tcPr>
          <w:p>
            <w:pPr>
              <w:spacing w:line="276" w:lineRule="auto"/>
              <w:ind w:firstLine="0" w:firstLineChars="0"/>
              <w:jc w:val="center"/>
              <w:rPr>
                <w:rFonts w:cs="Times New Roman"/>
                <w:szCs w:val="21"/>
              </w:rPr>
            </w:pPr>
            <m:oMathPara>
              <m:oMath>
                <m:sSub>
                  <m:sSubPr>
                    <m:ctrlPr>
                      <w:rPr>
                        <w:rFonts w:ascii="Cambria Math" w:hAnsi="Cambria Math" w:cs="Times New Roman"/>
                        <w:szCs w:val="21"/>
                      </w:rPr>
                    </m:ctrlPr>
                  </m:sSubPr>
                  <m:e>
                    <m:sSub>
                      <m:sSubPr>
                        <m:ctrlPr>
                          <w:rPr>
                            <w:rFonts w:ascii="Cambria Math" w:hAnsi="Cambria Math" w:cs="Times New Roman"/>
                            <w:szCs w:val="21"/>
                          </w:rPr>
                        </m:ctrlPr>
                      </m:sSubPr>
                      <m:e>
                        <m:r>
                          <m:rPr>
                            <m:sty m:val="p"/>
                          </m:rPr>
                          <w:rPr>
                            <w:rFonts w:ascii="Cambria Math" w:hAnsi="Cambria Math" w:cs="Times New Roman"/>
                            <w:szCs w:val="21"/>
                          </w:rPr>
                          <m:t>kWh</m:t>
                        </m:r>
                        <m:ctrlPr>
                          <w:rPr>
                            <w:rFonts w:ascii="Cambria Math" w:hAnsi="Cambria Math" w:cs="Times New Roman"/>
                            <w:szCs w:val="21"/>
                          </w:rPr>
                        </m:ctrlPr>
                      </m:e>
                      <m:sub>
                        <m:ctrlPr>
                          <w:rPr>
                            <w:rFonts w:ascii="Cambria Math" w:hAnsi="Cambria Math" w:cs="Times New Roman"/>
                            <w:szCs w:val="21"/>
                          </w:rPr>
                        </m:ctrlPr>
                      </m:sub>
                    </m:sSub>
                    <m:r>
                      <m:rPr>
                        <m:sty m:val="p"/>
                      </m:rPr>
                      <w:rPr>
                        <w:rFonts w:ascii="Cambria Math" w:hAnsi="Cambria Math" w:cs="Times New Roman"/>
                        <w:szCs w:val="21"/>
                      </w:rPr>
                      <m:t>/kWh</m:t>
                    </m:r>
                    <m:ctrlPr>
                      <w:rPr>
                        <w:rFonts w:ascii="Cambria Math" w:hAnsi="Cambria Math" w:cs="Times New Roman"/>
                        <w:szCs w:val="21"/>
                      </w:rPr>
                    </m:ctrlPr>
                  </m:e>
                  <m:sub>
                    <m:r>
                      <m:rPr>
                        <m:sty m:val="p"/>
                      </m:rPr>
                      <w:rPr>
                        <w:rFonts w:ascii="Cambria Math" w:hAnsi="Cambria Math" w:cs="Times New Roman"/>
                        <w:szCs w:val="21"/>
                      </w:rPr>
                      <m:t>终端</m:t>
                    </m:r>
                    <m:ctrlPr>
                      <w:rPr>
                        <w:rFonts w:ascii="Cambria Math" w:hAnsi="Cambria Math" w:cs="Times New Roman"/>
                        <w:szCs w:val="21"/>
                      </w:rPr>
                    </m:ctrlPr>
                  </m:sub>
                </m:sSub>
              </m:oMath>
            </m:oMathPara>
          </w:p>
        </w:tc>
        <w:tc>
          <w:tcPr>
            <w:tcW w:w="2945" w:type="dxa"/>
          </w:tcPr>
          <w:p>
            <w:pPr>
              <w:spacing w:line="276" w:lineRule="auto"/>
              <w:ind w:firstLine="0" w:firstLineChars="0"/>
              <w:jc w:val="center"/>
              <w:rPr>
                <w:rFonts w:cs="Times New Roman"/>
                <w:szCs w:val="21"/>
              </w:rPr>
            </w:pPr>
            <w:r>
              <w:rPr>
                <w:rFonts w:cs="Times New Roman"/>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trPr>
        <w:tc>
          <w:tcPr>
            <w:tcW w:w="2410" w:type="dxa"/>
            <w:vAlign w:val="center"/>
          </w:tcPr>
          <w:p>
            <w:pPr>
              <w:spacing w:line="276" w:lineRule="auto"/>
              <w:ind w:firstLine="0" w:firstLineChars="0"/>
              <w:jc w:val="center"/>
              <w:rPr>
                <w:rFonts w:cs="Times New Roman"/>
                <w:szCs w:val="21"/>
              </w:rPr>
            </w:pPr>
            <w:r>
              <w:rPr>
                <w:rFonts w:cs="Times New Roman"/>
                <w:szCs w:val="21"/>
              </w:rPr>
              <w:t>生物质能</w:t>
            </w:r>
          </w:p>
        </w:tc>
        <w:tc>
          <w:tcPr>
            <w:tcW w:w="2725" w:type="dxa"/>
          </w:tcPr>
          <w:p>
            <w:pPr>
              <w:spacing w:line="276" w:lineRule="auto"/>
              <w:ind w:firstLine="0" w:firstLineChars="0"/>
              <w:jc w:val="center"/>
              <w:rPr>
                <w:rFonts w:cs="Times New Roman"/>
                <w:szCs w:val="21"/>
              </w:rPr>
            </w:pPr>
            <m:oMathPara>
              <m:oMath>
                <m:sSub>
                  <m:sSubPr>
                    <m:ctrlPr>
                      <w:rPr>
                        <w:rFonts w:ascii="Cambria Math" w:hAnsi="Cambria Math" w:cs="Times New Roman"/>
                        <w:szCs w:val="21"/>
                      </w:rPr>
                    </m:ctrlPr>
                  </m:sSubPr>
                  <m:e>
                    <m:sSub>
                      <m:sSubPr>
                        <m:ctrlPr>
                          <w:rPr>
                            <w:rFonts w:ascii="Cambria Math" w:hAnsi="Cambria Math" w:cs="Times New Roman"/>
                            <w:szCs w:val="21"/>
                          </w:rPr>
                        </m:ctrlPr>
                      </m:sSubPr>
                      <m:e>
                        <m:r>
                          <m:rPr>
                            <m:sty m:val="p"/>
                          </m:rPr>
                          <w:rPr>
                            <w:rFonts w:ascii="Cambria Math" w:hAnsi="Cambria Math" w:cs="Times New Roman"/>
                            <w:szCs w:val="21"/>
                          </w:rPr>
                          <m:t>kWh</m:t>
                        </m:r>
                        <m:ctrlPr>
                          <w:rPr>
                            <w:rFonts w:ascii="Cambria Math" w:hAnsi="Cambria Math" w:cs="Times New Roman"/>
                            <w:szCs w:val="21"/>
                          </w:rPr>
                        </m:ctrlPr>
                      </m:e>
                      <m:sub>
                        <m:ctrlPr>
                          <w:rPr>
                            <w:rFonts w:ascii="Cambria Math" w:hAnsi="Cambria Math" w:cs="Times New Roman"/>
                            <w:szCs w:val="21"/>
                          </w:rPr>
                        </m:ctrlPr>
                      </m:sub>
                    </m:sSub>
                    <m:r>
                      <m:rPr>
                        <m:sty m:val="p"/>
                      </m:rPr>
                      <w:rPr>
                        <w:rFonts w:ascii="Cambria Math" w:hAnsi="Cambria Math" w:cs="Times New Roman"/>
                        <w:szCs w:val="21"/>
                      </w:rPr>
                      <m:t>/kWh</m:t>
                    </m:r>
                    <m:ctrlPr>
                      <w:rPr>
                        <w:rFonts w:ascii="Cambria Math" w:hAnsi="Cambria Math" w:cs="Times New Roman"/>
                        <w:szCs w:val="21"/>
                      </w:rPr>
                    </m:ctrlPr>
                  </m:e>
                  <m:sub>
                    <m:r>
                      <m:rPr>
                        <m:sty m:val="p"/>
                      </m:rPr>
                      <w:rPr>
                        <w:rFonts w:ascii="Cambria Math" w:hAnsi="Cambria Math" w:cs="Times New Roman"/>
                        <w:szCs w:val="21"/>
                      </w:rPr>
                      <m:t>终端</m:t>
                    </m:r>
                    <m:ctrlPr>
                      <w:rPr>
                        <w:rFonts w:ascii="Cambria Math" w:hAnsi="Cambria Math" w:cs="Times New Roman"/>
                        <w:szCs w:val="21"/>
                      </w:rPr>
                    </m:ctrlPr>
                  </m:sub>
                </m:sSub>
              </m:oMath>
            </m:oMathPara>
          </w:p>
        </w:tc>
        <w:tc>
          <w:tcPr>
            <w:tcW w:w="2945" w:type="dxa"/>
          </w:tcPr>
          <w:p>
            <w:pPr>
              <w:spacing w:line="276" w:lineRule="auto"/>
              <w:ind w:firstLine="0" w:firstLineChars="0"/>
              <w:jc w:val="center"/>
              <w:rPr>
                <w:rFonts w:cs="Times New Roman"/>
                <w:szCs w:val="21"/>
              </w:rPr>
            </w:pPr>
            <w:r>
              <w:rPr>
                <w:rFonts w:cs="Times New Roman"/>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410" w:type="dxa"/>
            <w:vAlign w:val="center"/>
          </w:tcPr>
          <w:p>
            <w:pPr>
              <w:spacing w:line="276" w:lineRule="auto"/>
              <w:ind w:firstLine="0" w:firstLineChars="0"/>
              <w:jc w:val="center"/>
              <w:rPr>
                <w:rFonts w:cs="Times New Roman"/>
                <w:szCs w:val="21"/>
              </w:rPr>
            </w:pPr>
            <w:r>
              <w:rPr>
                <w:rFonts w:cs="Times New Roman"/>
                <w:szCs w:val="21"/>
              </w:rPr>
              <w:t>电力（光伏、风力等可再生能源发电）</w:t>
            </w:r>
          </w:p>
        </w:tc>
        <w:tc>
          <w:tcPr>
            <w:tcW w:w="2725" w:type="dxa"/>
          </w:tcPr>
          <w:p>
            <w:pPr>
              <w:spacing w:line="276" w:lineRule="auto"/>
              <w:ind w:firstLine="0" w:firstLineChars="0"/>
              <w:jc w:val="center"/>
              <w:rPr>
                <w:rFonts w:cs="Times New Roman"/>
                <w:szCs w:val="21"/>
              </w:rPr>
            </w:pPr>
            <m:oMathPara>
              <m:oMath>
                <m:sSub>
                  <m:sSubPr>
                    <m:ctrlPr>
                      <w:rPr>
                        <w:rFonts w:ascii="Cambria Math" w:hAnsi="Cambria Math" w:cs="Times New Roman"/>
                        <w:szCs w:val="21"/>
                      </w:rPr>
                    </m:ctrlPr>
                  </m:sSubPr>
                  <m:e>
                    <m:sSub>
                      <m:sSubPr>
                        <m:ctrlPr>
                          <w:rPr>
                            <w:rFonts w:ascii="Cambria Math" w:hAnsi="Cambria Math" w:cs="Times New Roman"/>
                            <w:szCs w:val="21"/>
                          </w:rPr>
                        </m:ctrlPr>
                      </m:sSubPr>
                      <m:e>
                        <m:r>
                          <m:rPr>
                            <m:sty m:val="p"/>
                          </m:rPr>
                          <w:rPr>
                            <w:rFonts w:ascii="Cambria Math" w:hAnsi="Cambria Math" w:cs="Times New Roman"/>
                            <w:szCs w:val="21"/>
                          </w:rPr>
                          <m:t>kWh</m:t>
                        </m:r>
                        <m:ctrlPr>
                          <w:rPr>
                            <w:rFonts w:ascii="Cambria Math" w:hAnsi="Cambria Math" w:cs="Times New Roman"/>
                            <w:szCs w:val="21"/>
                          </w:rPr>
                        </m:ctrlPr>
                      </m:e>
                      <m:sub>
                        <m:ctrlPr>
                          <w:rPr>
                            <w:rFonts w:ascii="Cambria Math" w:hAnsi="Cambria Math" w:cs="Times New Roman"/>
                            <w:szCs w:val="21"/>
                          </w:rPr>
                        </m:ctrlPr>
                      </m:sub>
                    </m:sSub>
                    <m:r>
                      <m:rPr>
                        <m:sty m:val="p"/>
                      </m:rPr>
                      <w:rPr>
                        <w:rFonts w:ascii="Cambria Math" w:hAnsi="Cambria Math" w:cs="Times New Roman"/>
                        <w:szCs w:val="21"/>
                      </w:rPr>
                      <m:t>/kWh</m:t>
                    </m:r>
                    <m:ctrlPr>
                      <w:rPr>
                        <w:rFonts w:ascii="Cambria Math" w:hAnsi="Cambria Math" w:cs="Times New Roman"/>
                        <w:szCs w:val="21"/>
                      </w:rPr>
                    </m:ctrlPr>
                  </m:e>
                  <m:sub>
                    <m:r>
                      <m:rPr>
                        <m:sty m:val="p"/>
                      </m:rPr>
                      <w:rPr>
                        <w:rFonts w:ascii="Cambria Math" w:hAnsi="Cambria Math" w:cs="Times New Roman"/>
                        <w:szCs w:val="21"/>
                      </w:rPr>
                      <m:t>终端</m:t>
                    </m:r>
                    <m:ctrlPr>
                      <w:rPr>
                        <w:rFonts w:ascii="Cambria Math" w:hAnsi="Cambria Math" w:cs="Times New Roman"/>
                        <w:szCs w:val="21"/>
                      </w:rPr>
                    </m:ctrlPr>
                  </m:sub>
                </m:sSub>
              </m:oMath>
            </m:oMathPara>
          </w:p>
        </w:tc>
        <w:tc>
          <w:tcPr>
            <w:tcW w:w="2945" w:type="dxa"/>
          </w:tcPr>
          <w:p>
            <w:pPr>
              <w:spacing w:line="276" w:lineRule="auto"/>
              <w:ind w:firstLine="0" w:firstLineChars="0"/>
              <w:jc w:val="center"/>
              <w:rPr>
                <w:rFonts w:cs="Times New Roman"/>
                <w:szCs w:val="21"/>
              </w:rPr>
            </w:pPr>
            <w:r>
              <w:rPr>
                <w:rFonts w:cs="Times New Roman"/>
                <w:szCs w:val="21"/>
              </w:rPr>
              <w:t>2.6</w:t>
            </w:r>
          </w:p>
        </w:tc>
      </w:tr>
    </w:tbl>
    <w:p>
      <w:pPr>
        <w:ind w:firstLine="0" w:firstLineChars="0"/>
      </w:pPr>
      <w:r>
        <w:t>【条文说明】</w:t>
      </w:r>
    </w:p>
    <w:p>
      <w:pPr>
        <w:ind w:firstLine="420"/>
      </w:pPr>
      <w:r>
        <w:rPr>
          <w:rFonts w:hint="eastAsia" w:cs="Times New Roman"/>
          <w:bCs/>
          <w:szCs w:val="24"/>
          <w:lang w:val="zh-CN" w:bidi="ar"/>
        </w:rPr>
        <w:t>A</w:t>
      </w:r>
      <w:r>
        <w:t>.</w:t>
      </w:r>
      <w:r>
        <w:rPr>
          <w:rFonts w:hint="eastAsia"/>
        </w:rPr>
        <w:t>1.11 国际上</w:t>
      </w:r>
      <w:r>
        <w:t>通常采用一次能源来评价用能对环境的影响，</w:t>
      </w:r>
      <w:r>
        <w:rPr>
          <w:rFonts w:hint="eastAsia"/>
        </w:rPr>
        <w:t>一次能源</w:t>
      </w:r>
      <w:r>
        <w:t>是指</w:t>
      </w:r>
      <w:r>
        <w:fldChar w:fldCharType="begin"/>
      </w:r>
      <w:r>
        <w:instrText xml:space="preserve"> HYPERLINK "http://baike.baidu.com/view/262972.htm" \t "_blank" </w:instrText>
      </w:r>
      <w:r>
        <w:fldChar w:fldCharType="separate"/>
      </w:r>
      <w:r>
        <w:t>自然界</w:t>
      </w:r>
      <w:r>
        <w:fldChar w:fldCharType="end"/>
      </w:r>
      <w:r>
        <w:t>中以原有形式存在的、未经加工转换的</w:t>
      </w:r>
      <w:r>
        <w:fldChar w:fldCharType="begin"/>
      </w:r>
      <w:r>
        <w:instrText xml:space="preserve"> HYPERLINK "http://baike.baidu.com/view/610682.htm" \t "_blank" </w:instrText>
      </w:r>
      <w:r>
        <w:fldChar w:fldCharType="separate"/>
      </w:r>
      <w:r>
        <w:t>能量资源</w:t>
      </w:r>
      <w:r>
        <w:fldChar w:fldCharType="end"/>
      </w:r>
      <w:r>
        <w:rPr>
          <w:rFonts w:hint="eastAsia"/>
        </w:rPr>
        <w:t>，</w:t>
      </w:r>
      <w:r>
        <w:t>主要包括原煤、原油、天然气、太阳能、生物质能等。</w:t>
      </w:r>
      <w:r>
        <w:rPr>
          <w:rFonts w:hint="eastAsia"/>
        </w:rPr>
        <w:t>例如美国</w:t>
      </w:r>
      <w:r>
        <w:t>的电力转换系数为3.15</w:t>
      </w:r>
      <w:r>
        <w:rPr>
          <w:rFonts w:hint="eastAsia"/>
        </w:rPr>
        <w:t>，</w:t>
      </w:r>
      <w:r>
        <w:t>德国的为2.5</w:t>
      </w:r>
      <w:r>
        <w:rPr>
          <w:rFonts w:hint="eastAsia"/>
        </w:rPr>
        <w:t>。</w:t>
      </w:r>
      <w:r>
        <w:t>但</w:t>
      </w:r>
      <w:r>
        <w:rPr>
          <w:rFonts w:hint="eastAsia"/>
        </w:rPr>
        <w:t>现阶段</w:t>
      </w:r>
      <w:r>
        <w:t>我国</w:t>
      </w:r>
      <w:r>
        <w:rPr>
          <w:rFonts w:hint="eastAsia"/>
        </w:rPr>
        <w:t>缺乏</w:t>
      </w:r>
      <w:r>
        <w:t>相关的权威部门的</w:t>
      </w:r>
      <w:r>
        <w:rPr>
          <w:rFonts w:hint="eastAsia"/>
        </w:rPr>
        <w:t>一次能源</w:t>
      </w:r>
      <w:r>
        <w:t>换算数据，</w:t>
      </w:r>
      <w:r>
        <w:rPr>
          <w:rFonts w:hint="eastAsia"/>
          <w:lang w:val="en" w:eastAsia="zh-CN"/>
        </w:rPr>
        <w:t>本标准</w:t>
      </w:r>
      <w:r>
        <w:rPr>
          <w:rFonts w:hint="eastAsia"/>
        </w:rPr>
        <w:t>以</w:t>
      </w:r>
      <w:r>
        <w:t>标准煤当量替代</w:t>
      </w:r>
      <w:r>
        <w:rPr>
          <w:rFonts w:hint="eastAsia"/>
        </w:rPr>
        <w:t>一次能源</w:t>
      </w:r>
      <w:r>
        <w:t>，</w:t>
      </w:r>
      <w:r>
        <w:rPr>
          <w:rFonts w:hint="eastAsia"/>
        </w:rPr>
        <w:t>即</w:t>
      </w:r>
      <w:r>
        <w:t>将</w:t>
      </w:r>
      <w:r>
        <w:rPr>
          <w:rFonts w:hint="eastAsia"/>
        </w:rPr>
        <w:t>不同类型</w:t>
      </w:r>
      <w:r>
        <w:t>的能源按照低位发热量和</w:t>
      </w:r>
      <w:r>
        <w:rPr>
          <w:rFonts w:hint="eastAsia"/>
        </w:rPr>
        <w:t>煤电机组供电煤耗</w:t>
      </w:r>
      <w:r>
        <w:t>换算到标准煤当量。</w:t>
      </w:r>
    </w:p>
    <w:p>
      <w:pPr>
        <w:ind w:firstLine="420"/>
      </w:pPr>
      <w:r>
        <w:t>表</w:t>
      </w:r>
      <w:r>
        <w:rPr>
          <w:rFonts w:hint="eastAsia"/>
        </w:rPr>
        <w:t>A.1.11</w:t>
      </w:r>
      <w:r>
        <w:t>中部分数据引自国家标准《综合能耗计算通则》GB/T2589；生物质能换算系数参考</w:t>
      </w:r>
      <w:r>
        <w:rPr>
          <w:rFonts w:hint="eastAsia"/>
        </w:rPr>
        <w:t>国外</w:t>
      </w:r>
      <w:r>
        <w:t>数据；电力能源换算系数采用发电煤耗法计算，</w:t>
      </w:r>
      <w:r>
        <w:rPr>
          <w:rFonts w:hint="eastAsia"/>
        </w:rPr>
        <w:t>电力折算</w:t>
      </w:r>
      <w:r>
        <w:t>数据来源于《</w:t>
      </w:r>
      <w:r>
        <w:rPr>
          <w:rFonts w:hint="eastAsia"/>
        </w:rPr>
        <w:t>能源发展</w:t>
      </w:r>
      <w:r>
        <w:t>“</w:t>
      </w:r>
      <w:r>
        <w:rPr>
          <w:rFonts w:hint="eastAsia"/>
        </w:rPr>
        <w:t>十三五</w:t>
      </w:r>
      <w:r>
        <w:t>”</w:t>
      </w:r>
      <w:r>
        <w:rPr>
          <w:rFonts w:hint="eastAsia"/>
        </w:rPr>
        <w:t>规划</w:t>
      </w:r>
      <w:r>
        <w:t>》中数据，</w:t>
      </w:r>
      <w:r>
        <w:rPr>
          <w:rFonts w:hint="eastAsia"/>
        </w:rPr>
        <w:t>煤电机组</w:t>
      </w:r>
      <w:r>
        <w:t>供电煤耗为0.318kgce/kWh。</w:t>
      </w:r>
    </w:p>
    <w:p>
      <w:pPr>
        <w:ind w:firstLine="420"/>
      </w:pPr>
      <w:r>
        <w:rPr>
          <w:rFonts w:hint="eastAsia"/>
        </w:rPr>
        <w:t>国际上电力折算成标准能源通常</w:t>
      </w:r>
      <w:r>
        <w:t>采用</w:t>
      </w:r>
      <w:r>
        <w:rPr>
          <w:rFonts w:hint="eastAsia"/>
        </w:rPr>
        <w:t>相应的火电厂的等价热值计算</w:t>
      </w:r>
      <w:r>
        <w:t>，</w:t>
      </w:r>
      <w:r>
        <w:rPr>
          <w:rFonts w:hint="eastAsia"/>
        </w:rPr>
        <w:t>。理由</w:t>
      </w:r>
      <w:r>
        <w:t>主要</w:t>
      </w:r>
      <w:r>
        <w:rPr>
          <w:rFonts w:hint="eastAsia"/>
        </w:rPr>
        <w:t>有：</w:t>
      </w:r>
      <w:r>
        <w:t>一</w:t>
      </w:r>
      <w:r>
        <w:rPr>
          <w:rFonts w:hint="eastAsia"/>
        </w:rPr>
        <w:t>是便于国际横向比较和历史对比，同一折算方法使国家间和历史各个时期的对比具有理论基础</w:t>
      </w:r>
      <w:r>
        <w:t>；</w:t>
      </w:r>
      <w:r>
        <w:rPr>
          <w:rFonts w:hint="eastAsia"/>
        </w:rPr>
        <w:t>二是为了反映能源的自给程度，水电、核电和可再生能源都属于本国自产能源，用火电煤耗计算可直接反映本国能源的自给程度；三是反映能源工业的效率，一次能源中电力按当量热值计算无法反映发电过程</w:t>
      </w:r>
      <w:r>
        <w:t>的</w:t>
      </w:r>
      <w:r>
        <w:rPr>
          <w:rFonts w:hint="eastAsia"/>
        </w:rPr>
        <w:t>的转换损失，使能源工业效率失真，而且水能、核能、风能、太阳能等发电过程中</w:t>
      </w:r>
      <w:r>
        <w:t>存在转换效率的</w:t>
      </w:r>
      <w:r>
        <w:rPr>
          <w:rFonts w:hint="eastAsia"/>
        </w:rPr>
        <w:t>问题</w:t>
      </w:r>
      <w:r>
        <w:t>，这些效率</w:t>
      </w:r>
      <w:r>
        <w:rPr>
          <w:rFonts w:hint="eastAsia"/>
        </w:rPr>
        <w:t>难于确定且计算复杂，所以国际上统一采用火电厂煤耗计算；四是反映电力能源的替代性，电力数量的</w:t>
      </w:r>
      <w:r>
        <w:t>变化</w:t>
      </w:r>
      <w:r>
        <w:rPr>
          <w:rFonts w:hint="eastAsia"/>
        </w:rPr>
        <w:t>可直接体现发电</w:t>
      </w:r>
      <w:r>
        <w:t>过程中消耗</w:t>
      </w:r>
      <w:r>
        <w:rPr>
          <w:rFonts w:hint="eastAsia"/>
        </w:rPr>
        <w:t>化石燃料的变化。原国家能源部和国家统计局于1</w:t>
      </w:r>
      <w:r>
        <w:t>991</w:t>
      </w:r>
      <w:r>
        <w:rPr>
          <w:rFonts w:hint="eastAsia"/>
        </w:rPr>
        <w:t>年曾委托北京水利电力经济研究所和中国科学院能源研究所专门作过研究，结论为在电力计算一次能源时应按火电厂煤耗计算。</w:t>
      </w:r>
    </w:p>
    <w:p>
      <w:pPr>
        <w:ind w:firstLine="420"/>
      </w:pPr>
      <w:r>
        <w:rPr>
          <w:rFonts w:hint="eastAsia"/>
        </w:rPr>
        <w:t>与此同时</w:t>
      </w:r>
      <w:r>
        <w:t>，随着我国可再生能源利用量的增加</w:t>
      </w:r>
      <w:r>
        <w:rPr>
          <w:rFonts w:hint="eastAsia"/>
        </w:rPr>
        <w:t>，</w:t>
      </w:r>
      <w:r>
        <w:t>电网</w:t>
      </w:r>
      <w:r>
        <w:rPr>
          <w:rFonts w:hint="eastAsia"/>
        </w:rPr>
        <w:t>供电量</w:t>
      </w:r>
      <w:r>
        <w:t>中火电发电量占比逐</w:t>
      </w:r>
      <w:r>
        <w:rPr>
          <w:rFonts w:hint="eastAsia"/>
        </w:rPr>
        <w:t>年</w:t>
      </w:r>
      <w:r>
        <w:t>下降，水电、核电、风电、光电等可再生能源的比重不断提升，</w:t>
      </w:r>
      <w:r>
        <w:rPr>
          <w:rFonts w:hint="eastAsia"/>
        </w:rPr>
        <w:t>例如2016年全部类型发电中，火电、水电、风电、核电占比分别为74.4%、17.8%、4.1%、3.6%，</w:t>
      </w:r>
      <w:r>
        <w:t>但权威部门</w:t>
      </w:r>
      <w:r>
        <w:rPr>
          <w:rFonts w:hint="eastAsia"/>
        </w:rPr>
        <w:t>尚未发布整体</w:t>
      </w:r>
      <w:r>
        <w:t>电网的电力能源换算系数</w:t>
      </w:r>
      <w:r>
        <w:rPr>
          <w:rFonts w:hint="eastAsia"/>
        </w:rPr>
        <w:t>，考虑到我国</w:t>
      </w:r>
      <w:r>
        <w:t>火</w:t>
      </w:r>
      <w:r>
        <w:rPr>
          <w:rFonts w:hint="eastAsia"/>
        </w:rPr>
        <w:t>力</w:t>
      </w:r>
      <w:r>
        <w:t>发电</w:t>
      </w:r>
      <w:r>
        <w:rPr>
          <w:rFonts w:hint="eastAsia"/>
        </w:rPr>
        <w:t>占比</w:t>
      </w:r>
      <w:r>
        <w:t>依然大于</w:t>
      </w:r>
      <w:r>
        <w:rPr>
          <w:rFonts w:hint="eastAsia"/>
        </w:rPr>
        <w:t>70</w:t>
      </w:r>
      <w:r>
        <w:t>%</w:t>
      </w:r>
      <w:r>
        <w:rPr>
          <w:rFonts w:hint="eastAsia"/>
        </w:rPr>
        <w:t>以上</w:t>
      </w:r>
      <w:r>
        <w:t>，因此</w:t>
      </w:r>
      <w:r>
        <w:rPr>
          <w:rFonts w:hint="eastAsia"/>
          <w:lang w:val="en" w:eastAsia="zh-CN"/>
        </w:rPr>
        <w:t>本标准</w:t>
      </w:r>
      <w:r>
        <w:rPr>
          <w:rFonts w:hint="eastAsia"/>
        </w:rPr>
        <w:t>的能源</w:t>
      </w:r>
      <w:r>
        <w:t>换算系数</w:t>
      </w:r>
      <w:r>
        <w:rPr>
          <w:rFonts w:hint="eastAsia"/>
        </w:rPr>
        <w:t>按煤电机组</w:t>
      </w:r>
      <w:r>
        <w:t>供电煤耗计算</w:t>
      </w:r>
      <w:r>
        <w:rPr>
          <w:rFonts w:hint="eastAsia"/>
        </w:rPr>
        <w:t>。</w:t>
      </w:r>
      <w:r>
        <w:t>这一点</w:t>
      </w:r>
      <w:r>
        <w:rPr>
          <w:rFonts w:hint="eastAsia"/>
        </w:rPr>
        <w:t>在</w:t>
      </w:r>
      <w:r>
        <w:t>计算的过程中请予以注意。</w:t>
      </w:r>
    </w:p>
    <w:p>
      <w:pPr>
        <w:pStyle w:val="2"/>
        <w:ind w:firstLine="420"/>
      </w:pPr>
    </w:p>
    <w:p>
      <w:pPr>
        <w:pStyle w:val="2"/>
        <w:ind w:firstLine="420"/>
      </w:pPr>
    </w:p>
    <w:p>
      <w:pPr>
        <w:spacing w:before="312" w:after="312" w:line="276" w:lineRule="auto"/>
        <w:ind w:firstLine="482" w:firstLineChars="0"/>
        <w:jc w:val="center"/>
        <w:outlineLvl w:val="1"/>
        <w:rPr>
          <w:rFonts w:eastAsia="黑体" w:cs="Times New Roman"/>
          <w:color w:val="000000"/>
          <w:szCs w:val="21"/>
        </w:rPr>
      </w:pPr>
      <w:bookmarkStart w:id="113" w:name="_Toc529519247"/>
      <w:bookmarkStart w:id="114" w:name="_Toc198125389"/>
      <w:bookmarkStart w:id="115" w:name="_Toc528942463"/>
      <w:bookmarkStart w:id="116" w:name="_Toc530142738"/>
      <w:r>
        <w:rPr>
          <w:rFonts w:hint="eastAsia" w:cs="Times New Roman"/>
          <w:bCs/>
          <w:szCs w:val="24"/>
          <w:lang w:val="zh-CN" w:bidi="ar"/>
        </w:rPr>
        <w:t>A</w:t>
      </w:r>
      <w:r>
        <w:rPr>
          <w:rFonts w:eastAsia="黑体" w:cs="Times New Roman"/>
          <w:color w:val="000000"/>
          <w:szCs w:val="21"/>
        </w:rPr>
        <w:t>.2 居住建筑</w:t>
      </w:r>
      <w:bookmarkEnd w:id="113"/>
      <w:bookmarkEnd w:id="114"/>
      <w:bookmarkEnd w:id="115"/>
      <w:bookmarkEnd w:id="116"/>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.2.1居住建筑的</w:t>
      </w:r>
      <w:r>
        <w:rPr>
          <w:rFonts w:hint="eastAsia" w:cs="Times New Roman"/>
          <w:bCs/>
          <w:szCs w:val="24"/>
          <w:lang w:val="zh-CN" w:bidi="ar"/>
        </w:rPr>
        <w:t>能耗</w:t>
      </w:r>
      <w:r>
        <w:rPr>
          <w:rFonts w:cs="Times New Roman"/>
          <w:bCs/>
          <w:szCs w:val="24"/>
          <w:lang w:val="zh-CN" w:bidi="ar"/>
        </w:rPr>
        <w:t>指标应以建筑套内空调面积为基准</w:t>
      </w:r>
      <w:r>
        <w:rPr>
          <w:rFonts w:hint="eastAsia" w:cs="Times New Roman"/>
          <w:bCs/>
          <w:szCs w:val="24"/>
          <w:lang w:val="zh-CN" w:bidi="ar"/>
        </w:rPr>
        <w:t>。</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.2.</w:t>
      </w:r>
      <w:r>
        <w:rPr>
          <w:rFonts w:hint="eastAsia" w:cs="Times New Roman"/>
          <w:bCs/>
          <w:szCs w:val="24"/>
          <w:lang w:val="zh-CN" w:bidi="ar"/>
        </w:rPr>
        <w:t>2</w:t>
      </w:r>
      <w:r>
        <w:rPr>
          <w:rFonts w:cs="Times New Roman"/>
          <w:bCs/>
          <w:szCs w:val="24"/>
          <w:lang w:val="zh-CN" w:bidi="ar"/>
        </w:rPr>
        <w:t>建筑套内空调面积</w:t>
      </w:r>
      <w:r>
        <w:rPr>
          <w:rFonts w:hint="eastAsia" w:cs="Times New Roman"/>
          <w:bCs/>
          <w:szCs w:val="24"/>
          <w:lang w:val="zh-CN" w:bidi="ar"/>
        </w:rPr>
        <w:t>应</w:t>
      </w:r>
      <w:r>
        <w:rPr>
          <w:rFonts w:cs="Times New Roman"/>
          <w:bCs/>
          <w:szCs w:val="24"/>
          <w:lang w:val="zh-CN" w:bidi="ar"/>
        </w:rPr>
        <w:t>符合下列规定：</w:t>
      </w:r>
    </w:p>
    <w:p>
      <w:pPr>
        <w:ind w:firstLine="420"/>
      </w:pPr>
      <w:r>
        <w:t>1 建筑套内空调面积</w:t>
      </w:r>
      <w:r>
        <w:rPr>
          <w:rFonts w:hint="eastAsia"/>
        </w:rPr>
        <w:t>应</w:t>
      </w:r>
      <w:r>
        <w:t>等于建筑套内设置空调设施的各功能空间的空调面积之和，包括卧室、起居室（厅）、餐厅、厨房、卫生间、过厅、过道、贮藏室、壁柜、设空调设施的阳台等空调面积的总和。</w:t>
      </w:r>
    </w:p>
    <w:p>
      <w:pPr>
        <w:ind w:firstLine="420"/>
      </w:pPr>
      <w:r>
        <w:t>2 各功能空间的空调面积应等于各功能空间墙体内表面所围合的空间水平投影面积。</w:t>
      </w:r>
    </w:p>
    <w:p>
      <w:pPr>
        <w:ind w:firstLine="420"/>
      </w:pPr>
      <w:r>
        <w:t>3 跃层住宅中的套内楼梯应按其自然层数的空调面积总和计入套内空调面积。</w:t>
      </w:r>
    </w:p>
    <w:p>
      <w:pPr>
        <w:ind w:firstLine="420"/>
      </w:pPr>
      <w:r>
        <w:t>4 坡屋顶内设置空调设施的空间应列入套内空调面积中。坡屋顶内屋面板下表面与楼板地面的净高低于1.2m的空间不计算套内空调面积；净高在1.2m~2.1m的空间应按1/2计算套内空调面积；净高超过2.1m的空间应全部计入套内空调面积。</w:t>
      </w:r>
    </w:p>
    <w:p>
      <w:pPr>
        <w:ind w:firstLine="420"/>
      </w:pPr>
      <w:r>
        <w:t>5 套内烟囱、通风道、管井等均不应计入套内空调面积。</w:t>
      </w:r>
    </w:p>
    <w:p>
      <w:pPr>
        <w:spacing w:before="312" w:after="312"/>
        <w:ind w:firstLine="482" w:firstLineChars="0"/>
        <w:jc w:val="center"/>
        <w:outlineLvl w:val="1"/>
        <w:rPr>
          <w:rFonts w:eastAsia="黑体" w:cs="Times New Roman"/>
          <w:color w:val="000000"/>
          <w:szCs w:val="21"/>
        </w:rPr>
      </w:pPr>
      <w:bookmarkStart w:id="117" w:name="_Toc528745044"/>
      <w:bookmarkStart w:id="118" w:name="_Toc530142739"/>
      <w:bookmarkStart w:id="119" w:name="_Toc529519248"/>
      <w:bookmarkStart w:id="120" w:name="_Toc528942464"/>
      <w:bookmarkStart w:id="121" w:name="_Toc198125390"/>
      <w:r>
        <w:rPr>
          <w:rFonts w:hint="eastAsia" w:cs="Times New Roman"/>
          <w:bCs/>
          <w:szCs w:val="24"/>
          <w:lang w:val="zh-CN" w:bidi="ar"/>
        </w:rPr>
        <w:t>A</w:t>
      </w:r>
      <w:r>
        <w:rPr>
          <w:rFonts w:eastAsia="黑体" w:cs="Times New Roman"/>
          <w:color w:val="000000"/>
          <w:szCs w:val="21"/>
        </w:rPr>
        <w:t>.3 公共建筑</w:t>
      </w:r>
      <w:bookmarkEnd w:id="117"/>
      <w:bookmarkEnd w:id="118"/>
      <w:bookmarkEnd w:id="119"/>
      <w:bookmarkEnd w:id="120"/>
      <w:bookmarkEnd w:id="121"/>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.3.1</w:t>
      </w:r>
      <w:r>
        <w:rPr>
          <w:rFonts w:hint="eastAsia" w:cs="Times New Roman"/>
          <w:bCs/>
          <w:szCs w:val="24"/>
          <w:lang w:val="zh-CN" w:bidi="ar"/>
        </w:rPr>
        <w:t>建筑本体节能率</w:t>
      </w:r>
      <w:r>
        <w:rPr>
          <w:rFonts w:cs="Times New Roman"/>
          <w:bCs/>
          <w:szCs w:val="24"/>
          <w:lang w:val="zh-CN" w:bidi="ar"/>
        </w:rPr>
        <w:t>计算</w:t>
      </w:r>
      <w:r>
        <w:rPr>
          <w:rFonts w:hint="eastAsia" w:cs="Times New Roman"/>
          <w:bCs/>
          <w:szCs w:val="24"/>
          <w:lang w:val="zh-CN" w:bidi="ar"/>
        </w:rPr>
        <w:t>时</w:t>
      </w:r>
      <w:r>
        <w:rPr>
          <w:rFonts w:cs="Times New Roman"/>
          <w:bCs/>
          <w:szCs w:val="24"/>
          <w:lang w:val="zh-CN" w:bidi="ar"/>
        </w:rPr>
        <w:t>，</w:t>
      </w:r>
      <w:r>
        <w:rPr>
          <w:rFonts w:hint="eastAsia" w:cs="Times New Roman"/>
          <w:bCs/>
          <w:szCs w:val="24"/>
          <w:lang w:val="zh-CN" w:bidi="ar"/>
        </w:rPr>
        <w:t>设计</w:t>
      </w:r>
      <w:r>
        <w:rPr>
          <w:rFonts w:cs="Times New Roman"/>
          <w:bCs/>
          <w:szCs w:val="24"/>
          <w:lang w:val="zh-CN" w:bidi="ar"/>
        </w:rPr>
        <w:t>建筑的建筑能耗综合值</w:t>
      </w:r>
      <w:r>
        <w:rPr>
          <w:rFonts w:hint="eastAsia" w:cs="Times New Roman"/>
          <w:bCs/>
          <w:szCs w:val="24"/>
          <w:lang w:val="zh-CN" w:bidi="ar"/>
        </w:rPr>
        <w:t>不应包括可再生能源</w:t>
      </w:r>
      <w:r>
        <w:rPr>
          <w:rFonts w:cs="Times New Roman"/>
          <w:bCs/>
          <w:szCs w:val="24"/>
          <w:lang w:val="zh-CN" w:bidi="ar"/>
        </w:rPr>
        <w:t>发电</w:t>
      </w:r>
      <w:r>
        <w:rPr>
          <w:rFonts w:hint="eastAsia" w:cs="Times New Roman"/>
          <w:bCs/>
          <w:szCs w:val="24"/>
          <w:lang w:val="zh-CN" w:bidi="ar"/>
        </w:rPr>
        <w:t>量，并</w:t>
      </w:r>
      <w:r>
        <w:rPr>
          <w:rFonts w:cs="Times New Roman"/>
          <w:bCs/>
          <w:szCs w:val="24"/>
          <w:lang w:val="zh-CN" w:bidi="ar"/>
        </w:rPr>
        <w:t>应</w:t>
      </w:r>
      <w:r>
        <w:rPr>
          <w:rFonts w:hint="eastAsia" w:cs="Times New Roman"/>
          <w:bCs/>
          <w:szCs w:val="24"/>
          <w:lang w:val="zh-CN" w:bidi="ar"/>
        </w:rPr>
        <w:t>按下式</w:t>
      </w:r>
      <w:r>
        <w:rPr>
          <w:rFonts w:cs="Times New Roman"/>
          <w:bCs/>
          <w:szCs w:val="24"/>
          <w:lang w:val="zh-CN" w:bidi="ar"/>
        </w:rPr>
        <w:t>计算：</w:t>
      </w:r>
    </w:p>
    <w:p>
      <w:pPr>
        <w:widowControl/>
        <w:ind w:firstLine="420"/>
        <w:jc w:val="center"/>
        <w:rPr>
          <w:rFonts w:cs="Times New Roman"/>
          <w:szCs w:val="21"/>
        </w:rPr>
      </w:pPr>
      <w:r>
        <w:rPr>
          <w:rFonts w:cs="Times New Roman"/>
          <w:szCs w:val="21"/>
        </w:rPr>
        <w:t xml:space="preserve">                      </w:t>
      </w:r>
      <m:oMath>
        <m:sSub>
          <m:sSubPr>
            <m:ctrlPr>
              <w:rPr>
                <w:rFonts w:ascii="Cambria Math" w:hAnsi="Cambria Math" w:cs="Times New Roman"/>
                <w:i/>
                <w:szCs w:val="21"/>
              </w:rPr>
            </m:ctrlPr>
          </m:sSubPr>
          <m:e>
            <m:r>
              <m:rPr/>
              <w:rPr>
                <w:rFonts w:ascii="Cambria Math" w:hAnsi="Cambria Math" w:cs="Times New Roman"/>
                <w:szCs w:val="21"/>
              </w:rPr>
              <m:t>η</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r>
          <m:rPr/>
          <w:rPr>
            <w:rFonts w:ascii="Cambria Math" w:hAnsi="Cambria Math" w:cs="Times New Roman"/>
            <w:szCs w:val="21"/>
          </w:rPr>
          <m:t>=</m:t>
        </m:r>
        <m:f>
          <m:fPr>
            <m:ctrlPr>
              <w:rPr>
                <w:rFonts w:ascii="Cambria Math" w:hAnsi="Cambria Math" w:cs="Times New Roman"/>
                <w:i/>
                <w:szCs w:val="21"/>
              </w:rPr>
            </m:ctrlPr>
          </m:fPr>
          <m:num>
            <m:d>
              <m:dPr>
                <m:begChr m:val="|"/>
                <m:endChr m:val="|"/>
                <m:ctrlPr>
                  <w:rPr>
                    <w:rFonts w:ascii="Cambria Math" w:hAnsi="Cambria Math" w:cs="Times New Roman"/>
                    <w:i/>
                    <w:szCs w:val="21"/>
                  </w:rPr>
                </m:ctrlPr>
              </m:dPr>
              <m:e>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m:t>
                    </m:r>
                    <m:ctrlPr>
                      <w:rPr>
                        <w:rFonts w:ascii="Cambria Math" w:hAnsi="Cambria Math" w:cs="Times New Roman"/>
                        <w:i/>
                        <w:szCs w:val="21"/>
                      </w:rPr>
                    </m:ctrlPr>
                  </m:sub>
                </m:sSub>
                <m:ctrlPr>
                  <w:rPr>
                    <w:rFonts w:ascii="Cambria Math" w:hAnsi="Cambria Math" w:cs="Times New Roman"/>
                    <w:i/>
                    <w:szCs w:val="21"/>
                  </w:rPr>
                </m:ctrlPr>
              </m:e>
            </m:d>
            <m:ctrlPr>
              <w:rPr>
                <w:rFonts w:ascii="Cambria Math" w:hAnsi="Cambria Math" w:cs="Times New Roman"/>
                <w:i/>
                <w:szCs w:val="21"/>
              </w:rPr>
            </m:ctrlPr>
          </m:num>
          <m:den>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m:t>
                </m:r>
                <m:ctrlPr>
                  <w:rPr>
                    <w:rFonts w:ascii="Cambria Math" w:hAnsi="Cambria Math" w:cs="Times New Roman"/>
                    <w:i/>
                    <w:szCs w:val="21"/>
                  </w:rPr>
                </m:ctrlPr>
              </m:sub>
            </m:sSub>
            <m:ctrlPr>
              <w:rPr>
                <w:rFonts w:ascii="Cambria Math" w:hAnsi="Cambria Math" w:cs="Times New Roman"/>
                <w:i/>
                <w:szCs w:val="21"/>
              </w:rPr>
            </m:ctrlPr>
          </m:den>
        </m:f>
        <m:r>
          <m:rPr/>
          <w:rPr>
            <w:rFonts w:ascii="Cambria Math" w:hAnsi="Cambria Math" w:cs="Times New Roman"/>
            <w:szCs w:val="21"/>
          </w:rPr>
          <m:t>×100%</m:t>
        </m:r>
      </m:oMath>
      <w:r>
        <w:rPr>
          <w:rFonts w:cs="Times New Roman"/>
          <w:szCs w:val="21"/>
        </w:rPr>
        <w:t xml:space="preserve">                 （</w:t>
      </w:r>
      <w:r>
        <w:rPr>
          <w:rFonts w:hint="eastAsia" w:cs="Times New Roman"/>
          <w:bCs/>
          <w:szCs w:val="24"/>
          <w:lang w:bidi="ar"/>
        </w:rPr>
        <w:t>A</w:t>
      </w:r>
      <w:r>
        <w:rPr>
          <w:rFonts w:cs="Times New Roman"/>
          <w:szCs w:val="21"/>
        </w:rPr>
        <w:t>.3.1）</w:t>
      </w:r>
    </w:p>
    <w:p>
      <w:pPr>
        <w:widowControl/>
        <w:ind w:firstLine="420"/>
        <w:rPr>
          <w:rFonts w:cs="Times New Roman"/>
          <w:szCs w:val="21"/>
        </w:rPr>
      </w:pPr>
      <w:r>
        <w:rPr>
          <w:rFonts w:cs="Times New Roman"/>
          <w:i/>
          <w:szCs w:val="21"/>
        </w:rPr>
        <w:t>式中：</w:t>
      </w:r>
      <m:oMath>
        <m:sSub>
          <m:sSubPr>
            <m:ctrlPr>
              <w:rPr>
                <w:rFonts w:ascii="Cambria Math" w:hAnsi="Cambria Math" w:cs="Times New Roman"/>
                <w:i/>
                <w:szCs w:val="21"/>
              </w:rPr>
            </m:ctrlPr>
          </m:sSubPr>
          <m:e>
            <m:r>
              <m:rPr/>
              <w:rPr>
                <w:rFonts w:ascii="Cambria Math" w:hAnsi="Cambria Math" w:cs="Times New Roman"/>
                <w:szCs w:val="21"/>
              </w:rPr>
              <m:t>η</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oMath>
      <w:r>
        <w:rPr>
          <w:rFonts w:cs="Times New Roman"/>
          <w:szCs w:val="21"/>
        </w:rPr>
        <w:t>——建筑本体节能率，%；</w:t>
      </w:r>
    </w:p>
    <w:p>
      <w:pPr>
        <w:widowControl/>
        <w:ind w:left="1610" w:leftChars="354" w:hanging="867" w:hangingChars="413"/>
        <w:jc w:val="left"/>
        <w:rPr>
          <w:rFonts w:cs="Times New Roman"/>
          <w:szCs w:val="21"/>
        </w:rPr>
      </w:pPr>
      <m:oMath>
        <m:r>
          <m:rPr/>
          <w:rPr>
            <w:rFonts w:ascii="Cambria Math" w:hAnsi="Cambria Math" w:cs="Times New Roman"/>
            <w:szCs w:val="21"/>
          </w:rPr>
          <m:t xml:space="preserve">      </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E</m:t>
            </m:r>
            <m:ctrlPr>
              <w:rPr>
                <w:rFonts w:ascii="Cambria Math" w:hAnsi="Cambria Math" w:cs="Times New Roman"/>
                <w:i/>
                <w:szCs w:val="21"/>
              </w:rPr>
            </m:ctrlPr>
          </m:sub>
        </m:sSub>
      </m:oMath>
      <w:r>
        <w:rPr>
          <w:rFonts w:cs="Times New Roman"/>
          <w:szCs w:val="21"/>
        </w:rPr>
        <w:t>——设计建筑不含可再生能源发电的建筑能耗综合值（kWh/m</w:t>
      </w:r>
      <w:r>
        <w:rPr>
          <w:rFonts w:cs="Times New Roman"/>
          <w:szCs w:val="21"/>
          <w:vertAlign w:val="superscript"/>
        </w:rPr>
        <w:t>2</w:t>
      </w:r>
      <w:r>
        <w:rPr>
          <w:rFonts w:cs="Times New Roman"/>
          <w:szCs w:val="21"/>
        </w:rPr>
        <w:t xml:space="preserve">）；  </w:t>
      </w:r>
    </w:p>
    <w:p>
      <w:pPr>
        <w:widowControl/>
        <w:ind w:left="1608" w:leftChars="354" w:hanging="865" w:hangingChars="412"/>
        <w:jc w:val="left"/>
        <w:rPr>
          <w:rFonts w:cs="Times New Roman"/>
          <w:szCs w:val="21"/>
        </w:rPr>
      </w:pPr>
      <m:oMath>
        <m:sSub>
          <m:sSubPr>
            <m:ctrlPr>
              <w:rPr>
                <w:rFonts w:ascii="Cambria Math" w:hAnsi="Cambria Math" w:cs="Times New Roman"/>
                <w:i/>
                <w:szCs w:val="21"/>
              </w:rPr>
            </m:ctrlPr>
          </m:sSubPr>
          <m:e>
            <m:r>
              <m:rPr/>
              <w:rPr>
                <w:rFonts w:ascii="Cambria Math" w:hAnsi="Cambria Math" w:cs="Times New Roman"/>
                <w:szCs w:val="21"/>
              </w:rPr>
              <m:t xml:space="preserve">     E</m:t>
            </m:r>
            <m:ctrlPr>
              <w:rPr>
                <w:rFonts w:ascii="Cambria Math" w:hAnsi="Cambria Math" w:cs="Times New Roman"/>
                <w:i/>
                <w:szCs w:val="21"/>
              </w:rPr>
            </m:ctrlPr>
          </m:e>
          <m:sub>
            <m:r>
              <m:rPr/>
              <w:rPr>
                <w:rFonts w:ascii="Cambria Math" w:hAnsi="Cambria Math" w:cs="Times New Roman"/>
                <w:szCs w:val="21"/>
              </w:rPr>
              <m:t>R</m:t>
            </m:r>
            <m:ctrlPr>
              <w:rPr>
                <w:rFonts w:ascii="Cambria Math" w:hAnsi="Cambria Math" w:cs="Times New Roman"/>
                <w:i/>
                <w:szCs w:val="21"/>
              </w:rPr>
            </m:ctrlPr>
          </m:sub>
        </m:sSub>
      </m:oMath>
      <w:r>
        <w:rPr>
          <w:rFonts w:cs="Times New Roman"/>
          <w:szCs w:val="21"/>
        </w:rPr>
        <w:t>——基准建筑的建筑能耗综合值（kWh/m</w:t>
      </w:r>
      <w:r>
        <w:rPr>
          <w:rFonts w:cs="Times New Roman"/>
          <w:szCs w:val="21"/>
          <w:vertAlign w:val="superscript"/>
        </w:rPr>
        <w:t>2</w:t>
      </w:r>
      <w:r>
        <w:rPr>
          <w:rFonts w:cs="Times New Roman"/>
          <w:szCs w:val="21"/>
        </w:rPr>
        <w:t xml:space="preserve">）。 </w:t>
      </w:r>
    </w:p>
    <w:p>
      <w:pPr>
        <w:widowControl/>
        <w:ind w:firstLine="0" w:firstLineChars="0"/>
        <w:jc w:val="left"/>
        <w:outlineLvl w:val="2"/>
        <w:rPr>
          <w:rFonts w:cs="Times New Roman"/>
          <w:bCs/>
          <w:szCs w:val="24"/>
          <w:lang w:val="zh-CN" w:bidi="ar"/>
        </w:rPr>
      </w:pPr>
      <w:r>
        <w:rPr>
          <w:rFonts w:hint="eastAsia" w:cs="Times New Roman"/>
          <w:bCs/>
          <w:szCs w:val="24"/>
          <w:lang w:val="zh-CN" w:bidi="ar"/>
        </w:rPr>
        <w:t>A</w:t>
      </w:r>
      <w:r>
        <w:rPr>
          <w:rFonts w:cs="Times New Roman"/>
          <w:bCs/>
          <w:szCs w:val="24"/>
          <w:lang w:val="zh-CN" w:bidi="ar"/>
        </w:rPr>
        <w:t>.3.2</w:t>
      </w:r>
      <w:r>
        <w:rPr>
          <w:rFonts w:hint="eastAsia" w:cs="Times New Roman"/>
          <w:bCs/>
          <w:szCs w:val="24"/>
          <w:lang w:val="zh-CN" w:bidi="ar"/>
        </w:rPr>
        <w:t>建筑综合</w:t>
      </w:r>
      <w:r>
        <w:rPr>
          <w:rFonts w:cs="Times New Roman"/>
          <w:bCs/>
          <w:szCs w:val="24"/>
          <w:lang w:val="zh-CN" w:bidi="ar"/>
        </w:rPr>
        <w:t>节能率计算应</w:t>
      </w:r>
      <w:r>
        <w:rPr>
          <w:rFonts w:hint="eastAsia" w:cs="Times New Roman"/>
          <w:bCs/>
          <w:szCs w:val="24"/>
          <w:lang w:val="zh-CN" w:bidi="ar"/>
        </w:rPr>
        <w:t>按</w:t>
      </w:r>
      <w:r>
        <w:rPr>
          <w:rFonts w:cs="Times New Roman"/>
          <w:bCs/>
          <w:szCs w:val="24"/>
          <w:lang w:val="zh-CN" w:bidi="ar"/>
        </w:rPr>
        <w:t>下式计算</w:t>
      </w:r>
      <w:r>
        <w:rPr>
          <w:rFonts w:hint="eastAsia" w:cs="Times New Roman"/>
          <w:bCs/>
          <w:szCs w:val="24"/>
          <w:lang w:val="zh-CN" w:bidi="ar"/>
        </w:rPr>
        <w:t>：</w:t>
      </w:r>
    </w:p>
    <w:p>
      <w:pPr>
        <w:widowControl/>
        <w:spacing w:line="276" w:lineRule="auto"/>
        <w:ind w:firstLine="420"/>
        <w:jc w:val="center"/>
        <w:rPr>
          <w:rFonts w:cs="Times New Roman"/>
          <w:szCs w:val="21"/>
        </w:rPr>
      </w:pPr>
      <w:r>
        <w:rPr>
          <w:rFonts w:cs="Times New Roman"/>
          <w:szCs w:val="21"/>
        </w:rPr>
        <w:t xml:space="preserve">                      </w:t>
      </w:r>
      <m:oMath>
        <m:sSub>
          <m:sSubPr>
            <m:ctrlPr>
              <w:rPr>
                <w:rFonts w:ascii="Cambria Math" w:hAnsi="Cambria Math" w:cs="Times New Roman"/>
                <w:i/>
                <w:szCs w:val="21"/>
              </w:rPr>
            </m:ctrlPr>
          </m:sSubPr>
          <m:e>
            <m:r>
              <m:rPr/>
              <w:rPr>
                <w:rFonts w:ascii="Cambria Math" w:hAnsi="Cambria Math" w:cs="Times New Roman"/>
                <w:szCs w:val="21"/>
              </w:rPr>
              <m:t>η</m:t>
            </m:r>
            <m:ctrlPr>
              <w:rPr>
                <w:rFonts w:ascii="Cambria Math" w:hAnsi="Cambria Math" w:cs="Times New Roman"/>
                <w:i/>
                <w:szCs w:val="21"/>
              </w:rPr>
            </m:ctrlPr>
          </m:e>
          <m:sub>
            <m:r>
              <m:rPr/>
              <w:rPr>
                <w:rFonts w:ascii="Cambria Math" w:hAnsi="Cambria Math" w:cs="Times New Roman"/>
                <w:szCs w:val="21"/>
              </w:rPr>
              <m:t>p</m:t>
            </m:r>
            <m:ctrlPr>
              <w:rPr>
                <w:rFonts w:ascii="Cambria Math" w:hAnsi="Cambria Math" w:cs="Times New Roman"/>
                <w:i/>
                <w:szCs w:val="21"/>
              </w:rPr>
            </m:ctrlPr>
          </m:sub>
        </m:sSub>
        <m:r>
          <m:rPr/>
          <w:rPr>
            <w:rFonts w:ascii="Cambria Math" w:hAnsi="Cambria Math" w:cs="Times New Roman"/>
            <w:szCs w:val="21"/>
          </w:rPr>
          <m:t>=</m:t>
        </m:r>
        <m:f>
          <m:fPr>
            <m:ctrlPr>
              <w:rPr>
                <w:rFonts w:ascii="Cambria Math" w:hAnsi="Cambria Math" w:cs="Times New Roman"/>
                <w:i/>
                <w:szCs w:val="21"/>
              </w:rPr>
            </m:ctrlPr>
          </m:fPr>
          <m:num>
            <m:d>
              <m:dPr>
                <m:begChr m:val="|"/>
                <m:endChr m:val="|"/>
                <m:ctrlPr>
                  <w:rPr>
                    <w:rFonts w:ascii="Cambria Math" w:hAnsi="Cambria Math" w:cs="Times New Roman"/>
                    <w:i/>
                    <w:szCs w:val="21"/>
                  </w:rPr>
                </m:ctrlPr>
              </m:dPr>
              <m:e>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D</m:t>
                    </m:r>
                    <m:ctrlPr>
                      <w:rPr>
                        <w:rFonts w:ascii="Cambria Math" w:hAnsi="Cambria Math" w:cs="Times New Roman"/>
                        <w:i/>
                        <w:szCs w:val="21"/>
                      </w:rPr>
                    </m:ctrlPr>
                  </m:sub>
                </m:sSub>
                <m:r>
                  <m:rPr/>
                  <w:rPr>
                    <w:rFonts w:ascii="Cambria Math" w:hAnsi="Cambria Math" w:cs="Times New Roman"/>
                    <w:szCs w:val="21"/>
                  </w:rPr>
                  <m:t>−</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m:t>
                    </m:r>
                    <m:ctrlPr>
                      <w:rPr>
                        <w:rFonts w:ascii="Cambria Math" w:hAnsi="Cambria Math" w:cs="Times New Roman"/>
                        <w:i/>
                        <w:szCs w:val="21"/>
                      </w:rPr>
                    </m:ctrlPr>
                  </m:sub>
                </m:sSub>
                <m:ctrlPr>
                  <w:rPr>
                    <w:rFonts w:ascii="Cambria Math" w:hAnsi="Cambria Math" w:cs="Times New Roman"/>
                    <w:i/>
                    <w:szCs w:val="21"/>
                  </w:rPr>
                </m:ctrlPr>
              </m:e>
            </m:d>
            <m:ctrlPr>
              <w:rPr>
                <w:rFonts w:ascii="Cambria Math" w:hAnsi="Cambria Math" w:cs="Times New Roman"/>
                <w:i/>
                <w:szCs w:val="21"/>
              </w:rPr>
            </m:ctrlPr>
          </m:num>
          <m:den>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R</m:t>
                </m:r>
                <m:ctrlPr>
                  <w:rPr>
                    <w:rFonts w:ascii="Cambria Math" w:hAnsi="Cambria Math" w:cs="Times New Roman"/>
                    <w:i/>
                    <w:szCs w:val="21"/>
                  </w:rPr>
                </m:ctrlPr>
              </m:sub>
            </m:sSub>
            <m:ctrlPr>
              <w:rPr>
                <w:rFonts w:ascii="Cambria Math" w:hAnsi="Cambria Math" w:cs="Times New Roman"/>
                <w:i/>
                <w:szCs w:val="21"/>
              </w:rPr>
            </m:ctrlPr>
          </m:den>
        </m:f>
        <m:r>
          <m:rPr/>
          <w:rPr>
            <w:rFonts w:ascii="Cambria Math" w:hAnsi="Cambria Math" w:cs="Times New Roman"/>
            <w:szCs w:val="21"/>
          </w:rPr>
          <m:t>×100%</m:t>
        </m:r>
      </m:oMath>
      <w:r>
        <w:rPr>
          <w:rFonts w:cs="Times New Roman"/>
          <w:szCs w:val="21"/>
        </w:rPr>
        <w:t xml:space="preserve">                 （</w:t>
      </w:r>
      <w:r>
        <w:rPr>
          <w:rFonts w:hint="eastAsia" w:cs="Times New Roman"/>
          <w:bCs/>
          <w:szCs w:val="24"/>
          <w:lang w:bidi="ar"/>
        </w:rPr>
        <w:t>A</w:t>
      </w:r>
      <w:r>
        <w:rPr>
          <w:rFonts w:cs="Times New Roman"/>
          <w:szCs w:val="21"/>
        </w:rPr>
        <w:t>.3.2）</w:t>
      </w:r>
    </w:p>
    <w:p>
      <w:pPr>
        <w:widowControl/>
        <w:spacing w:line="276" w:lineRule="auto"/>
        <w:ind w:firstLine="420"/>
        <w:rPr>
          <w:rFonts w:cs="Times New Roman"/>
          <w:szCs w:val="21"/>
        </w:rPr>
      </w:pPr>
      <w:r>
        <w:rPr>
          <w:rFonts w:cs="Times New Roman"/>
          <w:i/>
          <w:szCs w:val="21"/>
        </w:rPr>
        <w:t>式中：</w:t>
      </w:r>
      <m:oMath>
        <m:sSub>
          <m:sSubPr>
            <m:ctrlPr>
              <w:rPr>
                <w:rFonts w:ascii="Cambria Math" w:hAnsi="Cambria Math" w:cs="Times New Roman"/>
                <w:i/>
                <w:szCs w:val="21"/>
              </w:rPr>
            </m:ctrlPr>
          </m:sSubPr>
          <m:e>
            <m:r>
              <m:rPr/>
              <w:rPr>
                <w:rFonts w:ascii="Cambria Math" w:hAnsi="Cambria Math" w:cs="Times New Roman"/>
                <w:szCs w:val="21"/>
              </w:rPr>
              <m:t>η</m:t>
            </m:r>
            <m:ctrlPr>
              <w:rPr>
                <w:rFonts w:ascii="Cambria Math" w:hAnsi="Cambria Math" w:cs="Times New Roman"/>
                <w:i/>
                <w:szCs w:val="21"/>
              </w:rPr>
            </m:ctrlPr>
          </m:e>
          <m:sub>
            <m:r>
              <m:rPr/>
              <w:rPr>
                <w:rFonts w:ascii="Cambria Math" w:hAnsi="Cambria Math" w:cs="Times New Roman"/>
                <w:szCs w:val="21"/>
              </w:rPr>
              <m:t>p</m:t>
            </m:r>
            <m:ctrlPr>
              <w:rPr>
                <w:rFonts w:ascii="Cambria Math" w:hAnsi="Cambria Math" w:cs="Times New Roman"/>
                <w:i/>
                <w:szCs w:val="21"/>
              </w:rPr>
            </m:ctrlPr>
          </m:sub>
        </m:sSub>
      </m:oMath>
      <w:r>
        <w:rPr>
          <w:rFonts w:cs="Times New Roman"/>
          <w:szCs w:val="21"/>
        </w:rPr>
        <w:t>——建筑综合节能率，%；</w:t>
      </w:r>
    </w:p>
    <w:p>
      <w:pPr>
        <w:ind w:firstLine="735" w:firstLineChars="350"/>
        <w:rPr>
          <w:bCs/>
          <w:kern w:val="0"/>
          <w:sz w:val="28"/>
          <w:szCs w:val="28"/>
        </w:rPr>
      </w:pPr>
      <m:oMath>
        <m:r>
          <m:rPr/>
          <w:rPr>
            <w:rFonts w:ascii="Cambria Math" w:hAnsi="Cambria Math" w:cs="Times New Roman"/>
            <w:szCs w:val="21"/>
          </w:rPr>
          <m:t xml:space="preserve">       </m:t>
        </m:r>
        <m:sSub>
          <m:sSubPr>
            <m:ctrlPr>
              <w:rPr>
                <w:rFonts w:ascii="Cambria Math" w:hAnsi="Cambria Math" w:cs="Times New Roman"/>
                <w:i/>
                <w:szCs w:val="21"/>
              </w:rPr>
            </m:ctrlPr>
          </m:sSubPr>
          <m:e>
            <m:r>
              <m:rPr/>
              <w:rPr>
                <w:rFonts w:ascii="Cambria Math" w:hAnsi="Cambria Math" w:cs="Times New Roman"/>
                <w:szCs w:val="21"/>
              </w:rPr>
              <m:t>E</m:t>
            </m:r>
            <m:ctrlPr>
              <w:rPr>
                <w:rFonts w:ascii="Cambria Math" w:hAnsi="Cambria Math" w:cs="Times New Roman"/>
                <w:i/>
                <w:szCs w:val="21"/>
              </w:rPr>
            </m:ctrlPr>
          </m:e>
          <m:sub>
            <m:r>
              <m:rPr/>
              <w:rPr>
                <w:rFonts w:ascii="Cambria Math" w:hAnsi="Cambria Math" w:cs="Times New Roman"/>
                <w:szCs w:val="21"/>
              </w:rPr>
              <m:t>D</m:t>
            </m:r>
            <m:ctrlPr>
              <w:rPr>
                <w:rFonts w:ascii="Cambria Math" w:hAnsi="Cambria Math" w:cs="Times New Roman"/>
                <w:i/>
                <w:szCs w:val="21"/>
              </w:rPr>
            </m:ctrlPr>
          </m:sub>
        </m:sSub>
      </m:oMath>
      <w:r>
        <w:rPr>
          <w:rFonts w:cs="Times New Roman"/>
          <w:szCs w:val="21"/>
        </w:rPr>
        <w:t>——设计建筑的建筑能耗综合值（kWh/m</w:t>
      </w:r>
      <w:r>
        <w:rPr>
          <w:rFonts w:cs="Times New Roman"/>
          <w:szCs w:val="21"/>
          <w:vertAlign w:val="superscript"/>
        </w:rPr>
        <w:t>2</w:t>
      </w:r>
      <w:r>
        <w:rPr>
          <w:rFonts w:hint="eastAsia" w:cs="Times New Roman"/>
          <w:szCs w:val="21"/>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Cambria">
    <w:altName w:val="FreeSerif"/>
    <w:panose1 w:val="02040503050406030204"/>
    <w:charset w:val="00"/>
    <w:family w:val="roman"/>
    <w:pitch w:val="default"/>
    <w:sig w:usb0="00000000" w:usb1="00000000" w:usb2="02000000" w:usb3="00000000" w:csb0="0000019F" w:csb1="00000000"/>
  </w:font>
  <w:font w:name="仿宋">
    <w:panose1 w:val="02010609060101010101"/>
    <w:charset w:val="86"/>
    <w:family w:val="modern"/>
    <w:pitch w:val="default"/>
    <w:sig w:usb0="800002BF" w:usb1="38CF7CFA" w:usb2="00000016" w:usb3="00000000" w:csb0="00040001" w:csb1="00000000"/>
  </w:font>
  <w:font w:name="等线">
    <w:altName w:val="汉仪中圆B5"/>
    <w:panose1 w:val="02010600030101010101"/>
    <w:charset w:val="86"/>
    <w:family w:val="auto"/>
    <w:pitch w:val="default"/>
    <w:sig w:usb0="00000000" w:usb1="00000000" w:usb2="00000016" w:usb3="00000000" w:csb0="0004000F" w:csb1="00000000"/>
  </w:font>
  <w:font w:name="TimesNewRomanPS-BoldMT">
    <w:altName w:val="Nimbus Roman No9 L"/>
    <w:panose1 w:val="00000000000000000000"/>
    <w:charset w:val="00"/>
    <w:family w:val="roman"/>
    <w:pitch w:val="default"/>
    <w:sig w:usb0="00000000" w:usb1="00000000" w:usb2="00000000" w:usb3="00000000" w:csb0="00000000" w:csb1="00000000"/>
  </w:font>
  <w:font w:name="Verdana">
    <w:altName w:val="Ubuntu"/>
    <w:panose1 w:val="020B0604030504040204"/>
    <w:charset w:val="00"/>
    <w:family w:val="swiss"/>
    <w:pitch w:val="default"/>
    <w:sig w:usb0="00000000" w:usb1="00000000" w:usb2="00000010" w:usb3="00000000" w:csb0="0000019F" w:csb1="00000000"/>
  </w:font>
  <w:font w:name="仿宋_GB2312">
    <w:panose1 w:val="02010609030101010101"/>
    <w:charset w:val="86"/>
    <w:family w:val="modern"/>
    <w:pitch w:val="default"/>
    <w:sig w:usb0="00000001" w:usb1="080E0000" w:usb2="00000000" w:usb3="00000000" w:csb0="00040000" w:csb1="00000000"/>
  </w:font>
  <w:font w:name="Tahoma">
    <w:altName w:val="Droid Sans"/>
    <w:panose1 w:val="020B0604030504040204"/>
    <w:charset w:val="00"/>
    <w:family w:val="swiss"/>
    <w:pitch w:val="default"/>
    <w:sig w:usb0="00000000" w:usb1="00000000" w:usb2="00000029" w:usb3="00000000" w:csb0="000101FF" w:csb1="00000000"/>
  </w:font>
  <w:font w:name="楷体_GB2312">
    <w:altName w:val="楷体"/>
    <w:panose1 w:val="02010609030101010101"/>
    <w:charset w:val="86"/>
    <w:family w:val="modern"/>
    <w:pitch w:val="default"/>
    <w:sig w:usb0="00000000" w:usb1="00000000" w:usb2="00000000" w:usb3="00000000" w:csb0="00040000" w:csb1="00000000"/>
  </w:font>
  <w:font w:name="华文新魏">
    <w:altName w:val="方正魏碑_GBK"/>
    <w:panose1 w:val="02010800040101010101"/>
    <w:charset w:val="86"/>
    <w:family w:val="auto"/>
    <w:pitch w:val="default"/>
    <w:sig w:usb0="00000000" w:usb1="00000000" w:usb2="00000010" w:usb3="00000000" w:csb0="00040000" w:csb1="00000000"/>
  </w:font>
  <w:font w:name="MS Gothic">
    <w:altName w:val="方正书宋_GBK"/>
    <w:panose1 w:val="020B0609070205080204"/>
    <w:charset w:val="80"/>
    <w:family w:val="modern"/>
    <w:pitch w:val="default"/>
    <w:sig w:usb0="00000000" w:usb1="00000000" w:usb2="08000012" w:usb3="00000000" w:csb0="0002009F" w:csb1="00000000"/>
  </w:font>
  <w:font w:name="Calibri Light">
    <w:altName w:val="DejaVu Sans"/>
    <w:panose1 w:val="020F0302020204030204"/>
    <w:charset w:val="00"/>
    <w:family w:val="swiss"/>
    <w:pitch w:val="default"/>
    <w:sig w:usb0="00000000" w:usb1="00000000" w:usb2="00000009" w:usb3="00000000" w:csb0="000001FF" w:csb1="00000000"/>
  </w:font>
  <w:font w:name="Times-Roman">
    <w:altName w:val="Nimbus Roman No9 L"/>
    <w:panose1 w:val="00000000000000000000"/>
    <w:charset w:val="00"/>
    <w:family w:val="roman"/>
    <w:pitch w:val="default"/>
    <w:sig w:usb0="00000000" w:usb1="00000000" w:usb2="00000000" w:usb3="00000000" w:csb0="00000000" w:csb1="00000000"/>
  </w:font>
  <w:font w:name="等线 Light">
    <w:altName w:val="汉仪中圆B5"/>
    <w:panose1 w:val="02010600030101010101"/>
    <w:charset w:val="86"/>
    <w:family w:val="auto"/>
    <w:pitch w:val="default"/>
    <w:sig w:usb0="00000000" w:usb1="00000000" w:usb2="00000016" w:usb3="00000000" w:csb0="0004000F" w:csb1="00000000"/>
  </w:font>
  <w:font w:name="Cambria Math">
    <w:altName w:val="DejaVu Math TeX Gyre"/>
    <w:panose1 w:val="02040503050406030204"/>
    <w:charset w:val="00"/>
    <w:family w:val="roman"/>
    <w:pitch w:val="default"/>
    <w:sig w:usb0="00000000" w:usb1="00000000" w:usb2="02000000"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Arial">
    <w:altName w:val="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FreeSerif">
    <w:panose1 w:val="02020603050405020304"/>
    <w:charset w:val="00"/>
    <w:family w:val="auto"/>
    <w:pitch w:val="default"/>
    <w:sig w:usb0="E59FAFFF" w:usb1="C200FDFF" w:usb2="43501B29" w:usb3="04000043" w:csb0="600101FF" w:csb1="FFFF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jc w:val="center"/>
    </w:pPr>
  </w:p>
  <w:p>
    <w:pPr>
      <w:pStyle w:val="2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p>
    <w:pPr>
      <w:pStyle w:val="2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jc w:val="center"/>
    </w:pPr>
  </w:p>
  <w:p>
    <w:pPr>
      <w:pStyle w:val="27"/>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0524832"/>
    </w:sdtPr>
    <w:sdtContent>
      <w:p>
        <w:pPr>
          <w:pStyle w:val="27"/>
          <w:ind w:firstLine="360"/>
          <w:jc w:val="center"/>
        </w:pPr>
        <w:r>
          <w:fldChar w:fldCharType="begin"/>
        </w:r>
        <w:r>
          <w:instrText xml:space="preserve">PAGE   \* MERGEFORMAT</w:instrText>
        </w:r>
        <w:r>
          <w:fldChar w:fldCharType="separate"/>
        </w:r>
        <w:r>
          <w:rPr>
            <w:lang w:val="zh-CN"/>
          </w:rPr>
          <w:t>1</w:t>
        </w:r>
        <w:r>
          <w:fldChar w:fldCharType="end"/>
        </w:r>
      </w:p>
    </w:sdtContent>
  </w:sdt>
  <w:p>
    <w:pPr>
      <w:pStyle w:val="27"/>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0852307"/>
    </w:sdtPr>
    <w:sdtContent>
      <w:p>
        <w:pPr>
          <w:pStyle w:val="27"/>
          <w:ind w:firstLine="360"/>
          <w:jc w:val="center"/>
        </w:pPr>
        <w:r>
          <w:fldChar w:fldCharType="begin"/>
        </w:r>
        <w:r>
          <w:instrText xml:space="preserve">PAGE   \* MERGEFORMAT</w:instrText>
        </w:r>
        <w:r>
          <w:fldChar w:fldCharType="separate"/>
        </w:r>
        <w:r>
          <w:rPr>
            <w:lang w:val="zh-CN"/>
          </w:rPr>
          <w:t>10</w:t>
        </w:r>
        <w:r>
          <w:fldChar w:fldCharType="end"/>
        </w:r>
      </w:p>
    </w:sdtContent>
  </w:sdt>
  <w:p>
    <w:pPr>
      <w:pStyle w:val="27"/>
      <w:tabs>
        <w:tab w:val="center" w:pos="4333"/>
        <w:tab w:val="clear" w:pos="4153"/>
        <w:tab w:val="clear" w:pos="8306"/>
      </w:tabs>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5346311"/>
    </w:sdtPr>
    <w:sdtContent>
      <w:p>
        <w:pPr>
          <w:pStyle w:val="27"/>
          <w:ind w:firstLine="360"/>
          <w:jc w:val="center"/>
        </w:pPr>
        <w:r>
          <w:fldChar w:fldCharType="begin"/>
        </w:r>
        <w:r>
          <w:instrText xml:space="preserve">PAGE   \* MERGEFORMAT</w:instrText>
        </w:r>
        <w:r>
          <w:fldChar w:fldCharType="separate"/>
        </w:r>
        <w:r>
          <w:rPr>
            <w:lang w:val="zh-CN"/>
          </w:rPr>
          <w:t>32</w:t>
        </w:r>
        <w:r>
          <w:fldChar w:fldCharType="end"/>
        </w:r>
      </w:p>
    </w:sdtContent>
  </w:sdt>
  <w:p>
    <w:pPr>
      <w:pStyle w:val="2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r>
      <w:pict>
        <v:shape id="PowerPlusWaterMarkObject779932485" o:spid="_x0000_s2050" o:spt="136" type="#_x0000_t136" style="position:absolute;left:0pt;height:25.45pt;width:560pt;mso-position-horizontal:center;mso-position-horizontal-relative:margin;mso-position-vertical:center;mso-position-vertical-relative:margin;rotation:20643840f;z-index:-251657216;mso-width-relative:page;mso-height-relative:page;" fillcolor="#A5A5A5" filled="t" stroked="f" coordsize="21600,21600" o:allowincell="f">
          <v:path/>
          <v:fill on="t" opacity="32768f" focussize="0,0"/>
          <v:stroke on="f"/>
          <v:imagedata o:title=""/>
          <o:lock v:ext="edit"/>
          <v:textpath on="t" fitshape="t" fitpath="t" trim="f" xscale="f" string="【编制组内部使用】此文件仅供瞿燕主任内部审查" style="font-family:宋体;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r>
      <w:pict>
        <v:shape id="PowerPlusWaterMarkObject779932484" o:spid="_x0000_s2049" o:spt="136" type="#_x0000_t136" style="position:absolute;left:0pt;height:25.45pt;width:560pt;mso-position-horizontal:center;mso-position-horizontal-relative:margin;mso-position-vertical:center;mso-position-vertical-relative:margin;rotation:20643840f;z-index:-251656192;mso-width-relative:page;mso-height-relative:page;" fillcolor="#A5A5A5" filled="t" stroked="f" coordsize="21600,21600" o:allowincell="f">
          <v:path/>
          <v:fill on="t" opacity="32768f" focussize="0,0"/>
          <v:stroke on="f"/>
          <v:imagedata o:title=""/>
          <o:lock v:ext="edit"/>
          <v:textpath on="t" fitshape="t" fitpath="t" trim="f" xscale="f" string="【编制组内部使用】此文件仅供瞿燕主任内部审查" style="font-family:宋体;font-size:1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7131FF"/>
    <w:multiLevelType w:val="multilevel"/>
    <w:tmpl w:val="0B7131FF"/>
    <w:lvl w:ilvl="0" w:tentative="0">
      <w:start w:val="1"/>
      <w:numFmt w:val="bullet"/>
      <w:pStyle w:val="229"/>
      <w:lvlText w:val=""/>
      <w:lvlJc w:val="left"/>
      <w:pPr>
        <w:ind w:left="1080" w:hanging="360"/>
      </w:pPr>
      <w:rPr>
        <w:rFonts w:hint="default" w:ascii="Symbol" w:hAnsi="Symbol"/>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
    <w:nsid w:val="15800476"/>
    <w:multiLevelType w:val="multilevel"/>
    <w:tmpl w:val="15800476"/>
    <w:lvl w:ilvl="0" w:tentative="0">
      <w:start w:val="1"/>
      <w:numFmt w:val="lowerLetter"/>
      <w:pStyle w:val="207"/>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206"/>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208"/>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2">
    <w:nsid w:val="1E8208A7"/>
    <w:multiLevelType w:val="multilevel"/>
    <w:tmpl w:val="1E8208A7"/>
    <w:lvl w:ilvl="0" w:tentative="0">
      <w:start w:val="1"/>
      <w:numFmt w:val="decimal"/>
      <w:suff w:val="space"/>
      <w:lvlText w:val="第%1章  "/>
      <w:lvlJc w:val="left"/>
      <w:pPr>
        <w:ind w:left="0" w:firstLine="0"/>
      </w:pPr>
      <w:rPr>
        <w:rFonts w:hint="eastAsia"/>
      </w:rPr>
    </w:lvl>
    <w:lvl w:ilvl="1" w:tentative="0">
      <w:start w:val="1"/>
      <w:numFmt w:val="decimal"/>
      <w:suff w:val="space"/>
      <w:lvlText w:val="%1.%2  "/>
      <w:lvlJc w:val="left"/>
      <w:pPr>
        <w:ind w:left="0" w:firstLine="0"/>
      </w:pPr>
      <w:rPr>
        <w:rFonts w:hint="eastAsia"/>
        <w:sz w:val="28"/>
        <w:szCs w:val="28"/>
      </w:rPr>
    </w:lvl>
    <w:lvl w:ilvl="2" w:tentative="0">
      <w:start w:val="1"/>
      <w:numFmt w:val="decimal"/>
      <w:suff w:val="space"/>
      <w:lvlText w:val="%1.%2.%3  "/>
      <w:lvlJc w:val="left"/>
      <w:pPr>
        <w:ind w:left="0" w:firstLine="0"/>
      </w:pPr>
      <w:rPr>
        <w:rFonts w:hint="eastAsia"/>
      </w:rPr>
    </w:lvl>
    <w:lvl w:ilvl="3" w:tentative="0">
      <w:start w:val="1"/>
      <w:numFmt w:val="decimal"/>
      <w:pStyle w:val="6"/>
      <w:suff w:val="space"/>
      <w:lvlText w:val="%4.  "/>
      <w:lvlJc w:val="left"/>
      <w:pPr>
        <w:ind w:left="284" w:firstLine="0"/>
      </w:pPr>
      <w:rPr>
        <w:rFonts w:hint="eastAsia"/>
      </w:rPr>
    </w:lvl>
    <w:lvl w:ilvl="4" w:tentative="0">
      <w:start w:val="1"/>
      <w:numFmt w:val="decimal"/>
      <w:pStyle w:val="7"/>
      <w:suff w:val="nothing"/>
      <w:lvlText w:val="（%5）"/>
      <w:lvlJc w:val="left"/>
      <w:pPr>
        <w:ind w:left="426" w:firstLine="0"/>
      </w:pPr>
      <w:rPr>
        <w:rFonts w:hint="default" w:ascii="Calibri" w:hAnsi="Calibri" w:eastAsia="宋体"/>
      </w:rPr>
    </w:lvl>
    <w:lvl w:ilvl="5" w:tentative="0">
      <w:start w:val="1"/>
      <w:numFmt w:val="decimal"/>
      <w:pStyle w:val="8"/>
      <w:lvlText w:val="%1.%2.%3.%4.%5.%6"/>
      <w:lvlJc w:val="left"/>
      <w:pPr>
        <w:ind w:left="0" w:firstLine="0"/>
      </w:pPr>
      <w:rPr>
        <w:rFonts w:hint="eastAsia"/>
      </w:rPr>
    </w:lvl>
    <w:lvl w:ilvl="6" w:tentative="0">
      <w:start w:val="1"/>
      <w:numFmt w:val="decimal"/>
      <w:pStyle w:val="9"/>
      <w:lvlText w:val="%1.%2.%3.%4.%5.%6.%7"/>
      <w:lvlJc w:val="left"/>
      <w:pPr>
        <w:ind w:left="0" w:firstLine="0"/>
      </w:pPr>
      <w:rPr>
        <w:rFonts w:hint="eastAsia"/>
      </w:rPr>
    </w:lvl>
    <w:lvl w:ilvl="7" w:tentative="0">
      <w:start w:val="1"/>
      <w:numFmt w:val="decimal"/>
      <w:pStyle w:val="10"/>
      <w:lvlText w:val="%1.%2.%3.%4.%5.%6.%7.%8"/>
      <w:lvlJc w:val="left"/>
      <w:pPr>
        <w:ind w:left="0" w:firstLine="0"/>
      </w:pPr>
      <w:rPr>
        <w:rFonts w:hint="eastAsia"/>
      </w:rPr>
    </w:lvl>
    <w:lvl w:ilvl="8" w:tentative="0">
      <w:start w:val="1"/>
      <w:numFmt w:val="decimal"/>
      <w:pStyle w:val="11"/>
      <w:lvlText w:val="%1.%2.%3.%4.%5.%6.%7.%8.%9"/>
      <w:lvlJc w:val="left"/>
      <w:pPr>
        <w:ind w:left="0" w:firstLine="0"/>
      </w:pPr>
      <w:rPr>
        <w:rFonts w:hint="eastAsia"/>
      </w:rPr>
    </w:lvl>
  </w:abstractNum>
  <w:abstractNum w:abstractNumId="3">
    <w:nsid w:val="1FC91163"/>
    <w:multiLevelType w:val="multilevel"/>
    <w:tmpl w:val="1FC91163"/>
    <w:lvl w:ilvl="0" w:tentative="0">
      <w:start w:val="1"/>
      <w:numFmt w:val="decimal"/>
      <w:pStyle w:val="199"/>
      <w:suff w:val="nothing"/>
      <w:lvlText w:val="%1　"/>
      <w:lvlJc w:val="left"/>
      <w:pPr>
        <w:ind w:left="284" w:firstLine="0"/>
      </w:pPr>
      <w:rPr>
        <w:rFonts w:hint="eastAsia" w:ascii="黑体" w:hAnsi="Times New Roman" w:eastAsia="黑体"/>
        <w:b w:val="0"/>
        <w:i w:val="0"/>
        <w:sz w:val="21"/>
        <w:szCs w:val="21"/>
      </w:rPr>
    </w:lvl>
    <w:lvl w:ilvl="1" w:tentative="0">
      <w:start w:val="1"/>
      <w:numFmt w:val="decimal"/>
      <w:pStyle w:val="19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00"/>
      <w:suff w:val="nothing"/>
      <w:lvlText w:val="%1.%2.%3　"/>
      <w:lvlJc w:val="left"/>
      <w:pPr>
        <w:ind w:left="2127" w:firstLine="0"/>
      </w:pPr>
      <w:rPr>
        <w:rFonts w:hint="eastAsia" w:ascii="黑体" w:hAnsi="Times New Roman" w:eastAsia="黑体"/>
        <w:b w:val="0"/>
        <w:i w:val="0"/>
        <w:sz w:val="21"/>
      </w:rPr>
    </w:lvl>
    <w:lvl w:ilvl="3" w:tentative="0">
      <w:start w:val="1"/>
      <w:numFmt w:val="decimal"/>
      <w:pStyle w:val="201"/>
      <w:suff w:val="nothing"/>
      <w:lvlText w:val="%1.%2.%3.%4　"/>
      <w:lvlJc w:val="left"/>
      <w:pPr>
        <w:ind w:left="0" w:firstLine="0"/>
      </w:pPr>
      <w:rPr>
        <w:rFonts w:hint="eastAsia" w:ascii="黑体" w:hAnsi="Times New Roman" w:eastAsia="黑体"/>
        <w:b w:val="0"/>
        <w:i w:val="0"/>
        <w:sz w:val="21"/>
      </w:rPr>
    </w:lvl>
    <w:lvl w:ilvl="4" w:tentative="0">
      <w:start w:val="1"/>
      <w:numFmt w:val="decimal"/>
      <w:pStyle w:val="202"/>
      <w:suff w:val="nothing"/>
      <w:lvlText w:val="%1.%2.%3.%4.%5　"/>
      <w:lvlJc w:val="left"/>
      <w:pPr>
        <w:ind w:left="0" w:firstLine="0"/>
      </w:pPr>
      <w:rPr>
        <w:rFonts w:hint="eastAsia" w:ascii="黑体" w:hAnsi="Times New Roman" w:eastAsia="黑体"/>
        <w:b w:val="0"/>
        <w:i w:val="0"/>
        <w:sz w:val="21"/>
      </w:rPr>
    </w:lvl>
    <w:lvl w:ilvl="5" w:tentative="0">
      <w:start w:val="1"/>
      <w:numFmt w:val="decimal"/>
      <w:pStyle w:val="20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23012116"/>
    <w:multiLevelType w:val="multilevel"/>
    <w:tmpl w:val="23012116"/>
    <w:lvl w:ilvl="0" w:tentative="0">
      <w:start w:val="1"/>
      <w:numFmt w:val="decimal"/>
      <w:pStyle w:val="221"/>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5">
    <w:nsid w:val="231B75FB"/>
    <w:multiLevelType w:val="multilevel"/>
    <w:tmpl w:val="231B75FB"/>
    <w:lvl w:ilvl="0" w:tentative="0">
      <w:start w:val="7"/>
      <w:numFmt w:val="decimal"/>
      <w:pStyle w:val="226"/>
      <w:lvlText w:val="%1"/>
      <w:lvlJc w:val="left"/>
      <w:pPr>
        <w:ind w:left="432" w:hanging="432"/>
      </w:pPr>
      <w:rPr>
        <w:rFonts w:hint="eastAsia"/>
      </w:rPr>
    </w:lvl>
    <w:lvl w:ilvl="1" w:tentative="0">
      <w:start w:val="1"/>
      <w:numFmt w:val="decimal"/>
      <w:pStyle w:val="227"/>
      <w:lvlText w:val="%1.%2"/>
      <w:lvlJc w:val="left"/>
      <w:pPr>
        <w:ind w:left="3837" w:hanging="576"/>
      </w:pPr>
      <w:rPr>
        <w:rFonts w:hint="eastAsia"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6">
    <w:nsid w:val="282E2E9C"/>
    <w:multiLevelType w:val="multilevel"/>
    <w:tmpl w:val="282E2E9C"/>
    <w:lvl w:ilvl="0" w:tentative="0">
      <w:start w:val="1"/>
      <w:numFmt w:val="decimal"/>
      <w:pStyle w:val="247"/>
      <w:lvlText w:val="图%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D745591"/>
    <w:multiLevelType w:val="multilevel"/>
    <w:tmpl w:val="3D745591"/>
    <w:lvl w:ilvl="0" w:tentative="0">
      <w:start w:val="8"/>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43D15FB7"/>
    <w:multiLevelType w:val="multilevel"/>
    <w:tmpl w:val="43D15FB7"/>
    <w:lvl w:ilvl="0" w:tentative="0">
      <w:start w:val="10"/>
      <w:numFmt w:val="decimal"/>
      <w:pStyle w:val="153"/>
      <w:lvlText w:val="%1"/>
      <w:lvlJc w:val="left"/>
      <w:pPr>
        <w:tabs>
          <w:tab w:val="left" w:pos="480"/>
        </w:tabs>
        <w:ind w:left="480" w:hanging="480"/>
      </w:pPr>
      <w:rPr>
        <w:rFonts w:hint="default"/>
      </w:rPr>
    </w:lvl>
    <w:lvl w:ilvl="1" w:tentative="0">
      <w:start w:val="4"/>
      <w:numFmt w:val="decimal"/>
      <w:lvlText w:val="%1.%2"/>
      <w:lvlJc w:val="left"/>
      <w:pPr>
        <w:tabs>
          <w:tab w:val="left" w:pos="1110"/>
        </w:tabs>
        <w:ind w:left="1110" w:hanging="480"/>
      </w:pPr>
      <w:rPr>
        <w:rFonts w:hint="default"/>
      </w:rPr>
    </w:lvl>
    <w:lvl w:ilvl="2" w:tentative="0">
      <w:start w:val="1"/>
      <w:numFmt w:val="decimal"/>
      <w:lvlText w:val="%1.%2.%3"/>
      <w:lvlJc w:val="left"/>
      <w:pPr>
        <w:tabs>
          <w:tab w:val="left" w:pos="1980"/>
        </w:tabs>
        <w:ind w:left="1980" w:hanging="720"/>
      </w:pPr>
      <w:rPr>
        <w:rFonts w:hint="default"/>
      </w:rPr>
    </w:lvl>
    <w:lvl w:ilvl="3" w:tentative="0">
      <w:start w:val="1"/>
      <w:numFmt w:val="decimal"/>
      <w:lvlText w:val="%1.%2.%3.%4"/>
      <w:lvlJc w:val="left"/>
      <w:pPr>
        <w:tabs>
          <w:tab w:val="left" w:pos="2970"/>
        </w:tabs>
        <w:ind w:left="2970" w:hanging="1080"/>
      </w:pPr>
      <w:rPr>
        <w:rFonts w:hint="default"/>
      </w:rPr>
    </w:lvl>
    <w:lvl w:ilvl="4" w:tentative="0">
      <w:start w:val="1"/>
      <w:numFmt w:val="decimal"/>
      <w:lvlText w:val="%1.%2.%3.%4.%5"/>
      <w:lvlJc w:val="left"/>
      <w:pPr>
        <w:tabs>
          <w:tab w:val="left" w:pos="3600"/>
        </w:tabs>
        <w:ind w:left="3600" w:hanging="1080"/>
      </w:pPr>
      <w:rPr>
        <w:rFonts w:hint="default"/>
      </w:rPr>
    </w:lvl>
    <w:lvl w:ilvl="5" w:tentative="0">
      <w:start w:val="1"/>
      <w:numFmt w:val="decimal"/>
      <w:lvlText w:val="%1.%2.%3.%4.%5.%6"/>
      <w:lvlJc w:val="left"/>
      <w:pPr>
        <w:tabs>
          <w:tab w:val="left" w:pos="4590"/>
        </w:tabs>
        <w:ind w:left="4590" w:hanging="1440"/>
      </w:pPr>
      <w:rPr>
        <w:rFonts w:hint="default"/>
      </w:rPr>
    </w:lvl>
    <w:lvl w:ilvl="6" w:tentative="0">
      <w:start w:val="1"/>
      <w:numFmt w:val="decimal"/>
      <w:lvlText w:val="%1.%2.%3.%4.%5.%6.%7"/>
      <w:lvlJc w:val="left"/>
      <w:pPr>
        <w:tabs>
          <w:tab w:val="left" w:pos="5220"/>
        </w:tabs>
        <w:ind w:left="5220" w:hanging="1440"/>
      </w:pPr>
      <w:rPr>
        <w:rFonts w:hint="default"/>
      </w:rPr>
    </w:lvl>
    <w:lvl w:ilvl="7" w:tentative="0">
      <w:start w:val="1"/>
      <w:numFmt w:val="decimal"/>
      <w:lvlText w:val="%1.%2.%3.%4.%5.%6.%7.%8"/>
      <w:lvlJc w:val="left"/>
      <w:pPr>
        <w:tabs>
          <w:tab w:val="left" w:pos="6210"/>
        </w:tabs>
        <w:ind w:left="6210" w:hanging="1800"/>
      </w:pPr>
      <w:rPr>
        <w:rFonts w:hint="default"/>
      </w:rPr>
    </w:lvl>
    <w:lvl w:ilvl="8" w:tentative="0">
      <w:start w:val="1"/>
      <w:numFmt w:val="decimal"/>
      <w:lvlText w:val="%1.%2.%3.%4.%5.%6.%7.%8.%9"/>
      <w:lvlJc w:val="left"/>
      <w:pPr>
        <w:tabs>
          <w:tab w:val="left" w:pos="7200"/>
        </w:tabs>
        <w:ind w:left="7200" w:hanging="2160"/>
      </w:pPr>
      <w:rPr>
        <w:rFonts w:hint="default"/>
      </w:rPr>
    </w:lvl>
  </w:abstractNum>
  <w:abstractNum w:abstractNumId="9">
    <w:nsid w:val="45A74E23"/>
    <w:multiLevelType w:val="multilevel"/>
    <w:tmpl w:val="45A74E23"/>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CBB41FD"/>
    <w:multiLevelType w:val="multilevel"/>
    <w:tmpl w:val="5CBB41FD"/>
    <w:lvl w:ilvl="0" w:tentative="0">
      <w:start w:val="5"/>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60B55DC2"/>
    <w:multiLevelType w:val="multilevel"/>
    <w:tmpl w:val="60B55DC2"/>
    <w:lvl w:ilvl="0" w:tentative="0">
      <w:start w:val="1"/>
      <w:numFmt w:val="upperLetter"/>
      <w:pStyle w:val="232"/>
      <w:lvlText w:val="%1"/>
      <w:lvlJc w:val="left"/>
      <w:pPr>
        <w:tabs>
          <w:tab w:val="left" w:pos="0"/>
        </w:tabs>
        <w:ind w:left="0" w:hanging="425"/>
      </w:pPr>
      <w:rPr>
        <w:rFonts w:hint="eastAsia"/>
      </w:rPr>
    </w:lvl>
    <w:lvl w:ilvl="1" w:tentative="0">
      <w:start w:val="1"/>
      <w:numFmt w:val="decimal"/>
      <w:pStyle w:val="23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2">
    <w:nsid w:val="657D3FBC"/>
    <w:multiLevelType w:val="multilevel"/>
    <w:tmpl w:val="657D3FBC"/>
    <w:lvl w:ilvl="0" w:tentative="0">
      <w:start w:val="1"/>
      <w:numFmt w:val="upperLetter"/>
      <w:pStyle w:val="23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3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39"/>
      <w:suff w:val="nothing"/>
      <w:lvlText w:val="%1.%2.%3　"/>
      <w:lvlJc w:val="left"/>
      <w:pPr>
        <w:ind w:left="0" w:firstLine="0"/>
      </w:pPr>
      <w:rPr>
        <w:rFonts w:hint="eastAsia" w:ascii="黑体" w:hAnsi="Times New Roman" w:eastAsia="黑体"/>
        <w:b w:val="0"/>
        <w:i w:val="0"/>
        <w:sz w:val="21"/>
      </w:rPr>
    </w:lvl>
    <w:lvl w:ilvl="3" w:tentative="0">
      <w:start w:val="1"/>
      <w:numFmt w:val="decimal"/>
      <w:pStyle w:val="234"/>
      <w:suff w:val="nothing"/>
      <w:lvlText w:val="%1.%2.%3.%4　"/>
      <w:lvlJc w:val="left"/>
      <w:pPr>
        <w:ind w:left="0" w:firstLine="0"/>
      </w:pPr>
      <w:rPr>
        <w:rFonts w:hint="eastAsia" w:ascii="黑体" w:hAnsi="Times New Roman" w:eastAsia="黑体"/>
        <w:b w:val="0"/>
        <w:i w:val="0"/>
        <w:sz w:val="21"/>
      </w:rPr>
    </w:lvl>
    <w:lvl w:ilvl="4" w:tentative="0">
      <w:start w:val="1"/>
      <w:numFmt w:val="decimal"/>
      <w:pStyle w:val="235"/>
      <w:suff w:val="nothing"/>
      <w:lvlText w:val="%1.%2.%3.%4.%5　"/>
      <w:lvlJc w:val="left"/>
      <w:pPr>
        <w:ind w:left="0" w:firstLine="0"/>
      </w:pPr>
      <w:rPr>
        <w:rFonts w:hint="eastAsia" w:ascii="黑体" w:hAnsi="Times New Roman" w:eastAsia="黑体"/>
        <w:b w:val="0"/>
        <w:i w:val="0"/>
        <w:sz w:val="21"/>
      </w:rPr>
    </w:lvl>
    <w:lvl w:ilvl="5" w:tentative="0">
      <w:start w:val="1"/>
      <w:numFmt w:val="decimal"/>
      <w:pStyle w:val="236"/>
      <w:suff w:val="nothing"/>
      <w:lvlText w:val="%1.%2.%3.%4.%5.%6　"/>
      <w:lvlJc w:val="left"/>
      <w:pPr>
        <w:ind w:left="0" w:firstLine="0"/>
      </w:pPr>
      <w:rPr>
        <w:rFonts w:hint="eastAsia" w:ascii="黑体" w:hAnsi="Times New Roman" w:eastAsia="黑体"/>
        <w:b w:val="0"/>
        <w:i w:val="0"/>
        <w:sz w:val="21"/>
      </w:rPr>
    </w:lvl>
    <w:lvl w:ilvl="6" w:tentative="0">
      <w:start w:val="1"/>
      <w:numFmt w:val="decimal"/>
      <w:pStyle w:val="23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6DBF04F4"/>
    <w:multiLevelType w:val="multilevel"/>
    <w:tmpl w:val="6DBF04F4"/>
    <w:lvl w:ilvl="0" w:tentative="0">
      <w:start w:val="1"/>
      <w:numFmt w:val="none"/>
      <w:pStyle w:val="204"/>
      <w:suff w:val="nothing"/>
      <w:lvlText w:val="%1注："/>
      <w:lvlJc w:val="left"/>
      <w:pPr>
        <w:ind w:left="363" w:hanging="363"/>
      </w:pPr>
      <w:rPr>
        <w:rFonts w:hint="eastAsia" w:ascii="黑体" w:hAnsi="Times New Roman" w:eastAsia="黑体"/>
        <w:b/>
        <w:i w:val="0"/>
        <w:sz w:val="18"/>
      </w:rPr>
    </w:lvl>
    <w:lvl w:ilvl="1" w:tentative="0">
      <w:start w:val="1"/>
      <w:numFmt w:val="lowerLetter"/>
      <w:lvlText w:val="%2)"/>
      <w:lvlJc w:val="left"/>
      <w:pPr>
        <w:tabs>
          <w:tab w:val="left" w:pos="777"/>
        </w:tabs>
        <w:ind w:left="363" w:hanging="363"/>
      </w:pPr>
      <w:rPr>
        <w:rFonts w:hint="eastAsia"/>
      </w:rPr>
    </w:lvl>
    <w:lvl w:ilvl="2" w:tentative="0">
      <w:start w:val="1"/>
      <w:numFmt w:val="lowerRoman"/>
      <w:lvlText w:val="%3."/>
      <w:lvlJc w:val="right"/>
      <w:pPr>
        <w:tabs>
          <w:tab w:val="left" w:pos="777"/>
        </w:tabs>
        <w:ind w:left="363" w:hanging="363"/>
      </w:pPr>
      <w:rPr>
        <w:rFonts w:hint="eastAsia"/>
      </w:rPr>
    </w:lvl>
    <w:lvl w:ilvl="3" w:tentative="0">
      <w:start w:val="1"/>
      <w:numFmt w:val="decimal"/>
      <w:lvlText w:val="%4."/>
      <w:lvlJc w:val="left"/>
      <w:pPr>
        <w:tabs>
          <w:tab w:val="left" w:pos="777"/>
        </w:tabs>
        <w:ind w:left="363" w:hanging="363"/>
      </w:pPr>
      <w:rPr>
        <w:rFonts w:hint="eastAsia"/>
      </w:rPr>
    </w:lvl>
    <w:lvl w:ilvl="4" w:tentative="0">
      <w:start w:val="1"/>
      <w:numFmt w:val="lowerLetter"/>
      <w:lvlText w:val="%5)"/>
      <w:lvlJc w:val="left"/>
      <w:pPr>
        <w:tabs>
          <w:tab w:val="left" w:pos="777"/>
        </w:tabs>
        <w:ind w:left="363" w:hanging="363"/>
      </w:pPr>
      <w:rPr>
        <w:rFonts w:hint="eastAsia"/>
      </w:rPr>
    </w:lvl>
    <w:lvl w:ilvl="5" w:tentative="0">
      <w:start w:val="1"/>
      <w:numFmt w:val="lowerRoman"/>
      <w:lvlText w:val="%6."/>
      <w:lvlJc w:val="right"/>
      <w:pPr>
        <w:tabs>
          <w:tab w:val="left" w:pos="777"/>
        </w:tabs>
        <w:ind w:left="363" w:hanging="363"/>
      </w:pPr>
      <w:rPr>
        <w:rFonts w:hint="eastAsia"/>
      </w:rPr>
    </w:lvl>
    <w:lvl w:ilvl="6" w:tentative="0">
      <w:start w:val="1"/>
      <w:numFmt w:val="decimal"/>
      <w:lvlText w:val="%7."/>
      <w:lvlJc w:val="left"/>
      <w:pPr>
        <w:tabs>
          <w:tab w:val="left" w:pos="777"/>
        </w:tabs>
        <w:ind w:left="363" w:hanging="363"/>
      </w:pPr>
      <w:rPr>
        <w:rFonts w:hint="eastAsia"/>
      </w:rPr>
    </w:lvl>
    <w:lvl w:ilvl="7" w:tentative="0">
      <w:start w:val="1"/>
      <w:numFmt w:val="lowerLetter"/>
      <w:lvlText w:val="%8)"/>
      <w:lvlJc w:val="left"/>
      <w:pPr>
        <w:tabs>
          <w:tab w:val="left" w:pos="777"/>
        </w:tabs>
        <w:ind w:left="363" w:hanging="363"/>
      </w:pPr>
      <w:rPr>
        <w:rFonts w:hint="eastAsia"/>
      </w:rPr>
    </w:lvl>
    <w:lvl w:ilvl="8" w:tentative="0">
      <w:start w:val="1"/>
      <w:numFmt w:val="lowerRoman"/>
      <w:lvlText w:val="%9."/>
      <w:lvlJc w:val="right"/>
      <w:pPr>
        <w:tabs>
          <w:tab w:val="left" w:pos="777"/>
        </w:tabs>
        <w:ind w:left="363" w:hanging="363"/>
      </w:pPr>
      <w:rPr>
        <w:rFonts w:hint="eastAsia"/>
      </w:rPr>
    </w:lvl>
  </w:abstractNum>
  <w:abstractNum w:abstractNumId="14">
    <w:nsid w:val="6EA9F3ED"/>
    <w:multiLevelType w:val="multilevel"/>
    <w:tmpl w:val="6EA9F3ED"/>
    <w:lvl w:ilvl="0" w:tentative="0">
      <w:start w:val="1"/>
      <w:numFmt w:val="decimal"/>
      <w:lvlText w:val="%1 "/>
      <w:lvlJc w:val="left"/>
      <w:pPr>
        <w:ind w:left="860" w:hanging="440"/>
      </w:pPr>
      <w:rPr>
        <w:rFonts w:hint="eastAsia"/>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2"/>
  </w:num>
  <w:num w:numId="2">
    <w:abstractNumId w:val="8"/>
  </w:num>
  <w:num w:numId="3">
    <w:abstractNumId w:val="3"/>
  </w:num>
  <w:num w:numId="4">
    <w:abstractNumId w:val="13"/>
  </w:num>
  <w:num w:numId="5">
    <w:abstractNumId w:val="1"/>
  </w:num>
  <w:num w:numId="6">
    <w:abstractNumId w:val="4"/>
  </w:num>
  <w:num w:numId="7">
    <w:abstractNumId w:val="5"/>
  </w:num>
  <w:num w:numId="8">
    <w:abstractNumId w:val="0"/>
  </w:num>
  <w:num w:numId="9">
    <w:abstractNumId w:val="12"/>
  </w:num>
  <w:num w:numId="10">
    <w:abstractNumId w:val="11"/>
  </w:num>
  <w:num w:numId="11">
    <w:abstractNumId w:val="6"/>
  </w:num>
  <w:num w:numId="12">
    <w:abstractNumId w:val="9"/>
  </w:num>
  <w:num w:numId="13">
    <w:abstractNumId w:val="10"/>
  </w:num>
  <w:num w:numId="14">
    <w:abstractNumId w:val="1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trackRevisions w:val="true"/>
  <w:documentProtection w:enforcement="0"/>
  <w:defaultTabStop w:val="420"/>
  <w:drawingGridVerticalSpacing w:val="156"/>
  <w:noPunctuationKerning w:val="true"/>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698"/>
    <w:rsid w:val="000008F6"/>
    <w:rsid w:val="00000F64"/>
    <w:rsid w:val="00001738"/>
    <w:rsid w:val="00001ED6"/>
    <w:rsid w:val="000026D1"/>
    <w:rsid w:val="00002C2B"/>
    <w:rsid w:val="00004D61"/>
    <w:rsid w:val="00004F78"/>
    <w:rsid w:val="000057E6"/>
    <w:rsid w:val="00007008"/>
    <w:rsid w:val="00007D0B"/>
    <w:rsid w:val="00010438"/>
    <w:rsid w:val="00011F3C"/>
    <w:rsid w:val="00012BF3"/>
    <w:rsid w:val="0001508E"/>
    <w:rsid w:val="000161BA"/>
    <w:rsid w:val="00016D80"/>
    <w:rsid w:val="00020D5E"/>
    <w:rsid w:val="000223AE"/>
    <w:rsid w:val="0002578F"/>
    <w:rsid w:val="00026822"/>
    <w:rsid w:val="00031876"/>
    <w:rsid w:val="00032944"/>
    <w:rsid w:val="000354AA"/>
    <w:rsid w:val="00035742"/>
    <w:rsid w:val="00035A49"/>
    <w:rsid w:val="00037E61"/>
    <w:rsid w:val="00040051"/>
    <w:rsid w:val="0004110B"/>
    <w:rsid w:val="00041572"/>
    <w:rsid w:val="000429C6"/>
    <w:rsid w:val="00044225"/>
    <w:rsid w:val="00044968"/>
    <w:rsid w:val="00046F24"/>
    <w:rsid w:val="00047082"/>
    <w:rsid w:val="00047202"/>
    <w:rsid w:val="00050AE7"/>
    <w:rsid w:val="00050BA4"/>
    <w:rsid w:val="00050C83"/>
    <w:rsid w:val="00050FB8"/>
    <w:rsid w:val="00051A48"/>
    <w:rsid w:val="00051EEA"/>
    <w:rsid w:val="00052E61"/>
    <w:rsid w:val="00053241"/>
    <w:rsid w:val="000543A8"/>
    <w:rsid w:val="00055070"/>
    <w:rsid w:val="00056AEC"/>
    <w:rsid w:val="00056B24"/>
    <w:rsid w:val="000570A6"/>
    <w:rsid w:val="00060248"/>
    <w:rsid w:val="00060604"/>
    <w:rsid w:val="00061BE4"/>
    <w:rsid w:val="00062B7D"/>
    <w:rsid w:val="00063458"/>
    <w:rsid w:val="000654DF"/>
    <w:rsid w:val="00066118"/>
    <w:rsid w:val="00066871"/>
    <w:rsid w:val="00071D70"/>
    <w:rsid w:val="0007217F"/>
    <w:rsid w:val="000739A2"/>
    <w:rsid w:val="00080937"/>
    <w:rsid w:val="00080E46"/>
    <w:rsid w:val="00080E84"/>
    <w:rsid w:val="00081001"/>
    <w:rsid w:val="000823C8"/>
    <w:rsid w:val="00085506"/>
    <w:rsid w:val="000859B0"/>
    <w:rsid w:val="00086985"/>
    <w:rsid w:val="000912E0"/>
    <w:rsid w:val="000915CE"/>
    <w:rsid w:val="000923C0"/>
    <w:rsid w:val="00093827"/>
    <w:rsid w:val="000946A5"/>
    <w:rsid w:val="00097434"/>
    <w:rsid w:val="0009757F"/>
    <w:rsid w:val="00097911"/>
    <w:rsid w:val="000979DC"/>
    <w:rsid w:val="00097C5C"/>
    <w:rsid w:val="000A0E75"/>
    <w:rsid w:val="000A18E2"/>
    <w:rsid w:val="000A2CDA"/>
    <w:rsid w:val="000A2FF5"/>
    <w:rsid w:val="000A36C8"/>
    <w:rsid w:val="000A4BCD"/>
    <w:rsid w:val="000A772F"/>
    <w:rsid w:val="000B00D3"/>
    <w:rsid w:val="000B1069"/>
    <w:rsid w:val="000B229E"/>
    <w:rsid w:val="000B34EB"/>
    <w:rsid w:val="000B420B"/>
    <w:rsid w:val="000B75F1"/>
    <w:rsid w:val="000C03F7"/>
    <w:rsid w:val="000C0BBF"/>
    <w:rsid w:val="000C0BC9"/>
    <w:rsid w:val="000C17E4"/>
    <w:rsid w:val="000C3145"/>
    <w:rsid w:val="000C3482"/>
    <w:rsid w:val="000C5C1D"/>
    <w:rsid w:val="000C7D84"/>
    <w:rsid w:val="000D06DC"/>
    <w:rsid w:val="000D114A"/>
    <w:rsid w:val="000D1F4A"/>
    <w:rsid w:val="000D3651"/>
    <w:rsid w:val="000D370C"/>
    <w:rsid w:val="000D40E9"/>
    <w:rsid w:val="000D5B6E"/>
    <w:rsid w:val="000D5F00"/>
    <w:rsid w:val="000E173A"/>
    <w:rsid w:val="000E1BA7"/>
    <w:rsid w:val="000E419A"/>
    <w:rsid w:val="000E5521"/>
    <w:rsid w:val="000E555F"/>
    <w:rsid w:val="000E702A"/>
    <w:rsid w:val="000E738F"/>
    <w:rsid w:val="000F0B27"/>
    <w:rsid w:val="000F132C"/>
    <w:rsid w:val="000F4EFD"/>
    <w:rsid w:val="000F4F97"/>
    <w:rsid w:val="000F5E33"/>
    <w:rsid w:val="000F621B"/>
    <w:rsid w:val="000F6257"/>
    <w:rsid w:val="000F6D84"/>
    <w:rsid w:val="00101E89"/>
    <w:rsid w:val="00102917"/>
    <w:rsid w:val="001104FA"/>
    <w:rsid w:val="00113083"/>
    <w:rsid w:val="001134F2"/>
    <w:rsid w:val="00116BD7"/>
    <w:rsid w:val="00117DC5"/>
    <w:rsid w:val="0012285D"/>
    <w:rsid w:val="0012289B"/>
    <w:rsid w:val="0012301E"/>
    <w:rsid w:val="00124521"/>
    <w:rsid w:val="00125AA5"/>
    <w:rsid w:val="001268D4"/>
    <w:rsid w:val="00126D46"/>
    <w:rsid w:val="0012776E"/>
    <w:rsid w:val="00130460"/>
    <w:rsid w:val="00130C90"/>
    <w:rsid w:val="00130E74"/>
    <w:rsid w:val="001321AB"/>
    <w:rsid w:val="001333B9"/>
    <w:rsid w:val="001334E1"/>
    <w:rsid w:val="00136003"/>
    <w:rsid w:val="001364E2"/>
    <w:rsid w:val="001376A1"/>
    <w:rsid w:val="00137F48"/>
    <w:rsid w:val="00142245"/>
    <w:rsid w:val="001455B0"/>
    <w:rsid w:val="0014579E"/>
    <w:rsid w:val="00145BFC"/>
    <w:rsid w:val="001511FF"/>
    <w:rsid w:val="00151332"/>
    <w:rsid w:val="001518DB"/>
    <w:rsid w:val="0015284D"/>
    <w:rsid w:val="001529A2"/>
    <w:rsid w:val="001543E3"/>
    <w:rsid w:val="0015488F"/>
    <w:rsid w:val="00154ED2"/>
    <w:rsid w:val="00155910"/>
    <w:rsid w:val="00156244"/>
    <w:rsid w:val="00164192"/>
    <w:rsid w:val="00164859"/>
    <w:rsid w:val="001663B7"/>
    <w:rsid w:val="00170A75"/>
    <w:rsid w:val="00170FEE"/>
    <w:rsid w:val="00171E09"/>
    <w:rsid w:val="001729E4"/>
    <w:rsid w:val="00175BB6"/>
    <w:rsid w:val="001776EB"/>
    <w:rsid w:val="0018081B"/>
    <w:rsid w:val="001838B8"/>
    <w:rsid w:val="00184B24"/>
    <w:rsid w:val="001855D9"/>
    <w:rsid w:val="00193FD0"/>
    <w:rsid w:val="00194E9E"/>
    <w:rsid w:val="00195404"/>
    <w:rsid w:val="001955F8"/>
    <w:rsid w:val="00195792"/>
    <w:rsid w:val="001964AA"/>
    <w:rsid w:val="00196DBA"/>
    <w:rsid w:val="0019722E"/>
    <w:rsid w:val="001A2CB3"/>
    <w:rsid w:val="001A2D2B"/>
    <w:rsid w:val="001A55D4"/>
    <w:rsid w:val="001A5899"/>
    <w:rsid w:val="001A6CC6"/>
    <w:rsid w:val="001A7B0D"/>
    <w:rsid w:val="001B0A43"/>
    <w:rsid w:val="001B2A5C"/>
    <w:rsid w:val="001B30F6"/>
    <w:rsid w:val="001B5A33"/>
    <w:rsid w:val="001B607F"/>
    <w:rsid w:val="001B78B0"/>
    <w:rsid w:val="001C00FD"/>
    <w:rsid w:val="001C0239"/>
    <w:rsid w:val="001C0601"/>
    <w:rsid w:val="001C09FA"/>
    <w:rsid w:val="001C1C78"/>
    <w:rsid w:val="001C21BF"/>
    <w:rsid w:val="001C3098"/>
    <w:rsid w:val="001C4240"/>
    <w:rsid w:val="001C6935"/>
    <w:rsid w:val="001C6F94"/>
    <w:rsid w:val="001C799F"/>
    <w:rsid w:val="001C7BE8"/>
    <w:rsid w:val="001C7F26"/>
    <w:rsid w:val="001D24C1"/>
    <w:rsid w:val="001D55C3"/>
    <w:rsid w:val="001D7BA6"/>
    <w:rsid w:val="001E1710"/>
    <w:rsid w:val="001E37F5"/>
    <w:rsid w:val="001E61C5"/>
    <w:rsid w:val="001E71FB"/>
    <w:rsid w:val="001F00EA"/>
    <w:rsid w:val="001F0F0D"/>
    <w:rsid w:val="001F13BD"/>
    <w:rsid w:val="001F3921"/>
    <w:rsid w:val="001F47A1"/>
    <w:rsid w:val="001F603D"/>
    <w:rsid w:val="00200BA5"/>
    <w:rsid w:val="00200EE7"/>
    <w:rsid w:val="002023B6"/>
    <w:rsid w:val="0020564A"/>
    <w:rsid w:val="00205BE3"/>
    <w:rsid w:val="002100D9"/>
    <w:rsid w:val="00210126"/>
    <w:rsid w:val="00211002"/>
    <w:rsid w:val="00211608"/>
    <w:rsid w:val="002116D9"/>
    <w:rsid w:val="00213133"/>
    <w:rsid w:val="00215B9A"/>
    <w:rsid w:val="002160BC"/>
    <w:rsid w:val="002161FB"/>
    <w:rsid w:val="002164B2"/>
    <w:rsid w:val="00216D20"/>
    <w:rsid w:val="00220D35"/>
    <w:rsid w:val="002210C3"/>
    <w:rsid w:val="00222ABF"/>
    <w:rsid w:val="00223234"/>
    <w:rsid w:val="002232B5"/>
    <w:rsid w:val="002237A6"/>
    <w:rsid w:val="00224109"/>
    <w:rsid w:val="0022579C"/>
    <w:rsid w:val="0022737F"/>
    <w:rsid w:val="002307AF"/>
    <w:rsid w:val="00230DCF"/>
    <w:rsid w:val="002314B6"/>
    <w:rsid w:val="00235A97"/>
    <w:rsid w:val="0023657B"/>
    <w:rsid w:val="00240641"/>
    <w:rsid w:val="00240D25"/>
    <w:rsid w:val="00242055"/>
    <w:rsid w:val="00242A4B"/>
    <w:rsid w:val="00243567"/>
    <w:rsid w:val="0024522E"/>
    <w:rsid w:val="00246194"/>
    <w:rsid w:val="0025175C"/>
    <w:rsid w:val="0025194F"/>
    <w:rsid w:val="00251A03"/>
    <w:rsid w:val="002520BB"/>
    <w:rsid w:val="00252B47"/>
    <w:rsid w:val="00253026"/>
    <w:rsid w:val="0025463B"/>
    <w:rsid w:val="002548E3"/>
    <w:rsid w:val="00254C13"/>
    <w:rsid w:val="0025555D"/>
    <w:rsid w:val="002562C4"/>
    <w:rsid w:val="00256874"/>
    <w:rsid w:val="00257A54"/>
    <w:rsid w:val="00262AD3"/>
    <w:rsid w:val="00262D04"/>
    <w:rsid w:val="00265B7C"/>
    <w:rsid w:val="002665CE"/>
    <w:rsid w:val="002666D7"/>
    <w:rsid w:val="00266E5B"/>
    <w:rsid w:val="0027000B"/>
    <w:rsid w:val="00270765"/>
    <w:rsid w:val="00272AAA"/>
    <w:rsid w:val="00280598"/>
    <w:rsid w:val="002807F3"/>
    <w:rsid w:val="0028101B"/>
    <w:rsid w:val="00282946"/>
    <w:rsid w:val="00283095"/>
    <w:rsid w:val="002838D0"/>
    <w:rsid w:val="00283FE2"/>
    <w:rsid w:val="002841E5"/>
    <w:rsid w:val="002843A4"/>
    <w:rsid w:val="00284F34"/>
    <w:rsid w:val="00286674"/>
    <w:rsid w:val="00286A85"/>
    <w:rsid w:val="00286B98"/>
    <w:rsid w:val="002874B2"/>
    <w:rsid w:val="002903EB"/>
    <w:rsid w:val="00290CBF"/>
    <w:rsid w:val="00290DC4"/>
    <w:rsid w:val="00292B7E"/>
    <w:rsid w:val="00293D08"/>
    <w:rsid w:val="00295513"/>
    <w:rsid w:val="00297CF1"/>
    <w:rsid w:val="002A0D70"/>
    <w:rsid w:val="002A15C4"/>
    <w:rsid w:val="002A2A30"/>
    <w:rsid w:val="002A2D92"/>
    <w:rsid w:val="002A3CDD"/>
    <w:rsid w:val="002A645A"/>
    <w:rsid w:val="002A6646"/>
    <w:rsid w:val="002A7B96"/>
    <w:rsid w:val="002B10CE"/>
    <w:rsid w:val="002B29D7"/>
    <w:rsid w:val="002B51CC"/>
    <w:rsid w:val="002B581C"/>
    <w:rsid w:val="002B6D4D"/>
    <w:rsid w:val="002B6DA7"/>
    <w:rsid w:val="002C0E71"/>
    <w:rsid w:val="002C18F5"/>
    <w:rsid w:val="002C1A86"/>
    <w:rsid w:val="002C1FE1"/>
    <w:rsid w:val="002C2EE0"/>
    <w:rsid w:val="002C44E0"/>
    <w:rsid w:val="002C45B0"/>
    <w:rsid w:val="002C4BE7"/>
    <w:rsid w:val="002C5C57"/>
    <w:rsid w:val="002D0066"/>
    <w:rsid w:val="002D0234"/>
    <w:rsid w:val="002D1F5D"/>
    <w:rsid w:val="002D2990"/>
    <w:rsid w:val="002D3342"/>
    <w:rsid w:val="002D34F8"/>
    <w:rsid w:val="002D369B"/>
    <w:rsid w:val="002D4C6E"/>
    <w:rsid w:val="002D6ABB"/>
    <w:rsid w:val="002D72C3"/>
    <w:rsid w:val="002E0C8F"/>
    <w:rsid w:val="002E0F7A"/>
    <w:rsid w:val="002E119D"/>
    <w:rsid w:val="002E5130"/>
    <w:rsid w:val="002F026C"/>
    <w:rsid w:val="002F0BE6"/>
    <w:rsid w:val="002F2DDC"/>
    <w:rsid w:val="002F3BCF"/>
    <w:rsid w:val="002F6433"/>
    <w:rsid w:val="002F734D"/>
    <w:rsid w:val="0030062B"/>
    <w:rsid w:val="0030743F"/>
    <w:rsid w:val="00312ECC"/>
    <w:rsid w:val="003131B0"/>
    <w:rsid w:val="00315C96"/>
    <w:rsid w:val="0031642E"/>
    <w:rsid w:val="003173A7"/>
    <w:rsid w:val="003176FD"/>
    <w:rsid w:val="00317C34"/>
    <w:rsid w:val="00320B76"/>
    <w:rsid w:val="00320BDF"/>
    <w:rsid w:val="00321861"/>
    <w:rsid w:val="003227B5"/>
    <w:rsid w:val="0032475F"/>
    <w:rsid w:val="0032575A"/>
    <w:rsid w:val="00325DD1"/>
    <w:rsid w:val="00325E5B"/>
    <w:rsid w:val="00326B82"/>
    <w:rsid w:val="00327847"/>
    <w:rsid w:val="00330128"/>
    <w:rsid w:val="003303CB"/>
    <w:rsid w:val="003316A0"/>
    <w:rsid w:val="003343D4"/>
    <w:rsid w:val="00335BE7"/>
    <w:rsid w:val="00335CF3"/>
    <w:rsid w:val="00336ED3"/>
    <w:rsid w:val="00337157"/>
    <w:rsid w:val="003413EC"/>
    <w:rsid w:val="003427BE"/>
    <w:rsid w:val="00342CEC"/>
    <w:rsid w:val="003437FF"/>
    <w:rsid w:val="003453AD"/>
    <w:rsid w:val="00345690"/>
    <w:rsid w:val="003456A9"/>
    <w:rsid w:val="00345FB4"/>
    <w:rsid w:val="00350B5F"/>
    <w:rsid w:val="0035152D"/>
    <w:rsid w:val="00351BB0"/>
    <w:rsid w:val="00352F85"/>
    <w:rsid w:val="003550DD"/>
    <w:rsid w:val="003552AB"/>
    <w:rsid w:val="00355FFE"/>
    <w:rsid w:val="00360021"/>
    <w:rsid w:val="0036013E"/>
    <w:rsid w:val="00360216"/>
    <w:rsid w:val="00360481"/>
    <w:rsid w:val="00361EAF"/>
    <w:rsid w:val="003627AF"/>
    <w:rsid w:val="003635F3"/>
    <w:rsid w:val="0036543C"/>
    <w:rsid w:val="003656CB"/>
    <w:rsid w:val="003657BF"/>
    <w:rsid w:val="00366356"/>
    <w:rsid w:val="00366379"/>
    <w:rsid w:val="00366B61"/>
    <w:rsid w:val="0037137D"/>
    <w:rsid w:val="003715FA"/>
    <w:rsid w:val="0037534E"/>
    <w:rsid w:val="00376A12"/>
    <w:rsid w:val="0038015C"/>
    <w:rsid w:val="00382E14"/>
    <w:rsid w:val="00383E5A"/>
    <w:rsid w:val="00385F17"/>
    <w:rsid w:val="00387354"/>
    <w:rsid w:val="003877CF"/>
    <w:rsid w:val="003913BA"/>
    <w:rsid w:val="00391D49"/>
    <w:rsid w:val="00391DC8"/>
    <w:rsid w:val="00392782"/>
    <w:rsid w:val="00392A7D"/>
    <w:rsid w:val="00392C61"/>
    <w:rsid w:val="00392D51"/>
    <w:rsid w:val="00397531"/>
    <w:rsid w:val="003A1ADE"/>
    <w:rsid w:val="003A2CD8"/>
    <w:rsid w:val="003A326E"/>
    <w:rsid w:val="003A474F"/>
    <w:rsid w:val="003A5588"/>
    <w:rsid w:val="003A55E6"/>
    <w:rsid w:val="003A59F4"/>
    <w:rsid w:val="003A633F"/>
    <w:rsid w:val="003B039A"/>
    <w:rsid w:val="003B07DB"/>
    <w:rsid w:val="003B0EB3"/>
    <w:rsid w:val="003B108C"/>
    <w:rsid w:val="003B304C"/>
    <w:rsid w:val="003B5EF8"/>
    <w:rsid w:val="003B7C59"/>
    <w:rsid w:val="003C0565"/>
    <w:rsid w:val="003C3281"/>
    <w:rsid w:val="003C32A6"/>
    <w:rsid w:val="003C3533"/>
    <w:rsid w:val="003C5881"/>
    <w:rsid w:val="003C5932"/>
    <w:rsid w:val="003C66AC"/>
    <w:rsid w:val="003C6F31"/>
    <w:rsid w:val="003C7FA7"/>
    <w:rsid w:val="003D080C"/>
    <w:rsid w:val="003D0C3D"/>
    <w:rsid w:val="003D1758"/>
    <w:rsid w:val="003D1BAA"/>
    <w:rsid w:val="003D1ED7"/>
    <w:rsid w:val="003D2531"/>
    <w:rsid w:val="003D27ED"/>
    <w:rsid w:val="003D4738"/>
    <w:rsid w:val="003D4984"/>
    <w:rsid w:val="003D6F75"/>
    <w:rsid w:val="003D7593"/>
    <w:rsid w:val="003D7A2E"/>
    <w:rsid w:val="003E0377"/>
    <w:rsid w:val="003E2DD1"/>
    <w:rsid w:val="003E3914"/>
    <w:rsid w:val="003E3B68"/>
    <w:rsid w:val="003E4235"/>
    <w:rsid w:val="003E4F9F"/>
    <w:rsid w:val="003E5314"/>
    <w:rsid w:val="003E6005"/>
    <w:rsid w:val="003E7366"/>
    <w:rsid w:val="003F0054"/>
    <w:rsid w:val="003F0644"/>
    <w:rsid w:val="003F2EC3"/>
    <w:rsid w:val="003F311B"/>
    <w:rsid w:val="003F4D2D"/>
    <w:rsid w:val="003F54F9"/>
    <w:rsid w:val="003F65D0"/>
    <w:rsid w:val="003F6B42"/>
    <w:rsid w:val="003F70B6"/>
    <w:rsid w:val="004027E2"/>
    <w:rsid w:val="004114E3"/>
    <w:rsid w:val="00412777"/>
    <w:rsid w:val="004149FB"/>
    <w:rsid w:val="00415F17"/>
    <w:rsid w:val="0041623F"/>
    <w:rsid w:val="004168C8"/>
    <w:rsid w:val="00417B54"/>
    <w:rsid w:val="00421187"/>
    <w:rsid w:val="004225BA"/>
    <w:rsid w:val="0042261E"/>
    <w:rsid w:val="00422D44"/>
    <w:rsid w:val="0042657B"/>
    <w:rsid w:val="00430183"/>
    <w:rsid w:val="00430867"/>
    <w:rsid w:val="004317FE"/>
    <w:rsid w:val="00433102"/>
    <w:rsid w:val="00433F5D"/>
    <w:rsid w:val="004347B1"/>
    <w:rsid w:val="00436169"/>
    <w:rsid w:val="004366D4"/>
    <w:rsid w:val="00441E2E"/>
    <w:rsid w:val="004431BB"/>
    <w:rsid w:val="00444D22"/>
    <w:rsid w:val="004452DA"/>
    <w:rsid w:val="0044562C"/>
    <w:rsid w:val="00446DB7"/>
    <w:rsid w:val="00446F8C"/>
    <w:rsid w:val="00447BF1"/>
    <w:rsid w:val="0045099F"/>
    <w:rsid w:val="00450BA8"/>
    <w:rsid w:val="0045151F"/>
    <w:rsid w:val="00454BC0"/>
    <w:rsid w:val="00455ED0"/>
    <w:rsid w:val="004561F9"/>
    <w:rsid w:val="00460553"/>
    <w:rsid w:val="00460947"/>
    <w:rsid w:val="00463615"/>
    <w:rsid w:val="00464FB6"/>
    <w:rsid w:val="004658AB"/>
    <w:rsid w:val="00470D3F"/>
    <w:rsid w:val="00470ED3"/>
    <w:rsid w:val="00470FB0"/>
    <w:rsid w:val="00471301"/>
    <w:rsid w:val="004722BA"/>
    <w:rsid w:val="00472D2C"/>
    <w:rsid w:val="00473ABB"/>
    <w:rsid w:val="00474FEB"/>
    <w:rsid w:val="00476D96"/>
    <w:rsid w:val="004770E4"/>
    <w:rsid w:val="004802D3"/>
    <w:rsid w:val="00480CD8"/>
    <w:rsid w:val="00481C77"/>
    <w:rsid w:val="00482D6F"/>
    <w:rsid w:val="00486449"/>
    <w:rsid w:val="004868C5"/>
    <w:rsid w:val="00487B1C"/>
    <w:rsid w:val="00490411"/>
    <w:rsid w:val="0049050E"/>
    <w:rsid w:val="00491DF7"/>
    <w:rsid w:val="00494D4F"/>
    <w:rsid w:val="004953DC"/>
    <w:rsid w:val="004969CF"/>
    <w:rsid w:val="004978E1"/>
    <w:rsid w:val="00497E1F"/>
    <w:rsid w:val="004A2512"/>
    <w:rsid w:val="004A4073"/>
    <w:rsid w:val="004A617C"/>
    <w:rsid w:val="004B01D6"/>
    <w:rsid w:val="004B122F"/>
    <w:rsid w:val="004B2A51"/>
    <w:rsid w:val="004B2FCF"/>
    <w:rsid w:val="004B31B6"/>
    <w:rsid w:val="004B4CFA"/>
    <w:rsid w:val="004B6A03"/>
    <w:rsid w:val="004B7805"/>
    <w:rsid w:val="004C2100"/>
    <w:rsid w:val="004C7BD4"/>
    <w:rsid w:val="004D41CC"/>
    <w:rsid w:val="004D4D51"/>
    <w:rsid w:val="004D564A"/>
    <w:rsid w:val="004D7FBA"/>
    <w:rsid w:val="004E0CF5"/>
    <w:rsid w:val="004E2191"/>
    <w:rsid w:val="004E2D02"/>
    <w:rsid w:val="004E3225"/>
    <w:rsid w:val="004E4EB3"/>
    <w:rsid w:val="004E7805"/>
    <w:rsid w:val="004F1CEB"/>
    <w:rsid w:val="004F2760"/>
    <w:rsid w:val="004F289B"/>
    <w:rsid w:val="004F3B98"/>
    <w:rsid w:val="004F41AE"/>
    <w:rsid w:val="004F69BA"/>
    <w:rsid w:val="005005EF"/>
    <w:rsid w:val="00501F7D"/>
    <w:rsid w:val="005054E9"/>
    <w:rsid w:val="00506511"/>
    <w:rsid w:val="00510B59"/>
    <w:rsid w:val="00510C13"/>
    <w:rsid w:val="00510E94"/>
    <w:rsid w:val="005113BD"/>
    <w:rsid w:val="00513EE4"/>
    <w:rsid w:val="005153DF"/>
    <w:rsid w:val="005160A2"/>
    <w:rsid w:val="005163A0"/>
    <w:rsid w:val="00517395"/>
    <w:rsid w:val="005212DB"/>
    <w:rsid w:val="00522489"/>
    <w:rsid w:val="005236A4"/>
    <w:rsid w:val="00525160"/>
    <w:rsid w:val="00526966"/>
    <w:rsid w:val="005269B1"/>
    <w:rsid w:val="005305D1"/>
    <w:rsid w:val="0053133D"/>
    <w:rsid w:val="0053264E"/>
    <w:rsid w:val="00533FAC"/>
    <w:rsid w:val="005341E5"/>
    <w:rsid w:val="005346A9"/>
    <w:rsid w:val="00534F26"/>
    <w:rsid w:val="005351BF"/>
    <w:rsid w:val="00536EB8"/>
    <w:rsid w:val="00537F09"/>
    <w:rsid w:val="005414F5"/>
    <w:rsid w:val="005435BA"/>
    <w:rsid w:val="005445A2"/>
    <w:rsid w:val="00545C0E"/>
    <w:rsid w:val="005460DE"/>
    <w:rsid w:val="00546B55"/>
    <w:rsid w:val="00547B87"/>
    <w:rsid w:val="00550077"/>
    <w:rsid w:val="005521FD"/>
    <w:rsid w:val="00552285"/>
    <w:rsid w:val="00552810"/>
    <w:rsid w:val="00552984"/>
    <w:rsid w:val="00552B77"/>
    <w:rsid w:val="005543E0"/>
    <w:rsid w:val="00555627"/>
    <w:rsid w:val="0055588D"/>
    <w:rsid w:val="00556CE3"/>
    <w:rsid w:val="005579AB"/>
    <w:rsid w:val="00557BAC"/>
    <w:rsid w:val="00560761"/>
    <w:rsid w:val="00560A04"/>
    <w:rsid w:val="00560C52"/>
    <w:rsid w:val="00560D4E"/>
    <w:rsid w:val="00562CB6"/>
    <w:rsid w:val="00563048"/>
    <w:rsid w:val="005639D4"/>
    <w:rsid w:val="00563E66"/>
    <w:rsid w:val="00565190"/>
    <w:rsid w:val="00566AA4"/>
    <w:rsid w:val="00566E09"/>
    <w:rsid w:val="005732B0"/>
    <w:rsid w:val="0057644E"/>
    <w:rsid w:val="00576C54"/>
    <w:rsid w:val="00576CFF"/>
    <w:rsid w:val="005839C5"/>
    <w:rsid w:val="005858BD"/>
    <w:rsid w:val="005865A0"/>
    <w:rsid w:val="00587C33"/>
    <w:rsid w:val="005913E5"/>
    <w:rsid w:val="0059217A"/>
    <w:rsid w:val="00592960"/>
    <w:rsid w:val="00594966"/>
    <w:rsid w:val="00596AA2"/>
    <w:rsid w:val="00596E10"/>
    <w:rsid w:val="005A13F9"/>
    <w:rsid w:val="005A1CF6"/>
    <w:rsid w:val="005A222D"/>
    <w:rsid w:val="005A292C"/>
    <w:rsid w:val="005A2CFE"/>
    <w:rsid w:val="005A3DCE"/>
    <w:rsid w:val="005A5144"/>
    <w:rsid w:val="005A553C"/>
    <w:rsid w:val="005A7058"/>
    <w:rsid w:val="005A768B"/>
    <w:rsid w:val="005B0406"/>
    <w:rsid w:val="005B054E"/>
    <w:rsid w:val="005B344E"/>
    <w:rsid w:val="005B3CF7"/>
    <w:rsid w:val="005B5C8D"/>
    <w:rsid w:val="005C057F"/>
    <w:rsid w:val="005C3146"/>
    <w:rsid w:val="005C3AB5"/>
    <w:rsid w:val="005C4296"/>
    <w:rsid w:val="005C6F43"/>
    <w:rsid w:val="005D2BD1"/>
    <w:rsid w:val="005D35F9"/>
    <w:rsid w:val="005D5429"/>
    <w:rsid w:val="005D56C9"/>
    <w:rsid w:val="005D6C1A"/>
    <w:rsid w:val="005D7ADA"/>
    <w:rsid w:val="005D7D6E"/>
    <w:rsid w:val="005E0311"/>
    <w:rsid w:val="005E0565"/>
    <w:rsid w:val="005E0729"/>
    <w:rsid w:val="005E08A8"/>
    <w:rsid w:val="005E1299"/>
    <w:rsid w:val="005E1E90"/>
    <w:rsid w:val="005E2577"/>
    <w:rsid w:val="005E5385"/>
    <w:rsid w:val="005E5607"/>
    <w:rsid w:val="005E6035"/>
    <w:rsid w:val="005E7581"/>
    <w:rsid w:val="005F0D31"/>
    <w:rsid w:val="005F1701"/>
    <w:rsid w:val="005F18E3"/>
    <w:rsid w:val="005F6BFF"/>
    <w:rsid w:val="005F7357"/>
    <w:rsid w:val="005F77FB"/>
    <w:rsid w:val="005F7A1D"/>
    <w:rsid w:val="005F7E6A"/>
    <w:rsid w:val="00602F0C"/>
    <w:rsid w:val="00603FD2"/>
    <w:rsid w:val="00604312"/>
    <w:rsid w:val="0060476B"/>
    <w:rsid w:val="00604F7A"/>
    <w:rsid w:val="006108FB"/>
    <w:rsid w:val="006129D7"/>
    <w:rsid w:val="00614931"/>
    <w:rsid w:val="00615162"/>
    <w:rsid w:val="0061556D"/>
    <w:rsid w:val="00615875"/>
    <w:rsid w:val="00616A1C"/>
    <w:rsid w:val="00621FE8"/>
    <w:rsid w:val="00623176"/>
    <w:rsid w:val="00623E3D"/>
    <w:rsid w:val="00623E4A"/>
    <w:rsid w:val="00630E9B"/>
    <w:rsid w:val="00631CC2"/>
    <w:rsid w:val="00634329"/>
    <w:rsid w:val="00641179"/>
    <w:rsid w:val="00641356"/>
    <w:rsid w:val="00642D2C"/>
    <w:rsid w:val="0064381E"/>
    <w:rsid w:val="0064388A"/>
    <w:rsid w:val="00643F58"/>
    <w:rsid w:val="006442F1"/>
    <w:rsid w:val="00645560"/>
    <w:rsid w:val="00646562"/>
    <w:rsid w:val="00646BA5"/>
    <w:rsid w:val="00655DA1"/>
    <w:rsid w:val="00656009"/>
    <w:rsid w:val="0065696E"/>
    <w:rsid w:val="00661C45"/>
    <w:rsid w:val="00663DD7"/>
    <w:rsid w:val="00667108"/>
    <w:rsid w:val="006715F8"/>
    <w:rsid w:val="00671E86"/>
    <w:rsid w:val="00672022"/>
    <w:rsid w:val="006724BF"/>
    <w:rsid w:val="00674214"/>
    <w:rsid w:val="00674F78"/>
    <w:rsid w:val="006750F9"/>
    <w:rsid w:val="0067517F"/>
    <w:rsid w:val="00676F46"/>
    <w:rsid w:val="00677289"/>
    <w:rsid w:val="00677BE4"/>
    <w:rsid w:val="00682F18"/>
    <w:rsid w:val="006833E2"/>
    <w:rsid w:val="00683C52"/>
    <w:rsid w:val="00686C1A"/>
    <w:rsid w:val="006878EE"/>
    <w:rsid w:val="00690486"/>
    <w:rsid w:val="0069075D"/>
    <w:rsid w:val="00690F12"/>
    <w:rsid w:val="006945B3"/>
    <w:rsid w:val="006974DB"/>
    <w:rsid w:val="00697D83"/>
    <w:rsid w:val="006A0419"/>
    <w:rsid w:val="006A4C4E"/>
    <w:rsid w:val="006A5B2A"/>
    <w:rsid w:val="006A708D"/>
    <w:rsid w:val="006B2E4E"/>
    <w:rsid w:val="006B7F5B"/>
    <w:rsid w:val="006C09EB"/>
    <w:rsid w:val="006C0CB7"/>
    <w:rsid w:val="006C0E47"/>
    <w:rsid w:val="006C1EC5"/>
    <w:rsid w:val="006C2237"/>
    <w:rsid w:val="006C2436"/>
    <w:rsid w:val="006C30AB"/>
    <w:rsid w:val="006C3D63"/>
    <w:rsid w:val="006C534E"/>
    <w:rsid w:val="006C7AF6"/>
    <w:rsid w:val="006C7E9A"/>
    <w:rsid w:val="006D09A0"/>
    <w:rsid w:val="006D0B8D"/>
    <w:rsid w:val="006D17A2"/>
    <w:rsid w:val="006D225D"/>
    <w:rsid w:val="006D2E25"/>
    <w:rsid w:val="006D3ADE"/>
    <w:rsid w:val="006D3B6F"/>
    <w:rsid w:val="006D528E"/>
    <w:rsid w:val="006D5C1C"/>
    <w:rsid w:val="006D64FD"/>
    <w:rsid w:val="006D6F1D"/>
    <w:rsid w:val="006D7D98"/>
    <w:rsid w:val="006E204A"/>
    <w:rsid w:val="006E2EA7"/>
    <w:rsid w:val="006E62FE"/>
    <w:rsid w:val="006F3EE7"/>
    <w:rsid w:val="006F5A6B"/>
    <w:rsid w:val="006F6270"/>
    <w:rsid w:val="006F6D4C"/>
    <w:rsid w:val="006F6FA2"/>
    <w:rsid w:val="00701D63"/>
    <w:rsid w:val="0070248C"/>
    <w:rsid w:val="00702A87"/>
    <w:rsid w:val="007047CE"/>
    <w:rsid w:val="00704A0E"/>
    <w:rsid w:val="00705490"/>
    <w:rsid w:val="00705BCE"/>
    <w:rsid w:val="00706AC6"/>
    <w:rsid w:val="00706C01"/>
    <w:rsid w:val="00706E6B"/>
    <w:rsid w:val="00707CF1"/>
    <w:rsid w:val="00710DF2"/>
    <w:rsid w:val="00711208"/>
    <w:rsid w:val="00712253"/>
    <w:rsid w:val="0071299E"/>
    <w:rsid w:val="007162AC"/>
    <w:rsid w:val="007171AC"/>
    <w:rsid w:val="007223C6"/>
    <w:rsid w:val="00723DD1"/>
    <w:rsid w:val="007254DF"/>
    <w:rsid w:val="00726191"/>
    <w:rsid w:val="00726B78"/>
    <w:rsid w:val="00730F8C"/>
    <w:rsid w:val="0073111A"/>
    <w:rsid w:val="00731A23"/>
    <w:rsid w:val="00732AE5"/>
    <w:rsid w:val="00732C7F"/>
    <w:rsid w:val="0073407B"/>
    <w:rsid w:val="00735C41"/>
    <w:rsid w:val="00741457"/>
    <w:rsid w:val="007416D3"/>
    <w:rsid w:val="007436C3"/>
    <w:rsid w:val="00744035"/>
    <w:rsid w:val="00744C38"/>
    <w:rsid w:val="0074571C"/>
    <w:rsid w:val="00747D80"/>
    <w:rsid w:val="0075128A"/>
    <w:rsid w:val="007515CC"/>
    <w:rsid w:val="0075281B"/>
    <w:rsid w:val="00752E20"/>
    <w:rsid w:val="00753FED"/>
    <w:rsid w:val="00754142"/>
    <w:rsid w:val="00754525"/>
    <w:rsid w:val="0075559F"/>
    <w:rsid w:val="00757399"/>
    <w:rsid w:val="00757432"/>
    <w:rsid w:val="00760377"/>
    <w:rsid w:val="0076082A"/>
    <w:rsid w:val="0076385F"/>
    <w:rsid w:val="007646CC"/>
    <w:rsid w:val="00765A52"/>
    <w:rsid w:val="0076607F"/>
    <w:rsid w:val="00766CDC"/>
    <w:rsid w:val="00767D94"/>
    <w:rsid w:val="0077199D"/>
    <w:rsid w:val="00773081"/>
    <w:rsid w:val="00773B17"/>
    <w:rsid w:val="0077480D"/>
    <w:rsid w:val="00775578"/>
    <w:rsid w:val="00775B5F"/>
    <w:rsid w:val="00777858"/>
    <w:rsid w:val="00777D86"/>
    <w:rsid w:val="007804BE"/>
    <w:rsid w:val="007826DC"/>
    <w:rsid w:val="00782859"/>
    <w:rsid w:val="007837B6"/>
    <w:rsid w:val="00783B59"/>
    <w:rsid w:val="00786124"/>
    <w:rsid w:val="007870C4"/>
    <w:rsid w:val="00790B8A"/>
    <w:rsid w:val="0079294D"/>
    <w:rsid w:val="0079326E"/>
    <w:rsid w:val="00794220"/>
    <w:rsid w:val="00794C0D"/>
    <w:rsid w:val="00794D3B"/>
    <w:rsid w:val="007952FE"/>
    <w:rsid w:val="007960DE"/>
    <w:rsid w:val="00796D97"/>
    <w:rsid w:val="00797696"/>
    <w:rsid w:val="007A1EBC"/>
    <w:rsid w:val="007A2261"/>
    <w:rsid w:val="007A3116"/>
    <w:rsid w:val="007A4207"/>
    <w:rsid w:val="007A6A0E"/>
    <w:rsid w:val="007A7BD5"/>
    <w:rsid w:val="007B131A"/>
    <w:rsid w:val="007B1A0B"/>
    <w:rsid w:val="007B25C9"/>
    <w:rsid w:val="007B2954"/>
    <w:rsid w:val="007B5930"/>
    <w:rsid w:val="007B6073"/>
    <w:rsid w:val="007C0D54"/>
    <w:rsid w:val="007C1EE6"/>
    <w:rsid w:val="007C4208"/>
    <w:rsid w:val="007C4415"/>
    <w:rsid w:val="007C525E"/>
    <w:rsid w:val="007D0404"/>
    <w:rsid w:val="007D08DC"/>
    <w:rsid w:val="007D1135"/>
    <w:rsid w:val="007D12BA"/>
    <w:rsid w:val="007D1E04"/>
    <w:rsid w:val="007D4A3C"/>
    <w:rsid w:val="007D6A50"/>
    <w:rsid w:val="007E03DE"/>
    <w:rsid w:val="007E13BA"/>
    <w:rsid w:val="007E204C"/>
    <w:rsid w:val="007E2A05"/>
    <w:rsid w:val="007E348D"/>
    <w:rsid w:val="007E44C6"/>
    <w:rsid w:val="007E4564"/>
    <w:rsid w:val="007E5E7F"/>
    <w:rsid w:val="007F2FEC"/>
    <w:rsid w:val="007F3066"/>
    <w:rsid w:val="007F3090"/>
    <w:rsid w:val="007F60BC"/>
    <w:rsid w:val="007F6371"/>
    <w:rsid w:val="007F70A2"/>
    <w:rsid w:val="007F7663"/>
    <w:rsid w:val="008001E7"/>
    <w:rsid w:val="0080292B"/>
    <w:rsid w:val="00804154"/>
    <w:rsid w:val="0080489E"/>
    <w:rsid w:val="008052DF"/>
    <w:rsid w:val="008060FA"/>
    <w:rsid w:val="00810A73"/>
    <w:rsid w:val="00810CDE"/>
    <w:rsid w:val="0081156E"/>
    <w:rsid w:val="0081219C"/>
    <w:rsid w:val="0081264D"/>
    <w:rsid w:val="008169DC"/>
    <w:rsid w:val="00816F38"/>
    <w:rsid w:val="0082087E"/>
    <w:rsid w:val="0082108B"/>
    <w:rsid w:val="008236A7"/>
    <w:rsid w:val="00824602"/>
    <w:rsid w:val="00824EB6"/>
    <w:rsid w:val="008258BD"/>
    <w:rsid w:val="00825A52"/>
    <w:rsid w:val="00826640"/>
    <w:rsid w:val="00827052"/>
    <w:rsid w:val="00830876"/>
    <w:rsid w:val="00830C93"/>
    <w:rsid w:val="008313F9"/>
    <w:rsid w:val="00831BE1"/>
    <w:rsid w:val="008341D8"/>
    <w:rsid w:val="00835B18"/>
    <w:rsid w:val="00835FC8"/>
    <w:rsid w:val="00837355"/>
    <w:rsid w:val="00840ABB"/>
    <w:rsid w:val="008414AE"/>
    <w:rsid w:val="00841A19"/>
    <w:rsid w:val="0084207C"/>
    <w:rsid w:val="00842781"/>
    <w:rsid w:val="00842B83"/>
    <w:rsid w:val="00843B42"/>
    <w:rsid w:val="008452CE"/>
    <w:rsid w:val="008455DC"/>
    <w:rsid w:val="00850201"/>
    <w:rsid w:val="00856D1C"/>
    <w:rsid w:val="00860465"/>
    <w:rsid w:val="00861451"/>
    <w:rsid w:val="00861F71"/>
    <w:rsid w:val="00862859"/>
    <w:rsid w:val="008631AD"/>
    <w:rsid w:val="008647EF"/>
    <w:rsid w:val="008648A5"/>
    <w:rsid w:val="00864957"/>
    <w:rsid w:val="00870804"/>
    <w:rsid w:val="0087144C"/>
    <w:rsid w:val="00871C2A"/>
    <w:rsid w:val="008720B1"/>
    <w:rsid w:val="00875D39"/>
    <w:rsid w:val="0087724B"/>
    <w:rsid w:val="00880731"/>
    <w:rsid w:val="00882157"/>
    <w:rsid w:val="00882D95"/>
    <w:rsid w:val="008831A9"/>
    <w:rsid w:val="008842C4"/>
    <w:rsid w:val="008842D6"/>
    <w:rsid w:val="00890134"/>
    <w:rsid w:val="00890256"/>
    <w:rsid w:val="00892251"/>
    <w:rsid w:val="008923DC"/>
    <w:rsid w:val="008945B8"/>
    <w:rsid w:val="008960B5"/>
    <w:rsid w:val="00896467"/>
    <w:rsid w:val="00897AE4"/>
    <w:rsid w:val="008A2E6D"/>
    <w:rsid w:val="008A6427"/>
    <w:rsid w:val="008B0BAB"/>
    <w:rsid w:val="008B2100"/>
    <w:rsid w:val="008B2237"/>
    <w:rsid w:val="008B241A"/>
    <w:rsid w:val="008B2F28"/>
    <w:rsid w:val="008B305F"/>
    <w:rsid w:val="008B5970"/>
    <w:rsid w:val="008B5D16"/>
    <w:rsid w:val="008B6556"/>
    <w:rsid w:val="008B65C9"/>
    <w:rsid w:val="008B77C6"/>
    <w:rsid w:val="008B7B98"/>
    <w:rsid w:val="008C00D0"/>
    <w:rsid w:val="008C1C07"/>
    <w:rsid w:val="008C2257"/>
    <w:rsid w:val="008C2D1F"/>
    <w:rsid w:val="008C3772"/>
    <w:rsid w:val="008C459B"/>
    <w:rsid w:val="008C5786"/>
    <w:rsid w:val="008C615F"/>
    <w:rsid w:val="008C6C32"/>
    <w:rsid w:val="008C778B"/>
    <w:rsid w:val="008D035B"/>
    <w:rsid w:val="008D1C08"/>
    <w:rsid w:val="008D1C45"/>
    <w:rsid w:val="008D27C4"/>
    <w:rsid w:val="008D3EE6"/>
    <w:rsid w:val="008D48B5"/>
    <w:rsid w:val="008D4B25"/>
    <w:rsid w:val="008E0CEB"/>
    <w:rsid w:val="008E191F"/>
    <w:rsid w:val="008E346B"/>
    <w:rsid w:val="008E6950"/>
    <w:rsid w:val="008F2839"/>
    <w:rsid w:val="008F2869"/>
    <w:rsid w:val="008F28B3"/>
    <w:rsid w:val="008F28D1"/>
    <w:rsid w:val="008F3782"/>
    <w:rsid w:val="008F3E3E"/>
    <w:rsid w:val="008F49D9"/>
    <w:rsid w:val="008F4FFB"/>
    <w:rsid w:val="008F7366"/>
    <w:rsid w:val="008F7A9D"/>
    <w:rsid w:val="008F7F7E"/>
    <w:rsid w:val="00900791"/>
    <w:rsid w:val="009012E3"/>
    <w:rsid w:val="0091029B"/>
    <w:rsid w:val="009102F7"/>
    <w:rsid w:val="00912F0F"/>
    <w:rsid w:val="00913B34"/>
    <w:rsid w:val="00915602"/>
    <w:rsid w:val="009158B4"/>
    <w:rsid w:val="00920587"/>
    <w:rsid w:val="00920737"/>
    <w:rsid w:val="00921158"/>
    <w:rsid w:val="009219E6"/>
    <w:rsid w:val="009235BA"/>
    <w:rsid w:val="00925C7C"/>
    <w:rsid w:val="009262DD"/>
    <w:rsid w:val="009262E2"/>
    <w:rsid w:val="0092634B"/>
    <w:rsid w:val="00926AA7"/>
    <w:rsid w:val="00930030"/>
    <w:rsid w:val="009308FB"/>
    <w:rsid w:val="0093115D"/>
    <w:rsid w:val="00931874"/>
    <w:rsid w:val="00931939"/>
    <w:rsid w:val="00932810"/>
    <w:rsid w:val="009331E6"/>
    <w:rsid w:val="00935621"/>
    <w:rsid w:val="0093660E"/>
    <w:rsid w:val="00937DC5"/>
    <w:rsid w:val="00941706"/>
    <w:rsid w:val="009417BC"/>
    <w:rsid w:val="00942208"/>
    <w:rsid w:val="0094275C"/>
    <w:rsid w:val="009450FC"/>
    <w:rsid w:val="009456D3"/>
    <w:rsid w:val="00946097"/>
    <w:rsid w:val="009474C1"/>
    <w:rsid w:val="00947757"/>
    <w:rsid w:val="009479F6"/>
    <w:rsid w:val="00951F11"/>
    <w:rsid w:val="00955BFE"/>
    <w:rsid w:val="00956508"/>
    <w:rsid w:val="00961E13"/>
    <w:rsid w:val="009621AC"/>
    <w:rsid w:val="00962C68"/>
    <w:rsid w:val="00962F45"/>
    <w:rsid w:val="00964B5F"/>
    <w:rsid w:val="00966A66"/>
    <w:rsid w:val="009702E2"/>
    <w:rsid w:val="009712F8"/>
    <w:rsid w:val="00971BBD"/>
    <w:rsid w:val="00971F80"/>
    <w:rsid w:val="00971FA9"/>
    <w:rsid w:val="00973791"/>
    <w:rsid w:val="00973EB0"/>
    <w:rsid w:val="009741CD"/>
    <w:rsid w:val="00974594"/>
    <w:rsid w:val="00975021"/>
    <w:rsid w:val="009767E7"/>
    <w:rsid w:val="00977080"/>
    <w:rsid w:val="0098066A"/>
    <w:rsid w:val="00980F0E"/>
    <w:rsid w:val="009819D4"/>
    <w:rsid w:val="00981FD4"/>
    <w:rsid w:val="00983194"/>
    <w:rsid w:val="009839AD"/>
    <w:rsid w:val="00984143"/>
    <w:rsid w:val="00984C09"/>
    <w:rsid w:val="00985BAD"/>
    <w:rsid w:val="009872FF"/>
    <w:rsid w:val="00991B61"/>
    <w:rsid w:val="00992191"/>
    <w:rsid w:val="00996DAA"/>
    <w:rsid w:val="009A072A"/>
    <w:rsid w:val="009A0B8B"/>
    <w:rsid w:val="009A115D"/>
    <w:rsid w:val="009A15DC"/>
    <w:rsid w:val="009A2C6E"/>
    <w:rsid w:val="009A3B06"/>
    <w:rsid w:val="009A3E04"/>
    <w:rsid w:val="009A3E5D"/>
    <w:rsid w:val="009A4915"/>
    <w:rsid w:val="009A513F"/>
    <w:rsid w:val="009A59C2"/>
    <w:rsid w:val="009A5B78"/>
    <w:rsid w:val="009A5C71"/>
    <w:rsid w:val="009B0045"/>
    <w:rsid w:val="009B3550"/>
    <w:rsid w:val="009B4D29"/>
    <w:rsid w:val="009C0350"/>
    <w:rsid w:val="009C0485"/>
    <w:rsid w:val="009C37A1"/>
    <w:rsid w:val="009C49C8"/>
    <w:rsid w:val="009C698A"/>
    <w:rsid w:val="009C6E83"/>
    <w:rsid w:val="009C7C7A"/>
    <w:rsid w:val="009D1635"/>
    <w:rsid w:val="009D1D19"/>
    <w:rsid w:val="009D225D"/>
    <w:rsid w:val="009D3D8E"/>
    <w:rsid w:val="009D56AF"/>
    <w:rsid w:val="009D7E16"/>
    <w:rsid w:val="009E27F1"/>
    <w:rsid w:val="009E2940"/>
    <w:rsid w:val="009E4204"/>
    <w:rsid w:val="009E5FAC"/>
    <w:rsid w:val="009E6881"/>
    <w:rsid w:val="009E7A7E"/>
    <w:rsid w:val="009F00C9"/>
    <w:rsid w:val="009F0940"/>
    <w:rsid w:val="009F114A"/>
    <w:rsid w:val="009F68CB"/>
    <w:rsid w:val="009F763C"/>
    <w:rsid w:val="009F7A61"/>
    <w:rsid w:val="00A017CE"/>
    <w:rsid w:val="00A06975"/>
    <w:rsid w:val="00A07CF5"/>
    <w:rsid w:val="00A11E5B"/>
    <w:rsid w:val="00A1275B"/>
    <w:rsid w:val="00A156DE"/>
    <w:rsid w:val="00A15BFE"/>
    <w:rsid w:val="00A16664"/>
    <w:rsid w:val="00A16E81"/>
    <w:rsid w:val="00A17959"/>
    <w:rsid w:val="00A220EF"/>
    <w:rsid w:val="00A22381"/>
    <w:rsid w:val="00A25A9F"/>
    <w:rsid w:val="00A27082"/>
    <w:rsid w:val="00A300E2"/>
    <w:rsid w:val="00A30A27"/>
    <w:rsid w:val="00A30D1A"/>
    <w:rsid w:val="00A3101A"/>
    <w:rsid w:val="00A314DF"/>
    <w:rsid w:val="00A329DC"/>
    <w:rsid w:val="00A36D8A"/>
    <w:rsid w:val="00A408E6"/>
    <w:rsid w:val="00A42512"/>
    <w:rsid w:val="00A42901"/>
    <w:rsid w:val="00A42AE5"/>
    <w:rsid w:val="00A43007"/>
    <w:rsid w:val="00A438B1"/>
    <w:rsid w:val="00A439E7"/>
    <w:rsid w:val="00A45705"/>
    <w:rsid w:val="00A45D68"/>
    <w:rsid w:val="00A50020"/>
    <w:rsid w:val="00A50FF3"/>
    <w:rsid w:val="00A537DE"/>
    <w:rsid w:val="00A602F7"/>
    <w:rsid w:val="00A60FEE"/>
    <w:rsid w:val="00A61055"/>
    <w:rsid w:val="00A626DD"/>
    <w:rsid w:val="00A679A2"/>
    <w:rsid w:val="00A70D28"/>
    <w:rsid w:val="00A71103"/>
    <w:rsid w:val="00A71C90"/>
    <w:rsid w:val="00A724BE"/>
    <w:rsid w:val="00A73011"/>
    <w:rsid w:val="00A73272"/>
    <w:rsid w:val="00A73475"/>
    <w:rsid w:val="00A73C1B"/>
    <w:rsid w:val="00A73F13"/>
    <w:rsid w:val="00A760F9"/>
    <w:rsid w:val="00A76A82"/>
    <w:rsid w:val="00A777C4"/>
    <w:rsid w:val="00A77903"/>
    <w:rsid w:val="00A81B16"/>
    <w:rsid w:val="00A82D58"/>
    <w:rsid w:val="00A8384A"/>
    <w:rsid w:val="00A83EED"/>
    <w:rsid w:val="00A8433A"/>
    <w:rsid w:val="00A844CE"/>
    <w:rsid w:val="00A84BF6"/>
    <w:rsid w:val="00A85D48"/>
    <w:rsid w:val="00A86882"/>
    <w:rsid w:val="00A86E3B"/>
    <w:rsid w:val="00A96EC8"/>
    <w:rsid w:val="00A9715E"/>
    <w:rsid w:val="00A9754B"/>
    <w:rsid w:val="00A97AAD"/>
    <w:rsid w:val="00AA03B7"/>
    <w:rsid w:val="00AA07F7"/>
    <w:rsid w:val="00AA254F"/>
    <w:rsid w:val="00AA28BD"/>
    <w:rsid w:val="00AA35FE"/>
    <w:rsid w:val="00AA392A"/>
    <w:rsid w:val="00AA40BB"/>
    <w:rsid w:val="00AA50CD"/>
    <w:rsid w:val="00AA5254"/>
    <w:rsid w:val="00AB0B9B"/>
    <w:rsid w:val="00AB27F3"/>
    <w:rsid w:val="00AB34FF"/>
    <w:rsid w:val="00AB504D"/>
    <w:rsid w:val="00AB6A53"/>
    <w:rsid w:val="00AB742E"/>
    <w:rsid w:val="00AB7FBD"/>
    <w:rsid w:val="00AC1D96"/>
    <w:rsid w:val="00AC53A5"/>
    <w:rsid w:val="00AC5DD9"/>
    <w:rsid w:val="00AC6B64"/>
    <w:rsid w:val="00AC6DDE"/>
    <w:rsid w:val="00AC72ED"/>
    <w:rsid w:val="00AD03E3"/>
    <w:rsid w:val="00AD1A5B"/>
    <w:rsid w:val="00AD298F"/>
    <w:rsid w:val="00AD4BA2"/>
    <w:rsid w:val="00AD6245"/>
    <w:rsid w:val="00AD6429"/>
    <w:rsid w:val="00AD73EF"/>
    <w:rsid w:val="00AD7A3B"/>
    <w:rsid w:val="00AD7AC1"/>
    <w:rsid w:val="00AE0216"/>
    <w:rsid w:val="00AE0BFA"/>
    <w:rsid w:val="00AE18FF"/>
    <w:rsid w:val="00AE35E9"/>
    <w:rsid w:val="00AE3911"/>
    <w:rsid w:val="00AE39CE"/>
    <w:rsid w:val="00AE4081"/>
    <w:rsid w:val="00AE4F5C"/>
    <w:rsid w:val="00AE5BF0"/>
    <w:rsid w:val="00AE6A17"/>
    <w:rsid w:val="00AE6C2A"/>
    <w:rsid w:val="00AE7A1B"/>
    <w:rsid w:val="00AE7E67"/>
    <w:rsid w:val="00AF16AE"/>
    <w:rsid w:val="00AF4697"/>
    <w:rsid w:val="00AF6EB7"/>
    <w:rsid w:val="00B05681"/>
    <w:rsid w:val="00B102E0"/>
    <w:rsid w:val="00B1108B"/>
    <w:rsid w:val="00B14A8B"/>
    <w:rsid w:val="00B159A3"/>
    <w:rsid w:val="00B15A4A"/>
    <w:rsid w:val="00B17BE8"/>
    <w:rsid w:val="00B211EF"/>
    <w:rsid w:val="00B22887"/>
    <w:rsid w:val="00B24CC6"/>
    <w:rsid w:val="00B303CA"/>
    <w:rsid w:val="00B32986"/>
    <w:rsid w:val="00B3392E"/>
    <w:rsid w:val="00B342F2"/>
    <w:rsid w:val="00B35E00"/>
    <w:rsid w:val="00B3629B"/>
    <w:rsid w:val="00B42ACA"/>
    <w:rsid w:val="00B45E98"/>
    <w:rsid w:val="00B46E3E"/>
    <w:rsid w:val="00B50164"/>
    <w:rsid w:val="00B50B58"/>
    <w:rsid w:val="00B50FA3"/>
    <w:rsid w:val="00B51E8F"/>
    <w:rsid w:val="00B53200"/>
    <w:rsid w:val="00B5520F"/>
    <w:rsid w:val="00B55A9D"/>
    <w:rsid w:val="00B57E3B"/>
    <w:rsid w:val="00B60A1A"/>
    <w:rsid w:val="00B61700"/>
    <w:rsid w:val="00B66D71"/>
    <w:rsid w:val="00B7046F"/>
    <w:rsid w:val="00B736D0"/>
    <w:rsid w:val="00B744EB"/>
    <w:rsid w:val="00B758A6"/>
    <w:rsid w:val="00B75A1D"/>
    <w:rsid w:val="00B77A06"/>
    <w:rsid w:val="00B8001B"/>
    <w:rsid w:val="00B81E59"/>
    <w:rsid w:val="00B82E0B"/>
    <w:rsid w:val="00B83A15"/>
    <w:rsid w:val="00B846F6"/>
    <w:rsid w:val="00B85777"/>
    <w:rsid w:val="00B86743"/>
    <w:rsid w:val="00B87074"/>
    <w:rsid w:val="00B91357"/>
    <w:rsid w:val="00B91B5D"/>
    <w:rsid w:val="00B91BC0"/>
    <w:rsid w:val="00B93EF9"/>
    <w:rsid w:val="00B959DE"/>
    <w:rsid w:val="00B95A01"/>
    <w:rsid w:val="00B963B1"/>
    <w:rsid w:val="00B96CFB"/>
    <w:rsid w:val="00B97091"/>
    <w:rsid w:val="00B972DE"/>
    <w:rsid w:val="00BA27F2"/>
    <w:rsid w:val="00BA2EE5"/>
    <w:rsid w:val="00BA46FA"/>
    <w:rsid w:val="00BA549B"/>
    <w:rsid w:val="00BA7E5B"/>
    <w:rsid w:val="00BB0607"/>
    <w:rsid w:val="00BB171A"/>
    <w:rsid w:val="00BB1E08"/>
    <w:rsid w:val="00BB2C77"/>
    <w:rsid w:val="00BB392F"/>
    <w:rsid w:val="00BB3B13"/>
    <w:rsid w:val="00BB3B55"/>
    <w:rsid w:val="00BB5F88"/>
    <w:rsid w:val="00BB7B47"/>
    <w:rsid w:val="00BC1C7B"/>
    <w:rsid w:val="00BC1D41"/>
    <w:rsid w:val="00BC319E"/>
    <w:rsid w:val="00BC40CB"/>
    <w:rsid w:val="00BD0D38"/>
    <w:rsid w:val="00BD231A"/>
    <w:rsid w:val="00BD2929"/>
    <w:rsid w:val="00BD2DB1"/>
    <w:rsid w:val="00BD2FDA"/>
    <w:rsid w:val="00BD35B4"/>
    <w:rsid w:val="00BD51DC"/>
    <w:rsid w:val="00BD58C7"/>
    <w:rsid w:val="00BD7EEE"/>
    <w:rsid w:val="00BE08EF"/>
    <w:rsid w:val="00BE133F"/>
    <w:rsid w:val="00BE16C6"/>
    <w:rsid w:val="00BE3EC2"/>
    <w:rsid w:val="00BE4C9D"/>
    <w:rsid w:val="00BE5D69"/>
    <w:rsid w:val="00BE647E"/>
    <w:rsid w:val="00BE6AE6"/>
    <w:rsid w:val="00BE720A"/>
    <w:rsid w:val="00BE758A"/>
    <w:rsid w:val="00BF04E1"/>
    <w:rsid w:val="00BF1B38"/>
    <w:rsid w:val="00BF2B43"/>
    <w:rsid w:val="00BF3527"/>
    <w:rsid w:val="00BF62CE"/>
    <w:rsid w:val="00BF6340"/>
    <w:rsid w:val="00BF6972"/>
    <w:rsid w:val="00BF6BBB"/>
    <w:rsid w:val="00BF6EFB"/>
    <w:rsid w:val="00BF7821"/>
    <w:rsid w:val="00BF7DE8"/>
    <w:rsid w:val="00C00EA0"/>
    <w:rsid w:val="00C042D9"/>
    <w:rsid w:val="00C052B8"/>
    <w:rsid w:val="00C05B4D"/>
    <w:rsid w:val="00C1454D"/>
    <w:rsid w:val="00C14AE4"/>
    <w:rsid w:val="00C15CAE"/>
    <w:rsid w:val="00C15DCE"/>
    <w:rsid w:val="00C16A16"/>
    <w:rsid w:val="00C17255"/>
    <w:rsid w:val="00C17806"/>
    <w:rsid w:val="00C22C98"/>
    <w:rsid w:val="00C2450B"/>
    <w:rsid w:val="00C24FC2"/>
    <w:rsid w:val="00C26D8C"/>
    <w:rsid w:val="00C357FE"/>
    <w:rsid w:val="00C36639"/>
    <w:rsid w:val="00C36EFE"/>
    <w:rsid w:val="00C417C4"/>
    <w:rsid w:val="00C4182F"/>
    <w:rsid w:val="00C42D46"/>
    <w:rsid w:val="00C44262"/>
    <w:rsid w:val="00C447D3"/>
    <w:rsid w:val="00C44973"/>
    <w:rsid w:val="00C470FE"/>
    <w:rsid w:val="00C478F0"/>
    <w:rsid w:val="00C4791F"/>
    <w:rsid w:val="00C503D4"/>
    <w:rsid w:val="00C506FF"/>
    <w:rsid w:val="00C50727"/>
    <w:rsid w:val="00C51009"/>
    <w:rsid w:val="00C5339D"/>
    <w:rsid w:val="00C55336"/>
    <w:rsid w:val="00C55759"/>
    <w:rsid w:val="00C55F4A"/>
    <w:rsid w:val="00C57462"/>
    <w:rsid w:val="00C57475"/>
    <w:rsid w:val="00C57AD3"/>
    <w:rsid w:val="00C60BFC"/>
    <w:rsid w:val="00C616A9"/>
    <w:rsid w:val="00C620EB"/>
    <w:rsid w:val="00C62BC9"/>
    <w:rsid w:val="00C634BD"/>
    <w:rsid w:val="00C6400B"/>
    <w:rsid w:val="00C65E5C"/>
    <w:rsid w:val="00C664FE"/>
    <w:rsid w:val="00C70609"/>
    <w:rsid w:val="00C70F15"/>
    <w:rsid w:val="00C721BB"/>
    <w:rsid w:val="00C72E1F"/>
    <w:rsid w:val="00C741E3"/>
    <w:rsid w:val="00C75874"/>
    <w:rsid w:val="00C77311"/>
    <w:rsid w:val="00C82A7C"/>
    <w:rsid w:val="00C82D97"/>
    <w:rsid w:val="00C8703F"/>
    <w:rsid w:val="00C87078"/>
    <w:rsid w:val="00C87F37"/>
    <w:rsid w:val="00C9337E"/>
    <w:rsid w:val="00C945F5"/>
    <w:rsid w:val="00C94955"/>
    <w:rsid w:val="00C9532B"/>
    <w:rsid w:val="00C96638"/>
    <w:rsid w:val="00C96A45"/>
    <w:rsid w:val="00C97EE2"/>
    <w:rsid w:val="00CA0F4B"/>
    <w:rsid w:val="00CA200E"/>
    <w:rsid w:val="00CA27BA"/>
    <w:rsid w:val="00CA423D"/>
    <w:rsid w:val="00CB1EC7"/>
    <w:rsid w:val="00CB3745"/>
    <w:rsid w:val="00CB3BF1"/>
    <w:rsid w:val="00CB674D"/>
    <w:rsid w:val="00CB6CF4"/>
    <w:rsid w:val="00CB6EA0"/>
    <w:rsid w:val="00CC0733"/>
    <w:rsid w:val="00CC15BB"/>
    <w:rsid w:val="00CC332C"/>
    <w:rsid w:val="00CC491B"/>
    <w:rsid w:val="00CC4E56"/>
    <w:rsid w:val="00CC6712"/>
    <w:rsid w:val="00CC685C"/>
    <w:rsid w:val="00CD1E09"/>
    <w:rsid w:val="00CD221B"/>
    <w:rsid w:val="00CD2958"/>
    <w:rsid w:val="00CD3655"/>
    <w:rsid w:val="00CD3688"/>
    <w:rsid w:val="00CD4F78"/>
    <w:rsid w:val="00CD4FD2"/>
    <w:rsid w:val="00CD5C85"/>
    <w:rsid w:val="00CD60B4"/>
    <w:rsid w:val="00CD6468"/>
    <w:rsid w:val="00CE019D"/>
    <w:rsid w:val="00CE1674"/>
    <w:rsid w:val="00CE2A98"/>
    <w:rsid w:val="00CE300D"/>
    <w:rsid w:val="00CF1615"/>
    <w:rsid w:val="00CF240D"/>
    <w:rsid w:val="00CF3F84"/>
    <w:rsid w:val="00CF467E"/>
    <w:rsid w:val="00D00395"/>
    <w:rsid w:val="00D015AB"/>
    <w:rsid w:val="00D0665D"/>
    <w:rsid w:val="00D070EE"/>
    <w:rsid w:val="00D15141"/>
    <w:rsid w:val="00D166EE"/>
    <w:rsid w:val="00D1742B"/>
    <w:rsid w:val="00D175DC"/>
    <w:rsid w:val="00D208C5"/>
    <w:rsid w:val="00D23055"/>
    <w:rsid w:val="00D249F0"/>
    <w:rsid w:val="00D26E9B"/>
    <w:rsid w:val="00D31624"/>
    <w:rsid w:val="00D35074"/>
    <w:rsid w:val="00D42595"/>
    <w:rsid w:val="00D42F61"/>
    <w:rsid w:val="00D44F33"/>
    <w:rsid w:val="00D45531"/>
    <w:rsid w:val="00D46A29"/>
    <w:rsid w:val="00D50793"/>
    <w:rsid w:val="00D51BC9"/>
    <w:rsid w:val="00D52B84"/>
    <w:rsid w:val="00D53291"/>
    <w:rsid w:val="00D55593"/>
    <w:rsid w:val="00D56C91"/>
    <w:rsid w:val="00D57BEB"/>
    <w:rsid w:val="00D57CF8"/>
    <w:rsid w:val="00D62967"/>
    <w:rsid w:val="00D631E2"/>
    <w:rsid w:val="00D63F79"/>
    <w:rsid w:val="00D648EB"/>
    <w:rsid w:val="00D67F2C"/>
    <w:rsid w:val="00D708C9"/>
    <w:rsid w:val="00D7180B"/>
    <w:rsid w:val="00D727B7"/>
    <w:rsid w:val="00D728B5"/>
    <w:rsid w:val="00D7330C"/>
    <w:rsid w:val="00D7469F"/>
    <w:rsid w:val="00D7515B"/>
    <w:rsid w:val="00D81A76"/>
    <w:rsid w:val="00D83631"/>
    <w:rsid w:val="00D83E4C"/>
    <w:rsid w:val="00D852BE"/>
    <w:rsid w:val="00D85E73"/>
    <w:rsid w:val="00D865F6"/>
    <w:rsid w:val="00D871E7"/>
    <w:rsid w:val="00D87698"/>
    <w:rsid w:val="00D90DD9"/>
    <w:rsid w:val="00D91076"/>
    <w:rsid w:val="00D9275D"/>
    <w:rsid w:val="00D9279F"/>
    <w:rsid w:val="00D92AD8"/>
    <w:rsid w:val="00D93B53"/>
    <w:rsid w:val="00D953CA"/>
    <w:rsid w:val="00D954A9"/>
    <w:rsid w:val="00D96164"/>
    <w:rsid w:val="00DA2518"/>
    <w:rsid w:val="00DA3FF3"/>
    <w:rsid w:val="00DA4109"/>
    <w:rsid w:val="00DA6E18"/>
    <w:rsid w:val="00DB2BA5"/>
    <w:rsid w:val="00DB4064"/>
    <w:rsid w:val="00DB54FD"/>
    <w:rsid w:val="00DB6DE8"/>
    <w:rsid w:val="00DC0679"/>
    <w:rsid w:val="00DC084C"/>
    <w:rsid w:val="00DC0CAE"/>
    <w:rsid w:val="00DC1C6B"/>
    <w:rsid w:val="00DC5CCE"/>
    <w:rsid w:val="00DC5F1C"/>
    <w:rsid w:val="00DC6636"/>
    <w:rsid w:val="00DC7BDE"/>
    <w:rsid w:val="00DC7E4E"/>
    <w:rsid w:val="00DD0539"/>
    <w:rsid w:val="00DD0FD8"/>
    <w:rsid w:val="00DD12DC"/>
    <w:rsid w:val="00DD1BB2"/>
    <w:rsid w:val="00DD21CE"/>
    <w:rsid w:val="00DD2FD2"/>
    <w:rsid w:val="00DD323D"/>
    <w:rsid w:val="00DD3976"/>
    <w:rsid w:val="00DD582E"/>
    <w:rsid w:val="00DE06A7"/>
    <w:rsid w:val="00DE0A7D"/>
    <w:rsid w:val="00DE0ED0"/>
    <w:rsid w:val="00DE28AC"/>
    <w:rsid w:val="00DE28DF"/>
    <w:rsid w:val="00DE34D9"/>
    <w:rsid w:val="00DE54B9"/>
    <w:rsid w:val="00DE59B7"/>
    <w:rsid w:val="00DF0FBA"/>
    <w:rsid w:val="00DF2E65"/>
    <w:rsid w:val="00DF327B"/>
    <w:rsid w:val="00DF32E2"/>
    <w:rsid w:val="00DF471C"/>
    <w:rsid w:val="00DF497F"/>
    <w:rsid w:val="00DF4B06"/>
    <w:rsid w:val="00E01A80"/>
    <w:rsid w:val="00E02420"/>
    <w:rsid w:val="00E0242C"/>
    <w:rsid w:val="00E033A2"/>
    <w:rsid w:val="00E03CBA"/>
    <w:rsid w:val="00E042A2"/>
    <w:rsid w:val="00E06199"/>
    <w:rsid w:val="00E0775A"/>
    <w:rsid w:val="00E11DC4"/>
    <w:rsid w:val="00E126F9"/>
    <w:rsid w:val="00E133B3"/>
    <w:rsid w:val="00E13F0F"/>
    <w:rsid w:val="00E1486F"/>
    <w:rsid w:val="00E1554B"/>
    <w:rsid w:val="00E155A4"/>
    <w:rsid w:val="00E15CFF"/>
    <w:rsid w:val="00E17441"/>
    <w:rsid w:val="00E215A9"/>
    <w:rsid w:val="00E2183F"/>
    <w:rsid w:val="00E22525"/>
    <w:rsid w:val="00E22FFF"/>
    <w:rsid w:val="00E2300C"/>
    <w:rsid w:val="00E27845"/>
    <w:rsid w:val="00E33D17"/>
    <w:rsid w:val="00E34A30"/>
    <w:rsid w:val="00E40088"/>
    <w:rsid w:val="00E41FA4"/>
    <w:rsid w:val="00E43007"/>
    <w:rsid w:val="00E430C3"/>
    <w:rsid w:val="00E433DC"/>
    <w:rsid w:val="00E43BE1"/>
    <w:rsid w:val="00E449B4"/>
    <w:rsid w:val="00E50CC0"/>
    <w:rsid w:val="00E51ADA"/>
    <w:rsid w:val="00E52ACE"/>
    <w:rsid w:val="00E53461"/>
    <w:rsid w:val="00E5389B"/>
    <w:rsid w:val="00E544F6"/>
    <w:rsid w:val="00E55B44"/>
    <w:rsid w:val="00E56775"/>
    <w:rsid w:val="00E5680B"/>
    <w:rsid w:val="00E57326"/>
    <w:rsid w:val="00E60DB3"/>
    <w:rsid w:val="00E64476"/>
    <w:rsid w:val="00E64B56"/>
    <w:rsid w:val="00E664F9"/>
    <w:rsid w:val="00E667E9"/>
    <w:rsid w:val="00E701CD"/>
    <w:rsid w:val="00E70DAA"/>
    <w:rsid w:val="00E73471"/>
    <w:rsid w:val="00E748A0"/>
    <w:rsid w:val="00E75C5D"/>
    <w:rsid w:val="00E826D7"/>
    <w:rsid w:val="00E83843"/>
    <w:rsid w:val="00E83A0E"/>
    <w:rsid w:val="00E878F1"/>
    <w:rsid w:val="00E90D12"/>
    <w:rsid w:val="00E91FED"/>
    <w:rsid w:val="00E920AD"/>
    <w:rsid w:val="00E921E5"/>
    <w:rsid w:val="00E92475"/>
    <w:rsid w:val="00E94B6E"/>
    <w:rsid w:val="00E95B62"/>
    <w:rsid w:val="00E96DEC"/>
    <w:rsid w:val="00E97B90"/>
    <w:rsid w:val="00EA5113"/>
    <w:rsid w:val="00EB0192"/>
    <w:rsid w:val="00EB06CB"/>
    <w:rsid w:val="00EB14A3"/>
    <w:rsid w:val="00EB1E5C"/>
    <w:rsid w:val="00EB216C"/>
    <w:rsid w:val="00EB3489"/>
    <w:rsid w:val="00EB3BF4"/>
    <w:rsid w:val="00EB5456"/>
    <w:rsid w:val="00EB5642"/>
    <w:rsid w:val="00EB5BA3"/>
    <w:rsid w:val="00EB6C87"/>
    <w:rsid w:val="00EC0A1D"/>
    <w:rsid w:val="00EC1307"/>
    <w:rsid w:val="00EC1AC1"/>
    <w:rsid w:val="00ED21A1"/>
    <w:rsid w:val="00ED55B7"/>
    <w:rsid w:val="00EE06A5"/>
    <w:rsid w:val="00EE2B97"/>
    <w:rsid w:val="00EE34E6"/>
    <w:rsid w:val="00EE394E"/>
    <w:rsid w:val="00EE3A0A"/>
    <w:rsid w:val="00EE3A13"/>
    <w:rsid w:val="00EE4AEF"/>
    <w:rsid w:val="00EE7535"/>
    <w:rsid w:val="00EF0186"/>
    <w:rsid w:val="00EF0398"/>
    <w:rsid w:val="00EF0734"/>
    <w:rsid w:val="00EF330E"/>
    <w:rsid w:val="00EF33C8"/>
    <w:rsid w:val="00EF4359"/>
    <w:rsid w:val="00EF55CD"/>
    <w:rsid w:val="00EF6F7D"/>
    <w:rsid w:val="00EF7125"/>
    <w:rsid w:val="00F006CE"/>
    <w:rsid w:val="00F018BF"/>
    <w:rsid w:val="00F02906"/>
    <w:rsid w:val="00F06001"/>
    <w:rsid w:val="00F07F46"/>
    <w:rsid w:val="00F116DE"/>
    <w:rsid w:val="00F1289E"/>
    <w:rsid w:val="00F13051"/>
    <w:rsid w:val="00F15DFE"/>
    <w:rsid w:val="00F17808"/>
    <w:rsid w:val="00F2029A"/>
    <w:rsid w:val="00F205C8"/>
    <w:rsid w:val="00F20DC8"/>
    <w:rsid w:val="00F21049"/>
    <w:rsid w:val="00F21E24"/>
    <w:rsid w:val="00F22F10"/>
    <w:rsid w:val="00F23F39"/>
    <w:rsid w:val="00F23FFA"/>
    <w:rsid w:val="00F25FDD"/>
    <w:rsid w:val="00F3002F"/>
    <w:rsid w:val="00F3075B"/>
    <w:rsid w:val="00F318D9"/>
    <w:rsid w:val="00F31BDB"/>
    <w:rsid w:val="00F32609"/>
    <w:rsid w:val="00F3426B"/>
    <w:rsid w:val="00F3508A"/>
    <w:rsid w:val="00F36181"/>
    <w:rsid w:val="00F36AB6"/>
    <w:rsid w:val="00F40AAE"/>
    <w:rsid w:val="00F42BBE"/>
    <w:rsid w:val="00F433FF"/>
    <w:rsid w:val="00F43571"/>
    <w:rsid w:val="00F4580A"/>
    <w:rsid w:val="00F45D6F"/>
    <w:rsid w:val="00F46972"/>
    <w:rsid w:val="00F502E6"/>
    <w:rsid w:val="00F52D52"/>
    <w:rsid w:val="00F5570D"/>
    <w:rsid w:val="00F57690"/>
    <w:rsid w:val="00F6079E"/>
    <w:rsid w:val="00F62BEE"/>
    <w:rsid w:val="00F65900"/>
    <w:rsid w:val="00F659AB"/>
    <w:rsid w:val="00F74648"/>
    <w:rsid w:val="00F76E0C"/>
    <w:rsid w:val="00F81C4A"/>
    <w:rsid w:val="00F82577"/>
    <w:rsid w:val="00F834AC"/>
    <w:rsid w:val="00F835CA"/>
    <w:rsid w:val="00F83861"/>
    <w:rsid w:val="00F85F37"/>
    <w:rsid w:val="00F879CC"/>
    <w:rsid w:val="00F87E80"/>
    <w:rsid w:val="00F909F9"/>
    <w:rsid w:val="00F90CDE"/>
    <w:rsid w:val="00F91237"/>
    <w:rsid w:val="00F93414"/>
    <w:rsid w:val="00F93D98"/>
    <w:rsid w:val="00F9474E"/>
    <w:rsid w:val="00F95BA7"/>
    <w:rsid w:val="00FA0AC7"/>
    <w:rsid w:val="00FA2C6C"/>
    <w:rsid w:val="00FA36FD"/>
    <w:rsid w:val="00FA54CE"/>
    <w:rsid w:val="00FA5670"/>
    <w:rsid w:val="00FA6C37"/>
    <w:rsid w:val="00FA6D67"/>
    <w:rsid w:val="00FB0BA4"/>
    <w:rsid w:val="00FB0C50"/>
    <w:rsid w:val="00FB1521"/>
    <w:rsid w:val="00FB2018"/>
    <w:rsid w:val="00FB2039"/>
    <w:rsid w:val="00FB2FA7"/>
    <w:rsid w:val="00FB344D"/>
    <w:rsid w:val="00FB44EF"/>
    <w:rsid w:val="00FB4AF2"/>
    <w:rsid w:val="00FB4B4F"/>
    <w:rsid w:val="00FB59B6"/>
    <w:rsid w:val="00FB5F75"/>
    <w:rsid w:val="00FB64CF"/>
    <w:rsid w:val="00FB6CEB"/>
    <w:rsid w:val="00FB7E89"/>
    <w:rsid w:val="00FC078A"/>
    <w:rsid w:val="00FC18F8"/>
    <w:rsid w:val="00FC1BD9"/>
    <w:rsid w:val="00FC4847"/>
    <w:rsid w:val="00FC4EED"/>
    <w:rsid w:val="00FC634D"/>
    <w:rsid w:val="00FC7197"/>
    <w:rsid w:val="00FC786E"/>
    <w:rsid w:val="00FD27B9"/>
    <w:rsid w:val="00FD531C"/>
    <w:rsid w:val="00FD6406"/>
    <w:rsid w:val="00FD6A58"/>
    <w:rsid w:val="00FE1855"/>
    <w:rsid w:val="00FE431E"/>
    <w:rsid w:val="00FE6226"/>
    <w:rsid w:val="00FE7775"/>
    <w:rsid w:val="00FE7E89"/>
    <w:rsid w:val="00FE7F64"/>
    <w:rsid w:val="00FF010C"/>
    <w:rsid w:val="00FF2FDC"/>
    <w:rsid w:val="00FF4BDE"/>
    <w:rsid w:val="00FF4EF0"/>
    <w:rsid w:val="00FF52E4"/>
    <w:rsid w:val="00FF5C88"/>
    <w:rsid w:val="00FF6256"/>
    <w:rsid w:val="00FF6B51"/>
    <w:rsid w:val="00FF6CBD"/>
    <w:rsid w:val="00FF6E90"/>
    <w:rsid w:val="00FF714E"/>
    <w:rsid w:val="014C39E3"/>
    <w:rsid w:val="019D759C"/>
    <w:rsid w:val="023D7C3F"/>
    <w:rsid w:val="034F4BD2"/>
    <w:rsid w:val="03BA0971"/>
    <w:rsid w:val="04706339"/>
    <w:rsid w:val="05425E1D"/>
    <w:rsid w:val="056C5534"/>
    <w:rsid w:val="061509A4"/>
    <w:rsid w:val="064C37D6"/>
    <w:rsid w:val="068C2D31"/>
    <w:rsid w:val="06937517"/>
    <w:rsid w:val="06FC652F"/>
    <w:rsid w:val="071E1777"/>
    <w:rsid w:val="07AA57B1"/>
    <w:rsid w:val="07E77B7E"/>
    <w:rsid w:val="082F0EBD"/>
    <w:rsid w:val="087F55C0"/>
    <w:rsid w:val="0A92580F"/>
    <w:rsid w:val="0AA85C09"/>
    <w:rsid w:val="0B822DEB"/>
    <w:rsid w:val="0E941C45"/>
    <w:rsid w:val="0FA402C2"/>
    <w:rsid w:val="0FB24D35"/>
    <w:rsid w:val="101C3E77"/>
    <w:rsid w:val="10297BDC"/>
    <w:rsid w:val="10B23E46"/>
    <w:rsid w:val="11131388"/>
    <w:rsid w:val="117E55AC"/>
    <w:rsid w:val="1188388C"/>
    <w:rsid w:val="12493820"/>
    <w:rsid w:val="13714AA2"/>
    <w:rsid w:val="13B55464"/>
    <w:rsid w:val="13B73759"/>
    <w:rsid w:val="16BB0EA4"/>
    <w:rsid w:val="187534AA"/>
    <w:rsid w:val="1A4C07A0"/>
    <w:rsid w:val="1C3A5A50"/>
    <w:rsid w:val="1D9E652E"/>
    <w:rsid w:val="1DA925DA"/>
    <w:rsid w:val="1EBB5C9A"/>
    <w:rsid w:val="1FBD53E5"/>
    <w:rsid w:val="21794ED0"/>
    <w:rsid w:val="2246613D"/>
    <w:rsid w:val="242908D1"/>
    <w:rsid w:val="24E709BA"/>
    <w:rsid w:val="24E8007B"/>
    <w:rsid w:val="25D16A1A"/>
    <w:rsid w:val="27DFDBC0"/>
    <w:rsid w:val="281A7A96"/>
    <w:rsid w:val="28CC0363"/>
    <w:rsid w:val="2A427557"/>
    <w:rsid w:val="2AB32DED"/>
    <w:rsid w:val="2AF177C3"/>
    <w:rsid w:val="2BFE65C2"/>
    <w:rsid w:val="2C963817"/>
    <w:rsid w:val="2F2B4DAF"/>
    <w:rsid w:val="2F401755"/>
    <w:rsid w:val="2F624AE4"/>
    <w:rsid w:val="2F813ED4"/>
    <w:rsid w:val="30570E60"/>
    <w:rsid w:val="310B4779"/>
    <w:rsid w:val="34B47EDA"/>
    <w:rsid w:val="34D327EE"/>
    <w:rsid w:val="3503191A"/>
    <w:rsid w:val="35180F8C"/>
    <w:rsid w:val="35480AB1"/>
    <w:rsid w:val="36410784"/>
    <w:rsid w:val="36891D6E"/>
    <w:rsid w:val="368E0D34"/>
    <w:rsid w:val="377B1440"/>
    <w:rsid w:val="37FE54F2"/>
    <w:rsid w:val="391E1332"/>
    <w:rsid w:val="397B45D3"/>
    <w:rsid w:val="39D339AE"/>
    <w:rsid w:val="39D530AA"/>
    <w:rsid w:val="3A692DAC"/>
    <w:rsid w:val="3B102270"/>
    <w:rsid w:val="3C0239EF"/>
    <w:rsid w:val="3C5F6F68"/>
    <w:rsid w:val="3DC82BFD"/>
    <w:rsid w:val="3EC82F9E"/>
    <w:rsid w:val="3FD5C10F"/>
    <w:rsid w:val="3FF72B6A"/>
    <w:rsid w:val="40E237B6"/>
    <w:rsid w:val="4164024D"/>
    <w:rsid w:val="43520A7A"/>
    <w:rsid w:val="43DC232E"/>
    <w:rsid w:val="446739DD"/>
    <w:rsid w:val="44B46CE9"/>
    <w:rsid w:val="4535300B"/>
    <w:rsid w:val="45A60403"/>
    <w:rsid w:val="48016B0C"/>
    <w:rsid w:val="481872FC"/>
    <w:rsid w:val="48332E76"/>
    <w:rsid w:val="49DF9523"/>
    <w:rsid w:val="4B3E1384"/>
    <w:rsid w:val="4C5A4114"/>
    <w:rsid w:val="4C5C29AD"/>
    <w:rsid w:val="4C6D2E5A"/>
    <w:rsid w:val="4C791992"/>
    <w:rsid w:val="4DA8415F"/>
    <w:rsid w:val="4E421A17"/>
    <w:rsid w:val="4E4D7031"/>
    <w:rsid w:val="4E8D3F4E"/>
    <w:rsid w:val="4F0F235F"/>
    <w:rsid w:val="4FAC6F2A"/>
    <w:rsid w:val="518C0A29"/>
    <w:rsid w:val="51987254"/>
    <w:rsid w:val="521533D4"/>
    <w:rsid w:val="52911F50"/>
    <w:rsid w:val="52D72A97"/>
    <w:rsid w:val="53041574"/>
    <w:rsid w:val="53061EEA"/>
    <w:rsid w:val="531B0B34"/>
    <w:rsid w:val="536D2C6A"/>
    <w:rsid w:val="54A320FF"/>
    <w:rsid w:val="54DE4072"/>
    <w:rsid w:val="565D38A5"/>
    <w:rsid w:val="580A2BAD"/>
    <w:rsid w:val="59E84C0D"/>
    <w:rsid w:val="5BDE1209"/>
    <w:rsid w:val="5C0E393C"/>
    <w:rsid w:val="5CEEB2C9"/>
    <w:rsid w:val="5DAA4C2E"/>
    <w:rsid w:val="5DD30E21"/>
    <w:rsid w:val="5E5FD7CA"/>
    <w:rsid w:val="609A4358"/>
    <w:rsid w:val="64371D31"/>
    <w:rsid w:val="66086392"/>
    <w:rsid w:val="661318B4"/>
    <w:rsid w:val="66C06963"/>
    <w:rsid w:val="680B0660"/>
    <w:rsid w:val="6A7A457A"/>
    <w:rsid w:val="6ADF592C"/>
    <w:rsid w:val="6B9E175A"/>
    <w:rsid w:val="6BD34CD4"/>
    <w:rsid w:val="6C706C63"/>
    <w:rsid w:val="6D790ABD"/>
    <w:rsid w:val="6EBA690A"/>
    <w:rsid w:val="70291D4B"/>
    <w:rsid w:val="703D6CD9"/>
    <w:rsid w:val="71031140"/>
    <w:rsid w:val="72B90861"/>
    <w:rsid w:val="737E8BD7"/>
    <w:rsid w:val="73B159E8"/>
    <w:rsid w:val="73BE32A5"/>
    <w:rsid w:val="73CF75EE"/>
    <w:rsid w:val="73FE335C"/>
    <w:rsid w:val="73FFA3A2"/>
    <w:rsid w:val="742D24F8"/>
    <w:rsid w:val="75616D95"/>
    <w:rsid w:val="7610593F"/>
    <w:rsid w:val="773740D4"/>
    <w:rsid w:val="77EFF3AE"/>
    <w:rsid w:val="78072243"/>
    <w:rsid w:val="784901EA"/>
    <w:rsid w:val="784C6F67"/>
    <w:rsid w:val="78776B2A"/>
    <w:rsid w:val="793A7A3C"/>
    <w:rsid w:val="7A6C492E"/>
    <w:rsid w:val="7BF9FDA9"/>
    <w:rsid w:val="7C4F1942"/>
    <w:rsid w:val="7DCB715B"/>
    <w:rsid w:val="7DF21DB8"/>
    <w:rsid w:val="7E940079"/>
    <w:rsid w:val="7EFB6837"/>
    <w:rsid w:val="7F7EFB66"/>
    <w:rsid w:val="7F7FB411"/>
    <w:rsid w:val="7F9B7C2A"/>
    <w:rsid w:val="7FAEFFA2"/>
    <w:rsid w:val="7FDF7476"/>
    <w:rsid w:val="7FF570B6"/>
    <w:rsid w:val="7FF598EE"/>
    <w:rsid w:val="7FF6C411"/>
    <w:rsid w:val="89F284FB"/>
    <w:rsid w:val="9BEF58BD"/>
    <w:rsid w:val="AD7CB57A"/>
    <w:rsid w:val="AFF545CB"/>
    <w:rsid w:val="B37F3700"/>
    <w:rsid w:val="BE5BF863"/>
    <w:rsid w:val="BFBF4413"/>
    <w:rsid w:val="CB8FA065"/>
    <w:rsid w:val="DEBB94A5"/>
    <w:rsid w:val="EBD352EB"/>
    <w:rsid w:val="EDBDC62E"/>
    <w:rsid w:val="EEF6DF70"/>
    <w:rsid w:val="F39D7532"/>
    <w:rsid w:val="F7ADCF28"/>
    <w:rsid w:val="F7DD3896"/>
    <w:rsid w:val="F97FF030"/>
    <w:rsid w:val="F9BE3E89"/>
    <w:rsid w:val="FB7F53F4"/>
    <w:rsid w:val="FDFD9F06"/>
    <w:rsid w:val="FF7705EC"/>
    <w:rsid w:val="FFF7C8FF"/>
    <w:rsid w:val="FFFB6896"/>
    <w:rsid w:val="FFFF2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qFormat="1"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qFormat="1" w:uiPriority="0" w:semiHidden="0" w:name="Body Text 2"/>
    <w:lsdException w:uiPriority="99" w:name="Body Text 3"/>
    <w:lsdException w:qFormat="1" w:uiPriority="0" w:semiHidden="0" w:name="Body Text Indent 2"/>
    <w:lsdException w:qFormat="1"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3">
    <w:name w:val="heading 1"/>
    <w:basedOn w:val="1"/>
    <w:next w:val="1"/>
    <w:link w:val="71"/>
    <w:qFormat/>
    <w:uiPriority w:val="9"/>
    <w:pPr>
      <w:keepNext/>
      <w:tabs>
        <w:tab w:val="left" w:pos="720"/>
        <w:tab w:val="left" w:pos="910"/>
        <w:tab w:val="left" w:pos="1190"/>
        <w:tab w:val="left" w:pos="2520"/>
        <w:tab w:val="left" w:pos="7020"/>
      </w:tabs>
      <w:spacing w:beforeLines="50" w:afterLines="50" w:line="400" w:lineRule="exact"/>
      <w:ind w:firstLine="0" w:firstLineChars="0"/>
      <w:jc w:val="center"/>
      <w:outlineLvl w:val="0"/>
    </w:pPr>
    <w:rPr>
      <w:rFonts w:ascii="宋体" w:hAnsi="宋体" w:cs="Times New Roman"/>
      <w:b/>
      <w:bCs/>
      <w:kern w:val="0"/>
      <w:sz w:val="28"/>
      <w:szCs w:val="28"/>
    </w:rPr>
  </w:style>
  <w:style w:type="paragraph" w:styleId="4">
    <w:name w:val="heading 2"/>
    <w:basedOn w:val="1"/>
    <w:next w:val="1"/>
    <w:link w:val="55"/>
    <w:unhideWhenUsed/>
    <w:qFormat/>
    <w:uiPriority w:val="9"/>
    <w:pPr>
      <w:keepNext/>
      <w:keepLines/>
      <w:spacing w:before="260" w:after="260" w:line="416" w:lineRule="auto"/>
      <w:outlineLvl w:val="1"/>
    </w:pPr>
    <w:rPr>
      <w:rFonts w:cstheme="majorBidi"/>
      <w:b/>
      <w:bCs/>
      <w:sz w:val="32"/>
      <w:szCs w:val="32"/>
    </w:rPr>
  </w:style>
  <w:style w:type="paragraph" w:styleId="5">
    <w:name w:val="heading 3"/>
    <w:basedOn w:val="1"/>
    <w:next w:val="1"/>
    <w:link w:val="59"/>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72"/>
    <w:qFormat/>
    <w:uiPriority w:val="9"/>
    <w:pPr>
      <w:keepNext/>
      <w:keepLines/>
      <w:numPr>
        <w:ilvl w:val="3"/>
        <w:numId w:val="1"/>
      </w:numPr>
      <w:spacing w:before="240" w:after="240" w:line="240" w:lineRule="auto"/>
      <w:ind w:firstLineChars="0"/>
      <w:jc w:val="left"/>
      <w:outlineLvl w:val="3"/>
    </w:pPr>
    <w:rPr>
      <w:rFonts w:eastAsia="楷体" w:cs="Times New Roman"/>
      <w:bCs/>
      <w:sz w:val="24"/>
      <w:szCs w:val="28"/>
    </w:rPr>
  </w:style>
  <w:style w:type="paragraph" w:styleId="7">
    <w:name w:val="heading 5"/>
    <w:basedOn w:val="1"/>
    <w:next w:val="1"/>
    <w:link w:val="73"/>
    <w:qFormat/>
    <w:uiPriority w:val="9"/>
    <w:pPr>
      <w:keepNext/>
      <w:keepLines/>
      <w:numPr>
        <w:ilvl w:val="4"/>
        <w:numId w:val="1"/>
      </w:numPr>
      <w:spacing w:line="312" w:lineRule="auto"/>
      <w:ind w:firstLineChars="0"/>
      <w:outlineLvl w:val="4"/>
    </w:pPr>
    <w:rPr>
      <w:rFonts w:cs="Times New Roman"/>
      <w:bCs/>
      <w:sz w:val="24"/>
      <w:szCs w:val="28"/>
    </w:rPr>
  </w:style>
  <w:style w:type="paragraph" w:styleId="8">
    <w:name w:val="heading 6"/>
    <w:basedOn w:val="1"/>
    <w:next w:val="1"/>
    <w:link w:val="74"/>
    <w:qFormat/>
    <w:uiPriority w:val="9"/>
    <w:pPr>
      <w:keepNext/>
      <w:keepLines/>
      <w:numPr>
        <w:ilvl w:val="5"/>
        <w:numId w:val="1"/>
      </w:numPr>
      <w:spacing w:before="240" w:after="64" w:line="320" w:lineRule="auto"/>
      <w:ind w:firstLineChars="0"/>
      <w:outlineLvl w:val="5"/>
    </w:pPr>
    <w:rPr>
      <w:rFonts w:ascii="Cambria" w:hAnsi="Cambria" w:cs="Times New Roman"/>
      <w:b/>
      <w:bCs/>
      <w:sz w:val="24"/>
      <w:szCs w:val="24"/>
    </w:rPr>
  </w:style>
  <w:style w:type="paragraph" w:styleId="9">
    <w:name w:val="heading 7"/>
    <w:basedOn w:val="1"/>
    <w:next w:val="1"/>
    <w:link w:val="75"/>
    <w:qFormat/>
    <w:uiPriority w:val="9"/>
    <w:pPr>
      <w:keepNext/>
      <w:keepLines/>
      <w:numPr>
        <w:ilvl w:val="6"/>
        <w:numId w:val="1"/>
      </w:numPr>
      <w:spacing w:before="240" w:after="64" w:line="320" w:lineRule="auto"/>
      <w:ind w:firstLineChars="0"/>
      <w:outlineLvl w:val="6"/>
    </w:pPr>
    <w:rPr>
      <w:rFonts w:cs="Times New Roman"/>
      <w:b/>
      <w:bCs/>
      <w:sz w:val="24"/>
      <w:szCs w:val="24"/>
    </w:rPr>
  </w:style>
  <w:style w:type="paragraph" w:styleId="10">
    <w:name w:val="heading 8"/>
    <w:basedOn w:val="1"/>
    <w:next w:val="1"/>
    <w:link w:val="76"/>
    <w:qFormat/>
    <w:uiPriority w:val="9"/>
    <w:pPr>
      <w:keepNext/>
      <w:keepLines/>
      <w:numPr>
        <w:ilvl w:val="7"/>
        <w:numId w:val="1"/>
      </w:numPr>
      <w:spacing w:before="240" w:after="64" w:line="320" w:lineRule="auto"/>
      <w:ind w:firstLineChars="0"/>
      <w:outlineLvl w:val="7"/>
    </w:pPr>
    <w:rPr>
      <w:rFonts w:ascii="Cambria" w:hAnsi="Cambria" w:cs="Times New Roman"/>
      <w:sz w:val="24"/>
      <w:szCs w:val="24"/>
    </w:rPr>
  </w:style>
  <w:style w:type="paragraph" w:styleId="11">
    <w:name w:val="heading 9"/>
    <w:basedOn w:val="1"/>
    <w:next w:val="1"/>
    <w:link w:val="77"/>
    <w:qFormat/>
    <w:uiPriority w:val="9"/>
    <w:pPr>
      <w:keepNext/>
      <w:keepLines/>
      <w:numPr>
        <w:ilvl w:val="8"/>
        <w:numId w:val="1"/>
      </w:numPr>
      <w:spacing w:before="240" w:after="64" w:line="320" w:lineRule="auto"/>
      <w:ind w:firstLineChars="0"/>
      <w:outlineLvl w:val="8"/>
    </w:pPr>
    <w:rPr>
      <w:rFonts w:ascii="Cambria" w:hAnsi="Cambria" w:cs="Times New Roman"/>
      <w:szCs w:val="21"/>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1"/>
    <w:qFormat/>
    <w:uiPriority w:val="0"/>
    <w:pPr>
      <w:spacing w:line="480" w:lineRule="exact"/>
    </w:pPr>
    <w:rPr>
      <w:rFonts w:eastAsia="仿宋" w:cs="Times New Roman"/>
      <w:color w:val="000000"/>
      <w:szCs w:val="24"/>
    </w:rPr>
  </w:style>
  <w:style w:type="paragraph" w:styleId="12">
    <w:name w:val="toc 7"/>
    <w:basedOn w:val="1"/>
    <w:next w:val="1"/>
    <w:unhideWhenUsed/>
    <w:qFormat/>
    <w:uiPriority w:val="39"/>
    <w:pPr>
      <w:spacing w:line="240" w:lineRule="auto"/>
      <w:ind w:left="2520" w:leftChars="1200" w:firstLine="0" w:firstLineChars="0"/>
    </w:pPr>
    <w:rPr>
      <w:rFonts w:asciiTheme="minorHAnsi" w:hAnsiTheme="minorHAnsi" w:eastAsiaTheme="minorEastAsia"/>
    </w:rPr>
  </w:style>
  <w:style w:type="paragraph" w:styleId="13">
    <w:name w:val="Normal Indent"/>
    <w:basedOn w:val="1"/>
    <w:qFormat/>
    <w:uiPriority w:val="0"/>
    <w:pPr>
      <w:spacing w:line="240" w:lineRule="atLeast"/>
      <w:ind w:firstLine="0" w:firstLineChars="0"/>
      <w:jc w:val="center"/>
    </w:pPr>
    <w:rPr>
      <w:rFonts w:cs="Times New Roman"/>
      <w:sz w:val="24"/>
      <w:szCs w:val="20"/>
    </w:rPr>
  </w:style>
  <w:style w:type="paragraph" w:styleId="14">
    <w:name w:val="caption"/>
    <w:basedOn w:val="1"/>
    <w:next w:val="1"/>
    <w:qFormat/>
    <w:uiPriority w:val="0"/>
    <w:pPr>
      <w:spacing w:beforeLines="50" w:afterLines="50" w:line="240" w:lineRule="auto"/>
      <w:ind w:firstLine="0" w:firstLineChars="0"/>
      <w:jc w:val="center"/>
    </w:pPr>
    <w:rPr>
      <w:rFonts w:ascii="Cambria" w:hAnsi="Cambria" w:cs="Times New Roman"/>
      <w:szCs w:val="20"/>
    </w:rPr>
  </w:style>
  <w:style w:type="paragraph" w:styleId="15">
    <w:name w:val="Document Map"/>
    <w:basedOn w:val="1"/>
    <w:link w:val="80"/>
    <w:unhideWhenUsed/>
    <w:qFormat/>
    <w:uiPriority w:val="0"/>
    <w:pPr>
      <w:spacing w:line="312" w:lineRule="auto"/>
    </w:pPr>
    <w:rPr>
      <w:rFonts w:ascii="宋体" w:cs="Times New Roman"/>
      <w:sz w:val="18"/>
      <w:szCs w:val="18"/>
    </w:rPr>
  </w:style>
  <w:style w:type="paragraph" w:styleId="16">
    <w:name w:val="annotation text"/>
    <w:basedOn w:val="1"/>
    <w:link w:val="65"/>
    <w:unhideWhenUsed/>
    <w:qFormat/>
    <w:uiPriority w:val="99"/>
    <w:pPr>
      <w:jc w:val="left"/>
    </w:pPr>
  </w:style>
  <w:style w:type="paragraph" w:styleId="17">
    <w:name w:val="Body Text"/>
    <w:basedOn w:val="1"/>
    <w:link w:val="78"/>
    <w:unhideWhenUsed/>
    <w:qFormat/>
    <w:uiPriority w:val="99"/>
    <w:pPr>
      <w:spacing w:after="120"/>
    </w:pPr>
  </w:style>
  <w:style w:type="paragraph" w:styleId="18">
    <w:name w:val="Body Text Indent"/>
    <w:basedOn w:val="1"/>
    <w:link w:val="81"/>
    <w:qFormat/>
    <w:uiPriority w:val="0"/>
    <w:pPr>
      <w:spacing w:line="240" w:lineRule="auto"/>
      <w:ind w:firstLine="420"/>
    </w:pPr>
    <w:rPr>
      <w:rFonts w:cs="Times New Roman"/>
      <w:sz w:val="24"/>
      <w:szCs w:val="24"/>
    </w:rPr>
  </w:style>
  <w:style w:type="paragraph" w:styleId="19">
    <w:name w:val="List Continue"/>
    <w:basedOn w:val="1"/>
    <w:qFormat/>
    <w:uiPriority w:val="0"/>
    <w:pPr>
      <w:spacing w:after="120" w:line="240" w:lineRule="auto"/>
      <w:ind w:left="420" w:leftChars="200" w:firstLine="0" w:firstLineChars="0"/>
    </w:pPr>
    <w:rPr>
      <w:rFonts w:cs="Times New Roman"/>
      <w:szCs w:val="24"/>
    </w:rPr>
  </w:style>
  <w:style w:type="paragraph" w:styleId="20">
    <w:name w:val="toc 5"/>
    <w:basedOn w:val="1"/>
    <w:next w:val="1"/>
    <w:unhideWhenUsed/>
    <w:qFormat/>
    <w:uiPriority w:val="39"/>
    <w:pPr>
      <w:spacing w:line="240" w:lineRule="auto"/>
      <w:ind w:left="1680" w:leftChars="800" w:firstLine="0" w:firstLineChars="0"/>
    </w:pPr>
    <w:rPr>
      <w:rFonts w:asciiTheme="minorHAnsi" w:hAnsiTheme="minorHAnsi" w:eastAsiaTheme="minorEastAsia"/>
    </w:rPr>
  </w:style>
  <w:style w:type="paragraph" w:styleId="21">
    <w:name w:val="toc 3"/>
    <w:basedOn w:val="1"/>
    <w:next w:val="1"/>
    <w:unhideWhenUsed/>
    <w:qFormat/>
    <w:uiPriority w:val="39"/>
    <w:pPr>
      <w:spacing w:line="240" w:lineRule="auto"/>
      <w:ind w:left="840" w:leftChars="400" w:firstLine="0" w:firstLineChars="0"/>
    </w:pPr>
    <w:rPr>
      <w:rFonts w:asciiTheme="minorHAnsi" w:hAnsiTheme="minorHAnsi" w:eastAsiaTheme="minorEastAsia"/>
    </w:rPr>
  </w:style>
  <w:style w:type="paragraph" w:styleId="22">
    <w:name w:val="Plain Text"/>
    <w:basedOn w:val="1"/>
    <w:link w:val="82"/>
    <w:qFormat/>
    <w:uiPriority w:val="0"/>
    <w:pPr>
      <w:spacing w:line="240" w:lineRule="auto"/>
      <w:ind w:firstLine="0" w:firstLineChars="0"/>
    </w:pPr>
    <w:rPr>
      <w:rFonts w:ascii="宋体" w:hAnsi="Courier New" w:cs="Courier New"/>
      <w:szCs w:val="21"/>
    </w:rPr>
  </w:style>
  <w:style w:type="paragraph" w:styleId="23">
    <w:name w:val="toc 8"/>
    <w:basedOn w:val="1"/>
    <w:next w:val="1"/>
    <w:unhideWhenUsed/>
    <w:qFormat/>
    <w:uiPriority w:val="39"/>
    <w:pPr>
      <w:spacing w:line="240" w:lineRule="auto"/>
      <w:ind w:left="2940" w:leftChars="1400" w:firstLine="0" w:firstLineChars="0"/>
    </w:pPr>
    <w:rPr>
      <w:rFonts w:asciiTheme="minorHAnsi" w:hAnsiTheme="minorHAnsi" w:eastAsiaTheme="minorEastAsia"/>
    </w:rPr>
  </w:style>
  <w:style w:type="paragraph" w:styleId="24">
    <w:name w:val="Date"/>
    <w:basedOn w:val="1"/>
    <w:next w:val="1"/>
    <w:link w:val="83"/>
    <w:unhideWhenUsed/>
    <w:qFormat/>
    <w:uiPriority w:val="99"/>
    <w:pPr>
      <w:spacing w:line="312" w:lineRule="auto"/>
      <w:ind w:left="100" w:leftChars="2500"/>
    </w:pPr>
    <w:rPr>
      <w:rFonts w:cs="Times New Roman"/>
      <w:sz w:val="24"/>
      <w:szCs w:val="24"/>
    </w:rPr>
  </w:style>
  <w:style w:type="paragraph" w:styleId="25">
    <w:name w:val="Body Text Indent 2"/>
    <w:basedOn w:val="1"/>
    <w:link w:val="84"/>
    <w:unhideWhenUsed/>
    <w:qFormat/>
    <w:uiPriority w:val="0"/>
    <w:pPr>
      <w:spacing w:after="120" w:line="480" w:lineRule="auto"/>
      <w:ind w:left="420" w:leftChars="200"/>
    </w:pPr>
    <w:rPr>
      <w:rFonts w:cs="Times New Roman"/>
      <w:sz w:val="24"/>
      <w:szCs w:val="24"/>
    </w:rPr>
  </w:style>
  <w:style w:type="paragraph" w:styleId="26">
    <w:name w:val="Balloon Text"/>
    <w:basedOn w:val="1"/>
    <w:link w:val="62"/>
    <w:unhideWhenUsed/>
    <w:qFormat/>
    <w:uiPriority w:val="99"/>
    <w:pPr>
      <w:spacing w:line="240" w:lineRule="auto"/>
    </w:pPr>
    <w:rPr>
      <w:sz w:val="18"/>
      <w:szCs w:val="18"/>
    </w:rPr>
  </w:style>
  <w:style w:type="paragraph" w:styleId="27">
    <w:name w:val="footer"/>
    <w:basedOn w:val="1"/>
    <w:link w:val="68"/>
    <w:unhideWhenUsed/>
    <w:qFormat/>
    <w:uiPriority w:val="99"/>
    <w:pPr>
      <w:tabs>
        <w:tab w:val="center" w:pos="4153"/>
        <w:tab w:val="right" w:pos="8306"/>
      </w:tabs>
      <w:snapToGrid w:val="0"/>
      <w:spacing w:line="240" w:lineRule="auto"/>
      <w:jc w:val="left"/>
    </w:pPr>
    <w:rPr>
      <w:sz w:val="18"/>
      <w:szCs w:val="18"/>
    </w:rPr>
  </w:style>
  <w:style w:type="paragraph" w:styleId="28">
    <w:name w:val="header"/>
    <w:basedOn w:val="1"/>
    <w:link w:val="6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9">
    <w:name w:val="toc 1"/>
    <w:basedOn w:val="1"/>
    <w:next w:val="1"/>
    <w:unhideWhenUsed/>
    <w:qFormat/>
    <w:uiPriority w:val="39"/>
  </w:style>
  <w:style w:type="paragraph" w:styleId="30">
    <w:name w:val="toc 4"/>
    <w:basedOn w:val="1"/>
    <w:next w:val="1"/>
    <w:unhideWhenUsed/>
    <w:qFormat/>
    <w:uiPriority w:val="39"/>
    <w:pPr>
      <w:spacing w:line="240" w:lineRule="auto"/>
      <w:ind w:left="1260" w:leftChars="600" w:firstLine="0" w:firstLineChars="0"/>
    </w:pPr>
    <w:rPr>
      <w:rFonts w:asciiTheme="minorHAnsi" w:hAnsiTheme="minorHAnsi" w:eastAsiaTheme="minorEastAsia"/>
    </w:rPr>
  </w:style>
  <w:style w:type="paragraph" w:styleId="31">
    <w:name w:val="Subtitle"/>
    <w:basedOn w:val="1"/>
    <w:next w:val="1"/>
    <w:link w:val="56"/>
    <w:qFormat/>
    <w:uiPriority w:val="11"/>
    <w:pPr>
      <w:spacing w:before="240" w:after="60" w:line="312" w:lineRule="auto"/>
      <w:jc w:val="center"/>
      <w:outlineLvl w:val="1"/>
    </w:pPr>
    <w:rPr>
      <w:b/>
      <w:bCs/>
      <w:kern w:val="28"/>
      <w:sz w:val="32"/>
      <w:szCs w:val="32"/>
    </w:rPr>
  </w:style>
  <w:style w:type="paragraph" w:styleId="32">
    <w:name w:val="List"/>
    <w:basedOn w:val="1"/>
    <w:qFormat/>
    <w:uiPriority w:val="0"/>
    <w:pPr>
      <w:spacing w:line="240" w:lineRule="auto"/>
      <w:ind w:left="200" w:hanging="200" w:hangingChars="200"/>
    </w:pPr>
    <w:rPr>
      <w:rFonts w:cs="Times New Roman"/>
      <w:szCs w:val="24"/>
    </w:rPr>
  </w:style>
  <w:style w:type="paragraph" w:styleId="33">
    <w:name w:val="footnote text"/>
    <w:basedOn w:val="1"/>
    <w:link w:val="85"/>
    <w:unhideWhenUsed/>
    <w:qFormat/>
    <w:uiPriority w:val="99"/>
    <w:pPr>
      <w:snapToGrid w:val="0"/>
      <w:spacing w:line="312" w:lineRule="auto"/>
      <w:jc w:val="left"/>
    </w:pPr>
    <w:rPr>
      <w:rFonts w:cs="Times New Roman"/>
      <w:sz w:val="18"/>
      <w:szCs w:val="18"/>
    </w:rPr>
  </w:style>
  <w:style w:type="paragraph" w:styleId="34">
    <w:name w:val="toc 6"/>
    <w:basedOn w:val="1"/>
    <w:next w:val="1"/>
    <w:unhideWhenUsed/>
    <w:qFormat/>
    <w:uiPriority w:val="39"/>
    <w:pPr>
      <w:spacing w:line="240" w:lineRule="auto"/>
      <w:ind w:left="2100" w:leftChars="1000" w:firstLine="0" w:firstLineChars="0"/>
    </w:pPr>
    <w:rPr>
      <w:rFonts w:asciiTheme="minorHAnsi" w:hAnsiTheme="minorHAnsi" w:eastAsiaTheme="minorEastAsia"/>
    </w:rPr>
  </w:style>
  <w:style w:type="paragraph" w:styleId="35">
    <w:name w:val="Body Text Indent 3"/>
    <w:basedOn w:val="1"/>
    <w:link w:val="86"/>
    <w:unhideWhenUsed/>
    <w:qFormat/>
    <w:uiPriority w:val="0"/>
    <w:pPr>
      <w:spacing w:after="120" w:line="312" w:lineRule="auto"/>
      <w:ind w:left="420" w:leftChars="200"/>
    </w:pPr>
    <w:rPr>
      <w:rFonts w:cs="Times New Roman"/>
      <w:sz w:val="16"/>
      <w:szCs w:val="16"/>
    </w:rPr>
  </w:style>
  <w:style w:type="paragraph" w:styleId="36">
    <w:name w:val="toc 2"/>
    <w:basedOn w:val="1"/>
    <w:next w:val="1"/>
    <w:unhideWhenUsed/>
    <w:qFormat/>
    <w:uiPriority w:val="39"/>
    <w:pPr>
      <w:spacing w:line="240" w:lineRule="auto"/>
      <w:ind w:left="420" w:leftChars="200" w:firstLine="0" w:firstLineChars="0"/>
    </w:pPr>
    <w:rPr>
      <w:rFonts w:asciiTheme="minorHAnsi" w:hAnsiTheme="minorHAnsi" w:eastAsiaTheme="minorEastAsia"/>
    </w:rPr>
  </w:style>
  <w:style w:type="paragraph" w:styleId="37">
    <w:name w:val="toc 9"/>
    <w:basedOn w:val="1"/>
    <w:next w:val="1"/>
    <w:unhideWhenUsed/>
    <w:qFormat/>
    <w:uiPriority w:val="39"/>
    <w:pPr>
      <w:spacing w:line="240" w:lineRule="auto"/>
      <w:ind w:left="3360" w:leftChars="1600" w:firstLine="0" w:firstLineChars="0"/>
    </w:pPr>
    <w:rPr>
      <w:rFonts w:asciiTheme="minorHAnsi" w:hAnsiTheme="minorHAnsi" w:eastAsiaTheme="minorEastAsia"/>
    </w:rPr>
  </w:style>
  <w:style w:type="paragraph" w:styleId="38">
    <w:name w:val="Body Text 2"/>
    <w:basedOn w:val="1"/>
    <w:link w:val="240"/>
    <w:unhideWhenUsed/>
    <w:qFormat/>
    <w:uiPriority w:val="0"/>
    <w:pPr>
      <w:spacing w:after="120" w:line="480" w:lineRule="auto"/>
      <w:ind w:firstLine="0" w:firstLineChars="0"/>
    </w:pPr>
    <w:rPr>
      <w:rFonts w:ascii="Calibri" w:hAnsi="Calibri" w:cs="Times New Roman"/>
    </w:rPr>
  </w:style>
  <w:style w:type="paragraph" w:styleId="39">
    <w:name w:val="HTML Preformatted"/>
    <w:basedOn w:val="1"/>
    <w:link w:val="87"/>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cs="宋体"/>
      <w:kern w:val="0"/>
      <w:sz w:val="24"/>
      <w:szCs w:val="24"/>
    </w:rPr>
  </w:style>
  <w:style w:type="paragraph" w:styleId="40">
    <w:name w:val="Normal (Web)"/>
    <w:basedOn w:val="1"/>
    <w:unhideWhenUsed/>
    <w:qFormat/>
    <w:uiPriority w:val="99"/>
    <w:pPr>
      <w:spacing w:beforeAutospacing="1" w:afterAutospacing="1"/>
      <w:jc w:val="left"/>
    </w:pPr>
    <w:rPr>
      <w:rFonts w:cs="Times New Roman"/>
      <w:kern w:val="0"/>
      <w:sz w:val="24"/>
    </w:rPr>
  </w:style>
  <w:style w:type="paragraph" w:styleId="41">
    <w:name w:val="Title"/>
    <w:basedOn w:val="1"/>
    <w:next w:val="1"/>
    <w:link w:val="60"/>
    <w:qFormat/>
    <w:uiPriority w:val="0"/>
    <w:pPr>
      <w:spacing w:before="240" w:after="60"/>
      <w:ind w:firstLine="0" w:firstLineChars="0"/>
      <w:jc w:val="center"/>
      <w:outlineLvl w:val="0"/>
    </w:pPr>
    <w:rPr>
      <w:rFonts w:cstheme="majorBidi"/>
      <w:b/>
      <w:bCs/>
      <w:szCs w:val="32"/>
    </w:rPr>
  </w:style>
  <w:style w:type="paragraph" w:styleId="42">
    <w:name w:val="annotation subject"/>
    <w:basedOn w:val="16"/>
    <w:next w:val="16"/>
    <w:link w:val="66"/>
    <w:unhideWhenUsed/>
    <w:qFormat/>
    <w:uiPriority w:val="99"/>
    <w:rPr>
      <w:b/>
      <w:bCs/>
    </w:rPr>
  </w:style>
  <w:style w:type="paragraph" w:styleId="43">
    <w:name w:val="Body Text First Indent"/>
    <w:basedOn w:val="17"/>
    <w:link w:val="79"/>
    <w:qFormat/>
    <w:uiPriority w:val="0"/>
    <w:pPr>
      <w:spacing w:line="240" w:lineRule="auto"/>
      <w:ind w:firstLine="420" w:firstLineChars="100"/>
    </w:pPr>
    <w:rPr>
      <w:rFonts w:ascii="Calibri" w:hAnsi="Calibri" w:cs="Times New Roman"/>
    </w:rPr>
  </w:style>
  <w:style w:type="table" w:styleId="45">
    <w:name w:val="Table Grid"/>
    <w:basedOn w:val="4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qFormat/>
    <w:uiPriority w:val="0"/>
    <w:rPr>
      <w:b/>
    </w:rPr>
  </w:style>
  <w:style w:type="character" w:styleId="48">
    <w:name w:val="endnote reference"/>
    <w:semiHidden/>
    <w:unhideWhenUsed/>
    <w:qFormat/>
    <w:uiPriority w:val="99"/>
    <w:rPr>
      <w:vertAlign w:val="superscript"/>
    </w:rPr>
  </w:style>
  <w:style w:type="character" w:styleId="49">
    <w:name w:val="page number"/>
    <w:qFormat/>
    <w:uiPriority w:val="0"/>
    <w:rPr>
      <w:rFonts w:cs="Times New Roman"/>
    </w:rPr>
  </w:style>
  <w:style w:type="character" w:styleId="50">
    <w:name w:val="FollowedHyperlink"/>
    <w:qFormat/>
    <w:uiPriority w:val="0"/>
    <w:rPr>
      <w:color w:val="800080"/>
      <w:u w:val="single"/>
    </w:rPr>
  </w:style>
  <w:style w:type="character" w:styleId="51">
    <w:name w:val="Emphasis"/>
    <w:qFormat/>
    <w:uiPriority w:val="20"/>
    <w:rPr>
      <w:i/>
      <w:iCs/>
    </w:rPr>
  </w:style>
  <w:style w:type="character" w:styleId="52">
    <w:name w:val="Hyperlink"/>
    <w:basedOn w:val="46"/>
    <w:unhideWhenUsed/>
    <w:qFormat/>
    <w:uiPriority w:val="99"/>
    <w:rPr>
      <w:color w:val="0563C1" w:themeColor="hyperlink"/>
      <w:u w:val="single"/>
      <w14:textFill>
        <w14:solidFill>
          <w14:schemeClr w14:val="hlink"/>
        </w14:solidFill>
      </w14:textFill>
    </w:rPr>
  </w:style>
  <w:style w:type="character" w:styleId="53">
    <w:name w:val="annotation reference"/>
    <w:basedOn w:val="46"/>
    <w:unhideWhenUsed/>
    <w:qFormat/>
    <w:uiPriority w:val="99"/>
    <w:rPr>
      <w:sz w:val="21"/>
      <w:szCs w:val="21"/>
    </w:rPr>
  </w:style>
  <w:style w:type="character" w:styleId="54">
    <w:name w:val="footnote reference"/>
    <w:unhideWhenUsed/>
    <w:qFormat/>
    <w:uiPriority w:val="99"/>
    <w:rPr>
      <w:vertAlign w:val="superscript"/>
    </w:rPr>
  </w:style>
  <w:style w:type="character" w:customStyle="1" w:styleId="55">
    <w:name w:val="标题 2 字符"/>
    <w:basedOn w:val="46"/>
    <w:link w:val="4"/>
    <w:qFormat/>
    <w:uiPriority w:val="9"/>
    <w:rPr>
      <w:rFonts w:ascii="Times New Roman" w:hAnsi="Times New Roman" w:eastAsia="宋体" w:cstheme="majorBidi"/>
      <w:b/>
      <w:bCs/>
      <w:sz w:val="32"/>
      <w:szCs w:val="32"/>
    </w:rPr>
  </w:style>
  <w:style w:type="character" w:customStyle="1" w:styleId="56">
    <w:name w:val="副标题 字符"/>
    <w:basedOn w:val="46"/>
    <w:link w:val="31"/>
    <w:qFormat/>
    <w:uiPriority w:val="11"/>
    <w:rPr>
      <w:rFonts w:ascii="Times New Roman" w:hAnsi="Times New Roman" w:eastAsia="宋体"/>
      <w:b/>
      <w:bCs/>
      <w:kern w:val="28"/>
      <w:sz w:val="32"/>
      <w:szCs w:val="32"/>
    </w:rPr>
  </w:style>
  <w:style w:type="paragraph" w:customStyle="1" w:styleId="57">
    <w:name w:val="article title"/>
    <w:basedOn w:val="1"/>
    <w:link w:val="58"/>
    <w:qFormat/>
    <w:uiPriority w:val="99"/>
    <w:pPr>
      <w:widowControl/>
      <w:ind w:firstLine="0" w:firstLineChars="0"/>
      <w:jc w:val="center"/>
      <w:outlineLvl w:val="0"/>
    </w:pPr>
    <w:rPr>
      <w:rFonts w:ascii="黑体" w:hAnsi="黑体" w:eastAsia="黑体" w:cs="Times New Roman"/>
      <w:b/>
      <w:color w:val="000000"/>
      <w:kern w:val="0"/>
      <w:sz w:val="28"/>
      <w:szCs w:val="20"/>
      <w:lang w:eastAsia="en-US"/>
    </w:rPr>
  </w:style>
  <w:style w:type="character" w:customStyle="1" w:styleId="58">
    <w:name w:val="article title Char"/>
    <w:link w:val="57"/>
    <w:qFormat/>
    <w:uiPriority w:val="99"/>
    <w:rPr>
      <w:rFonts w:ascii="黑体" w:hAnsi="黑体" w:eastAsia="黑体" w:cs="Times New Roman"/>
      <w:b/>
      <w:color w:val="000000"/>
      <w:kern w:val="0"/>
      <w:sz w:val="28"/>
      <w:szCs w:val="20"/>
      <w:lang w:eastAsia="en-US"/>
    </w:rPr>
  </w:style>
  <w:style w:type="character" w:customStyle="1" w:styleId="59">
    <w:name w:val="标题 3 字符"/>
    <w:basedOn w:val="46"/>
    <w:link w:val="5"/>
    <w:qFormat/>
    <w:uiPriority w:val="0"/>
    <w:rPr>
      <w:rFonts w:ascii="Times New Roman" w:hAnsi="Times New Roman" w:eastAsia="宋体"/>
      <w:b/>
      <w:bCs/>
      <w:sz w:val="32"/>
      <w:szCs w:val="32"/>
    </w:rPr>
  </w:style>
  <w:style w:type="character" w:customStyle="1" w:styleId="60">
    <w:name w:val="标题 字符"/>
    <w:basedOn w:val="46"/>
    <w:link w:val="41"/>
    <w:qFormat/>
    <w:uiPriority w:val="0"/>
    <w:rPr>
      <w:rFonts w:ascii="Times New Roman" w:hAnsi="Times New Roman" w:eastAsia="宋体" w:cstheme="majorBidi"/>
      <w:b/>
      <w:bCs/>
      <w:szCs w:val="32"/>
    </w:rPr>
  </w:style>
  <w:style w:type="paragraph" w:styleId="61">
    <w:name w:val="List Paragraph"/>
    <w:basedOn w:val="1"/>
    <w:qFormat/>
    <w:uiPriority w:val="34"/>
    <w:pPr>
      <w:ind w:firstLine="420"/>
    </w:pPr>
  </w:style>
  <w:style w:type="character" w:customStyle="1" w:styleId="62">
    <w:name w:val="批注框文本 字符"/>
    <w:basedOn w:val="46"/>
    <w:link w:val="26"/>
    <w:qFormat/>
    <w:uiPriority w:val="99"/>
    <w:rPr>
      <w:rFonts w:ascii="Times New Roman" w:hAnsi="Times New Roman" w:eastAsia="宋体"/>
      <w:sz w:val="18"/>
      <w:szCs w:val="18"/>
    </w:rPr>
  </w:style>
  <w:style w:type="character" w:customStyle="1" w:styleId="63">
    <w:name w:val="fontstyle01"/>
    <w:basedOn w:val="46"/>
    <w:qFormat/>
    <w:uiPriority w:val="0"/>
    <w:rPr>
      <w:rFonts w:hint="default" w:ascii="TimesNewRomanPS-BoldMT" w:hAnsi="TimesNewRomanPS-BoldMT"/>
      <w:b/>
      <w:bCs/>
      <w:color w:val="000000"/>
      <w:sz w:val="22"/>
      <w:szCs w:val="22"/>
    </w:rPr>
  </w:style>
  <w:style w:type="character" w:customStyle="1" w:styleId="64">
    <w:name w:val="fontstyle21"/>
    <w:basedOn w:val="46"/>
    <w:qFormat/>
    <w:uiPriority w:val="0"/>
    <w:rPr>
      <w:rFonts w:hint="eastAsia" w:ascii="宋体" w:hAnsi="宋体" w:eastAsia="宋体"/>
      <w:color w:val="000000"/>
      <w:sz w:val="22"/>
      <w:szCs w:val="22"/>
    </w:rPr>
  </w:style>
  <w:style w:type="character" w:customStyle="1" w:styleId="65">
    <w:name w:val="批注文字 字符"/>
    <w:basedOn w:val="46"/>
    <w:link w:val="16"/>
    <w:qFormat/>
    <w:uiPriority w:val="99"/>
    <w:rPr>
      <w:rFonts w:ascii="Times New Roman" w:hAnsi="Times New Roman" w:eastAsia="宋体"/>
    </w:rPr>
  </w:style>
  <w:style w:type="character" w:customStyle="1" w:styleId="66">
    <w:name w:val="批注主题 字符"/>
    <w:basedOn w:val="65"/>
    <w:link w:val="42"/>
    <w:qFormat/>
    <w:uiPriority w:val="99"/>
    <w:rPr>
      <w:rFonts w:ascii="Times New Roman" w:hAnsi="Times New Roman" w:eastAsia="宋体"/>
      <w:b/>
      <w:bCs/>
    </w:rPr>
  </w:style>
  <w:style w:type="character" w:customStyle="1" w:styleId="67">
    <w:name w:val="页眉 字符"/>
    <w:basedOn w:val="46"/>
    <w:link w:val="28"/>
    <w:qFormat/>
    <w:uiPriority w:val="99"/>
    <w:rPr>
      <w:rFonts w:ascii="Times New Roman" w:hAnsi="Times New Roman" w:eastAsia="宋体"/>
      <w:sz w:val="18"/>
      <w:szCs w:val="18"/>
    </w:rPr>
  </w:style>
  <w:style w:type="character" w:customStyle="1" w:styleId="68">
    <w:name w:val="页脚 字符"/>
    <w:basedOn w:val="46"/>
    <w:link w:val="27"/>
    <w:qFormat/>
    <w:uiPriority w:val="99"/>
    <w:rPr>
      <w:rFonts w:ascii="Times New Roman" w:hAnsi="Times New Roman" w:eastAsia="宋体"/>
      <w:sz w:val="18"/>
      <w:szCs w:val="18"/>
    </w:rPr>
  </w:style>
  <w:style w:type="paragraph" w:customStyle="1" w:styleId="69">
    <w:name w:val="WPSOffice手动目录 1"/>
    <w:qFormat/>
    <w:uiPriority w:val="0"/>
    <w:rPr>
      <w:rFonts w:ascii="Times New Roman" w:hAnsi="Times New Roman" w:eastAsia="宋体" w:cs="Times New Roman"/>
      <w:lang w:val="en-US" w:eastAsia="zh-CN" w:bidi="ar-SA"/>
    </w:rPr>
  </w:style>
  <w:style w:type="paragraph" w:customStyle="1" w:styleId="70">
    <w:name w:val="修订1"/>
    <w:hidden/>
    <w:semiHidden/>
    <w:qFormat/>
    <w:uiPriority w:val="99"/>
    <w:rPr>
      <w:rFonts w:ascii="Times New Roman" w:hAnsi="Times New Roman" w:eastAsia="宋体" w:cstheme="minorBidi"/>
      <w:kern w:val="2"/>
      <w:sz w:val="21"/>
      <w:szCs w:val="22"/>
      <w:lang w:val="en-US" w:eastAsia="zh-CN" w:bidi="ar-SA"/>
    </w:rPr>
  </w:style>
  <w:style w:type="character" w:customStyle="1" w:styleId="71">
    <w:name w:val="标题 1 字符"/>
    <w:basedOn w:val="46"/>
    <w:link w:val="3"/>
    <w:qFormat/>
    <w:uiPriority w:val="9"/>
    <w:rPr>
      <w:rFonts w:ascii="宋体" w:hAnsi="宋体"/>
      <w:b/>
      <w:bCs/>
      <w:sz w:val="28"/>
      <w:szCs w:val="28"/>
    </w:rPr>
  </w:style>
  <w:style w:type="character" w:customStyle="1" w:styleId="72">
    <w:name w:val="标题 4 字符"/>
    <w:basedOn w:val="46"/>
    <w:link w:val="6"/>
    <w:qFormat/>
    <w:uiPriority w:val="9"/>
    <w:rPr>
      <w:rFonts w:eastAsia="楷体"/>
      <w:bCs/>
      <w:kern w:val="2"/>
      <w:sz w:val="24"/>
      <w:szCs w:val="28"/>
    </w:rPr>
  </w:style>
  <w:style w:type="character" w:customStyle="1" w:styleId="73">
    <w:name w:val="标题 5 字符"/>
    <w:basedOn w:val="46"/>
    <w:link w:val="7"/>
    <w:qFormat/>
    <w:uiPriority w:val="9"/>
    <w:rPr>
      <w:bCs/>
      <w:kern w:val="2"/>
      <w:sz w:val="24"/>
      <w:szCs w:val="28"/>
    </w:rPr>
  </w:style>
  <w:style w:type="character" w:customStyle="1" w:styleId="74">
    <w:name w:val="标题 6 字符"/>
    <w:basedOn w:val="46"/>
    <w:link w:val="8"/>
    <w:qFormat/>
    <w:uiPriority w:val="9"/>
    <w:rPr>
      <w:rFonts w:ascii="Cambria" w:hAnsi="Cambria"/>
      <w:b/>
      <w:bCs/>
      <w:kern w:val="2"/>
      <w:sz w:val="24"/>
      <w:szCs w:val="24"/>
    </w:rPr>
  </w:style>
  <w:style w:type="character" w:customStyle="1" w:styleId="75">
    <w:name w:val="标题 7 字符"/>
    <w:basedOn w:val="46"/>
    <w:link w:val="9"/>
    <w:qFormat/>
    <w:uiPriority w:val="9"/>
    <w:rPr>
      <w:b/>
      <w:bCs/>
      <w:kern w:val="2"/>
      <w:sz w:val="24"/>
      <w:szCs w:val="24"/>
    </w:rPr>
  </w:style>
  <w:style w:type="character" w:customStyle="1" w:styleId="76">
    <w:name w:val="标题 8 字符"/>
    <w:basedOn w:val="46"/>
    <w:link w:val="10"/>
    <w:qFormat/>
    <w:uiPriority w:val="9"/>
    <w:rPr>
      <w:rFonts w:ascii="Cambria" w:hAnsi="Cambria"/>
      <w:kern w:val="2"/>
      <w:sz w:val="24"/>
      <w:szCs w:val="24"/>
    </w:rPr>
  </w:style>
  <w:style w:type="character" w:customStyle="1" w:styleId="77">
    <w:name w:val="标题 9 字符"/>
    <w:basedOn w:val="46"/>
    <w:link w:val="11"/>
    <w:qFormat/>
    <w:uiPriority w:val="9"/>
    <w:rPr>
      <w:rFonts w:ascii="Cambria" w:hAnsi="Cambria"/>
      <w:kern w:val="2"/>
      <w:sz w:val="21"/>
      <w:szCs w:val="21"/>
    </w:rPr>
  </w:style>
  <w:style w:type="character" w:customStyle="1" w:styleId="78">
    <w:name w:val="正文文本 字符"/>
    <w:basedOn w:val="46"/>
    <w:link w:val="17"/>
    <w:qFormat/>
    <w:uiPriority w:val="99"/>
    <w:rPr>
      <w:rFonts w:cstheme="minorBidi"/>
      <w:kern w:val="2"/>
      <w:sz w:val="21"/>
      <w:szCs w:val="22"/>
    </w:rPr>
  </w:style>
  <w:style w:type="character" w:customStyle="1" w:styleId="79">
    <w:name w:val="正文首行缩进 字符"/>
    <w:basedOn w:val="78"/>
    <w:link w:val="43"/>
    <w:qFormat/>
    <w:uiPriority w:val="0"/>
    <w:rPr>
      <w:rFonts w:ascii="Calibri" w:hAnsi="Calibri" w:cstheme="minorBidi"/>
      <w:kern w:val="2"/>
      <w:sz w:val="21"/>
      <w:szCs w:val="22"/>
    </w:rPr>
  </w:style>
  <w:style w:type="character" w:customStyle="1" w:styleId="80">
    <w:name w:val="文档结构图 字符"/>
    <w:basedOn w:val="46"/>
    <w:link w:val="15"/>
    <w:qFormat/>
    <w:uiPriority w:val="0"/>
    <w:rPr>
      <w:rFonts w:ascii="宋体"/>
      <w:kern w:val="2"/>
      <w:sz w:val="18"/>
      <w:szCs w:val="18"/>
    </w:rPr>
  </w:style>
  <w:style w:type="character" w:customStyle="1" w:styleId="81">
    <w:name w:val="正文文本缩进 字符"/>
    <w:basedOn w:val="46"/>
    <w:link w:val="18"/>
    <w:qFormat/>
    <w:uiPriority w:val="0"/>
    <w:rPr>
      <w:kern w:val="2"/>
      <w:sz w:val="24"/>
      <w:szCs w:val="24"/>
    </w:rPr>
  </w:style>
  <w:style w:type="character" w:customStyle="1" w:styleId="82">
    <w:name w:val="纯文本 字符"/>
    <w:basedOn w:val="46"/>
    <w:link w:val="22"/>
    <w:qFormat/>
    <w:uiPriority w:val="0"/>
    <w:rPr>
      <w:rFonts w:ascii="宋体" w:hAnsi="Courier New" w:cs="Courier New"/>
      <w:kern w:val="2"/>
      <w:sz w:val="21"/>
      <w:szCs w:val="21"/>
    </w:rPr>
  </w:style>
  <w:style w:type="character" w:customStyle="1" w:styleId="83">
    <w:name w:val="日期 字符"/>
    <w:basedOn w:val="46"/>
    <w:link w:val="24"/>
    <w:qFormat/>
    <w:uiPriority w:val="99"/>
    <w:rPr>
      <w:kern w:val="2"/>
      <w:sz w:val="24"/>
      <w:szCs w:val="24"/>
    </w:rPr>
  </w:style>
  <w:style w:type="character" w:customStyle="1" w:styleId="84">
    <w:name w:val="正文文本缩进 2 字符"/>
    <w:basedOn w:val="46"/>
    <w:link w:val="25"/>
    <w:qFormat/>
    <w:uiPriority w:val="0"/>
    <w:rPr>
      <w:kern w:val="2"/>
      <w:sz w:val="24"/>
      <w:szCs w:val="24"/>
    </w:rPr>
  </w:style>
  <w:style w:type="character" w:customStyle="1" w:styleId="85">
    <w:name w:val="脚注文本 字符"/>
    <w:basedOn w:val="46"/>
    <w:link w:val="33"/>
    <w:qFormat/>
    <w:uiPriority w:val="99"/>
    <w:rPr>
      <w:kern w:val="2"/>
      <w:sz w:val="18"/>
      <w:szCs w:val="18"/>
    </w:rPr>
  </w:style>
  <w:style w:type="character" w:customStyle="1" w:styleId="86">
    <w:name w:val="正文文本缩进 3 字符"/>
    <w:basedOn w:val="46"/>
    <w:link w:val="35"/>
    <w:qFormat/>
    <w:uiPriority w:val="0"/>
    <w:rPr>
      <w:kern w:val="2"/>
      <w:sz w:val="16"/>
      <w:szCs w:val="16"/>
    </w:rPr>
  </w:style>
  <w:style w:type="character" w:customStyle="1" w:styleId="87">
    <w:name w:val="HTML 预设格式 字符"/>
    <w:basedOn w:val="46"/>
    <w:link w:val="39"/>
    <w:qFormat/>
    <w:uiPriority w:val="99"/>
    <w:rPr>
      <w:rFonts w:ascii="宋体" w:hAnsi="宋体" w:cs="宋体"/>
      <w:sz w:val="24"/>
      <w:szCs w:val="24"/>
    </w:rPr>
  </w:style>
  <w:style w:type="paragraph" w:customStyle="1" w:styleId="88">
    <w:name w:val="05表头"/>
    <w:basedOn w:val="1"/>
    <w:link w:val="188"/>
    <w:qFormat/>
    <w:uiPriority w:val="0"/>
    <w:pPr>
      <w:ind w:firstLine="0" w:firstLineChars="0"/>
      <w:jc w:val="center"/>
    </w:pPr>
    <w:rPr>
      <w:rFonts w:eastAsia="黑体" w:cs="Times New Roman"/>
      <w:szCs w:val="24"/>
    </w:rPr>
  </w:style>
  <w:style w:type="paragraph" w:customStyle="1" w:styleId="89">
    <w:name w:val="06表中文字"/>
    <w:basedOn w:val="1"/>
    <w:qFormat/>
    <w:uiPriority w:val="0"/>
    <w:pPr>
      <w:widowControl/>
      <w:spacing w:line="240" w:lineRule="auto"/>
      <w:ind w:firstLine="6" w:firstLineChars="0"/>
      <w:jc w:val="center"/>
      <w:textAlignment w:val="center"/>
    </w:pPr>
    <w:rPr>
      <w:rFonts w:cs="Times New Roman"/>
      <w:kern w:val="0"/>
      <w:szCs w:val="18"/>
    </w:rPr>
  </w:style>
  <w:style w:type="paragraph" w:customStyle="1" w:styleId="90">
    <w:name w:val="列出段落1"/>
    <w:basedOn w:val="1"/>
    <w:link w:val="91"/>
    <w:qFormat/>
    <w:uiPriority w:val="34"/>
    <w:pPr>
      <w:spacing w:line="312" w:lineRule="auto"/>
      <w:ind w:firstLine="420"/>
    </w:pPr>
    <w:rPr>
      <w:rFonts w:cs="Times New Roman"/>
      <w:sz w:val="24"/>
      <w:szCs w:val="24"/>
    </w:rPr>
  </w:style>
  <w:style w:type="character" w:customStyle="1" w:styleId="91">
    <w:name w:val="列出段落 Char"/>
    <w:link w:val="90"/>
    <w:qFormat/>
    <w:uiPriority w:val="34"/>
    <w:rPr>
      <w:kern w:val="2"/>
      <w:sz w:val="24"/>
      <w:szCs w:val="24"/>
    </w:rPr>
  </w:style>
  <w:style w:type="character" w:customStyle="1" w:styleId="92">
    <w:name w:val="样式 宋体"/>
    <w:qFormat/>
    <w:uiPriority w:val="0"/>
    <w:rPr>
      <w:rFonts w:ascii="Times New Roman" w:hAnsi="Times New Roman" w:eastAsia="宋体"/>
    </w:rPr>
  </w:style>
  <w:style w:type="paragraph" w:customStyle="1" w:styleId="93">
    <w:name w:val="07图名"/>
    <w:basedOn w:val="1"/>
    <w:qFormat/>
    <w:uiPriority w:val="0"/>
    <w:pPr>
      <w:snapToGrid w:val="0"/>
      <w:spacing w:line="312" w:lineRule="auto"/>
      <w:ind w:firstLine="0" w:firstLineChars="0"/>
      <w:jc w:val="center"/>
    </w:pPr>
    <w:rPr>
      <w:rFonts w:cs="Times New Roman"/>
      <w:szCs w:val="24"/>
    </w:rPr>
  </w:style>
  <w:style w:type="paragraph" w:customStyle="1" w:styleId="94">
    <w:name w:val="Maple Output"/>
    <w:qFormat/>
    <w:uiPriority w:val="99"/>
    <w:pPr>
      <w:widowControl w:val="0"/>
      <w:autoSpaceDE w:val="0"/>
      <w:autoSpaceDN w:val="0"/>
      <w:adjustRightInd w:val="0"/>
      <w:spacing w:line="360" w:lineRule="auto"/>
      <w:jc w:val="center"/>
    </w:pPr>
    <w:rPr>
      <w:rFonts w:ascii="Times New Roman" w:hAnsi="Times New Roman" w:eastAsia="宋体" w:cs="Times New Roman"/>
      <w:color w:val="000000"/>
      <w:sz w:val="24"/>
      <w:szCs w:val="24"/>
      <w:lang w:val="en-US" w:eastAsia="zh-CN" w:bidi="ar-SA"/>
    </w:rPr>
  </w:style>
  <w:style w:type="paragraph" w:customStyle="1" w:styleId="95">
    <w:name w:val="图名和表名编号"/>
    <w:basedOn w:val="1"/>
    <w:qFormat/>
    <w:uiPriority w:val="0"/>
    <w:pPr>
      <w:tabs>
        <w:tab w:val="left" w:pos="2340"/>
      </w:tabs>
      <w:spacing w:beforeLines="25" w:afterLines="25" w:line="240" w:lineRule="auto"/>
      <w:ind w:firstLine="0" w:firstLineChars="0"/>
      <w:jc w:val="center"/>
    </w:pPr>
    <w:rPr>
      <w:rFonts w:eastAsia="黑体" w:cs="Times New Roman"/>
      <w:b/>
      <w:color w:val="000000"/>
      <w:sz w:val="24"/>
      <w:szCs w:val="18"/>
    </w:rPr>
  </w:style>
  <w:style w:type="paragraph" w:customStyle="1" w:styleId="96">
    <w:name w:val="TOC 标题1"/>
    <w:basedOn w:val="3"/>
    <w:next w:val="1"/>
    <w:qFormat/>
    <w:uiPriority w:val="39"/>
    <w:pPr>
      <w:framePr w:wrap="around" w:vAnchor="margin" w:hAnchor="text" w:y="1"/>
      <w:widowControl/>
      <w:spacing w:before="480" w:line="276" w:lineRule="auto"/>
      <w:jc w:val="left"/>
      <w:outlineLvl w:val="9"/>
    </w:pPr>
    <w:rPr>
      <w:rFonts w:ascii="Cambria" w:hAnsi="Cambria"/>
      <w:color w:val="365F91"/>
    </w:rPr>
  </w:style>
  <w:style w:type="paragraph" w:customStyle="1" w:styleId="97">
    <w:name w:val="样式 样式 正文 +1 + 首行缩进:  2 字符"/>
    <w:basedOn w:val="1"/>
    <w:qFormat/>
    <w:uiPriority w:val="0"/>
    <w:pPr>
      <w:spacing w:line="240" w:lineRule="auto"/>
      <w:ind w:firstLine="560"/>
      <w:jc w:val="left"/>
    </w:pPr>
    <w:rPr>
      <w:rFonts w:cs="宋体"/>
      <w:kern w:val="0"/>
      <w:sz w:val="24"/>
      <w:szCs w:val="20"/>
    </w:rPr>
  </w:style>
  <w:style w:type="paragraph" w:customStyle="1" w:styleId="98">
    <w:name w:val="表名"/>
    <w:basedOn w:val="1"/>
    <w:link w:val="99"/>
    <w:qFormat/>
    <w:uiPriority w:val="0"/>
    <w:pPr>
      <w:spacing w:beforeLines="50" w:afterLines="50" w:line="240" w:lineRule="auto"/>
      <w:ind w:firstLine="0" w:firstLineChars="0"/>
      <w:jc w:val="left"/>
    </w:pPr>
    <w:rPr>
      <w:rFonts w:eastAsia="黑体" w:cs="Times New Roman"/>
      <w:b/>
      <w:sz w:val="24"/>
      <w:szCs w:val="24"/>
      <w:lang w:val="en-GB"/>
    </w:rPr>
  </w:style>
  <w:style w:type="character" w:customStyle="1" w:styleId="99">
    <w:name w:val="表名 Char"/>
    <w:link w:val="98"/>
    <w:qFormat/>
    <w:uiPriority w:val="0"/>
    <w:rPr>
      <w:rFonts w:eastAsia="黑体"/>
      <w:b/>
      <w:kern w:val="2"/>
      <w:sz w:val="24"/>
      <w:szCs w:val="24"/>
      <w:lang w:val="en-GB"/>
    </w:rPr>
  </w:style>
  <w:style w:type="paragraph" w:customStyle="1" w:styleId="100">
    <w:name w:val="Char Char Char Char Char Char Char Char Char"/>
    <w:basedOn w:val="1"/>
    <w:qFormat/>
    <w:uiPriority w:val="0"/>
    <w:pPr>
      <w:widowControl/>
      <w:spacing w:after="160" w:line="240" w:lineRule="exact"/>
      <w:ind w:firstLine="0" w:firstLineChars="0"/>
      <w:jc w:val="left"/>
    </w:pPr>
    <w:rPr>
      <w:rFonts w:ascii="Verdana" w:hAnsi="Verdana" w:eastAsia="仿宋_GB2312" w:cs="Times New Roman"/>
      <w:kern w:val="0"/>
      <w:sz w:val="24"/>
      <w:szCs w:val="20"/>
      <w:lang w:eastAsia="en-US"/>
    </w:rPr>
  </w:style>
  <w:style w:type="paragraph" w:customStyle="1" w:styleId="10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02">
    <w:name w:val="font04"/>
    <w:basedOn w:val="1"/>
    <w:qFormat/>
    <w:uiPriority w:val="0"/>
    <w:pPr>
      <w:widowControl/>
      <w:spacing w:before="100" w:beforeAutospacing="1" w:after="150" w:line="270" w:lineRule="atLeast"/>
      <w:ind w:firstLine="360" w:firstLineChars="0"/>
      <w:jc w:val="left"/>
    </w:pPr>
    <w:rPr>
      <w:rFonts w:ascii="宋体" w:hAnsi="宋体" w:cs="宋体"/>
      <w:color w:val="2E4E9E"/>
      <w:kern w:val="0"/>
      <w:sz w:val="24"/>
      <w:szCs w:val="24"/>
    </w:rPr>
  </w:style>
  <w:style w:type="character" w:customStyle="1" w:styleId="103">
    <w:name w:val="style41"/>
    <w:qFormat/>
    <w:uiPriority w:val="0"/>
    <w:rPr>
      <w:b/>
      <w:bCs/>
      <w:color w:val="0C5075"/>
    </w:rPr>
  </w:style>
  <w:style w:type="character" w:customStyle="1" w:styleId="104">
    <w:name w:val="Char Char"/>
    <w:qFormat/>
    <w:uiPriority w:val="0"/>
    <w:rPr>
      <w:rFonts w:cs="Times New Roman"/>
      <w:kern w:val="2"/>
      <w:sz w:val="18"/>
      <w:szCs w:val="18"/>
    </w:rPr>
  </w:style>
  <w:style w:type="paragraph" w:customStyle="1" w:styleId="105">
    <w:name w:val="样式 目录 1 + 段前: 1 行 段后: 1 行"/>
    <w:basedOn w:val="29"/>
    <w:qFormat/>
    <w:uiPriority w:val="0"/>
    <w:pPr>
      <w:tabs>
        <w:tab w:val="right" w:leader="dot" w:pos="8364"/>
      </w:tabs>
      <w:spacing w:before="120" w:beforeLines="100" w:after="120" w:afterLines="100"/>
      <w:ind w:firstLine="0" w:firstLineChars="0"/>
      <w:jc w:val="center"/>
    </w:pPr>
    <w:rPr>
      <w:rFonts w:ascii="黑体" w:eastAsia="黑体" w:cs="宋体"/>
      <w:sz w:val="24"/>
      <w:szCs w:val="24"/>
    </w:rPr>
  </w:style>
  <w:style w:type="paragraph" w:customStyle="1" w:styleId="106">
    <w:name w:val="样式 样式 目录 1 + 段前: 1 行 段后: 1 行 + 段前: 1 行 段后: 1 行"/>
    <w:basedOn w:val="105"/>
    <w:qFormat/>
    <w:uiPriority w:val="0"/>
    <w:pPr>
      <w:spacing w:beforeLines="0" w:afterLines="0"/>
    </w:pPr>
  </w:style>
  <w:style w:type="paragraph" w:customStyle="1" w:styleId="107">
    <w:name w:val="Char Char Char Char"/>
    <w:basedOn w:val="1"/>
    <w:qFormat/>
    <w:uiPriority w:val="0"/>
    <w:pPr>
      <w:spacing w:line="240" w:lineRule="auto"/>
      <w:ind w:firstLine="0" w:firstLineChars="0"/>
    </w:pPr>
    <w:rPr>
      <w:rFonts w:ascii="Tahoma" w:hAnsi="Tahoma" w:cs="Times New Roman"/>
      <w:sz w:val="24"/>
      <w:szCs w:val="24"/>
    </w:rPr>
  </w:style>
  <w:style w:type="paragraph" w:customStyle="1" w:styleId="108">
    <w:name w:val="Char"/>
    <w:basedOn w:val="1"/>
    <w:qFormat/>
    <w:uiPriority w:val="0"/>
    <w:pPr>
      <w:spacing w:line="240" w:lineRule="auto"/>
      <w:ind w:firstLine="0" w:firstLineChars="0"/>
    </w:pPr>
    <w:rPr>
      <w:rFonts w:cs="Times New Roman"/>
      <w:szCs w:val="24"/>
    </w:rPr>
  </w:style>
  <w:style w:type="character" w:customStyle="1" w:styleId="109">
    <w:name w:val="apple-style-span"/>
    <w:basedOn w:val="46"/>
    <w:qFormat/>
    <w:uiPriority w:val="0"/>
  </w:style>
  <w:style w:type="paragraph" w:customStyle="1" w:styleId="110">
    <w:name w:val="正文排版"/>
    <w:basedOn w:val="1"/>
    <w:link w:val="111"/>
    <w:qFormat/>
    <w:uiPriority w:val="0"/>
    <w:pPr>
      <w:spacing w:line="400" w:lineRule="exact"/>
    </w:pPr>
    <w:rPr>
      <w:rFonts w:ascii="Calibri" w:hAnsi="Calibri" w:cs="Times New Roman"/>
      <w:sz w:val="24"/>
      <w:szCs w:val="24"/>
    </w:rPr>
  </w:style>
  <w:style w:type="character" w:customStyle="1" w:styleId="111">
    <w:name w:val="正文排版 Char"/>
    <w:link w:val="110"/>
    <w:qFormat/>
    <w:uiPriority w:val="0"/>
    <w:rPr>
      <w:rFonts w:ascii="Calibri" w:hAnsi="Calibri"/>
      <w:kern w:val="2"/>
      <w:sz w:val="24"/>
      <w:szCs w:val="24"/>
    </w:rPr>
  </w:style>
  <w:style w:type="paragraph" w:customStyle="1" w:styleId="112">
    <w:name w:val="段落"/>
    <w:basedOn w:val="1"/>
    <w:link w:val="113"/>
    <w:qFormat/>
    <w:uiPriority w:val="0"/>
    <w:pPr>
      <w:spacing w:line="300" w:lineRule="auto"/>
    </w:pPr>
    <w:rPr>
      <w:rFonts w:ascii="Calibri" w:hAnsi="Calibri" w:cs="Times New Roman"/>
      <w:szCs w:val="24"/>
    </w:rPr>
  </w:style>
  <w:style w:type="character" w:customStyle="1" w:styleId="113">
    <w:name w:val="段落 Char"/>
    <w:link w:val="112"/>
    <w:qFormat/>
    <w:uiPriority w:val="0"/>
    <w:rPr>
      <w:rFonts w:ascii="Calibri" w:hAnsi="Calibri"/>
      <w:kern w:val="2"/>
      <w:sz w:val="21"/>
      <w:szCs w:val="24"/>
    </w:rPr>
  </w:style>
  <w:style w:type="paragraph" w:customStyle="1" w:styleId="11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
    <w:name w:val="MTDisplayEquation"/>
    <w:basedOn w:val="1"/>
    <w:next w:val="1"/>
    <w:link w:val="117"/>
    <w:qFormat/>
    <w:uiPriority w:val="0"/>
    <w:pPr>
      <w:tabs>
        <w:tab w:val="center" w:pos="4160"/>
        <w:tab w:val="right" w:pos="8300"/>
      </w:tabs>
      <w:ind w:firstLine="480"/>
      <w:textAlignment w:val="center"/>
    </w:pPr>
    <w:rPr>
      <w:rFonts w:cs="Times New Roman"/>
      <w:sz w:val="24"/>
      <w:szCs w:val="24"/>
    </w:rPr>
  </w:style>
  <w:style w:type="character" w:customStyle="1" w:styleId="117">
    <w:name w:val="MTDisplayEquation Char"/>
    <w:link w:val="116"/>
    <w:qFormat/>
    <w:uiPriority w:val="0"/>
    <w:rPr>
      <w:kern w:val="2"/>
      <w:sz w:val="24"/>
      <w:szCs w:val="24"/>
    </w:rPr>
  </w:style>
  <w:style w:type="paragraph" w:customStyle="1" w:styleId="118">
    <w:name w:val="08图片格式"/>
    <w:basedOn w:val="1"/>
    <w:qFormat/>
    <w:uiPriority w:val="0"/>
    <w:pPr>
      <w:keepNext/>
      <w:spacing w:line="312" w:lineRule="auto"/>
      <w:ind w:firstLine="0" w:firstLineChars="0"/>
      <w:jc w:val="center"/>
    </w:pPr>
    <w:rPr>
      <w:rFonts w:cs="Times New Roman"/>
      <w:sz w:val="24"/>
      <w:szCs w:val="24"/>
    </w:rPr>
  </w:style>
  <w:style w:type="paragraph" w:customStyle="1" w:styleId="119">
    <w:name w:val="样式1"/>
    <w:basedOn w:val="88"/>
    <w:next w:val="118"/>
    <w:link w:val="120"/>
    <w:qFormat/>
    <w:uiPriority w:val="0"/>
    <w:pPr>
      <w:keepNext/>
      <w:spacing w:beforeLines="50"/>
    </w:pPr>
  </w:style>
  <w:style w:type="character" w:customStyle="1" w:styleId="120">
    <w:name w:val="样式1 Char"/>
    <w:link w:val="119"/>
    <w:qFormat/>
    <w:uiPriority w:val="0"/>
    <w:rPr>
      <w:rFonts w:eastAsia="黑体"/>
      <w:kern w:val="2"/>
      <w:sz w:val="21"/>
      <w:szCs w:val="24"/>
    </w:rPr>
  </w:style>
  <w:style w:type="paragraph" w:customStyle="1" w:styleId="121">
    <w:name w:val="s"/>
    <w:basedOn w:val="1"/>
    <w:qFormat/>
    <w:uiPriority w:val="0"/>
    <w:pPr>
      <w:spacing w:line="360" w:lineRule="atLeast"/>
    </w:pPr>
    <w:rPr>
      <w:rFonts w:eastAsia="仿宋_GB2312" w:cs="Times New Roman"/>
      <w:sz w:val="24"/>
      <w:szCs w:val="24"/>
    </w:rPr>
  </w:style>
  <w:style w:type="paragraph" w:customStyle="1" w:styleId="122">
    <w:name w:val="z"/>
    <w:basedOn w:val="1"/>
    <w:qFormat/>
    <w:uiPriority w:val="0"/>
    <w:rPr>
      <w:rFonts w:cs="Times New Roman"/>
      <w:sz w:val="24"/>
      <w:szCs w:val="24"/>
    </w:rPr>
  </w:style>
  <w:style w:type="paragraph" w:customStyle="1" w:styleId="123">
    <w:name w:val="说明"/>
    <w:basedOn w:val="1"/>
    <w:qFormat/>
    <w:uiPriority w:val="0"/>
    <w:pPr>
      <w:spacing w:line="400" w:lineRule="atLeast"/>
      <w:ind w:firstLine="0" w:firstLineChars="0"/>
    </w:pPr>
    <w:rPr>
      <w:rFonts w:ascii="楷体_GB2312" w:eastAsia="楷体_GB2312" w:cs="Times New Roman"/>
      <w:sz w:val="24"/>
      <w:szCs w:val="24"/>
    </w:rPr>
  </w:style>
  <w:style w:type="paragraph" w:customStyle="1" w:styleId="124">
    <w:name w:val="Char Char Char Char Char Char Char"/>
    <w:basedOn w:val="1"/>
    <w:qFormat/>
    <w:uiPriority w:val="0"/>
    <w:pPr>
      <w:widowControl/>
      <w:topLinePunct/>
      <w:adjustRightInd w:val="0"/>
      <w:spacing w:after="160" w:line="240" w:lineRule="exact"/>
      <w:ind w:firstLine="0" w:firstLineChars="0"/>
      <w:jc w:val="left"/>
    </w:pPr>
    <w:rPr>
      <w:rFonts w:ascii="Arial" w:hAnsi="Arial" w:eastAsia="Times New Roman" w:cs="Verdana"/>
      <w:b/>
      <w:kern w:val="0"/>
      <w:sz w:val="24"/>
      <w:szCs w:val="24"/>
      <w:lang w:eastAsia="en-US"/>
    </w:rPr>
  </w:style>
  <w:style w:type="paragraph" w:customStyle="1" w:styleId="125">
    <w:name w:val="样式 标题 2 + 黑色"/>
    <w:basedOn w:val="4"/>
    <w:qFormat/>
    <w:uiPriority w:val="0"/>
    <w:pPr>
      <w:spacing w:before="0" w:after="0" w:line="360" w:lineRule="auto"/>
      <w:ind w:firstLine="0" w:firstLineChars="0"/>
      <w:jc w:val="center"/>
    </w:pPr>
    <w:rPr>
      <w:rFonts w:eastAsia="黑体" w:cs="Times New Roman"/>
      <w:color w:val="000000"/>
      <w:sz w:val="21"/>
      <w:szCs w:val="21"/>
    </w:rPr>
  </w:style>
  <w:style w:type="paragraph" w:customStyle="1" w:styleId="126">
    <w:name w:val="样式2"/>
    <w:basedOn w:val="28"/>
    <w:link w:val="127"/>
    <w:qFormat/>
    <w:uiPriority w:val="0"/>
    <w:pPr>
      <w:pBdr>
        <w:bottom w:val="none" w:color="auto" w:sz="0" w:space="0"/>
      </w:pBdr>
      <w:ind w:firstLine="0" w:firstLineChars="0"/>
    </w:pPr>
    <w:rPr>
      <w:rFonts w:cs="Times New Roman"/>
    </w:rPr>
  </w:style>
  <w:style w:type="character" w:customStyle="1" w:styleId="127">
    <w:name w:val="样式2 Char"/>
    <w:link w:val="126"/>
    <w:qFormat/>
    <w:uiPriority w:val="0"/>
    <w:rPr>
      <w:kern w:val="2"/>
      <w:sz w:val="18"/>
      <w:szCs w:val="18"/>
    </w:rPr>
  </w:style>
  <w:style w:type="paragraph" w:customStyle="1" w:styleId="128">
    <w:name w:val="样式3"/>
    <w:basedOn w:val="28"/>
    <w:link w:val="129"/>
    <w:qFormat/>
    <w:uiPriority w:val="0"/>
    <w:pPr>
      <w:pBdr>
        <w:bottom w:val="none" w:color="auto" w:sz="0" w:space="0"/>
      </w:pBdr>
      <w:ind w:firstLine="0" w:firstLineChars="0"/>
    </w:pPr>
    <w:rPr>
      <w:rFonts w:cs="Times New Roman"/>
    </w:rPr>
  </w:style>
  <w:style w:type="character" w:customStyle="1" w:styleId="129">
    <w:name w:val="样式3 Char"/>
    <w:link w:val="128"/>
    <w:qFormat/>
    <w:uiPriority w:val="0"/>
    <w:rPr>
      <w:kern w:val="2"/>
      <w:sz w:val="18"/>
      <w:szCs w:val="18"/>
    </w:rPr>
  </w:style>
  <w:style w:type="paragraph" w:customStyle="1" w:styleId="130">
    <w:name w:val="样式4"/>
    <w:basedOn w:val="28"/>
    <w:link w:val="131"/>
    <w:qFormat/>
    <w:uiPriority w:val="0"/>
    <w:pPr>
      <w:pBdr>
        <w:bottom w:val="none" w:color="auto" w:sz="0" w:space="0"/>
      </w:pBdr>
      <w:ind w:firstLine="0" w:firstLineChars="0"/>
    </w:pPr>
    <w:rPr>
      <w:rFonts w:cs="Times New Roman"/>
    </w:rPr>
  </w:style>
  <w:style w:type="character" w:customStyle="1" w:styleId="131">
    <w:name w:val="样式4 Char"/>
    <w:link w:val="130"/>
    <w:qFormat/>
    <w:uiPriority w:val="0"/>
    <w:rPr>
      <w:kern w:val="2"/>
      <w:sz w:val="18"/>
      <w:szCs w:val="18"/>
    </w:rPr>
  </w:style>
  <w:style w:type="paragraph" w:customStyle="1" w:styleId="132">
    <w:name w:val="样式5"/>
    <w:basedOn w:val="28"/>
    <w:link w:val="133"/>
    <w:qFormat/>
    <w:uiPriority w:val="0"/>
    <w:pPr>
      <w:pBdr>
        <w:bottom w:val="none" w:color="auto" w:sz="0" w:space="0"/>
      </w:pBdr>
      <w:ind w:firstLine="0" w:firstLineChars="0"/>
    </w:pPr>
    <w:rPr>
      <w:rFonts w:cs="Times New Roman"/>
    </w:rPr>
  </w:style>
  <w:style w:type="character" w:customStyle="1" w:styleId="133">
    <w:name w:val="样式5 Char"/>
    <w:link w:val="132"/>
    <w:qFormat/>
    <w:uiPriority w:val="0"/>
    <w:rPr>
      <w:kern w:val="2"/>
      <w:sz w:val="18"/>
      <w:szCs w:val="18"/>
    </w:rPr>
  </w:style>
  <w:style w:type="paragraph" w:customStyle="1" w:styleId="134">
    <w:name w:val="样式6"/>
    <w:basedOn w:val="28"/>
    <w:link w:val="135"/>
    <w:qFormat/>
    <w:uiPriority w:val="0"/>
    <w:pPr>
      <w:pBdr>
        <w:bottom w:val="none" w:color="auto" w:sz="0" w:space="0"/>
      </w:pBdr>
      <w:ind w:firstLine="0" w:firstLineChars="0"/>
    </w:pPr>
    <w:rPr>
      <w:rFonts w:cs="Times New Roman"/>
    </w:rPr>
  </w:style>
  <w:style w:type="character" w:customStyle="1" w:styleId="135">
    <w:name w:val="样式6 Char"/>
    <w:link w:val="134"/>
    <w:qFormat/>
    <w:uiPriority w:val="0"/>
    <w:rPr>
      <w:kern w:val="2"/>
      <w:sz w:val="18"/>
      <w:szCs w:val="18"/>
    </w:rPr>
  </w:style>
  <w:style w:type="paragraph" w:customStyle="1" w:styleId="136">
    <w:name w:val="样式7"/>
    <w:basedOn w:val="28"/>
    <w:link w:val="137"/>
    <w:qFormat/>
    <w:uiPriority w:val="0"/>
    <w:pPr>
      <w:pBdr>
        <w:bottom w:val="none" w:color="auto" w:sz="0" w:space="0"/>
      </w:pBdr>
      <w:ind w:firstLine="0" w:firstLineChars="0"/>
    </w:pPr>
    <w:rPr>
      <w:rFonts w:cs="Times New Roman"/>
    </w:rPr>
  </w:style>
  <w:style w:type="character" w:customStyle="1" w:styleId="137">
    <w:name w:val="样式7 Char"/>
    <w:link w:val="136"/>
    <w:qFormat/>
    <w:uiPriority w:val="0"/>
    <w:rPr>
      <w:kern w:val="2"/>
      <w:sz w:val="18"/>
      <w:szCs w:val="18"/>
    </w:rPr>
  </w:style>
  <w:style w:type="paragraph" w:customStyle="1" w:styleId="138">
    <w:name w:val="样式8"/>
    <w:basedOn w:val="28"/>
    <w:link w:val="139"/>
    <w:qFormat/>
    <w:uiPriority w:val="0"/>
    <w:pPr>
      <w:pBdr>
        <w:bottom w:val="none" w:color="auto" w:sz="0" w:space="0"/>
      </w:pBdr>
      <w:ind w:firstLine="0" w:firstLineChars="0"/>
    </w:pPr>
    <w:rPr>
      <w:rFonts w:cs="Times New Roman"/>
    </w:rPr>
  </w:style>
  <w:style w:type="character" w:customStyle="1" w:styleId="139">
    <w:name w:val="样式8 Char"/>
    <w:link w:val="138"/>
    <w:qFormat/>
    <w:uiPriority w:val="0"/>
    <w:rPr>
      <w:kern w:val="2"/>
      <w:sz w:val="18"/>
      <w:szCs w:val="18"/>
    </w:rPr>
  </w:style>
  <w:style w:type="paragraph" w:customStyle="1" w:styleId="140">
    <w:name w:val="样式9"/>
    <w:basedOn w:val="28"/>
    <w:link w:val="141"/>
    <w:qFormat/>
    <w:uiPriority w:val="0"/>
    <w:pPr>
      <w:pBdr>
        <w:bottom w:val="none" w:color="auto" w:sz="0" w:space="0"/>
      </w:pBdr>
      <w:ind w:firstLine="0" w:firstLineChars="0"/>
    </w:pPr>
    <w:rPr>
      <w:rFonts w:cs="Times New Roman"/>
    </w:rPr>
  </w:style>
  <w:style w:type="character" w:customStyle="1" w:styleId="141">
    <w:name w:val="样式9 Char"/>
    <w:link w:val="140"/>
    <w:qFormat/>
    <w:uiPriority w:val="0"/>
    <w:rPr>
      <w:kern w:val="2"/>
      <w:sz w:val="18"/>
      <w:szCs w:val="18"/>
    </w:rPr>
  </w:style>
  <w:style w:type="paragraph" w:customStyle="1" w:styleId="142">
    <w:name w:val="样式10"/>
    <w:basedOn w:val="28"/>
    <w:link w:val="143"/>
    <w:qFormat/>
    <w:uiPriority w:val="0"/>
    <w:pPr>
      <w:pBdr>
        <w:bottom w:val="none" w:color="auto" w:sz="0" w:space="0"/>
      </w:pBdr>
      <w:ind w:firstLine="0" w:firstLineChars="0"/>
    </w:pPr>
    <w:rPr>
      <w:rFonts w:cs="Times New Roman"/>
    </w:rPr>
  </w:style>
  <w:style w:type="character" w:customStyle="1" w:styleId="143">
    <w:name w:val="样式10 Char"/>
    <w:link w:val="142"/>
    <w:qFormat/>
    <w:uiPriority w:val="0"/>
    <w:rPr>
      <w:kern w:val="2"/>
      <w:sz w:val="18"/>
      <w:szCs w:val="18"/>
    </w:rPr>
  </w:style>
  <w:style w:type="paragraph" w:customStyle="1" w:styleId="144">
    <w:name w:val="样式11"/>
    <w:basedOn w:val="28"/>
    <w:link w:val="145"/>
    <w:qFormat/>
    <w:uiPriority w:val="0"/>
    <w:pPr>
      <w:pBdr>
        <w:bottom w:val="none" w:color="auto" w:sz="0" w:space="0"/>
      </w:pBdr>
      <w:ind w:firstLine="0" w:firstLineChars="0"/>
    </w:pPr>
    <w:rPr>
      <w:rFonts w:cs="Times New Roman"/>
    </w:rPr>
  </w:style>
  <w:style w:type="character" w:customStyle="1" w:styleId="145">
    <w:name w:val="样式11 Char"/>
    <w:link w:val="144"/>
    <w:qFormat/>
    <w:uiPriority w:val="0"/>
    <w:rPr>
      <w:kern w:val="2"/>
      <w:sz w:val="18"/>
      <w:szCs w:val="18"/>
    </w:rPr>
  </w:style>
  <w:style w:type="paragraph" w:customStyle="1" w:styleId="146">
    <w:name w:val="样式 样式 四号 + 首行缩进:  2 字符"/>
    <w:basedOn w:val="1"/>
    <w:link w:val="147"/>
    <w:qFormat/>
    <w:uiPriority w:val="0"/>
    <w:rPr>
      <w:rFonts w:cs="宋体"/>
      <w:sz w:val="24"/>
      <w:szCs w:val="20"/>
    </w:rPr>
  </w:style>
  <w:style w:type="character" w:customStyle="1" w:styleId="147">
    <w:name w:val="样式 样式 四号 + 首行缩进:  2 字符 Char"/>
    <w:link w:val="146"/>
    <w:qFormat/>
    <w:uiPriority w:val="0"/>
    <w:rPr>
      <w:rFonts w:cs="宋体"/>
      <w:kern w:val="2"/>
      <w:sz w:val="24"/>
    </w:rPr>
  </w:style>
  <w:style w:type="paragraph" w:customStyle="1" w:styleId="148">
    <w:name w:val="样式 四号"/>
    <w:basedOn w:val="1"/>
    <w:link w:val="149"/>
    <w:qFormat/>
    <w:uiPriority w:val="0"/>
    <w:pPr>
      <w:spacing w:line="240" w:lineRule="auto"/>
      <w:ind w:firstLine="560"/>
    </w:pPr>
    <w:rPr>
      <w:rFonts w:cs="宋体"/>
      <w:sz w:val="24"/>
      <w:szCs w:val="20"/>
    </w:rPr>
  </w:style>
  <w:style w:type="character" w:customStyle="1" w:styleId="149">
    <w:name w:val="样式 四号 Char"/>
    <w:link w:val="148"/>
    <w:qFormat/>
    <w:uiPriority w:val="0"/>
    <w:rPr>
      <w:rFonts w:cs="宋体"/>
      <w:kern w:val="2"/>
      <w:sz w:val="24"/>
    </w:rPr>
  </w:style>
  <w:style w:type="paragraph" w:customStyle="1" w:styleId="150">
    <w:name w:val="1 Char Char Char Char"/>
    <w:basedOn w:val="1"/>
    <w:qFormat/>
    <w:uiPriority w:val="0"/>
    <w:pPr>
      <w:spacing w:line="240" w:lineRule="auto"/>
      <w:ind w:firstLine="0" w:firstLineChars="0"/>
    </w:pPr>
    <w:rPr>
      <w:rFonts w:cs="Times New Roman"/>
      <w:szCs w:val="20"/>
    </w:rPr>
  </w:style>
  <w:style w:type="character" w:customStyle="1" w:styleId="151">
    <w:name w:val="段 Char Char"/>
    <w:link w:val="152"/>
    <w:qFormat/>
    <w:uiPriority w:val="0"/>
    <w:rPr>
      <w:rFonts w:ascii="宋体"/>
    </w:rPr>
  </w:style>
  <w:style w:type="paragraph" w:customStyle="1" w:styleId="152">
    <w:name w:val="段"/>
    <w:link w:val="15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lang w:val="en-US" w:eastAsia="zh-CN" w:bidi="ar-SA"/>
    </w:rPr>
  </w:style>
  <w:style w:type="paragraph" w:customStyle="1" w:styleId="153">
    <w:name w:val="正文表标题"/>
    <w:next w:val="152"/>
    <w:qFormat/>
    <w:uiPriority w:val="0"/>
    <w:pPr>
      <w:numPr>
        <w:ilvl w:val="0"/>
        <w:numId w:val="2"/>
      </w:numPr>
      <w:tabs>
        <w:tab w:val="left" w:pos="360"/>
        <w:tab w:val="left" w:pos="840"/>
      </w:tabs>
      <w:spacing w:beforeLines="50" w:afterLines="50"/>
      <w:jc w:val="center"/>
    </w:pPr>
    <w:rPr>
      <w:rFonts w:ascii="黑体" w:hAnsi="Times New Roman" w:eastAsia="黑体" w:cs="Times New Roman"/>
      <w:sz w:val="21"/>
      <w:lang w:val="en-US" w:eastAsia="zh-CN" w:bidi="ar-SA"/>
    </w:rPr>
  </w:style>
  <w:style w:type="paragraph" w:customStyle="1" w:styleId="154">
    <w:name w:val="表内文字"/>
    <w:basedOn w:val="1"/>
    <w:qFormat/>
    <w:uiPriority w:val="0"/>
    <w:pPr>
      <w:spacing w:line="300" w:lineRule="auto"/>
      <w:ind w:firstLine="0" w:firstLineChars="0"/>
      <w:jc w:val="center"/>
    </w:pPr>
    <w:rPr>
      <w:rFonts w:cs="Times New Roman"/>
      <w:bCs/>
      <w:szCs w:val="21"/>
    </w:rPr>
  </w:style>
  <w:style w:type="paragraph" w:customStyle="1" w:styleId="155">
    <w:name w:val="2"/>
    <w:basedOn w:val="1"/>
    <w:qFormat/>
    <w:uiPriority w:val="0"/>
    <w:pPr>
      <w:widowControl/>
      <w:spacing w:after="160" w:line="240" w:lineRule="exact"/>
      <w:ind w:firstLine="0" w:firstLineChars="0"/>
      <w:jc w:val="left"/>
    </w:pPr>
    <w:rPr>
      <w:rFonts w:ascii="Arial" w:hAnsi="Arial" w:eastAsia="Times New Roman" w:cs="Verdana"/>
      <w:b/>
      <w:kern w:val="0"/>
      <w:sz w:val="24"/>
      <w:szCs w:val="24"/>
      <w:lang w:eastAsia="en-US"/>
    </w:rPr>
  </w:style>
  <w:style w:type="paragraph" w:customStyle="1" w:styleId="156">
    <w:name w:val="条文正文"/>
    <w:basedOn w:val="1"/>
    <w:link w:val="157"/>
    <w:qFormat/>
    <w:uiPriority w:val="0"/>
    <w:pPr>
      <w:spacing w:line="300" w:lineRule="auto"/>
      <w:ind w:firstLine="0" w:firstLineChars="0"/>
      <w:outlineLvl w:val="2"/>
    </w:pPr>
    <w:rPr>
      <w:rFonts w:cs="Times New Roman"/>
      <w:sz w:val="24"/>
      <w:szCs w:val="24"/>
    </w:rPr>
  </w:style>
  <w:style w:type="character" w:customStyle="1" w:styleId="157">
    <w:name w:val="条文正文 Char"/>
    <w:link w:val="156"/>
    <w:qFormat/>
    <w:uiPriority w:val="0"/>
    <w:rPr>
      <w:kern w:val="2"/>
      <w:sz w:val="24"/>
      <w:szCs w:val="24"/>
    </w:rPr>
  </w:style>
  <w:style w:type="paragraph" w:customStyle="1" w:styleId="158">
    <w:name w:val="注文字"/>
    <w:basedOn w:val="1"/>
    <w:qFormat/>
    <w:uiPriority w:val="0"/>
    <w:pPr>
      <w:spacing w:line="240" w:lineRule="auto"/>
      <w:ind w:left="788" w:leftChars="200" w:hanging="368" w:hangingChars="175"/>
    </w:pPr>
    <w:rPr>
      <w:rFonts w:cs="Times New Roman"/>
      <w:szCs w:val="21"/>
    </w:rPr>
  </w:style>
  <w:style w:type="paragraph" w:customStyle="1" w:styleId="159">
    <w:name w:val="样式 条文正文 + 加粗"/>
    <w:basedOn w:val="156"/>
    <w:link w:val="160"/>
    <w:qFormat/>
    <w:uiPriority w:val="0"/>
    <w:rPr>
      <w:b/>
      <w:bCs/>
    </w:rPr>
  </w:style>
  <w:style w:type="character" w:customStyle="1" w:styleId="160">
    <w:name w:val="样式 条文正文 + 加粗 Char"/>
    <w:link w:val="159"/>
    <w:qFormat/>
    <w:uiPriority w:val="0"/>
    <w:rPr>
      <w:b/>
      <w:bCs/>
      <w:kern w:val="2"/>
      <w:sz w:val="24"/>
      <w:szCs w:val="24"/>
    </w:rPr>
  </w:style>
  <w:style w:type="paragraph" w:customStyle="1" w:styleId="161">
    <w:name w:val="1"/>
    <w:basedOn w:val="1"/>
    <w:link w:val="162"/>
    <w:qFormat/>
    <w:uiPriority w:val="0"/>
    <w:pPr>
      <w:spacing w:line="300" w:lineRule="auto"/>
      <w:ind w:firstLine="482"/>
    </w:pPr>
    <w:rPr>
      <w:rFonts w:cs="Times New Roman"/>
      <w:sz w:val="24"/>
      <w:szCs w:val="24"/>
    </w:rPr>
  </w:style>
  <w:style w:type="character" w:customStyle="1" w:styleId="162">
    <w:name w:val="1 Char"/>
    <w:link w:val="161"/>
    <w:qFormat/>
    <w:uiPriority w:val="0"/>
    <w:rPr>
      <w:kern w:val="2"/>
      <w:sz w:val="24"/>
      <w:szCs w:val="24"/>
    </w:rPr>
  </w:style>
  <w:style w:type="character" w:customStyle="1" w:styleId="163">
    <w:name w:val="headline-content3"/>
    <w:basedOn w:val="46"/>
    <w:qFormat/>
    <w:uiPriority w:val="0"/>
  </w:style>
  <w:style w:type="paragraph" w:customStyle="1" w:styleId="164">
    <w:name w:val="album-div1"/>
    <w:basedOn w:val="1"/>
    <w:qFormat/>
    <w:uiPriority w:val="0"/>
    <w:pPr>
      <w:widowControl/>
      <w:shd w:val="clear" w:color="auto" w:fill="FFFFFF"/>
      <w:spacing w:before="100" w:beforeAutospacing="1" w:after="100" w:afterAutospacing="1" w:line="240" w:lineRule="auto"/>
      <w:ind w:firstLine="0" w:firstLineChars="0"/>
      <w:jc w:val="left"/>
    </w:pPr>
    <w:rPr>
      <w:rFonts w:ascii="宋体" w:hAnsi="宋体" w:cs="宋体"/>
      <w:kern w:val="0"/>
      <w:sz w:val="24"/>
      <w:szCs w:val="24"/>
    </w:rPr>
  </w:style>
  <w:style w:type="character" w:customStyle="1" w:styleId="165">
    <w:name w:val="占位符文本1"/>
    <w:semiHidden/>
    <w:qFormat/>
    <w:uiPriority w:val="99"/>
    <w:rPr>
      <w:color w:val="808080"/>
    </w:rPr>
  </w:style>
  <w:style w:type="paragraph" w:customStyle="1" w:styleId="166">
    <w:name w:val="02条文"/>
    <w:basedOn w:val="1"/>
    <w:next w:val="1"/>
    <w:qFormat/>
    <w:uiPriority w:val="0"/>
    <w:pPr>
      <w:tabs>
        <w:tab w:val="left" w:pos="5220"/>
      </w:tabs>
      <w:spacing w:line="312" w:lineRule="auto"/>
      <w:ind w:firstLine="0" w:firstLineChars="0"/>
    </w:pPr>
    <w:rPr>
      <w:rFonts w:cs="Times New Roman"/>
      <w:sz w:val="24"/>
      <w:szCs w:val="24"/>
    </w:rPr>
  </w:style>
  <w:style w:type="paragraph" w:customStyle="1" w:styleId="167">
    <w:name w:val="章"/>
    <w:basedOn w:val="1"/>
    <w:link w:val="187"/>
    <w:qFormat/>
    <w:uiPriority w:val="0"/>
    <w:pPr>
      <w:spacing w:beforeLines="100" w:afterLines="100" w:line="300" w:lineRule="auto"/>
      <w:ind w:firstLine="0" w:firstLineChars="0"/>
      <w:jc w:val="center"/>
      <w:outlineLvl w:val="0"/>
    </w:pPr>
    <w:rPr>
      <w:rFonts w:cs="Times New Roman"/>
      <w:b/>
      <w:bCs/>
      <w:sz w:val="28"/>
      <w:szCs w:val="28"/>
    </w:rPr>
  </w:style>
  <w:style w:type="paragraph" w:customStyle="1" w:styleId="168">
    <w:name w:val="Char Char Char Char Char Char Char1"/>
    <w:basedOn w:val="1"/>
    <w:qFormat/>
    <w:uiPriority w:val="0"/>
    <w:pPr>
      <w:widowControl/>
      <w:topLinePunct/>
      <w:adjustRightInd w:val="0"/>
      <w:spacing w:after="160" w:line="240" w:lineRule="exact"/>
      <w:ind w:firstLine="0" w:firstLineChars="0"/>
      <w:jc w:val="left"/>
    </w:pPr>
    <w:rPr>
      <w:rFonts w:ascii="Arial" w:hAnsi="Arial" w:eastAsia="Times New Roman" w:cs="Verdana"/>
      <w:b/>
      <w:kern w:val="0"/>
      <w:sz w:val="24"/>
      <w:szCs w:val="24"/>
      <w:lang w:eastAsia="en-US"/>
    </w:rPr>
  </w:style>
  <w:style w:type="character" w:customStyle="1" w:styleId="169">
    <w:name w:val="批注文字 Char1"/>
    <w:basedOn w:val="46"/>
    <w:semiHidden/>
    <w:qFormat/>
    <w:uiPriority w:val="99"/>
    <w:rPr>
      <w:rFonts w:ascii="Times New Roman" w:hAnsi="Times New Roman"/>
      <w:kern w:val="2"/>
      <w:sz w:val="24"/>
      <w:szCs w:val="24"/>
    </w:rPr>
  </w:style>
  <w:style w:type="character" w:customStyle="1" w:styleId="170">
    <w:name w:val="批注主题 Char1"/>
    <w:basedOn w:val="169"/>
    <w:semiHidden/>
    <w:qFormat/>
    <w:uiPriority w:val="0"/>
    <w:rPr>
      <w:rFonts w:ascii="Times New Roman" w:hAnsi="Times New Roman"/>
      <w:b/>
      <w:bCs/>
      <w:kern w:val="2"/>
      <w:sz w:val="24"/>
      <w:szCs w:val="24"/>
    </w:rPr>
  </w:style>
  <w:style w:type="paragraph" w:customStyle="1" w:styleId="171">
    <w:name w:val="公式文字"/>
    <w:basedOn w:val="89"/>
    <w:qFormat/>
    <w:uiPriority w:val="0"/>
    <w:pPr>
      <w:ind w:left="-100" w:leftChars="-100" w:firstLine="0"/>
      <w:jc w:val="left"/>
    </w:pPr>
    <w:rPr>
      <w:color w:val="000000"/>
      <w:sz w:val="24"/>
      <w:szCs w:val="21"/>
    </w:rPr>
  </w:style>
  <w:style w:type="paragraph" w:customStyle="1" w:styleId="172">
    <w:name w:val="3"/>
    <w:qFormat/>
    <w:uiPriority w:val="0"/>
    <w:pPr>
      <w:widowControl w:val="0"/>
      <w:spacing w:line="312"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73">
    <w:name w:val="正文3"/>
    <w:basedOn w:val="1"/>
    <w:qFormat/>
    <w:uiPriority w:val="0"/>
    <w:pPr>
      <w:ind w:firstLine="480"/>
    </w:pPr>
    <w:rPr>
      <w:rFonts w:cs="宋体"/>
      <w:sz w:val="24"/>
      <w:szCs w:val="24"/>
    </w:rPr>
  </w:style>
  <w:style w:type="paragraph" w:customStyle="1" w:styleId="174">
    <w:name w:val="分条"/>
    <w:basedOn w:val="1"/>
    <w:link w:val="175"/>
    <w:qFormat/>
    <w:uiPriority w:val="0"/>
    <w:rPr>
      <w:rFonts w:cs="Times New Roman"/>
      <w:sz w:val="24"/>
      <w:szCs w:val="20"/>
    </w:rPr>
  </w:style>
  <w:style w:type="character" w:customStyle="1" w:styleId="175">
    <w:name w:val="分条 Char"/>
    <w:link w:val="174"/>
    <w:qFormat/>
    <w:locked/>
    <w:uiPriority w:val="0"/>
    <w:rPr>
      <w:kern w:val="2"/>
      <w:sz w:val="24"/>
    </w:rPr>
  </w:style>
  <w:style w:type="paragraph" w:customStyle="1" w:styleId="176">
    <w:name w:val="Char1 Char Char Char"/>
    <w:basedOn w:val="1"/>
    <w:qFormat/>
    <w:uiPriority w:val="0"/>
    <w:pPr>
      <w:widowControl/>
      <w:spacing w:after="160" w:line="240" w:lineRule="exact"/>
      <w:jc w:val="left"/>
    </w:pPr>
    <w:rPr>
      <w:rFonts w:cs="Times New Roman"/>
      <w:szCs w:val="20"/>
    </w:rPr>
  </w:style>
  <w:style w:type="paragraph" w:customStyle="1" w:styleId="177">
    <w:name w:val="p0"/>
    <w:basedOn w:val="1"/>
    <w:qFormat/>
    <w:uiPriority w:val="0"/>
    <w:pPr>
      <w:widowControl/>
      <w:spacing w:line="240" w:lineRule="auto"/>
      <w:ind w:firstLine="0" w:firstLineChars="0"/>
    </w:pPr>
    <w:rPr>
      <w:rFonts w:cs="Times New Roman"/>
      <w:kern w:val="0"/>
      <w:szCs w:val="20"/>
    </w:rPr>
  </w:style>
  <w:style w:type="table" w:customStyle="1" w:styleId="178">
    <w:name w:val="网格型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9">
    <w:name w:val="网格型2"/>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0">
    <w:name w:val="网格型3"/>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1">
    <w:name w:val="网格型4"/>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2">
    <w:name w:val="网格型5"/>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3">
    <w:name w:val="网格型6"/>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4">
    <w:name w:val="网格型7"/>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5">
    <w:name w:val="high-light-bg4"/>
    <w:basedOn w:val="46"/>
    <w:qFormat/>
    <w:uiPriority w:val="0"/>
  </w:style>
  <w:style w:type="paragraph" w:customStyle="1" w:styleId="186">
    <w:name w:val="节"/>
    <w:basedOn w:val="1"/>
    <w:qFormat/>
    <w:uiPriority w:val="0"/>
    <w:pPr>
      <w:spacing w:beforeLines="100" w:afterLines="100" w:line="300" w:lineRule="auto"/>
      <w:ind w:firstLine="0" w:firstLineChars="0"/>
      <w:jc w:val="center"/>
      <w:outlineLvl w:val="1"/>
    </w:pPr>
    <w:rPr>
      <w:rFonts w:cs="Times New Roman"/>
      <w:b/>
      <w:bCs/>
      <w:sz w:val="24"/>
      <w:szCs w:val="24"/>
    </w:rPr>
  </w:style>
  <w:style w:type="character" w:customStyle="1" w:styleId="187">
    <w:name w:val="章 Char"/>
    <w:link w:val="167"/>
    <w:qFormat/>
    <w:uiPriority w:val="0"/>
    <w:rPr>
      <w:b/>
      <w:bCs/>
      <w:kern w:val="2"/>
      <w:sz w:val="28"/>
      <w:szCs w:val="28"/>
    </w:rPr>
  </w:style>
  <w:style w:type="character" w:customStyle="1" w:styleId="188">
    <w:name w:val="05表头 Char"/>
    <w:link w:val="88"/>
    <w:qFormat/>
    <w:uiPriority w:val="0"/>
    <w:rPr>
      <w:rFonts w:eastAsia="黑体"/>
      <w:kern w:val="2"/>
      <w:sz w:val="21"/>
      <w:szCs w:val="24"/>
    </w:rPr>
  </w:style>
  <w:style w:type="paragraph" w:customStyle="1" w:styleId="189">
    <w:name w:val="04说明"/>
    <w:basedOn w:val="166"/>
    <w:qFormat/>
    <w:uiPriority w:val="0"/>
    <w:pPr>
      <w:spacing w:line="276" w:lineRule="auto"/>
      <w:ind w:firstLine="200" w:firstLineChars="200"/>
    </w:pPr>
    <w:rPr>
      <w:rFonts w:hAnsi="楷体" w:eastAsia="楷体"/>
      <w:sz w:val="21"/>
      <w:szCs w:val="21"/>
    </w:rPr>
  </w:style>
  <w:style w:type="paragraph" w:customStyle="1" w:styleId="190">
    <w:name w:val="表头"/>
    <w:basedOn w:val="1"/>
    <w:link w:val="191"/>
    <w:qFormat/>
    <w:uiPriority w:val="0"/>
    <w:pPr>
      <w:spacing w:beforeLines="50" w:afterLines="50" w:line="300" w:lineRule="auto"/>
      <w:ind w:firstLine="0" w:firstLineChars="0"/>
      <w:jc w:val="center"/>
    </w:pPr>
    <w:rPr>
      <w:rFonts w:cs="Times New Roman"/>
      <w:b/>
      <w:bCs/>
      <w:szCs w:val="21"/>
    </w:rPr>
  </w:style>
  <w:style w:type="character" w:customStyle="1" w:styleId="191">
    <w:name w:val="表头 Char"/>
    <w:link w:val="190"/>
    <w:qFormat/>
    <w:uiPriority w:val="0"/>
    <w:rPr>
      <w:b/>
      <w:bCs/>
      <w:kern w:val="2"/>
      <w:sz w:val="21"/>
      <w:szCs w:val="21"/>
    </w:rPr>
  </w:style>
  <w:style w:type="paragraph" w:customStyle="1" w:styleId="192">
    <w:name w:val="表"/>
    <w:basedOn w:val="1"/>
    <w:link w:val="193"/>
    <w:qFormat/>
    <w:uiPriority w:val="0"/>
    <w:pPr>
      <w:spacing w:line="300" w:lineRule="auto"/>
      <w:ind w:firstLine="0" w:firstLineChars="0"/>
      <w:jc w:val="center"/>
    </w:pPr>
    <w:rPr>
      <w:rFonts w:cs="Times New Roman"/>
      <w:bCs/>
      <w:szCs w:val="21"/>
    </w:rPr>
  </w:style>
  <w:style w:type="character" w:customStyle="1" w:styleId="193">
    <w:name w:val="表 Char"/>
    <w:link w:val="192"/>
    <w:qFormat/>
    <w:uiPriority w:val="0"/>
    <w:rPr>
      <w:bCs/>
      <w:kern w:val="2"/>
      <w:sz w:val="21"/>
      <w:szCs w:val="21"/>
    </w:rPr>
  </w:style>
  <w:style w:type="paragraph" w:customStyle="1" w:styleId="194">
    <w:name w:val="13注1"/>
    <w:basedOn w:val="1"/>
    <w:qFormat/>
    <w:uiPriority w:val="0"/>
    <w:pPr>
      <w:spacing w:line="312" w:lineRule="auto"/>
      <w:ind w:left="550" w:leftChars="200" w:hanging="350" w:hangingChars="350"/>
    </w:pPr>
    <w:rPr>
      <w:rFonts w:cs="Times New Roman"/>
      <w:sz w:val="18"/>
      <w:szCs w:val="24"/>
    </w:rPr>
  </w:style>
  <w:style w:type="paragraph" w:customStyle="1" w:styleId="195">
    <w:name w:val="14注2"/>
    <w:basedOn w:val="1"/>
    <w:qFormat/>
    <w:uiPriority w:val="0"/>
    <w:pPr>
      <w:spacing w:line="312" w:lineRule="auto"/>
      <w:ind w:left="500" w:leftChars="350" w:hanging="150" w:hangingChars="150"/>
    </w:pPr>
    <w:rPr>
      <w:rFonts w:cs="Times New Roman"/>
      <w:sz w:val="18"/>
      <w:szCs w:val="24"/>
    </w:rPr>
  </w:style>
  <w:style w:type="paragraph" w:customStyle="1" w:styleId="196">
    <w:name w:val="12公式注"/>
    <w:basedOn w:val="1"/>
    <w:qFormat/>
    <w:uiPriority w:val="0"/>
    <w:pPr>
      <w:spacing w:line="312" w:lineRule="auto"/>
      <w:ind w:left="-50" w:leftChars="-50" w:right="-50" w:rightChars="-50" w:firstLine="0" w:firstLineChars="0"/>
    </w:pPr>
    <w:rPr>
      <w:rFonts w:cs="Times New Roman"/>
      <w:sz w:val="24"/>
      <w:szCs w:val="24"/>
    </w:rPr>
  </w:style>
  <w:style w:type="character" w:customStyle="1" w:styleId="197">
    <w:name w:val="段 Char"/>
    <w:qFormat/>
    <w:uiPriority w:val="0"/>
    <w:rPr>
      <w:rFonts w:ascii="宋体" w:hAnsi="Times New Roman" w:eastAsia="宋体" w:cs="Times New Roman"/>
      <w:kern w:val="0"/>
      <w:szCs w:val="20"/>
    </w:rPr>
  </w:style>
  <w:style w:type="paragraph" w:customStyle="1" w:styleId="198">
    <w:name w:val="一级条标题"/>
    <w:next w:val="152"/>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199">
    <w:name w:val="章标题"/>
    <w:next w:val="152"/>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200">
    <w:name w:val="二级条标题"/>
    <w:basedOn w:val="198"/>
    <w:next w:val="152"/>
    <w:qFormat/>
    <w:uiPriority w:val="0"/>
    <w:pPr>
      <w:numPr>
        <w:ilvl w:val="2"/>
      </w:numPr>
      <w:spacing w:before="50" w:after="50"/>
      <w:outlineLvl w:val="3"/>
    </w:pPr>
  </w:style>
  <w:style w:type="paragraph" w:customStyle="1" w:styleId="201">
    <w:name w:val="三级条标题"/>
    <w:basedOn w:val="200"/>
    <w:next w:val="152"/>
    <w:qFormat/>
    <w:uiPriority w:val="0"/>
    <w:pPr>
      <w:numPr>
        <w:ilvl w:val="3"/>
      </w:numPr>
      <w:outlineLvl w:val="4"/>
    </w:pPr>
  </w:style>
  <w:style w:type="paragraph" w:customStyle="1" w:styleId="202">
    <w:name w:val="四级条标题"/>
    <w:basedOn w:val="201"/>
    <w:next w:val="152"/>
    <w:qFormat/>
    <w:uiPriority w:val="0"/>
    <w:pPr>
      <w:numPr>
        <w:ilvl w:val="4"/>
      </w:numPr>
      <w:outlineLvl w:val="5"/>
    </w:pPr>
  </w:style>
  <w:style w:type="paragraph" w:customStyle="1" w:styleId="203">
    <w:name w:val="五级条标题"/>
    <w:basedOn w:val="202"/>
    <w:next w:val="152"/>
    <w:qFormat/>
    <w:uiPriority w:val="0"/>
    <w:pPr>
      <w:numPr>
        <w:ilvl w:val="5"/>
      </w:numPr>
      <w:outlineLvl w:val="6"/>
    </w:pPr>
  </w:style>
  <w:style w:type="paragraph" w:customStyle="1" w:styleId="204">
    <w:name w:val="注："/>
    <w:next w:val="152"/>
    <w:qFormat/>
    <w:uiPriority w:val="0"/>
    <w:pPr>
      <w:widowControl w:val="0"/>
      <w:numPr>
        <w:ilvl w:val="0"/>
        <w:numId w:val="4"/>
      </w:numPr>
      <w:autoSpaceDE w:val="0"/>
      <w:autoSpaceDN w:val="0"/>
      <w:jc w:val="both"/>
    </w:pPr>
    <w:rPr>
      <w:rFonts w:ascii="宋体" w:hAnsi="Times New Roman" w:eastAsia="宋体" w:cs="Times New Roman"/>
      <w:sz w:val="18"/>
      <w:szCs w:val="18"/>
      <w:lang w:val="en-US" w:eastAsia="zh-CN" w:bidi="ar-SA"/>
    </w:rPr>
  </w:style>
  <w:style w:type="paragraph" w:customStyle="1" w:styleId="205">
    <w:name w:val="注：（正文）"/>
    <w:basedOn w:val="204"/>
    <w:next w:val="152"/>
    <w:qFormat/>
    <w:uiPriority w:val="0"/>
  </w:style>
  <w:style w:type="paragraph" w:customStyle="1" w:styleId="206">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207">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208">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209">
    <w:name w:val="目次、标准名称标题"/>
    <w:basedOn w:val="1"/>
    <w:next w:val="152"/>
    <w:qFormat/>
    <w:uiPriority w:val="0"/>
    <w:pPr>
      <w:keepNext/>
      <w:pageBreakBefore/>
      <w:widowControl/>
      <w:shd w:val="clear" w:color="FFFFFF" w:fill="FFFFFF"/>
      <w:spacing w:before="640" w:after="560" w:line="460" w:lineRule="exact"/>
      <w:ind w:firstLine="0" w:firstLineChars="0"/>
      <w:jc w:val="center"/>
      <w:outlineLvl w:val="0"/>
    </w:pPr>
    <w:rPr>
      <w:rFonts w:ascii="黑体" w:eastAsia="黑体" w:cs="Times New Roman"/>
      <w:kern w:val="0"/>
      <w:sz w:val="32"/>
      <w:szCs w:val="20"/>
    </w:rPr>
  </w:style>
  <w:style w:type="paragraph" w:customStyle="1" w:styleId="210">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11">
    <w:name w:val="X.X"/>
    <w:basedOn w:val="198"/>
    <w:link w:val="212"/>
    <w:qFormat/>
    <w:uiPriority w:val="0"/>
    <w:pPr>
      <w:numPr>
        <w:ilvl w:val="0"/>
        <w:numId w:val="0"/>
      </w:numPr>
      <w:spacing w:beforeLines="0" w:afterLines="0"/>
      <w:ind w:left="1418"/>
      <w:jc w:val="both"/>
    </w:pPr>
    <w:rPr>
      <w:szCs w:val="20"/>
    </w:rPr>
  </w:style>
  <w:style w:type="character" w:customStyle="1" w:styleId="212">
    <w:name w:val="X.X Char"/>
    <w:basedOn w:val="46"/>
    <w:link w:val="211"/>
    <w:qFormat/>
    <w:uiPriority w:val="0"/>
    <w:rPr>
      <w:rFonts w:ascii="黑体" w:eastAsia="黑体"/>
      <w:sz w:val="21"/>
    </w:rPr>
  </w:style>
  <w:style w:type="character" w:customStyle="1" w:styleId="213">
    <w:name w:val="apple-converted-space"/>
    <w:basedOn w:val="46"/>
    <w:qFormat/>
    <w:uiPriority w:val="0"/>
  </w:style>
  <w:style w:type="paragraph" w:customStyle="1" w:styleId="214">
    <w:name w:val="无间隔1"/>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15">
    <w:name w:val="p17"/>
    <w:basedOn w:val="1"/>
    <w:qFormat/>
    <w:uiPriority w:val="0"/>
    <w:pPr>
      <w:widowControl/>
      <w:spacing w:line="240" w:lineRule="auto"/>
      <w:ind w:firstLine="420" w:firstLineChars="0"/>
    </w:pPr>
    <w:rPr>
      <w:rFonts w:ascii="宋体" w:hAnsi="宋体" w:cs="宋体"/>
      <w:kern w:val="0"/>
      <w:szCs w:val="21"/>
    </w:rPr>
  </w:style>
  <w:style w:type="paragraph" w:customStyle="1" w:styleId="216">
    <w:name w:val="p22"/>
    <w:basedOn w:val="1"/>
    <w:qFormat/>
    <w:uiPriority w:val="0"/>
    <w:pPr>
      <w:widowControl/>
      <w:spacing w:before="180" w:line="180" w:lineRule="atLeast"/>
      <w:ind w:firstLine="0" w:firstLineChars="0"/>
      <w:jc w:val="center"/>
    </w:pPr>
    <w:rPr>
      <w:rFonts w:ascii="宋体" w:hAnsi="宋体" w:cs="宋体"/>
      <w:kern w:val="0"/>
      <w:szCs w:val="21"/>
    </w:rPr>
  </w:style>
  <w:style w:type="paragraph" w:customStyle="1" w:styleId="217">
    <w:name w:val="charter title"/>
    <w:basedOn w:val="1"/>
    <w:link w:val="218"/>
    <w:qFormat/>
    <w:uiPriority w:val="99"/>
    <w:pPr>
      <w:spacing w:before="312" w:after="312"/>
      <w:ind w:firstLine="0" w:firstLineChars="0"/>
      <w:jc w:val="center"/>
      <w:outlineLvl w:val="1"/>
    </w:pPr>
    <w:rPr>
      <w:rFonts w:ascii="黑体" w:hAnsi="黑体" w:eastAsia="黑体" w:cs="Times New Roman"/>
      <w:b/>
      <w:color w:val="000000"/>
      <w:sz w:val="24"/>
      <w:szCs w:val="20"/>
    </w:rPr>
  </w:style>
  <w:style w:type="character" w:customStyle="1" w:styleId="218">
    <w:name w:val="charter title Char"/>
    <w:link w:val="217"/>
    <w:qFormat/>
    <w:uiPriority w:val="99"/>
    <w:rPr>
      <w:rFonts w:ascii="黑体" w:hAnsi="黑体" w:eastAsia="黑体"/>
      <w:b/>
      <w:color w:val="000000"/>
      <w:kern w:val="2"/>
      <w:sz w:val="24"/>
    </w:rPr>
  </w:style>
  <w:style w:type="paragraph" w:customStyle="1" w:styleId="219">
    <w:name w:val="Body"/>
    <w:basedOn w:val="1"/>
    <w:link w:val="220"/>
    <w:qFormat/>
    <w:uiPriority w:val="99"/>
    <w:pPr>
      <w:adjustRightInd w:val="0"/>
      <w:ind w:firstLine="0" w:firstLineChars="0"/>
      <w:outlineLvl w:val="2"/>
    </w:pPr>
    <w:rPr>
      <w:rFonts w:cs="Times New Roman" w:eastAsiaTheme="minorEastAsia"/>
      <w:color w:val="000000"/>
      <w:sz w:val="24"/>
      <w:szCs w:val="20"/>
    </w:rPr>
  </w:style>
  <w:style w:type="character" w:customStyle="1" w:styleId="220">
    <w:name w:val="Body Char"/>
    <w:link w:val="219"/>
    <w:qFormat/>
    <w:uiPriority w:val="99"/>
    <w:rPr>
      <w:rFonts w:eastAsiaTheme="minorEastAsia"/>
      <w:color w:val="000000"/>
      <w:kern w:val="2"/>
      <w:sz w:val="24"/>
    </w:rPr>
  </w:style>
  <w:style w:type="paragraph" w:customStyle="1" w:styleId="221">
    <w:name w:val="条"/>
    <w:basedOn w:val="1"/>
    <w:next w:val="1"/>
    <w:link w:val="222"/>
    <w:qFormat/>
    <w:uiPriority w:val="0"/>
    <w:pPr>
      <w:numPr>
        <w:ilvl w:val="0"/>
        <w:numId w:val="6"/>
      </w:numPr>
      <w:adjustRightInd w:val="0"/>
      <w:snapToGrid w:val="0"/>
      <w:ind w:firstLine="0" w:firstLineChars="0"/>
    </w:pPr>
    <w:rPr>
      <w:rFonts w:cs="Times New Roman"/>
      <w:sz w:val="24"/>
      <w:szCs w:val="32"/>
    </w:rPr>
  </w:style>
  <w:style w:type="character" w:customStyle="1" w:styleId="222">
    <w:name w:val="条 Char"/>
    <w:link w:val="221"/>
    <w:qFormat/>
    <w:uiPriority w:val="0"/>
    <w:rPr>
      <w:kern w:val="2"/>
      <w:sz w:val="24"/>
      <w:szCs w:val="32"/>
    </w:rPr>
  </w:style>
  <w:style w:type="character" w:customStyle="1" w:styleId="223">
    <w:name w:val="doc_title"/>
    <w:qFormat/>
    <w:uiPriority w:val="0"/>
  </w:style>
  <w:style w:type="paragraph" w:customStyle="1" w:styleId="224">
    <w:name w:val="小标题"/>
    <w:next w:val="1"/>
    <w:link w:val="225"/>
    <w:qFormat/>
    <w:uiPriority w:val="0"/>
    <w:pPr>
      <w:spacing w:after="200" w:afterLines="50"/>
    </w:pPr>
    <w:rPr>
      <w:rFonts w:ascii="宋体" w:hAnsi="宋体" w:eastAsia="宋体" w:cs="Times New Roman"/>
      <w:bCs/>
      <w:color w:val="C00000"/>
      <w:kern w:val="2"/>
      <w:sz w:val="24"/>
      <w:szCs w:val="21"/>
      <w:lang w:val="en-US" w:eastAsia="zh-CN" w:bidi="ar-SA"/>
    </w:rPr>
  </w:style>
  <w:style w:type="character" w:customStyle="1" w:styleId="225">
    <w:name w:val="小标题 Char"/>
    <w:link w:val="224"/>
    <w:qFormat/>
    <w:uiPriority w:val="0"/>
    <w:rPr>
      <w:rFonts w:ascii="宋体" w:hAnsi="宋体"/>
      <w:bCs/>
      <w:color w:val="C00000"/>
      <w:kern w:val="2"/>
      <w:sz w:val="24"/>
      <w:szCs w:val="21"/>
    </w:rPr>
  </w:style>
  <w:style w:type="paragraph" w:customStyle="1" w:styleId="226">
    <w:name w:val="2子系统"/>
    <w:next w:val="1"/>
    <w:qFormat/>
    <w:uiPriority w:val="0"/>
    <w:pPr>
      <w:numPr>
        <w:ilvl w:val="0"/>
        <w:numId w:val="7"/>
      </w:numPr>
      <w:spacing w:beforeLines="50" w:after="468"/>
      <w:outlineLvl w:val="1"/>
    </w:pPr>
    <w:rPr>
      <w:rFonts w:ascii="黑体" w:hAnsi="黑体" w:eastAsia="黑体" w:cs="Times New Roman"/>
      <w:color w:val="C00000"/>
      <w:kern w:val="2"/>
      <w:sz w:val="28"/>
      <w:szCs w:val="28"/>
      <w:lang w:val="en-US" w:eastAsia="zh-CN" w:bidi="ar-SA"/>
    </w:rPr>
  </w:style>
  <w:style w:type="paragraph" w:customStyle="1" w:styleId="227">
    <w:name w:val="3子系统说明"/>
    <w:next w:val="1"/>
    <w:link w:val="228"/>
    <w:qFormat/>
    <w:uiPriority w:val="0"/>
    <w:pPr>
      <w:numPr>
        <w:ilvl w:val="1"/>
        <w:numId w:val="7"/>
      </w:numPr>
      <w:spacing w:after="120"/>
      <w:outlineLvl w:val="2"/>
    </w:pPr>
    <w:rPr>
      <w:rFonts w:ascii="黑体" w:hAnsi="黑体" w:eastAsia="黑体" w:cs="Times New Roman"/>
      <w:bCs/>
      <w:color w:val="C00000"/>
      <w:kern w:val="2"/>
      <w:sz w:val="24"/>
      <w:szCs w:val="21"/>
      <w:lang w:val="en-US" w:eastAsia="zh-CN" w:bidi="ar-SA"/>
    </w:rPr>
  </w:style>
  <w:style w:type="character" w:customStyle="1" w:styleId="228">
    <w:name w:val="3子系统说明 Char"/>
    <w:link w:val="227"/>
    <w:qFormat/>
    <w:uiPriority w:val="0"/>
    <w:rPr>
      <w:rFonts w:ascii="黑体" w:hAnsi="黑体" w:eastAsia="黑体"/>
      <w:bCs/>
      <w:color w:val="C00000"/>
      <w:kern w:val="2"/>
      <w:sz w:val="24"/>
      <w:szCs w:val="21"/>
    </w:rPr>
  </w:style>
  <w:style w:type="paragraph" w:customStyle="1" w:styleId="229">
    <w:name w:val="Style14"/>
    <w:basedOn w:val="1"/>
    <w:link w:val="230"/>
    <w:qFormat/>
    <w:uiPriority w:val="0"/>
    <w:pPr>
      <w:widowControl/>
      <w:numPr>
        <w:ilvl w:val="0"/>
        <w:numId w:val="8"/>
      </w:numPr>
      <w:spacing w:after="200"/>
      <w:ind w:firstLine="0" w:firstLineChars="0"/>
      <w:jc w:val="left"/>
    </w:pPr>
    <w:rPr>
      <w:rFonts w:ascii="宋体" w:hAnsi="宋体" w:cs="Arial"/>
      <w:color w:val="000000" w:themeColor="text1"/>
      <w:sz w:val="24"/>
      <w:szCs w:val="24"/>
      <w14:textFill>
        <w14:solidFill>
          <w14:schemeClr w14:val="tx1"/>
        </w14:solidFill>
      </w14:textFill>
    </w:rPr>
  </w:style>
  <w:style w:type="character" w:customStyle="1" w:styleId="230">
    <w:name w:val="Style14 Char"/>
    <w:link w:val="229"/>
    <w:qFormat/>
    <w:uiPriority w:val="0"/>
    <w:rPr>
      <w:rFonts w:ascii="宋体" w:hAnsi="宋体" w:cs="Arial"/>
      <w:color w:val="000000" w:themeColor="text1"/>
      <w:kern w:val="2"/>
      <w:sz w:val="24"/>
      <w:szCs w:val="24"/>
      <w14:textFill>
        <w14:solidFill>
          <w14:schemeClr w14:val="tx1"/>
        </w14:solidFill>
      </w14:textFill>
    </w:rPr>
  </w:style>
  <w:style w:type="paragraph" w:customStyle="1" w:styleId="231">
    <w:name w:val="附录标识"/>
    <w:basedOn w:val="1"/>
    <w:next w:val="152"/>
    <w:qFormat/>
    <w:uiPriority w:val="0"/>
    <w:pPr>
      <w:keepNext/>
      <w:widowControl/>
      <w:numPr>
        <w:ilvl w:val="0"/>
        <w:numId w:val="9"/>
      </w:numPr>
      <w:shd w:val="clear" w:color="FFFFFF" w:fill="FFFFFF"/>
      <w:tabs>
        <w:tab w:val="left" w:pos="6405"/>
      </w:tabs>
      <w:spacing w:before="640" w:after="280" w:line="240" w:lineRule="auto"/>
      <w:ind w:firstLineChars="0"/>
      <w:jc w:val="center"/>
      <w:outlineLvl w:val="0"/>
    </w:pPr>
    <w:rPr>
      <w:rFonts w:ascii="黑体" w:eastAsia="黑体" w:cs="Times New Roman"/>
      <w:kern w:val="0"/>
      <w:szCs w:val="20"/>
    </w:rPr>
  </w:style>
  <w:style w:type="paragraph" w:customStyle="1" w:styleId="232">
    <w:name w:val="附录表标号"/>
    <w:basedOn w:val="1"/>
    <w:next w:val="152"/>
    <w:qFormat/>
    <w:uiPriority w:val="0"/>
    <w:pPr>
      <w:numPr>
        <w:ilvl w:val="0"/>
        <w:numId w:val="10"/>
      </w:numPr>
      <w:tabs>
        <w:tab w:val="clear" w:pos="0"/>
      </w:tabs>
      <w:spacing w:line="14" w:lineRule="exact"/>
      <w:ind w:left="811" w:hanging="448" w:firstLineChars="0"/>
      <w:jc w:val="center"/>
      <w:outlineLvl w:val="0"/>
    </w:pPr>
    <w:rPr>
      <w:rFonts w:cs="Times New Roman"/>
      <w:color w:val="FFFFFF"/>
      <w:szCs w:val="24"/>
    </w:rPr>
  </w:style>
  <w:style w:type="paragraph" w:customStyle="1" w:styleId="233">
    <w:name w:val="附录表标题"/>
    <w:basedOn w:val="1"/>
    <w:next w:val="152"/>
    <w:qFormat/>
    <w:uiPriority w:val="0"/>
    <w:pPr>
      <w:numPr>
        <w:ilvl w:val="1"/>
        <w:numId w:val="10"/>
      </w:numPr>
      <w:tabs>
        <w:tab w:val="left" w:pos="180"/>
      </w:tabs>
      <w:spacing w:beforeLines="50" w:afterLines="50" w:line="240" w:lineRule="auto"/>
      <w:ind w:left="0" w:firstLine="0" w:firstLineChars="0"/>
      <w:jc w:val="center"/>
    </w:pPr>
    <w:rPr>
      <w:rFonts w:ascii="黑体" w:eastAsia="黑体" w:cs="Times New Roman"/>
      <w:szCs w:val="21"/>
    </w:rPr>
  </w:style>
  <w:style w:type="paragraph" w:customStyle="1" w:styleId="234">
    <w:name w:val="附录二级条标题"/>
    <w:basedOn w:val="1"/>
    <w:next w:val="152"/>
    <w:qFormat/>
    <w:uiPriority w:val="0"/>
    <w:pPr>
      <w:widowControl/>
      <w:numPr>
        <w:ilvl w:val="3"/>
        <w:numId w:val="9"/>
      </w:numPr>
      <w:tabs>
        <w:tab w:val="left" w:pos="360"/>
      </w:tabs>
      <w:wordWrap w:val="0"/>
      <w:overflowPunct w:val="0"/>
      <w:autoSpaceDE w:val="0"/>
      <w:autoSpaceDN w:val="0"/>
      <w:spacing w:beforeLines="50" w:afterLines="50" w:line="240" w:lineRule="auto"/>
      <w:ind w:firstLineChars="0"/>
      <w:textAlignment w:val="baseline"/>
      <w:outlineLvl w:val="3"/>
    </w:pPr>
    <w:rPr>
      <w:rFonts w:ascii="黑体" w:eastAsia="黑体" w:cs="Times New Roman"/>
      <w:kern w:val="21"/>
      <w:szCs w:val="20"/>
    </w:rPr>
  </w:style>
  <w:style w:type="paragraph" w:customStyle="1" w:styleId="235">
    <w:name w:val="附录三级条标题"/>
    <w:basedOn w:val="234"/>
    <w:next w:val="152"/>
    <w:qFormat/>
    <w:uiPriority w:val="0"/>
    <w:pPr>
      <w:numPr>
        <w:ilvl w:val="4"/>
      </w:numPr>
      <w:outlineLvl w:val="4"/>
    </w:pPr>
  </w:style>
  <w:style w:type="paragraph" w:customStyle="1" w:styleId="236">
    <w:name w:val="附录四级条标题"/>
    <w:basedOn w:val="235"/>
    <w:next w:val="152"/>
    <w:qFormat/>
    <w:uiPriority w:val="0"/>
    <w:pPr>
      <w:numPr>
        <w:ilvl w:val="5"/>
      </w:numPr>
      <w:outlineLvl w:val="5"/>
    </w:pPr>
  </w:style>
  <w:style w:type="paragraph" w:customStyle="1" w:styleId="237">
    <w:name w:val="附录五级条标题"/>
    <w:basedOn w:val="236"/>
    <w:next w:val="152"/>
    <w:qFormat/>
    <w:uiPriority w:val="0"/>
    <w:pPr>
      <w:numPr>
        <w:ilvl w:val="6"/>
      </w:numPr>
      <w:outlineLvl w:val="6"/>
    </w:pPr>
  </w:style>
  <w:style w:type="paragraph" w:customStyle="1" w:styleId="238">
    <w:name w:val="附录章标题"/>
    <w:next w:val="152"/>
    <w:qFormat/>
    <w:uiPriority w:val="0"/>
    <w:pPr>
      <w:numPr>
        <w:ilvl w:val="1"/>
        <w:numId w:val="9"/>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39">
    <w:name w:val="附录一级条标题"/>
    <w:basedOn w:val="238"/>
    <w:next w:val="152"/>
    <w:qFormat/>
    <w:uiPriority w:val="0"/>
    <w:pPr>
      <w:numPr>
        <w:ilvl w:val="2"/>
      </w:numPr>
      <w:autoSpaceDN w:val="0"/>
      <w:spacing w:beforeLines="50" w:afterLines="50"/>
      <w:outlineLvl w:val="2"/>
    </w:pPr>
  </w:style>
  <w:style w:type="character" w:customStyle="1" w:styleId="240">
    <w:name w:val="正文文本 2 字符"/>
    <w:basedOn w:val="46"/>
    <w:link w:val="38"/>
    <w:qFormat/>
    <w:uiPriority w:val="0"/>
    <w:rPr>
      <w:rFonts w:ascii="Calibri" w:hAnsi="Calibri"/>
      <w:kern w:val="2"/>
      <w:sz w:val="21"/>
      <w:szCs w:val="22"/>
    </w:rPr>
  </w:style>
  <w:style w:type="paragraph" w:customStyle="1" w:styleId="241">
    <w:name w:val="修订2"/>
    <w:hidden/>
    <w:semiHidden/>
    <w:qFormat/>
    <w:uiPriority w:val="99"/>
    <w:rPr>
      <w:rFonts w:ascii="Calibri" w:hAnsi="Calibri" w:eastAsia="宋体" w:cs="Times New Roman"/>
      <w:kern w:val="2"/>
      <w:sz w:val="21"/>
      <w:szCs w:val="22"/>
      <w:lang w:val="en-US" w:eastAsia="zh-CN" w:bidi="ar-SA"/>
    </w:rPr>
  </w:style>
  <w:style w:type="paragraph" w:customStyle="1" w:styleId="242">
    <w:name w:val="标题 21"/>
    <w:basedOn w:val="1"/>
    <w:next w:val="1"/>
    <w:unhideWhenUsed/>
    <w:qFormat/>
    <w:uiPriority w:val="0"/>
    <w:pPr>
      <w:keepNext/>
      <w:keepLines/>
      <w:spacing w:before="260" w:after="260" w:line="416" w:lineRule="auto"/>
      <w:ind w:firstLine="0" w:firstLineChars="0"/>
      <w:outlineLvl w:val="1"/>
    </w:pPr>
    <w:rPr>
      <w:rFonts w:ascii="Cambria" w:hAnsi="Cambria" w:cs="Times New Roman"/>
      <w:b/>
      <w:bCs/>
      <w:sz w:val="32"/>
      <w:szCs w:val="32"/>
    </w:rPr>
  </w:style>
  <w:style w:type="paragraph" w:customStyle="1" w:styleId="243">
    <w:name w:val="样式 标题 1 + 华文新魏 二号 黑色"/>
    <w:basedOn w:val="3"/>
    <w:qFormat/>
    <w:uiPriority w:val="0"/>
    <w:pPr>
      <w:keepLines/>
      <w:tabs>
        <w:tab w:val="clear" w:pos="720"/>
        <w:tab w:val="clear" w:pos="910"/>
        <w:tab w:val="clear" w:pos="1190"/>
        <w:tab w:val="clear" w:pos="2520"/>
        <w:tab w:val="clear" w:pos="7020"/>
      </w:tabs>
      <w:spacing w:before="340" w:after="330" w:line="240" w:lineRule="auto"/>
    </w:pPr>
    <w:rPr>
      <w:rFonts w:ascii="华文新魏" w:hAnsi="华文新魏" w:eastAsia="华文新魏" w:cs="MS Gothic"/>
      <w:b w:val="0"/>
      <w:bCs w:val="0"/>
      <w:color w:val="000000"/>
      <w:sz w:val="40"/>
      <w:szCs w:val="44"/>
    </w:rPr>
  </w:style>
  <w:style w:type="paragraph" w:customStyle="1" w:styleId="244">
    <w:name w:val="目录 11"/>
    <w:basedOn w:val="1"/>
    <w:next w:val="1"/>
    <w:qFormat/>
    <w:uiPriority w:val="39"/>
    <w:pPr>
      <w:spacing w:before="120" w:after="120" w:line="240" w:lineRule="auto"/>
      <w:ind w:firstLine="0" w:firstLineChars="0"/>
      <w:jc w:val="left"/>
    </w:pPr>
    <w:rPr>
      <w:rFonts w:ascii="Calibri" w:hAnsi="Calibri" w:cs="Times New Roman"/>
      <w:b/>
      <w:bCs/>
      <w:caps/>
      <w:sz w:val="20"/>
      <w:szCs w:val="20"/>
    </w:rPr>
  </w:style>
  <w:style w:type="paragraph" w:customStyle="1" w:styleId="245">
    <w:name w:val="目录 21"/>
    <w:basedOn w:val="1"/>
    <w:next w:val="1"/>
    <w:qFormat/>
    <w:uiPriority w:val="39"/>
    <w:pPr>
      <w:spacing w:line="240" w:lineRule="auto"/>
      <w:ind w:left="210" w:firstLine="0" w:firstLineChars="0"/>
      <w:jc w:val="left"/>
    </w:pPr>
    <w:rPr>
      <w:rFonts w:ascii="Calibri" w:hAnsi="Calibri" w:cs="Times New Roman"/>
      <w:smallCaps/>
      <w:sz w:val="20"/>
      <w:szCs w:val="20"/>
    </w:rPr>
  </w:style>
  <w:style w:type="paragraph" w:customStyle="1" w:styleId="246">
    <w:name w:val="正文文本缩进 21"/>
    <w:basedOn w:val="1"/>
    <w:qFormat/>
    <w:uiPriority w:val="0"/>
    <w:pPr>
      <w:adjustRightInd w:val="0"/>
      <w:spacing w:line="240" w:lineRule="atLeast"/>
      <w:ind w:firstLine="420" w:firstLineChars="0"/>
      <w:textAlignment w:val="baseline"/>
    </w:pPr>
    <w:rPr>
      <w:rFonts w:eastAsia="楷体_GB2312" w:cs="Times New Roman"/>
      <w:szCs w:val="20"/>
    </w:rPr>
  </w:style>
  <w:style w:type="paragraph" w:customStyle="1" w:styleId="247">
    <w:name w:val="图"/>
    <w:basedOn w:val="17"/>
    <w:next w:val="1"/>
    <w:link w:val="264"/>
    <w:qFormat/>
    <w:uiPriority w:val="0"/>
    <w:pPr>
      <w:numPr>
        <w:ilvl w:val="0"/>
        <w:numId w:val="11"/>
      </w:numPr>
      <w:spacing w:after="0" w:line="240" w:lineRule="auto"/>
      <w:ind w:firstLine="0" w:firstLineChars="0"/>
      <w:jc w:val="center"/>
    </w:pPr>
    <w:rPr>
      <w:rFonts w:cs="Times New Roman"/>
      <w:color w:val="000000"/>
      <w:sz w:val="24"/>
      <w:szCs w:val="24"/>
    </w:rPr>
  </w:style>
  <w:style w:type="paragraph" w:styleId="24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9">
    <w:name w:val="目录 31"/>
    <w:basedOn w:val="1"/>
    <w:next w:val="1"/>
    <w:unhideWhenUsed/>
    <w:qFormat/>
    <w:uiPriority w:val="39"/>
    <w:pPr>
      <w:spacing w:line="240" w:lineRule="auto"/>
      <w:ind w:left="420" w:firstLine="0" w:firstLineChars="0"/>
      <w:jc w:val="left"/>
    </w:pPr>
    <w:rPr>
      <w:rFonts w:ascii="Calibri" w:hAnsi="Calibri" w:cs="Times New Roman"/>
      <w:i/>
      <w:iCs/>
      <w:sz w:val="20"/>
      <w:szCs w:val="20"/>
    </w:rPr>
  </w:style>
  <w:style w:type="paragraph" w:customStyle="1" w:styleId="250">
    <w:name w:val="目录 41"/>
    <w:basedOn w:val="1"/>
    <w:next w:val="1"/>
    <w:unhideWhenUsed/>
    <w:qFormat/>
    <w:uiPriority w:val="39"/>
    <w:pPr>
      <w:spacing w:line="240" w:lineRule="auto"/>
      <w:ind w:left="630" w:firstLine="0" w:firstLineChars="0"/>
      <w:jc w:val="left"/>
    </w:pPr>
    <w:rPr>
      <w:rFonts w:ascii="Calibri" w:hAnsi="Calibri" w:cs="Times New Roman"/>
      <w:sz w:val="18"/>
      <w:szCs w:val="18"/>
    </w:rPr>
  </w:style>
  <w:style w:type="paragraph" w:customStyle="1" w:styleId="251">
    <w:name w:val="目录 51"/>
    <w:basedOn w:val="1"/>
    <w:next w:val="1"/>
    <w:unhideWhenUsed/>
    <w:qFormat/>
    <w:uiPriority w:val="39"/>
    <w:pPr>
      <w:spacing w:line="240" w:lineRule="auto"/>
      <w:ind w:left="840" w:firstLine="0" w:firstLineChars="0"/>
      <w:jc w:val="left"/>
    </w:pPr>
    <w:rPr>
      <w:rFonts w:ascii="Calibri" w:hAnsi="Calibri" w:cs="Times New Roman"/>
      <w:sz w:val="18"/>
      <w:szCs w:val="18"/>
    </w:rPr>
  </w:style>
  <w:style w:type="paragraph" w:customStyle="1" w:styleId="252">
    <w:name w:val="目录 61"/>
    <w:basedOn w:val="1"/>
    <w:next w:val="1"/>
    <w:unhideWhenUsed/>
    <w:qFormat/>
    <w:uiPriority w:val="39"/>
    <w:pPr>
      <w:spacing w:line="240" w:lineRule="auto"/>
      <w:ind w:left="1050" w:firstLine="0" w:firstLineChars="0"/>
      <w:jc w:val="left"/>
    </w:pPr>
    <w:rPr>
      <w:rFonts w:ascii="Calibri" w:hAnsi="Calibri" w:cs="Times New Roman"/>
      <w:sz w:val="18"/>
      <w:szCs w:val="18"/>
    </w:rPr>
  </w:style>
  <w:style w:type="paragraph" w:customStyle="1" w:styleId="253">
    <w:name w:val="目录 71"/>
    <w:basedOn w:val="1"/>
    <w:next w:val="1"/>
    <w:unhideWhenUsed/>
    <w:qFormat/>
    <w:uiPriority w:val="39"/>
    <w:pPr>
      <w:spacing w:line="240" w:lineRule="auto"/>
      <w:ind w:left="1260" w:firstLine="0" w:firstLineChars="0"/>
      <w:jc w:val="left"/>
    </w:pPr>
    <w:rPr>
      <w:rFonts w:ascii="Calibri" w:hAnsi="Calibri" w:cs="Times New Roman"/>
      <w:sz w:val="18"/>
      <w:szCs w:val="18"/>
    </w:rPr>
  </w:style>
  <w:style w:type="paragraph" w:customStyle="1" w:styleId="254">
    <w:name w:val="目录 81"/>
    <w:basedOn w:val="1"/>
    <w:next w:val="1"/>
    <w:unhideWhenUsed/>
    <w:qFormat/>
    <w:uiPriority w:val="39"/>
    <w:pPr>
      <w:spacing w:line="240" w:lineRule="auto"/>
      <w:ind w:left="1470" w:firstLine="0" w:firstLineChars="0"/>
      <w:jc w:val="left"/>
    </w:pPr>
    <w:rPr>
      <w:rFonts w:ascii="Calibri" w:hAnsi="Calibri" w:cs="Times New Roman"/>
      <w:sz w:val="18"/>
      <w:szCs w:val="18"/>
    </w:rPr>
  </w:style>
  <w:style w:type="paragraph" w:customStyle="1" w:styleId="255">
    <w:name w:val="目录 91"/>
    <w:basedOn w:val="1"/>
    <w:next w:val="1"/>
    <w:unhideWhenUsed/>
    <w:qFormat/>
    <w:uiPriority w:val="39"/>
    <w:pPr>
      <w:spacing w:line="240" w:lineRule="auto"/>
      <w:ind w:left="1680" w:firstLine="0" w:firstLineChars="0"/>
      <w:jc w:val="left"/>
    </w:pPr>
    <w:rPr>
      <w:rFonts w:ascii="Calibri" w:hAnsi="Calibri" w:cs="Times New Roman"/>
      <w:sz w:val="18"/>
      <w:szCs w:val="18"/>
    </w:rPr>
  </w:style>
  <w:style w:type="character" w:styleId="256">
    <w:name w:val="Placeholder Text"/>
    <w:semiHidden/>
    <w:qFormat/>
    <w:uiPriority w:val="99"/>
    <w:rPr>
      <w:color w:val="808080"/>
    </w:rPr>
  </w:style>
  <w:style w:type="table" w:customStyle="1" w:styleId="257">
    <w:name w:val="网格型11"/>
    <w:basedOn w:val="44"/>
    <w:qFormat/>
    <w:uiPriority w:val="59"/>
    <w:pPr>
      <w:widowControl w:val="0"/>
      <w:jc w:val="both"/>
    </w:pPr>
    <w:rPr>
      <w:kern w:val="2"/>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8">
    <w:name w:val="发布部门"/>
    <w:next w:val="1"/>
    <w:qFormat/>
    <w:uiPriority w:val="0"/>
    <w:pPr>
      <w:framePr w:w="7433" w:h="585" w:hRule="exact" w:hSpace="180" w:vSpace="180" w:wrap="around" w:vAnchor="margin" w:hAnchor="margin" w:xAlign="center" w:y="14401" w:anchorLock="1"/>
      <w:spacing w:before="340" w:after="330" w:line="576" w:lineRule="auto"/>
      <w:jc w:val="center"/>
    </w:pPr>
    <w:rPr>
      <w:rFonts w:ascii="宋体" w:hAnsi="Times New Roman" w:eastAsia="宋体" w:cs="Times New Roman"/>
      <w:b/>
      <w:spacing w:val="20"/>
      <w:w w:val="135"/>
      <w:kern w:val="2"/>
      <w:sz w:val="36"/>
      <w:szCs w:val="24"/>
      <w:lang w:val="en-US" w:eastAsia="zh-CN" w:bidi="ar-SA"/>
    </w:rPr>
  </w:style>
  <w:style w:type="paragraph" w:customStyle="1" w:styleId="259">
    <w:name w:val="实施日期"/>
    <w:basedOn w:val="1"/>
    <w:qFormat/>
    <w:uiPriority w:val="0"/>
    <w:pPr>
      <w:framePr w:w="4000" w:h="473" w:hRule="exact" w:vSpace="180" w:wrap="around" w:vAnchor="margin" w:hAnchor="margin" w:xAlign="right" w:y="13511" w:anchorLock="1"/>
      <w:widowControl/>
      <w:spacing w:before="340" w:after="330" w:line="576" w:lineRule="auto"/>
      <w:ind w:firstLine="0" w:firstLineChars="0"/>
      <w:jc w:val="right"/>
    </w:pPr>
    <w:rPr>
      <w:rFonts w:eastAsia="黑体" w:cs="Times New Roman"/>
      <w:kern w:val="0"/>
      <w:sz w:val="28"/>
      <w:szCs w:val="20"/>
    </w:rPr>
  </w:style>
  <w:style w:type="character" w:customStyle="1" w:styleId="260">
    <w:name w:val="trans"/>
    <w:basedOn w:val="46"/>
    <w:qFormat/>
    <w:uiPriority w:val="0"/>
  </w:style>
  <w:style w:type="character" w:customStyle="1" w:styleId="261">
    <w:name w:val="lijuyuanxing"/>
    <w:basedOn w:val="46"/>
    <w:qFormat/>
    <w:uiPriority w:val="0"/>
  </w:style>
  <w:style w:type="character" w:customStyle="1" w:styleId="262">
    <w:name w:val="书籍标题1"/>
    <w:qFormat/>
    <w:uiPriority w:val="33"/>
    <w:rPr>
      <w:b/>
      <w:bCs/>
      <w:smallCaps/>
      <w:spacing w:val="5"/>
    </w:rPr>
  </w:style>
  <w:style w:type="paragraph" w:customStyle="1" w:styleId="263">
    <w:name w:val="reader-word-layer"/>
    <w:basedOn w:val="1"/>
    <w:qFormat/>
    <w:uiPriority w:val="0"/>
    <w:pPr>
      <w:widowControl/>
      <w:spacing w:before="100" w:beforeAutospacing="1" w:after="100" w:afterAutospacing="1" w:line="240" w:lineRule="auto"/>
      <w:ind w:firstLine="0" w:firstLineChars="0"/>
      <w:jc w:val="left"/>
    </w:pPr>
    <w:rPr>
      <w:rFonts w:ascii="宋体" w:hAnsi="宋体" w:cs="宋体"/>
      <w:kern w:val="0"/>
      <w:sz w:val="24"/>
      <w:szCs w:val="24"/>
    </w:rPr>
  </w:style>
  <w:style w:type="character" w:customStyle="1" w:styleId="264">
    <w:name w:val="图 Char"/>
    <w:link w:val="247"/>
    <w:qFormat/>
    <w:uiPriority w:val="0"/>
    <w:rPr>
      <w:color w:val="000000"/>
      <w:kern w:val="2"/>
      <w:sz w:val="24"/>
      <w:szCs w:val="24"/>
    </w:rPr>
  </w:style>
  <w:style w:type="character" w:customStyle="1" w:styleId="265">
    <w:name w:val="标题 2 Char1"/>
    <w:semiHidden/>
    <w:qFormat/>
    <w:uiPriority w:val="9"/>
    <w:rPr>
      <w:rFonts w:ascii="Calibri Light" w:hAnsi="Calibri Light" w:eastAsia="宋体" w:cs="Times New Roman"/>
      <w:b/>
      <w:bCs/>
      <w:sz w:val="32"/>
      <w:szCs w:val="32"/>
    </w:rPr>
  </w:style>
  <w:style w:type="paragraph" w:customStyle="1" w:styleId="266">
    <w:name w:val="款"/>
    <w:basedOn w:val="221"/>
    <w:qFormat/>
    <w:uiPriority w:val="0"/>
    <w:pPr>
      <w:numPr>
        <w:numId w:val="0"/>
      </w:numPr>
      <w:autoSpaceDE w:val="0"/>
      <w:autoSpaceDN w:val="0"/>
      <w:ind w:left="480"/>
      <w:contextualSpacing/>
      <w:jc w:val="center"/>
      <w:textAlignment w:val="center"/>
    </w:pPr>
  </w:style>
  <w:style w:type="paragraph" w:customStyle="1" w:styleId="267">
    <w:name w:val="TOC 标题2"/>
    <w:basedOn w:val="3"/>
    <w:next w:val="1"/>
    <w:unhideWhenUsed/>
    <w:qFormat/>
    <w:uiPriority w:val="39"/>
    <w:pPr>
      <w:keepLines/>
      <w:widowControl/>
      <w:tabs>
        <w:tab w:val="clear" w:pos="720"/>
        <w:tab w:val="clear" w:pos="910"/>
        <w:tab w:val="clear" w:pos="1190"/>
        <w:tab w:val="clear" w:pos="2520"/>
        <w:tab w:val="clear" w:pos="7020"/>
      </w:tabs>
      <w:spacing w:before="240" w:beforeLines="0" w:afterLines="0" w:line="259" w:lineRule="auto"/>
      <w:jc w:val="left"/>
      <w:outlineLvl w:val="9"/>
    </w:pPr>
    <w:rPr>
      <w:rFonts w:ascii="Calibri Light" w:hAnsi="Calibri Light"/>
      <w:b w:val="0"/>
      <w:bCs w:val="0"/>
      <w:color w:val="2E74B5"/>
      <w:sz w:val="32"/>
      <w:szCs w:val="32"/>
    </w:rPr>
  </w:style>
  <w:style w:type="character" w:customStyle="1" w:styleId="268">
    <w:name w:val="span_stdname1"/>
    <w:basedOn w:val="46"/>
    <w:qFormat/>
    <w:uiPriority w:val="0"/>
  </w:style>
  <w:style w:type="paragraph" w:customStyle="1" w:styleId="269">
    <w:name w:val="条文说明"/>
    <w:basedOn w:val="1"/>
    <w:qFormat/>
    <w:uiPriority w:val="0"/>
    <w:pPr>
      <w:spacing w:line="288" w:lineRule="auto"/>
      <w:ind w:firstLine="0" w:firstLineChars="0"/>
    </w:pPr>
    <w:rPr>
      <w:rFonts w:eastAsia="仿宋" w:cs="Times New Roman"/>
      <w:i/>
      <w:sz w:val="24"/>
    </w:rPr>
  </w:style>
  <w:style w:type="paragraph" w:customStyle="1" w:styleId="270">
    <w:name w:val="条文"/>
    <w:basedOn w:val="1"/>
    <w:qFormat/>
    <w:uiPriority w:val="0"/>
    <w:pPr>
      <w:spacing w:beforeLines="100" w:line="288" w:lineRule="auto"/>
      <w:ind w:firstLine="0" w:firstLineChars="0"/>
    </w:pPr>
    <w:rPr>
      <w:rFonts w:cs="Times New Roman" w:eastAsiaTheme="minorEastAsia"/>
      <w:sz w:val="24"/>
    </w:rPr>
  </w:style>
  <w:style w:type="character" w:customStyle="1" w:styleId="271">
    <w:name w:val="书籍标题11"/>
    <w:qFormat/>
    <w:uiPriority w:val="33"/>
    <w:rPr>
      <w:b/>
      <w:bCs/>
      <w:smallCaps/>
      <w:spacing w:val="5"/>
    </w:rPr>
  </w:style>
  <w:style w:type="paragraph" w:customStyle="1" w:styleId="272">
    <w:name w:val="TOC 标题21"/>
    <w:basedOn w:val="3"/>
    <w:next w:val="1"/>
    <w:unhideWhenUsed/>
    <w:qFormat/>
    <w:uiPriority w:val="39"/>
    <w:pPr>
      <w:keepLines/>
      <w:widowControl/>
      <w:tabs>
        <w:tab w:val="clear" w:pos="720"/>
        <w:tab w:val="clear" w:pos="910"/>
        <w:tab w:val="clear" w:pos="1190"/>
        <w:tab w:val="clear" w:pos="2520"/>
        <w:tab w:val="clear" w:pos="7020"/>
      </w:tabs>
      <w:spacing w:before="240" w:beforeLines="0" w:afterLines="0" w:line="259" w:lineRule="auto"/>
      <w:jc w:val="left"/>
      <w:outlineLvl w:val="9"/>
    </w:pPr>
    <w:rPr>
      <w:rFonts w:ascii="Calibri Light" w:hAnsi="Calibri Light"/>
      <w:b w:val="0"/>
      <w:bCs w:val="0"/>
      <w:color w:val="2E74B5"/>
      <w:sz w:val="32"/>
      <w:szCs w:val="32"/>
    </w:rPr>
  </w:style>
  <w:style w:type="character" w:customStyle="1" w:styleId="273">
    <w:name w:val="fontstyle11"/>
    <w:basedOn w:val="46"/>
    <w:qFormat/>
    <w:uiPriority w:val="0"/>
    <w:rPr>
      <w:rFonts w:hint="default" w:ascii="Times-Roman" w:hAnsi="Times-Roman"/>
      <w:color w:val="717171"/>
      <w:sz w:val="16"/>
      <w:szCs w:val="16"/>
    </w:rPr>
  </w:style>
  <w:style w:type="table" w:customStyle="1" w:styleId="274">
    <w:name w:val="网格型8"/>
    <w:basedOn w:val="44"/>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75">
    <w:name w:val="网格型12"/>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
    <w:name w:val="网格型2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
    <w:name w:val="网格型3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
    <w:name w:val="网格型4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
    <w:name w:val="网格型5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
    <w:name w:val="网格型6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1">
    <w:name w:val="网格型7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
    <w:name w:val="网格型111"/>
    <w:basedOn w:val="44"/>
    <w:qFormat/>
    <w:uiPriority w:val="59"/>
    <w:pPr>
      <w:widowControl w:val="0"/>
      <w:jc w:val="both"/>
    </w:pPr>
    <w:rPr>
      <w:kern w:val="2"/>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3">
    <w:name w:val="ask-title2"/>
    <w:basedOn w:val="46"/>
    <w:qFormat/>
    <w:uiPriority w:val="0"/>
  </w:style>
  <w:style w:type="paragraph" w:customStyle="1" w:styleId="284">
    <w:name w:val="修订3"/>
    <w:hidden/>
    <w:semiHidden/>
    <w:qFormat/>
    <w:uiPriority w:val="99"/>
    <w:rPr>
      <w:rFonts w:ascii="Times New Roman" w:hAnsi="Times New Roman" w:eastAsia="宋体" w:cstheme="minorBidi"/>
      <w:kern w:val="2"/>
      <w:sz w:val="21"/>
      <w:szCs w:val="22"/>
      <w:lang w:val="en-US" w:eastAsia="zh-CN" w:bidi="ar-SA"/>
    </w:rPr>
  </w:style>
  <w:style w:type="paragraph" w:customStyle="1" w:styleId="285">
    <w:name w:val="修订4"/>
    <w:hidden/>
    <w:semiHidden/>
    <w:qFormat/>
    <w:uiPriority w:val="99"/>
    <w:rPr>
      <w:rFonts w:ascii="Times New Roman" w:hAnsi="Times New Roman" w:eastAsia="宋体" w:cstheme="minorBidi"/>
      <w:kern w:val="2"/>
      <w:sz w:val="21"/>
      <w:szCs w:val="22"/>
      <w:lang w:val="en-US" w:eastAsia="zh-CN" w:bidi="ar-SA"/>
    </w:rPr>
  </w:style>
  <w:style w:type="table" w:customStyle="1" w:styleId="286">
    <w:name w:val="网格型9"/>
    <w:basedOn w:val="44"/>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87">
    <w:name w:val="修订5"/>
    <w:hidden/>
    <w:unhideWhenUsed/>
    <w:qFormat/>
    <w:uiPriority w:val="99"/>
    <w:rPr>
      <w:rFonts w:ascii="Times New Roman" w:hAnsi="Times New Roman" w:eastAsia="宋体" w:cstheme="minorBidi"/>
      <w:kern w:val="2"/>
      <w:sz w:val="21"/>
      <w:szCs w:val="22"/>
      <w:lang w:val="en-US" w:eastAsia="zh-CN" w:bidi="ar-SA"/>
    </w:rPr>
  </w:style>
  <w:style w:type="paragraph" w:customStyle="1" w:styleId="288">
    <w:name w:val="图表"/>
    <w:basedOn w:val="289"/>
    <w:qFormat/>
    <w:uiPriority w:val="0"/>
    <w:pPr>
      <w:ind w:firstLine="0" w:firstLineChars="0"/>
      <w:jc w:val="center"/>
    </w:pPr>
  </w:style>
  <w:style w:type="paragraph" w:customStyle="1" w:styleId="289">
    <w:name w:val="四级"/>
    <w:basedOn w:val="1"/>
    <w:qFormat/>
    <w:uiPriority w:val="0"/>
    <w:pPr>
      <w:textAlignment w:val="center"/>
    </w:pPr>
    <w:rPr>
      <w:szCs w:val="21"/>
    </w:rPr>
  </w:style>
  <w:style w:type="table" w:customStyle="1" w:styleId="290">
    <w:name w:val="网格型10"/>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91">
    <w:name w:val="正文格式-三级"/>
    <w:basedOn w:val="1"/>
    <w:link w:val="292"/>
    <w:qFormat/>
    <w:uiPriority w:val="0"/>
    <w:pPr>
      <w:spacing w:before="240" w:after="60"/>
      <w:ind w:firstLine="0" w:firstLineChars="0"/>
      <w:outlineLvl w:val="2"/>
    </w:pPr>
    <w:rPr>
      <w:rFonts w:cs="Times New Roman"/>
      <w:b/>
      <w:bCs/>
      <w:szCs w:val="24"/>
    </w:rPr>
  </w:style>
  <w:style w:type="character" w:customStyle="1" w:styleId="292">
    <w:name w:val="正文格式-三级 字符"/>
    <w:basedOn w:val="46"/>
    <w:link w:val="291"/>
    <w:qFormat/>
    <w:uiPriority w:val="0"/>
    <w:rPr>
      <w:b/>
      <w:bCs/>
      <w:kern w:val="2"/>
      <w:sz w:val="21"/>
      <w:szCs w:val="24"/>
    </w:rPr>
  </w:style>
  <w:style w:type="paragraph" w:customStyle="1" w:styleId="293">
    <w:name w:val="条文说明-1"/>
    <w:basedOn w:val="1"/>
    <w:link w:val="294"/>
    <w:qFormat/>
    <w:uiPriority w:val="0"/>
    <w:pPr>
      <w:ind w:firstLine="0" w:firstLineChars="0"/>
    </w:pPr>
    <w:rPr>
      <w:rFonts w:cs="Times New Roman"/>
    </w:rPr>
  </w:style>
  <w:style w:type="character" w:customStyle="1" w:styleId="294">
    <w:name w:val="条文说明-1 字符"/>
    <w:basedOn w:val="46"/>
    <w:link w:val="293"/>
    <w:qFormat/>
    <w:uiPriority w:val="0"/>
    <w:rPr>
      <w:kern w:val="2"/>
      <w:sz w:val="21"/>
      <w:szCs w:val="22"/>
    </w:rPr>
  </w:style>
  <w:style w:type="paragraph" w:customStyle="1" w:styleId="295">
    <w:name w:val="TOC 标题3"/>
    <w:basedOn w:val="3"/>
    <w:next w:val="1"/>
    <w:unhideWhenUsed/>
    <w:qFormat/>
    <w:uiPriority w:val="39"/>
    <w:pPr>
      <w:keepLines/>
      <w:widowControl/>
      <w:tabs>
        <w:tab w:val="clear" w:pos="720"/>
        <w:tab w:val="clear" w:pos="910"/>
        <w:tab w:val="clear" w:pos="1190"/>
        <w:tab w:val="clear" w:pos="2520"/>
        <w:tab w:val="clear" w:pos="7020"/>
      </w:tabs>
      <w:spacing w:before="240" w:beforeLines="0" w:afterLines="0" w:line="259" w:lineRule="auto"/>
      <w:jc w:val="left"/>
      <w:outlineLvl w:val="9"/>
    </w:pPr>
    <w:rPr>
      <w:rFonts w:asciiTheme="majorHAnsi" w:hAnsiTheme="majorHAnsi" w:eastAsiaTheme="majorEastAsia" w:cstheme="majorBidi"/>
      <w:b w:val="0"/>
      <w:bCs w:val="0"/>
      <w:color w:val="2E75B6" w:themeColor="accent1" w:themeShade="BF"/>
      <w:sz w:val="32"/>
      <w:szCs w:val="32"/>
    </w:rPr>
  </w:style>
  <w:style w:type="character" w:customStyle="1" w:styleId="296">
    <w:name w:val="未处理的提及1"/>
    <w:basedOn w:val="46"/>
    <w:semiHidden/>
    <w:unhideWhenUsed/>
    <w:qFormat/>
    <w:uiPriority w:val="99"/>
    <w:rPr>
      <w:color w:val="605E5C"/>
      <w:shd w:val="clear" w:color="auto" w:fill="E1DFDD"/>
    </w:rPr>
  </w:style>
  <w:style w:type="table" w:customStyle="1" w:styleId="297">
    <w:name w:val="网格型13"/>
    <w:basedOn w:val="44"/>
    <w:unhideWhenUsed/>
    <w:qFormat/>
    <w:uiPriority w:val="99"/>
    <w:rPr>
      <w:rFonts w:ascii="Calibri" w:hAnsi="Calibr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98">
    <w:name w:val="font21"/>
    <w:basedOn w:val="46"/>
    <w:qFormat/>
    <w:uiPriority w:val="0"/>
    <w:rPr>
      <w:rFonts w:ascii="宋体" w:hAnsi="宋体" w:eastAsia="宋体" w:cs="宋体"/>
      <w:color w:val="000000"/>
      <w:sz w:val="22"/>
      <w:szCs w:val="22"/>
      <w:u w:val="none"/>
    </w:rPr>
  </w:style>
  <w:style w:type="paragraph" w:customStyle="1" w:styleId="299">
    <w:name w:val="Revision"/>
    <w:hidden/>
    <w:semiHidden/>
    <w:qFormat/>
    <w:uiPriority w:val="99"/>
    <w:rPr>
      <w:rFonts w:ascii="Times New Roman" w:hAnsi="Times New Roman"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2050"/>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90</Pages>
  <Words>10237</Words>
  <Characters>58351</Characters>
  <Lines>486</Lines>
  <Paragraphs>136</Paragraphs>
  <TotalTime>7</TotalTime>
  <ScaleCrop>false</ScaleCrop>
  <LinksUpToDate>false</LinksUpToDate>
  <CharactersWithSpaces>68452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2025-07-31T00:46:00Z</dcterms:created>
  <dc:creator>DELL</dc:creator>
  <cp:lastModifiedBy>孙卓</cp:lastModifiedBy>
  <cp:lastPrinted>2022-09-04T01:28:00Z</cp:lastPrinted>
  <dcterms:modified xsi:type="dcterms:W3CDTF">2025-08-18T10:29:30Z</dcterms:modified>
  <dc:title>住房和城乡建设部备案号：JXXXXX-2025</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C503D2C116934C28B3C9DD80652EC1AC_13</vt:lpwstr>
  </property>
  <property fmtid="{D5CDD505-2E9C-101B-9397-08002B2CF9AE}" pid="4" name="KSOTemplateDocerSaveRecord">
    <vt:lpwstr>eyJoZGlkIjoiNDMxNjBmYzk1MmVjMTczOTA4YzM5ODM1NmVkMDhlNTgiLCJ1c2VySWQiOiI0NDYwMTA5NDQifQ==</vt:lpwstr>
  </property>
</Properties>
</file>